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BAD" w:rsidRDefault="001D36BA" w:rsidP="009854E9">
      <w:pPr>
        <w:pStyle w:val="31Formulartitel"/>
        <w:spacing w:before="0" w:after="0"/>
        <w:rPr>
          <w:b/>
          <w:sz w:val="24"/>
          <w:szCs w:val="24"/>
        </w:rPr>
      </w:pPr>
      <w:r>
        <w:rPr>
          <w:b/>
          <w:sz w:val="24"/>
          <w:szCs w:val="24"/>
        </w:rPr>
        <w:t>Gesetz über die in der Direktion der Justiz und des Innern ve</w:t>
      </w:r>
      <w:r>
        <w:rPr>
          <w:b/>
          <w:sz w:val="24"/>
          <w:szCs w:val="24"/>
        </w:rPr>
        <w:t>r</w:t>
      </w:r>
      <w:r>
        <w:rPr>
          <w:b/>
          <w:sz w:val="24"/>
          <w:szCs w:val="24"/>
        </w:rPr>
        <w:t>wendeten besonderen Personendaten</w:t>
      </w:r>
    </w:p>
    <w:p w:rsidR="001D36BA" w:rsidRPr="001D36BA" w:rsidRDefault="001D36BA" w:rsidP="001D36BA">
      <w:pPr>
        <w:pStyle w:val="00Vorgabetext"/>
      </w:pPr>
    </w:p>
    <w:p w:rsidR="001257E4" w:rsidRPr="001257E4" w:rsidRDefault="001257E4" w:rsidP="001D36BA">
      <w:pPr>
        <w:pStyle w:val="7015Zeilenabstand"/>
        <w:spacing w:line="240" w:lineRule="atLeast"/>
        <w:rPr>
          <w:rFonts w:ascii="Arial Black" w:hAnsi="Arial Black"/>
        </w:rPr>
      </w:pPr>
      <w:r w:rsidRPr="001257E4">
        <w:rPr>
          <w:rFonts w:ascii="Arial Black" w:hAnsi="Arial Black"/>
        </w:rPr>
        <w:t xml:space="preserve">Allgemeine Erläuterungen </w:t>
      </w:r>
      <w:r w:rsidR="001D36BA">
        <w:rPr>
          <w:rFonts w:ascii="Arial Black" w:hAnsi="Arial Black"/>
        </w:rPr>
        <w:t xml:space="preserve">zum Vernehmlassungsentwurf vom </w:t>
      </w:r>
      <w:r w:rsidR="00D765AC">
        <w:rPr>
          <w:rFonts w:ascii="Arial Black" w:hAnsi="Arial Black"/>
        </w:rPr>
        <w:t>Januar 2013</w:t>
      </w:r>
    </w:p>
    <w:p w:rsidR="001D36BA" w:rsidRDefault="001D36BA" w:rsidP="00345516">
      <w:pPr>
        <w:pStyle w:val="21NumAbsatz1"/>
        <w:numPr>
          <w:ilvl w:val="0"/>
          <w:numId w:val="0"/>
        </w:numPr>
        <w:tabs>
          <w:tab w:val="left" w:pos="426"/>
        </w:tabs>
        <w:spacing w:after="120"/>
      </w:pPr>
    </w:p>
    <w:p w:rsidR="009854E9" w:rsidRPr="00EE3C47" w:rsidRDefault="00345516" w:rsidP="00345516">
      <w:pPr>
        <w:pStyle w:val="21NumAbsatz1"/>
        <w:numPr>
          <w:ilvl w:val="0"/>
          <w:numId w:val="0"/>
        </w:numPr>
        <w:tabs>
          <w:tab w:val="left" w:pos="426"/>
        </w:tabs>
        <w:spacing w:after="120"/>
      </w:pPr>
      <w:r>
        <w:t>I.</w:t>
      </w:r>
      <w:r>
        <w:tab/>
      </w:r>
      <w:r w:rsidR="009854E9">
        <w:t>A</w:t>
      </w:r>
      <w:r w:rsidR="009854E9" w:rsidRPr="00EE3C47">
        <w:t>usgangslage</w:t>
      </w:r>
    </w:p>
    <w:p w:rsidR="009854E9" w:rsidRPr="00516627" w:rsidRDefault="009854E9" w:rsidP="009854E9">
      <w:pPr>
        <w:pStyle w:val="00Vorgabetext"/>
        <w:spacing w:before="240"/>
      </w:pPr>
      <w:r>
        <w:t>A.</w:t>
      </w:r>
      <w:r>
        <w:tab/>
      </w:r>
      <w:r w:rsidRPr="00516627">
        <w:t>Gesetzliche</w:t>
      </w:r>
      <w:r>
        <w:t xml:space="preserve"> Grundlagen</w:t>
      </w:r>
    </w:p>
    <w:p w:rsidR="009854E9" w:rsidRPr="002E021B" w:rsidRDefault="009854E9" w:rsidP="009854E9">
      <w:pPr>
        <w:pStyle w:val="00Vorgabetext"/>
      </w:pPr>
      <w:r>
        <w:t xml:space="preserve">§ 8 Abs. 2 </w:t>
      </w:r>
      <w:r w:rsidR="001D36BA">
        <w:t>des Gesetzes über die Information und den Datenschutz (</w:t>
      </w:r>
      <w:r>
        <w:t>IDG</w:t>
      </w:r>
      <w:r w:rsidR="001D36BA">
        <w:t>)</w:t>
      </w:r>
      <w:r>
        <w:t xml:space="preserve"> </w:t>
      </w:r>
      <w:r w:rsidR="002B1837">
        <w:t xml:space="preserve">verlangt </w:t>
      </w:r>
      <w:r>
        <w:t>für das Bearbeiten bes</w:t>
      </w:r>
      <w:r w:rsidR="0042577F">
        <w:t xml:space="preserve">onderer Personendaten aufgrund </w:t>
      </w:r>
      <w:r>
        <w:t xml:space="preserve">der Sensibilität </w:t>
      </w:r>
      <w:r w:rsidR="002B1837">
        <w:t xml:space="preserve">dieser </w:t>
      </w:r>
      <w:r>
        <w:t xml:space="preserve">Daten eine </w:t>
      </w:r>
      <w:r w:rsidRPr="00F50A96">
        <w:t>„hinreichend bestimmte Regelung in einem formellen Gesetz“</w:t>
      </w:r>
      <w:r>
        <w:t>.</w:t>
      </w:r>
      <w:r w:rsidRPr="005E5F46">
        <w:rPr>
          <w:color w:val="006AD4" w:themeColor="accent1"/>
        </w:rPr>
        <w:t xml:space="preserve"> </w:t>
      </w:r>
      <w:r w:rsidR="002B1837">
        <w:t>Diese Voraussetzung ist erfüllt, wenn</w:t>
      </w:r>
      <w:r w:rsidR="002B1837" w:rsidRPr="005E5F46">
        <w:t xml:space="preserve"> </w:t>
      </w:r>
      <w:r w:rsidR="002B1837">
        <w:t xml:space="preserve">die </w:t>
      </w:r>
      <w:r w:rsidRPr="005E5F46">
        <w:t>Regelung</w:t>
      </w:r>
      <w:r w:rsidR="002B1837">
        <w:t xml:space="preserve"> folgende Elemente enthält:</w:t>
      </w:r>
      <w:r w:rsidRPr="005E5F46">
        <w:t xml:space="preserve"> die Umschreibung </w:t>
      </w:r>
      <w:r>
        <w:t>des veran</w:t>
      </w:r>
      <w:r>
        <w:t>t</w:t>
      </w:r>
      <w:r>
        <w:t xml:space="preserve">wortlichen Organs, </w:t>
      </w:r>
      <w:r w:rsidR="002B1837" w:rsidRPr="005E5F46">
        <w:t>de</w:t>
      </w:r>
      <w:r w:rsidR="002B1837">
        <w:t>n</w:t>
      </w:r>
      <w:r w:rsidR="002B1837" w:rsidRPr="005E5F46">
        <w:t xml:space="preserve"> </w:t>
      </w:r>
      <w:r w:rsidRPr="005E5F46">
        <w:t>Verwendungszwecke,</w:t>
      </w:r>
      <w:r w:rsidR="002B1837">
        <w:t xml:space="preserve"> die</w:t>
      </w:r>
      <w:r w:rsidRPr="005E5F46">
        <w:t xml:space="preserve"> </w:t>
      </w:r>
      <w:r w:rsidR="000B1F23">
        <w:t>Art der bearbeiteten Daten (</w:t>
      </w:r>
      <w:r w:rsidRPr="005E5F46">
        <w:t>Datenk</w:t>
      </w:r>
      <w:r w:rsidRPr="005E5F46">
        <w:t>a</w:t>
      </w:r>
      <w:r w:rsidRPr="005E5F46">
        <w:t>tegorien</w:t>
      </w:r>
      <w:r w:rsidR="000B1F23">
        <w:t>)</w:t>
      </w:r>
      <w:r w:rsidRPr="005E5F46">
        <w:t xml:space="preserve"> und </w:t>
      </w:r>
      <w:r w:rsidR="002B1837">
        <w:t>die</w:t>
      </w:r>
      <w:r w:rsidR="002B1837" w:rsidRPr="005E5F46">
        <w:t xml:space="preserve"> </w:t>
      </w:r>
      <w:r w:rsidRPr="005E5F46">
        <w:t xml:space="preserve">Bearbeitungsmethoden </w:t>
      </w:r>
      <w:r w:rsidR="002B1837">
        <w:t xml:space="preserve">(vgl. </w:t>
      </w:r>
      <w:r w:rsidR="002B1837" w:rsidRPr="005E5F46">
        <w:t xml:space="preserve">Weisung </w:t>
      </w:r>
      <w:r w:rsidR="002B1837">
        <w:t xml:space="preserve">des Regierungsrates </w:t>
      </w:r>
      <w:r w:rsidR="002B1837" w:rsidRPr="005E5F46">
        <w:t>zu § 8 Abs. 2 IDG</w:t>
      </w:r>
      <w:r w:rsidR="002B1837">
        <w:t xml:space="preserve">; </w:t>
      </w:r>
      <w:proofErr w:type="spellStart"/>
      <w:r w:rsidR="002B1837">
        <w:t>ABl</w:t>
      </w:r>
      <w:proofErr w:type="spellEnd"/>
      <w:r w:rsidR="002B1837">
        <w:t xml:space="preserve"> 2005, 1306)</w:t>
      </w:r>
      <w:r w:rsidRPr="005E5F46">
        <w:t xml:space="preserve">. </w:t>
      </w:r>
    </w:p>
    <w:p w:rsidR="009854E9" w:rsidRDefault="009854E9" w:rsidP="009854E9">
      <w:pPr>
        <w:pStyle w:val="00Vorgabetext"/>
        <w:rPr>
          <w:lang w:val="de-DE"/>
        </w:rPr>
      </w:pPr>
      <w:r>
        <w:rPr>
          <w:lang w:val="de-DE"/>
        </w:rPr>
        <w:t xml:space="preserve">Vergleichbare Anforderungen an die gesetzlichen Grundlagen stellt auch das </w:t>
      </w:r>
      <w:r w:rsidRPr="008C41DA">
        <w:rPr>
          <w:lang w:val="de-DE"/>
        </w:rPr>
        <w:t>Bunde</w:t>
      </w:r>
      <w:r w:rsidRPr="008C41DA">
        <w:rPr>
          <w:lang w:val="de-DE"/>
        </w:rPr>
        <w:t>s</w:t>
      </w:r>
      <w:r w:rsidRPr="008C41DA">
        <w:rPr>
          <w:lang w:val="de-DE"/>
        </w:rPr>
        <w:t>recht</w:t>
      </w:r>
      <w:r>
        <w:rPr>
          <w:lang w:val="de-DE"/>
        </w:rPr>
        <w:t>.</w:t>
      </w:r>
      <w:r w:rsidRPr="008C41DA">
        <w:rPr>
          <w:lang w:val="de-DE"/>
        </w:rPr>
        <w:t xml:space="preserve"> </w:t>
      </w:r>
      <w:r>
        <w:t>J</w:t>
      </w:r>
      <w:r w:rsidRPr="008C41DA">
        <w:t>ede Person</w:t>
      </w:r>
      <w:r>
        <w:t xml:space="preserve"> hat</w:t>
      </w:r>
      <w:r w:rsidRPr="008C41DA">
        <w:t xml:space="preserve"> </w:t>
      </w:r>
      <w:r>
        <w:rPr>
          <w:lang w:val="de-DE"/>
        </w:rPr>
        <w:t xml:space="preserve">Anspruch </w:t>
      </w:r>
      <w:r w:rsidR="004D4372">
        <w:rPr>
          <w:lang w:val="de-DE"/>
        </w:rPr>
        <w:t xml:space="preserve">auf </w:t>
      </w:r>
      <w:r w:rsidRPr="008C41DA">
        <w:t>Schutz vor Missbrauch ihrer persönlichen Daten</w:t>
      </w:r>
      <w:r>
        <w:rPr>
          <w:lang w:val="de-DE"/>
        </w:rPr>
        <w:t xml:space="preserve"> (</w:t>
      </w:r>
      <w:r w:rsidRPr="008C41DA">
        <w:rPr>
          <w:lang w:val="de-DE"/>
        </w:rPr>
        <w:t>Art. 13 Abs. 2 BV</w:t>
      </w:r>
      <w:r>
        <w:rPr>
          <w:lang w:val="de-DE"/>
        </w:rPr>
        <w:t>)</w:t>
      </w:r>
      <w:r w:rsidRPr="008C41DA">
        <w:t xml:space="preserve">. </w:t>
      </w:r>
      <w:bookmarkStart w:id="0" w:name="start"/>
      <w:bookmarkEnd w:id="0"/>
      <w:r w:rsidR="002D3659">
        <w:rPr>
          <w:noProof/>
        </w:rPr>
        <w:pict>
          <v:shapetype id="_x0000_t202" coordsize="21600,21600" o:spt="202" path="m,l,21600r21600,l21600,xe">
            <v:stroke joinstyle="miter"/>
            <v:path gradientshapeok="t" o:connecttype="rect"/>
          </v:shapetype>
          <v:shape id="_x0000_s1027" type="#_x0000_t202" style="position:absolute;margin-left:123.3pt;margin-top:785.15pt;width:426.65pt;height:28.35pt;z-index:251655680;mso-wrap-style:tight;mso-position-horizontal-relative:page;mso-position-vertical-relative:page" filled="f" stroked="f">
            <v:textbox style="mso-next-textbox:#_x0000_s1027">
              <w:txbxContent>
                <w:p w:rsidR="008E271C" w:rsidRPr="00A40AF9" w:rsidRDefault="008E271C" w:rsidP="009854E9"/>
              </w:txbxContent>
            </v:textbox>
            <w10:wrap anchorx="page" anchory="page"/>
          </v:shape>
        </w:pict>
      </w:r>
      <w:r w:rsidR="002D3659">
        <w:rPr>
          <w:noProof/>
        </w:rPr>
        <w:pict>
          <v:shape id="_x0000_s1026" type="#_x0000_t202" style="position:absolute;margin-left:123.3pt;margin-top:785.15pt;width:426.65pt;height:28.35pt;z-index:251656704;mso-wrap-style:tight;mso-position-horizontal-relative:page;mso-position-vertical-relative:page" filled="f" stroked="f">
            <v:textbox style="mso-next-textbox:#_x0000_s1026">
              <w:txbxContent>
                <w:p w:rsidR="008E271C" w:rsidRPr="00595573" w:rsidRDefault="008E271C" w:rsidP="009854E9"/>
              </w:txbxContent>
            </v:textbox>
            <w10:wrap anchorx="page" anchory="page"/>
          </v:shape>
        </w:pict>
      </w:r>
      <w:r>
        <w:t>Dieser</w:t>
      </w:r>
      <w:r w:rsidRPr="008C41DA">
        <w:rPr>
          <w:lang w:val="de-DE"/>
        </w:rPr>
        <w:t xml:space="preserve"> Schutz </w:t>
      </w:r>
      <w:r>
        <w:rPr>
          <w:lang w:val="de-DE"/>
        </w:rPr>
        <w:t>i</w:t>
      </w:r>
      <w:r w:rsidRPr="008C41DA">
        <w:rPr>
          <w:lang w:val="de-DE"/>
        </w:rPr>
        <w:t>st jedoch</w:t>
      </w:r>
      <w:r>
        <w:rPr>
          <w:lang w:val="de-DE"/>
        </w:rPr>
        <w:t>,</w:t>
      </w:r>
      <w:r w:rsidRPr="008C41DA">
        <w:rPr>
          <w:lang w:val="de-DE"/>
        </w:rPr>
        <w:t xml:space="preserve"> wie der Schutz aller Grund</w:t>
      </w:r>
      <w:r>
        <w:rPr>
          <w:lang w:val="de-DE"/>
        </w:rPr>
        <w:t>rechte,</w:t>
      </w:r>
      <w:r w:rsidRPr="008C41DA">
        <w:rPr>
          <w:lang w:val="de-DE"/>
        </w:rPr>
        <w:t xml:space="preserve"> nicht unbeschränkt. Nach </w:t>
      </w:r>
      <w:r w:rsidRPr="008C41DA">
        <w:rPr>
          <w:bCs/>
          <w:lang w:val="de-DE"/>
        </w:rPr>
        <w:t>Art. 36 Abs. 1 BV</w:t>
      </w:r>
      <w:r w:rsidRPr="008C41DA">
        <w:rPr>
          <w:lang w:val="de-DE"/>
        </w:rPr>
        <w:t xml:space="preserve"> bedürfen Einschränkungen von Grundrechten einer gesetzlichen Grundlage. Bei schwerwiegenden </w:t>
      </w:r>
      <w:r w:rsidRPr="008C41DA">
        <w:t>Eingriffen in die verfassungsmä</w:t>
      </w:r>
      <w:r w:rsidRPr="008C41DA">
        <w:t>s</w:t>
      </w:r>
      <w:r w:rsidRPr="008C41DA">
        <w:t>sigen Rechte verlangt das Bundesgeric</w:t>
      </w:r>
      <w:r w:rsidR="004652F1">
        <w:t>ht eine klare und ausdrückliche</w:t>
      </w:r>
      <w:r w:rsidRPr="008C41DA">
        <w:t xml:space="preserve"> Regelung in einem formellen Gesetz, ein öffentliches Interesse oder den Schutz der Grundrechte Dritter und die Berücksichtigung des Grundsatzes der Verhältnismässigkeit. Zudem darf der Kerngehalt des Grundrechts nicht angetastet werden (BGE 130 I 16 E. 3). </w:t>
      </w:r>
      <w:r w:rsidR="00203665">
        <w:t xml:space="preserve">Bei </w:t>
      </w:r>
      <w:r w:rsidR="00203665" w:rsidRPr="008C41DA">
        <w:rPr>
          <w:lang w:val="de-DE"/>
        </w:rPr>
        <w:t>leichter</w:t>
      </w:r>
      <w:r w:rsidR="00203665">
        <w:rPr>
          <w:lang w:val="de-DE"/>
        </w:rPr>
        <w:t>en</w:t>
      </w:r>
      <w:r w:rsidRPr="008C41DA">
        <w:rPr>
          <w:lang w:val="de-DE"/>
        </w:rPr>
        <w:t xml:space="preserve"> Eingriffe</w:t>
      </w:r>
      <w:r w:rsidR="00203665">
        <w:rPr>
          <w:lang w:val="de-DE"/>
        </w:rPr>
        <w:t>n</w:t>
      </w:r>
      <w:r w:rsidRPr="008C41DA">
        <w:rPr>
          <w:lang w:val="de-DE"/>
        </w:rPr>
        <w:t xml:space="preserve"> </w:t>
      </w:r>
      <w:r w:rsidR="00203665">
        <w:rPr>
          <w:lang w:val="de-DE"/>
        </w:rPr>
        <w:t>genügt, wenn das Gesetz</w:t>
      </w:r>
      <w:r w:rsidRPr="008C41DA">
        <w:rPr>
          <w:lang w:val="de-DE"/>
        </w:rPr>
        <w:t xml:space="preserve"> eine </w:t>
      </w:r>
      <w:r w:rsidR="00203665">
        <w:rPr>
          <w:lang w:val="de-DE"/>
        </w:rPr>
        <w:t>„</w:t>
      </w:r>
      <w:r w:rsidRPr="008C41DA">
        <w:rPr>
          <w:lang w:val="de-DE"/>
        </w:rPr>
        <w:t>schlüssige</w:t>
      </w:r>
      <w:r w:rsidR="00203665">
        <w:rPr>
          <w:lang w:val="de-DE"/>
        </w:rPr>
        <w:t>“</w:t>
      </w:r>
      <w:r w:rsidRPr="008C41DA">
        <w:rPr>
          <w:lang w:val="de-DE"/>
        </w:rPr>
        <w:t xml:space="preserve"> Delegation </w:t>
      </w:r>
      <w:r w:rsidR="00203665">
        <w:rPr>
          <w:lang w:val="de-DE"/>
        </w:rPr>
        <w:t xml:space="preserve">enthält, </w:t>
      </w:r>
      <w:r w:rsidRPr="008C41DA">
        <w:rPr>
          <w:lang w:val="de-DE"/>
        </w:rPr>
        <w:t xml:space="preserve">auch </w:t>
      </w:r>
      <w:r w:rsidR="00203665">
        <w:rPr>
          <w:lang w:val="de-DE"/>
        </w:rPr>
        <w:t>ein</w:t>
      </w:r>
      <w:r w:rsidR="00203665" w:rsidRPr="008C41DA">
        <w:rPr>
          <w:lang w:val="de-DE"/>
        </w:rPr>
        <w:t xml:space="preserve"> </w:t>
      </w:r>
      <w:r w:rsidRPr="008C41DA">
        <w:rPr>
          <w:lang w:val="de-DE"/>
        </w:rPr>
        <w:t xml:space="preserve">Erlassen unterhalb der Gesetzesstufe </w:t>
      </w:r>
      <w:r w:rsidR="00203665">
        <w:rPr>
          <w:lang w:val="de-DE"/>
        </w:rPr>
        <w:t xml:space="preserve"> und sie können auch auf eine</w:t>
      </w:r>
      <w:r w:rsidR="00203665" w:rsidRPr="008C41DA">
        <w:rPr>
          <w:lang w:val="de-DE"/>
        </w:rPr>
        <w:t xml:space="preserve"> </w:t>
      </w:r>
      <w:r w:rsidRPr="008C41DA">
        <w:rPr>
          <w:lang w:val="de-DE"/>
        </w:rPr>
        <w:t>Gen</w:t>
      </w:r>
      <w:r w:rsidRPr="008C41DA">
        <w:rPr>
          <w:lang w:val="de-DE"/>
        </w:rPr>
        <w:t>e</w:t>
      </w:r>
      <w:r w:rsidRPr="008C41DA">
        <w:rPr>
          <w:lang w:val="de-DE"/>
        </w:rPr>
        <w:t>ralklausel abgestützt werden (BGE 122 I 360 E. 5</w:t>
      </w:r>
      <w:r w:rsidR="006A0467">
        <w:rPr>
          <w:lang w:val="de-DE"/>
        </w:rPr>
        <w:t xml:space="preserve"> b</w:t>
      </w:r>
      <w:r w:rsidRPr="008C41DA">
        <w:rPr>
          <w:lang w:val="de-DE"/>
        </w:rPr>
        <w:t xml:space="preserve"> </w:t>
      </w:r>
      <w:proofErr w:type="spellStart"/>
      <w:r w:rsidRPr="008C41DA">
        <w:rPr>
          <w:lang w:val="de-DE"/>
        </w:rPr>
        <w:t>bb</w:t>
      </w:r>
      <w:proofErr w:type="spellEnd"/>
      <w:r w:rsidRPr="008C41DA">
        <w:rPr>
          <w:lang w:val="de-DE"/>
        </w:rPr>
        <w:t xml:space="preserve">). </w:t>
      </w:r>
      <w:r w:rsidRPr="006405BD">
        <w:rPr>
          <w:lang w:val="de-DE"/>
        </w:rPr>
        <w:t>Gestützt auf die Rech</w:t>
      </w:r>
      <w:r w:rsidRPr="006405BD">
        <w:rPr>
          <w:lang w:val="de-DE"/>
        </w:rPr>
        <w:t>t</w:t>
      </w:r>
      <w:r w:rsidRPr="006405BD">
        <w:rPr>
          <w:lang w:val="de-DE"/>
        </w:rPr>
        <w:t>sprechung des Bundesgerichtes dürfen besonders schützenswerte Personendaten grundsätzlich nur bearbeitet werden, wenn sich die Zulässigkeit aus einer formell g</w:t>
      </w:r>
      <w:r w:rsidRPr="006405BD">
        <w:rPr>
          <w:lang w:val="de-DE"/>
        </w:rPr>
        <w:t>e</w:t>
      </w:r>
      <w:r w:rsidRPr="006405BD">
        <w:rPr>
          <w:lang w:val="de-DE"/>
        </w:rPr>
        <w:t>setzlichen Grundlage klar ergibt</w:t>
      </w:r>
      <w:r w:rsidRPr="008C41DA">
        <w:rPr>
          <w:lang w:val="de-DE"/>
        </w:rPr>
        <w:t xml:space="preserve"> (vgl. BGE 122 I 360 E. 5 d). Eine Ausnahme von di</w:t>
      </w:r>
      <w:r w:rsidRPr="008C41DA">
        <w:rPr>
          <w:lang w:val="de-DE"/>
        </w:rPr>
        <w:t>e</w:t>
      </w:r>
      <w:r w:rsidRPr="008C41DA">
        <w:rPr>
          <w:lang w:val="de-DE"/>
        </w:rPr>
        <w:t>sem formellen Erfordernis gilt dann, wenn die Datenbearbeitung für eine in einem fo</w:t>
      </w:r>
      <w:r w:rsidRPr="008C41DA">
        <w:rPr>
          <w:lang w:val="de-DE"/>
        </w:rPr>
        <w:t>r</w:t>
      </w:r>
      <w:r w:rsidRPr="008C41DA">
        <w:rPr>
          <w:lang w:val="de-DE"/>
        </w:rPr>
        <w:t>mellen Gesetz klar umschriebene Aufgabe unentbehrlich ist, die Rechte der betroff</w:t>
      </w:r>
      <w:r w:rsidRPr="008C41DA">
        <w:rPr>
          <w:lang w:val="de-DE"/>
        </w:rPr>
        <w:t>e</w:t>
      </w:r>
      <w:r w:rsidRPr="008C41DA">
        <w:rPr>
          <w:lang w:val="de-DE"/>
        </w:rPr>
        <w:t xml:space="preserve">nen Personen nicht gefährdet sind oder die betroffene Person im Einzelfall eingewilligt oder ihre Daten allgemein zugänglich gemacht hat (a.a.O. E. 5b </w:t>
      </w:r>
      <w:proofErr w:type="spellStart"/>
      <w:r w:rsidRPr="008C41DA">
        <w:rPr>
          <w:lang w:val="de-DE"/>
        </w:rPr>
        <w:t>dd</w:t>
      </w:r>
      <w:proofErr w:type="spellEnd"/>
      <w:r w:rsidRPr="008C41DA">
        <w:rPr>
          <w:lang w:val="de-DE"/>
        </w:rPr>
        <w:t>).</w:t>
      </w:r>
      <w:r>
        <w:rPr>
          <w:lang w:val="de-DE"/>
        </w:rPr>
        <w:t xml:space="preserve"> </w:t>
      </w:r>
      <w:r w:rsidR="002D3659">
        <w:rPr>
          <w:noProof/>
        </w:rPr>
        <w:pict>
          <v:shape id="_x0000_s1030" type="#_x0000_t202" style="position:absolute;margin-left:123.3pt;margin-top:785.2pt;width:426.65pt;height:36.25pt;z-index:251659776;mso-wrap-style:tight;mso-position-horizontal-relative:page;mso-position-vertical-relative:page" filled="f" stroked="f">
            <v:textbox style="mso-next-textbox:#_x0000_s1030">
              <w:txbxContent>
                <w:p w:rsidR="008E271C" w:rsidRPr="008B4AA1" w:rsidRDefault="008E271C" w:rsidP="009854E9"/>
              </w:txbxContent>
            </v:textbox>
            <w10:wrap anchorx="page" anchory="page"/>
          </v:shape>
        </w:pict>
      </w:r>
      <w:r>
        <w:rPr>
          <w:lang w:val="de-DE"/>
        </w:rPr>
        <w:t>Vergleichbaren Schutz wie Art. 113 Abs. 2 BV bietet sodann auch</w:t>
      </w:r>
      <w:r w:rsidRPr="008C41DA">
        <w:rPr>
          <w:lang w:val="de-DE"/>
        </w:rPr>
        <w:t xml:space="preserve"> </w:t>
      </w:r>
      <w:r w:rsidRPr="008C41DA">
        <w:rPr>
          <w:bCs/>
          <w:lang w:val="de-DE"/>
        </w:rPr>
        <w:t>Art. 8 Ziff. 2 EMRK</w:t>
      </w:r>
      <w:r w:rsidRPr="008C41DA">
        <w:rPr>
          <w:lang w:val="de-DE"/>
        </w:rPr>
        <w:t xml:space="preserve"> (</w:t>
      </w:r>
      <w:r>
        <w:rPr>
          <w:lang w:val="de-DE"/>
        </w:rPr>
        <w:t xml:space="preserve">BGE 124 I 176 E. 5). </w:t>
      </w:r>
    </w:p>
    <w:p w:rsidR="009854E9" w:rsidRDefault="009854E9" w:rsidP="00203665">
      <w:pPr>
        <w:pStyle w:val="00Vorgabetext"/>
        <w:keepNext/>
        <w:spacing w:before="240"/>
      </w:pPr>
      <w:r>
        <w:t>B.</w:t>
      </w:r>
      <w:r>
        <w:tab/>
        <w:t>Umfang der Anforderungen an die formellgesetzliche Grundlage</w:t>
      </w:r>
      <w:r w:rsidR="008E5645">
        <w:t xml:space="preserve"> </w:t>
      </w:r>
    </w:p>
    <w:p w:rsidR="009854E9" w:rsidRPr="008C41DA" w:rsidRDefault="002D3659" w:rsidP="009854E9">
      <w:pPr>
        <w:pStyle w:val="00Vorgabetext"/>
        <w:rPr>
          <w:lang w:val="de-DE"/>
        </w:rPr>
      </w:pPr>
      <w:r>
        <w:rPr>
          <w:noProof/>
        </w:rPr>
        <w:pict>
          <v:shape id="_x0000_s1041" type="#_x0000_t202" style="position:absolute;margin-left:99.25pt;margin-top:785.2pt;width:432.35pt;height:36.25pt;z-index:251663872;mso-position-horizontal-relative:page;mso-position-vertical-relative:page" filled="f" stroked="f">
            <v:textbox>
              <w:txbxContent>
                <w:p w:rsidR="008E271C" w:rsidRPr="001D36BA" w:rsidRDefault="002D3659" w:rsidP="001D36BA">
                  <w:pPr>
                    <w:pStyle w:val="01Kleinschrift"/>
                    <w:jc w:val="right"/>
                  </w:pPr>
                  <w:fldSimple w:instr=" FILENAME  \p  \* MERGEFORMAT ">
                    <w:r w:rsidR="008E271C">
                      <w:rPr>
                        <w:noProof/>
                      </w:rPr>
                      <w:t>L:\SFR\02. MA\EV\Gesetzesvorlagen\Anpassungen IDG\10 136 Vernehmlassungsvorlage_allgemeine Erläuterungen.docx</w:t>
                    </w:r>
                  </w:fldSimple>
                </w:p>
              </w:txbxContent>
            </v:textbox>
            <w10:wrap anchorx="page" anchory="page"/>
          </v:shape>
        </w:pict>
      </w:r>
      <w:r>
        <w:rPr>
          <w:noProof/>
        </w:rPr>
        <w:pict>
          <v:shape id="_x0000_s1040" type="#_x0000_t202" style="position:absolute;margin-left:99.25pt;margin-top:785.2pt;width:428.75pt;height:36.25pt;z-index:251662848;mso-position-horizontal-relative:page;mso-position-vertical-relative:page" filled="f" stroked="f">
            <v:textbox>
              <w:txbxContent>
                <w:p w:rsidR="008E271C" w:rsidRPr="001D36BA" w:rsidRDefault="008E271C" w:rsidP="001D36BA"/>
              </w:txbxContent>
            </v:textbox>
            <w10:wrap anchorx="page" anchory="page"/>
          </v:shape>
        </w:pict>
      </w:r>
      <w:r>
        <w:rPr>
          <w:noProof/>
        </w:rPr>
        <w:pict>
          <v:shape id="_x0000_s1032" type="#_x0000_t202" style="position:absolute;margin-left:99.25pt;margin-top:785.2pt;width:425.15pt;height:28.35pt;z-index:251660800;mso-wrap-style:tight;mso-position-horizontal-relative:page;mso-position-vertical-relative:page" filled="f" stroked="f">
            <v:textbox>
              <w:txbxContent>
                <w:p w:rsidR="008E271C" w:rsidRPr="00E46346" w:rsidRDefault="008E271C" w:rsidP="00E46346">
                  <w:pPr>
                    <w:pStyle w:val="01Kleinschrift"/>
                    <w:jc w:val="right"/>
                  </w:pPr>
                </w:p>
              </w:txbxContent>
            </v:textbox>
            <w10:wrap anchorx="page" anchory="page"/>
          </v:shape>
        </w:pict>
      </w:r>
      <w:r w:rsidR="009854E9">
        <w:t>Die</w:t>
      </w:r>
      <w:r w:rsidR="009854E9" w:rsidRPr="008C41DA">
        <w:t xml:space="preserve"> Anforderung </w:t>
      </w:r>
      <w:r w:rsidR="00203665">
        <w:t>an die</w:t>
      </w:r>
      <w:r w:rsidR="00203665" w:rsidRPr="008C41DA">
        <w:t xml:space="preserve"> </w:t>
      </w:r>
      <w:r w:rsidR="009854E9" w:rsidRPr="008C41DA">
        <w:t>gesetzliche Grundlage in § 8 Abs. 2 IDG bedeutet</w:t>
      </w:r>
      <w:r w:rsidR="009854E9">
        <w:t xml:space="preserve"> nicht</w:t>
      </w:r>
      <w:r w:rsidR="009854E9" w:rsidRPr="008C41DA">
        <w:t>, dass sämtliche Normen</w:t>
      </w:r>
      <w:r w:rsidR="004D4372">
        <w:t>,</w:t>
      </w:r>
      <w:r w:rsidR="009854E9" w:rsidRPr="008C41DA">
        <w:t xml:space="preserve"> mit denen die Bearbeitung von besonderen Personendaten ger</w:t>
      </w:r>
      <w:r w:rsidR="009854E9" w:rsidRPr="008C41DA">
        <w:t>e</w:t>
      </w:r>
      <w:r w:rsidR="009854E9" w:rsidRPr="008C41DA">
        <w:t xml:space="preserve">gelt wird, in der Form eines formellen Gesetzes zu erlassen sind. Dies geht bereits aus dem Text der Bestimmung hervor, </w:t>
      </w:r>
      <w:r w:rsidR="005C3C7D">
        <w:t>der auf</w:t>
      </w:r>
      <w:r w:rsidR="009854E9" w:rsidRPr="008C41DA">
        <w:t xml:space="preserve"> eine „hinreichend bestimmte Regelung in </w:t>
      </w:r>
      <w:r w:rsidR="009854E9" w:rsidRPr="008C41DA">
        <w:lastRenderedPageBreak/>
        <w:t xml:space="preserve">einem formellen Gesetz“ </w:t>
      </w:r>
      <w:r w:rsidR="005C3C7D">
        <w:t>verweist</w:t>
      </w:r>
      <w:r w:rsidR="009854E9">
        <w:t>. Dadurch werden</w:t>
      </w:r>
      <w:r w:rsidR="009854E9" w:rsidRPr="008C41DA">
        <w:t xml:space="preserve"> die Anforderung</w:t>
      </w:r>
      <w:r w:rsidR="009854E9">
        <w:t xml:space="preserve">en </w:t>
      </w:r>
      <w:r w:rsidR="009854E9" w:rsidRPr="008C41DA">
        <w:t>relativiert</w:t>
      </w:r>
      <w:r w:rsidR="00F85658">
        <w:t xml:space="preserve">. </w:t>
      </w:r>
      <w:r w:rsidR="009854E9" w:rsidRPr="008C41DA">
        <w:t xml:space="preserve">§ 8 Abs. 2 IDG </w:t>
      </w:r>
      <w:r w:rsidR="009854E9">
        <w:t xml:space="preserve">kommt folglich </w:t>
      </w:r>
      <w:r w:rsidR="009854E9" w:rsidRPr="008C41DA">
        <w:t>keine absolute Geltung</w:t>
      </w:r>
      <w:r w:rsidR="009854E9">
        <w:t xml:space="preserve"> zu</w:t>
      </w:r>
      <w:r w:rsidR="009854E9" w:rsidRPr="008C41DA">
        <w:t xml:space="preserve">. </w:t>
      </w:r>
    </w:p>
    <w:p w:rsidR="009854E9" w:rsidRPr="008C41DA" w:rsidRDefault="002D3659" w:rsidP="009854E9">
      <w:pPr>
        <w:pStyle w:val="00Vorgabetext"/>
        <w:rPr>
          <w:lang w:val="de-DE"/>
        </w:rPr>
      </w:pPr>
      <w:r>
        <w:rPr>
          <w:noProof/>
        </w:rPr>
        <w:pict>
          <v:shape id="_x0000_s1037" type="#_x0000_t202" style="position:absolute;margin-left:99.25pt;margin-top:785.2pt;width:425.15pt;height:36.25pt;z-index:251661824;mso-wrap-style:tight;mso-position-horizontal-relative:page;mso-position-vertical-relative:page" filled="f" stroked="f">
            <v:textbox>
              <w:txbxContent>
                <w:p w:rsidR="008E271C" w:rsidRPr="001D36BA" w:rsidRDefault="008E271C" w:rsidP="001D36BA"/>
              </w:txbxContent>
            </v:textbox>
            <w10:wrap anchorx="page" anchory="page"/>
          </v:shape>
        </w:pict>
      </w:r>
      <w:r w:rsidR="009854E9" w:rsidRPr="002762D3">
        <w:rPr>
          <w:lang w:val="de-DE"/>
        </w:rPr>
        <w:t xml:space="preserve">Von Bedeutung ist in diesem Zusammenhang </w:t>
      </w:r>
      <w:r w:rsidR="009854E9" w:rsidRPr="002762D3">
        <w:t>Art. 38 KV</w:t>
      </w:r>
      <w:r w:rsidR="009854E9">
        <w:t>,</w:t>
      </w:r>
      <w:r w:rsidR="009854E9" w:rsidRPr="002762D3">
        <w:t xml:space="preserve"> wonach Einschränkungen verfassungsmässiger Rechte in der Form eines formellen Gesetzes zu erfolgen</w:t>
      </w:r>
      <w:r w:rsidR="009854E9">
        <w:t xml:space="preserve"> haben, w</w:t>
      </w:r>
      <w:r w:rsidR="009854E9" w:rsidRPr="002762D3">
        <w:t>eniger wichtige Rechtssätze, namentlich solche über den Voll</w:t>
      </w:r>
      <w:r w:rsidR="009854E9" w:rsidRPr="002762D3">
        <w:softHyphen/>
        <w:t xml:space="preserve">zug der Gesetze, </w:t>
      </w:r>
      <w:r w:rsidR="009854E9">
        <w:t xml:space="preserve">aber </w:t>
      </w:r>
      <w:r w:rsidR="009854E9" w:rsidRPr="002762D3">
        <w:t>in der Form der Verordnung erlassen werden</w:t>
      </w:r>
      <w:r w:rsidR="009854E9">
        <w:t xml:space="preserve"> können</w:t>
      </w:r>
      <w:r w:rsidR="009854E9" w:rsidRPr="002762D3">
        <w:t xml:space="preserve"> (Art. 38 Abs. 2 KV). </w:t>
      </w:r>
      <w:r w:rsidR="009854E9" w:rsidRPr="008C41DA">
        <w:t>Die Reg</w:t>
      </w:r>
      <w:r w:rsidR="009854E9" w:rsidRPr="008C41DA">
        <w:t>e</w:t>
      </w:r>
      <w:r w:rsidR="009854E9" w:rsidRPr="008C41DA">
        <w:t xml:space="preserve">lung auf der formellen Gesetzesstufe </w:t>
      </w:r>
      <w:r w:rsidR="009854E9">
        <w:t>darf sich deshalb</w:t>
      </w:r>
      <w:r w:rsidR="009854E9" w:rsidRPr="008C41DA">
        <w:t xml:space="preserve"> auf die Grundsätze beschrä</w:t>
      </w:r>
      <w:r w:rsidR="009854E9" w:rsidRPr="008C41DA">
        <w:t>n</w:t>
      </w:r>
      <w:r w:rsidR="009854E9" w:rsidRPr="008C41DA">
        <w:t xml:space="preserve">ken, </w:t>
      </w:r>
      <w:r w:rsidR="005C3C7D">
        <w:t>und</w:t>
      </w:r>
      <w:r w:rsidR="009854E9" w:rsidRPr="008C41DA">
        <w:t xml:space="preserve"> die Einzelheiten </w:t>
      </w:r>
      <w:r w:rsidR="005C3C7D" w:rsidRPr="008C41DA">
        <w:t xml:space="preserve">können </w:t>
      </w:r>
      <w:r w:rsidR="009854E9" w:rsidRPr="008C41DA">
        <w:t xml:space="preserve">auf Verordnungsstufe geregelt werden. </w:t>
      </w:r>
      <w:r w:rsidR="009854E9" w:rsidRPr="008C41DA">
        <w:rPr>
          <w:lang w:val="de-DE"/>
        </w:rPr>
        <w:t>Ob Rechtsä</w:t>
      </w:r>
      <w:r w:rsidR="009854E9" w:rsidRPr="008C41DA">
        <w:rPr>
          <w:lang w:val="de-DE"/>
        </w:rPr>
        <w:t>t</w:t>
      </w:r>
      <w:r w:rsidR="009854E9" w:rsidRPr="008C41DA">
        <w:rPr>
          <w:lang w:val="de-DE"/>
        </w:rPr>
        <w:t xml:space="preserve">ze wichtig sind, ist anhand von Kriterien festzulegen. Neben der Schwere des Eingriffs in die Rechtsstellung des Normadressaten ist insbesondere die Grundsätzlichkeit </w:t>
      </w:r>
      <w:r w:rsidR="009854E9">
        <w:rPr>
          <w:lang w:val="de-DE"/>
        </w:rPr>
        <w:t xml:space="preserve">der Regelung </w:t>
      </w:r>
      <w:r w:rsidR="009854E9" w:rsidRPr="008C41DA">
        <w:rPr>
          <w:lang w:val="de-DE"/>
        </w:rPr>
        <w:t>von Bedeutung: das Gesetz soll Grundsatzentscheidungen über die grossen Linien der Politik festlegen und die Details dem Verordnungsgeber überlassen (vgl. Schuhmacher, Kommentar zur Zürcher Kantonsverfassung, Art. 38 N 12 und 15).</w:t>
      </w:r>
      <w:r w:rsidR="009854E9">
        <w:rPr>
          <w:lang w:val="de-DE"/>
        </w:rPr>
        <w:t xml:space="preserve"> </w:t>
      </w:r>
      <w:r w:rsidR="009854E9" w:rsidRPr="008C41DA">
        <w:rPr>
          <w:lang w:val="de-DE"/>
        </w:rPr>
        <w:t>Das Bundesgericht hat hinsichtlich der Delegation von Rechtssetzungszuständigkeiten die Anforderungen an die erforderliche gesetzliche Grundlage in einer reichen Praxis u</w:t>
      </w:r>
      <w:r w:rsidR="009854E9" w:rsidRPr="008C41DA">
        <w:rPr>
          <w:lang w:val="de-DE"/>
        </w:rPr>
        <w:t>m</w:t>
      </w:r>
      <w:r w:rsidR="009854E9" w:rsidRPr="008C41DA">
        <w:rPr>
          <w:lang w:val="de-DE"/>
        </w:rPr>
        <w:t>schrieben (vgl. etwa BGE 128 I 327 E. 4)</w:t>
      </w:r>
      <w:r w:rsidR="009854E9">
        <w:rPr>
          <w:lang w:val="de-DE"/>
        </w:rPr>
        <w:t xml:space="preserve">, </w:t>
      </w:r>
      <w:r w:rsidR="00BD1659">
        <w:rPr>
          <w:lang w:val="de-DE"/>
        </w:rPr>
        <w:t>die</w:t>
      </w:r>
      <w:r w:rsidR="009854E9">
        <w:rPr>
          <w:lang w:val="de-DE"/>
        </w:rPr>
        <w:t xml:space="preserve"> auch nach</w:t>
      </w:r>
      <w:r w:rsidR="009854E9" w:rsidRPr="00BC1475">
        <w:rPr>
          <w:lang w:val="de-DE"/>
        </w:rPr>
        <w:t xml:space="preserve"> </w:t>
      </w:r>
      <w:r w:rsidR="009854E9" w:rsidRPr="008C41DA">
        <w:rPr>
          <w:lang w:val="de-DE"/>
        </w:rPr>
        <w:t>kantonalem Verfassungsrecht</w:t>
      </w:r>
      <w:r w:rsidR="009854E9">
        <w:rPr>
          <w:lang w:val="de-DE"/>
        </w:rPr>
        <w:t xml:space="preserve"> gelten </w:t>
      </w:r>
      <w:r w:rsidR="009854E9" w:rsidRPr="008C41DA">
        <w:rPr>
          <w:lang w:val="de-DE"/>
        </w:rPr>
        <w:t xml:space="preserve">(Schuhmacher, </w:t>
      </w:r>
      <w:proofErr w:type="spellStart"/>
      <w:r w:rsidR="009854E9" w:rsidRPr="008C41DA">
        <w:rPr>
          <w:lang w:val="de-DE"/>
        </w:rPr>
        <w:t>a.a.O</w:t>
      </w:r>
      <w:proofErr w:type="spellEnd"/>
      <w:r w:rsidR="009854E9" w:rsidRPr="008C41DA">
        <w:rPr>
          <w:lang w:val="de-DE"/>
        </w:rPr>
        <w:t xml:space="preserve">, N 40). Eine Delegation ist </w:t>
      </w:r>
      <w:r w:rsidR="009854E9">
        <w:rPr>
          <w:lang w:val="de-DE"/>
        </w:rPr>
        <w:t>danach</w:t>
      </w:r>
      <w:r w:rsidR="009854E9" w:rsidRPr="008C41DA">
        <w:rPr>
          <w:lang w:val="de-DE"/>
        </w:rPr>
        <w:t xml:space="preserve"> zulässig</w:t>
      </w:r>
      <w:r w:rsidR="009854E9">
        <w:rPr>
          <w:lang w:val="de-DE"/>
        </w:rPr>
        <w:t>, wenn</w:t>
      </w:r>
      <w:r w:rsidR="009854E9" w:rsidRPr="008C41DA">
        <w:rPr>
          <w:lang w:val="de-DE"/>
        </w:rPr>
        <w:t>:</w:t>
      </w:r>
    </w:p>
    <w:p w:rsidR="009854E9" w:rsidRPr="008C41DA" w:rsidRDefault="009854E9" w:rsidP="009854E9">
      <w:pPr>
        <w:pStyle w:val="00Vorgabetext"/>
        <w:numPr>
          <w:ilvl w:val="0"/>
          <w:numId w:val="32"/>
        </w:numPr>
        <w:tabs>
          <w:tab w:val="left" w:pos="426"/>
        </w:tabs>
        <w:ind w:left="426" w:hanging="426"/>
        <w:rPr>
          <w:lang w:val="de-DE"/>
        </w:rPr>
      </w:pPr>
      <w:r>
        <w:rPr>
          <w:lang w:val="de-DE"/>
        </w:rPr>
        <w:t xml:space="preserve">das kantonale Recht die </w:t>
      </w:r>
      <w:r w:rsidRPr="008C41DA">
        <w:rPr>
          <w:lang w:val="de-DE"/>
        </w:rPr>
        <w:t xml:space="preserve">Delegation </w:t>
      </w:r>
      <w:r>
        <w:rPr>
          <w:lang w:val="de-DE"/>
        </w:rPr>
        <w:t>nicht ausschliesst</w:t>
      </w:r>
      <w:r w:rsidRPr="008C41DA">
        <w:rPr>
          <w:lang w:val="de-DE"/>
        </w:rPr>
        <w:t>,</w:t>
      </w:r>
    </w:p>
    <w:p w:rsidR="009854E9" w:rsidRDefault="009854E9" w:rsidP="009854E9">
      <w:pPr>
        <w:pStyle w:val="00Vorgabetext"/>
        <w:numPr>
          <w:ilvl w:val="0"/>
          <w:numId w:val="32"/>
        </w:numPr>
        <w:ind w:left="425" w:hanging="425"/>
        <w:rPr>
          <w:lang w:val="de-DE"/>
        </w:rPr>
      </w:pPr>
      <w:r w:rsidRPr="008C41DA">
        <w:rPr>
          <w:lang w:val="de-DE"/>
        </w:rPr>
        <w:t xml:space="preserve">die Grundzüge im </w:t>
      </w:r>
      <w:r>
        <w:rPr>
          <w:lang w:val="de-DE"/>
        </w:rPr>
        <w:t xml:space="preserve">formellen </w:t>
      </w:r>
      <w:r w:rsidRPr="008C41DA">
        <w:rPr>
          <w:lang w:val="de-DE"/>
        </w:rPr>
        <w:t>Gesetz umschrieben</w:t>
      </w:r>
      <w:r>
        <w:rPr>
          <w:lang w:val="de-DE"/>
        </w:rPr>
        <w:t xml:space="preserve"> sind</w:t>
      </w:r>
      <w:r w:rsidRPr="008C41DA">
        <w:rPr>
          <w:lang w:val="de-DE"/>
        </w:rPr>
        <w:t>, soweit die Rechtsstellung der Rechtsunterworfenen schwerwiegend berührt ist</w:t>
      </w:r>
      <w:r>
        <w:rPr>
          <w:lang w:val="de-DE"/>
        </w:rPr>
        <w:t xml:space="preserve"> </w:t>
      </w:r>
      <w:r w:rsidRPr="008C41DA">
        <w:t xml:space="preserve">(BGE 128 I 113 E. 3c S. 122; BGE 118 </w:t>
      </w:r>
      <w:proofErr w:type="spellStart"/>
      <w:r w:rsidRPr="008C41DA">
        <w:t>Ia</w:t>
      </w:r>
      <w:proofErr w:type="spellEnd"/>
      <w:r w:rsidRPr="008C41DA">
        <w:t xml:space="preserve"> 245 E. 3b S. 247 f., 305 E. 2b S. 310 f., mit Hinweisen)</w:t>
      </w:r>
      <w:r w:rsidRPr="008C41DA">
        <w:rPr>
          <w:lang w:val="de-DE"/>
        </w:rPr>
        <w:t>,</w:t>
      </w:r>
    </w:p>
    <w:p w:rsidR="009854E9" w:rsidRDefault="009854E9" w:rsidP="009854E9">
      <w:pPr>
        <w:pStyle w:val="00Vorgabetext"/>
        <w:numPr>
          <w:ilvl w:val="0"/>
          <w:numId w:val="32"/>
        </w:numPr>
        <w:ind w:left="425" w:hanging="425"/>
        <w:rPr>
          <w:lang w:val="de-DE"/>
        </w:rPr>
      </w:pPr>
      <w:r w:rsidRPr="00BC1475">
        <w:rPr>
          <w:lang w:val="de-DE"/>
        </w:rPr>
        <w:t>die Delegation in einem Gesetz im formellen Sinn enthalten</w:t>
      </w:r>
      <w:r>
        <w:rPr>
          <w:lang w:val="de-DE"/>
        </w:rPr>
        <w:t xml:space="preserve"> ist</w:t>
      </w:r>
      <w:r w:rsidRPr="00BC1475">
        <w:rPr>
          <w:lang w:val="de-DE"/>
        </w:rPr>
        <w:t>,</w:t>
      </w:r>
    </w:p>
    <w:p w:rsidR="009854E9" w:rsidRPr="00BC1475" w:rsidRDefault="009854E9" w:rsidP="009854E9">
      <w:pPr>
        <w:pStyle w:val="00Vorgabetext"/>
        <w:numPr>
          <w:ilvl w:val="0"/>
          <w:numId w:val="32"/>
        </w:numPr>
        <w:ind w:left="425" w:hanging="425"/>
        <w:rPr>
          <w:lang w:val="de-DE"/>
        </w:rPr>
      </w:pPr>
      <w:r w:rsidRPr="00BC1475">
        <w:rPr>
          <w:lang w:val="de-DE"/>
        </w:rPr>
        <w:t>die Delegation sich auf einen bestimmten, genau umschriebenen Gegenstand</w:t>
      </w:r>
      <w:r>
        <w:rPr>
          <w:lang w:val="de-DE"/>
        </w:rPr>
        <w:t xml:space="preserve"> b</w:t>
      </w:r>
      <w:r>
        <w:rPr>
          <w:lang w:val="de-DE"/>
        </w:rPr>
        <w:t>e</w:t>
      </w:r>
      <w:r>
        <w:rPr>
          <w:lang w:val="de-DE"/>
        </w:rPr>
        <w:t>schränkt</w:t>
      </w:r>
      <w:r w:rsidRPr="00BC1475">
        <w:rPr>
          <w:lang w:val="de-DE"/>
        </w:rPr>
        <w:t xml:space="preserve">. </w:t>
      </w:r>
    </w:p>
    <w:p w:rsidR="009854E9" w:rsidRPr="001A09D9" w:rsidRDefault="00F77A8C" w:rsidP="009854E9">
      <w:pPr>
        <w:pStyle w:val="00Vorgabetext"/>
        <w:rPr>
          <w:lang w:val="de-DE"/>
        </w:rPr>
      </w:pPr>
      <w:r>
        <w:rPr>
          <w:lang w:val="de-DE"/>
        </w:rPr>
        <w:t>Da</w:t>
      </w:r>
      <w:r w:rsidR="009854E9">
        <w:rPr>
          <w:lang w:val="de-DE"/>
        </w:rPr>
        <w:t xml:space="preserve"> das</w:t>
      </w:r>
      <w:r w:rsidR="009854E9">
        <w:t xml:space="preserve"> IDG </w:t>
      </w:r>
      <w:r>
        <w:t>keine weiter</w:t>
      </w:r>
      <w:r w:rsidR="00F85658">
        <w:t>gehenden</w:t>
      </w:r>
      <w:r>
        <w:t xml:space="preserve"> Anforderungen stellt</w:t>
      </w:r>
      <w:r w:rsidR="00F85658">
        <w:t xml:space="preserve"> (</w:t>
      </w:r>
      <w:r>
        <w:t xml:space="preserve">der  </w:t>
      </w:r>
      <w:r w:rsidR="009854E9">
        <w:t>Weisung</w:t>
      </w:r>
      <w:r>
        <w:t xml:space="preserve"> zum Gesetz</w:t>
      </w:r>
      <w:r w:rsidR="00F85658">
        <w:t xml:space="preserve"> nichts entsprechendes zu entnehmen ist, vgl. </w:t>
      </w:r>
      <w:proofErr w:type="spellStart"/>
      <w:r w:rsidR="009854E9">
        <w:t>ABl</w:t>
      </w:r>
      <w:proofErr w:type="spellEnd"/>
      <w:r w:rsidR="009854E9">
        <w:t xml:space="preserve"> 2005, S. 1306</w:t>
      </w:r>
      <w:r w:rsidR="00F85658">
        <w:t xml:space="preserve"> </w:t>
      </w:r>
      <w:r w:rsidR="009854E9">
        <w:t>f.) und auch das Bu</w:t>
      </w:r>
      <w:r w:rsidR="009854E9">
        <w:t>n</w:t>
      </w:r>
      <w:r w:rsidR="009854E9">
        <w:t>desrecht keine</w:t>
      </w:r>
      <w:r>
        <w:t xml:space="preserve"> Vorgaben macht, die</w:t>
      </w:r>
      <w:r w:rsidR="009854E9">
        <w:t xml:space="preserve"> </w:t>
      </w:r>
      <w:r>
        <w:t>eine</w:t>
      </w:r>
      <w:r w:rsidR="009854E9">
        <w:t xml:space="preserve"> Delegation</w:t>
      </w:r>
      <w:r>
        <w:t xml:space="preserve"> </w:t>
      </w:r>
      <w:r w:rsidR="00F85658">
        <w:t>im Bereich des Datenschutzes einschränken würden</w:t>
      </w:r>
      <w:r w:rsidR="009854E9">
        <w:t>, darf sich die Regelung auf der Stufe des formellen Gesetzes im Bereich der Datenbearbeitung auf die Grundzüge beschränken. Dies ist</w:t>
      </w:r>
      <w:r w:rsidR="00BD1659" w:rsidRPr="00BD1659">
        <w:t xml:space="preserve"> </w:t>
      </w:r>
      <w:r w:rsidR="00203665">
        <w:t xml:space="preserve">bereits wegen der Natur der Regelungsmaterie </w:t>
      </w:r>
      <w:r w:rsidR="00BD1659">
        <w:t>unabdingbar</w:t>
      </w:r>
      <w:r w:rsidR="009854E9">
        <w:t>, da es sich bei der Datenbearbeitung</w:t>
      </w:r>
      <w:r w:rsidR="009854E9" w:rsidRPr="008C41DA">
        <w:t xml:space="preserve"> </w:t>
      </w:r>
      <w:r w:rsidR="009854E9">
        <w:t>um einen sehr technischen Bereich handelt, der häufigen Änderungen und Anpassungen unterworfen ist.</w:t>
      </w:r>
      <w:r w:rsidR="000B1F23" w:rsidRPr="000B1F23">
        <w:t xml:space="preserve"> </w:t>
      </w:r>
      <w:r w:rsidR="000B1F23">
        <w:t>Insbesondere die Datenkategorien und Datensicherheitsvorschriften können dabei auch in die Verordnungen der einzelnen Direktionen aufgenommen we</w:t>
      </w:r>
      <w:r w:rsidR="000B1F23">
        <w:t>r</w:t>
      </w:r>
      <w:r w:rsidR="000B1F23">
        <w:t>den.</w:t>
      </w:r>
      <w:r w:rsidR="009854E9">
        <w:t xml:space="preserve"> </w:t>
      </w:r>
      <w:r w:rsidR="00BD1659">
        <w:t>W</w:t>
      </w:r>
      <w:r w:rsidR="00BD1659" w:rsidRPr="002762D3">
        <w:t xml:space="preserve">elche Behörden </w:t>
      </w:r>
      <w:r w:rsidR="00BD1659">
        <w:t xml:space="preserve">die </w:t>
      </w:r>
      <w:r w:rsidR="00BD1659" w:rsidRPr="002762D3">
        <w:t>Verordnun</w:t>
      </w:r>
      <w:r w:rsidR="00BD1659" w:rsidRPr="002762D3">
        <w:softHyphen/>
        <w:t>gen erlassen können</w:t>
      </w:r>
      <w:r w:rsidR="00BD1659">
        <w:t>,</w:t>
      </w:r>
      <w:r w:rsidR="00BD1659" w:rsidRPr="002762D3">
        <w:t xml:space="preserve"> </w:t>
      </w:r>
      <w:r w:rsidR="009854E9" w:rsidRPr="002762D3">
        <w:t>bestimmen Gesetz und Verfassung (</w:t>
      </w:r>
      <w:r w:rsidR="009854E9">
        <w:t xml:space="preserve">Art. 38 </w:t>
      </w:r>
      <w:r w:rsidR="009854E9" w:rsidRPr="002762D3">
        <w:t>Abs. 3</w:t>
      </w:r>
      <w:r w:rsidR="009854E9">
        <w:t xml:space="preserve"> KV</w:t>
      </w:r>
      <w:r w:rsidR="009854E9" w:rsidRPr="002762D3">
        <w:t>).</w:t>
      </w:r>
      <w:r w:rsidR="004652F1">
        <w:t xml:space="preserve"> </w:t>
      </w:r>
    </w:p>
    <w:p w:rsidR="00F85658" w:rsidRDefault="00E77A57" w:rsidP="00F85658">
      <w:pPr>
        <w:pStyle w:val="00Vorgabetext"/>
      </w:pPr>
      <w:r>
        <w:t>E</w:t>
      </w:r>
      <w:r w:rsidR="009854E9" w:rsidRPr="008C41DA">
        <w:t>rgänzen</w:t>
      </w:r>
      <w:r>
        <w:t>d ist festzuhalten</w:t>
      </w:r>
      <w:r w:rsidR="009854E9" w:rsidRPr="008C41DA">
        <w:t>, dass auch Normen in Gesetzen, die vor dem Erlass des IDG erlassen wurden, als gesetzliche Grundlage genügen können. Dies folgt aus dem</w:t>
      </w:r>
      <w:r w:rsidR="009854E9" w:rsidRPr="008C41DA">
        <w:rPr>
          <w:lang w:val="de-DE"/>
        </w:rPr>
        <w:t xml:space="preserve"> Grundsatz der Gleichrangigkeit von Normen der nämlichen Erlassstufe (BGE 124 I 176 E. 5c).</w:t>
      </w:r>
      <w:r w:rsidR="009854E9" w:rsidRPr="008C41DA">
        <w:t xml:space="preserve"> </w:t>
      </w:r>
    </w:p>
    <w:p w:rsidR="00F85658" w:rsidRDefault="009854E9" w:rsidP="00F85658">
      <w:pPr>
        <w:pStyle w:val="00Vorgabetext"/>
        <w:spacing w:before="240"/>
      </w:pPr>
      <w:r>
        <w:t>C.</w:t>
      </w:r>
      <w:r>
        <w:tab/>
        <w:t>Zeitliche Vorgaben</w:t>
      </w:r>
    </w:p>
    <w:p w:rsidR="00DF65B1" w:rsidRDefault="002D3659" w:rsidP="00F85658">
      <w:pPr>
        <w:pStyle w:val="00Vorgabetext"/>
      </w:pPr>
      <w:r w:rsidRPr="002D3659">
        <w:rPr>
          <w:rFonts w:cs="Arial"/>
          <w:b/>
          <w:noProof/>
        </w:rPr>
        <w:pict>
          <v:shape id="_x0000_s1029" type="#_x0000_t202" style="position:absolute;margin-left:123.3pt;margin-top:785.15pt;width:426.65pt;height:28.35pt;z-index:251658752;mso-wrap-style:tight;mso-position-horizontal-relative:page;mso-position-vertical-relative:page" filled="f" stroked="f">
            <v:textbox style="mso-next-textbox:#_x0000_s1029">
              <w:txbxContent>
                <w:p w:rsidR="008E271C" w:rsidRPr="00860604" w:rsidRDefault="008E271C" w:rsidP="009854E9"/>
              </w:txbxContent>
            </v:textbox>
            <w10:wrap anchorx="page" anchory="page"/>
          </v:shape>
        </w:pict>
      </w:r>
      <w:r w:rsidRPr="002D3659">
        <w:rPr>
          <w:rFonts w:cs="Arial"/>
          <w:b/>
          <w:noProof/>
        </w:rPr>
        <w:pict>
          <v:shape id="_x0000_s1028" type="#_x0000_t202" style="position:absolute;margin-left:123.3pt;margin-top:785.15pt;width:426.65pt;height:28.35pt;z-index:251657728;mso-wrap-style:tight;mso-position-horizontal-relative:page;mso-position-vertical-relative:page" filled="f" stroked="f">
            <v:textbox style="mso-next-textbox:#_x0000_s1028">
              <w:txbxContent>
                <w:p w:rsidR="008E271C" w:rsidRPr="002F6B1A" w:rsidRDefault="008E271C" w:rsidP="009854E9">
                  <w:pPr>
                    <w:pStyle w:val="01Kleinschrift"/>
                    <w:jc w:val="right"/>
                  </w:pPr>
                </w:p>
              </w:txbxContent>
            </v:textbox>
            <w10:wrap anchorx="page" anchory="page"/>
          </v:shape>
        </w:pict>
      </w:r>
      <w:r w:rsidR="009854E9">
        <w:t xml:space="preserve">Gemäss § 41 IDG sind die notwendigen gesetzlichen Grundlagen gemäss § 8 Abs. 2 IDG bis am 1. Oktober 2013 </w:t>
      </w:r>
      <w:r w:rsidR="00203665">
        <w:t>zu schaffen</w:t>
      </w:r>
      <w:r w:rsidR="009854E9">
        <w:t xml:space="preserve">. </w:t>
      </w:r>
    </w:p>
    <w:p w:rsidR="00F85658" w:rsidRDefault="00F85658" w:rsidP="00F85658">
      <w:pPr>
        <w:pStyle w:val="00Vorgabetext"/>
      </w:pPr>
    </w:p>
    <w:p w:rsidR="001114EC" w:rsidRDefault="009854E9">
      <w:pPr>
        <w:pStyle w:val="00Vorgabetext"/>
        <w:keepNext/>
        <w:tabs>
          <w:tab w:val="left" w:pos="425"/>
        </w:tabs>
        <w:spacing w:before="240" w:after="120"/>
        <w:ind w:left="425" w:hanging="425"/>
        <w:rPr>
          <w:rFonts w:asciiTheme="majorHAnsi" w:hAnsiTheme="majorHAnsi" w:cstheme="majorHAnsi"/>
        </w:rPr>
      </w:pPr>
      <w:r>
        <w:rPr>
          <w:rFonts w:asciiTheme="majorHAnsi" w:hAnsiTheme="majorHAnsi" w:cstheme="majorHAnsi"/>
        </w:rPr>
        <w:t>II</w:t>
      </w:r>
      <w:r w:rsidRPr="002A2F4A">
        <w:rPr>
          <w:rFonts w:asciiTheme="majorHAnsi" w:hAnsiTheme="majorHAnsi" w:cstheme="majorHAnsi"/>
        </w:rPr>
        <w:t>.</w:t>
      </w:r>
      <w:r w:rsidRPr="002A2F4A">
        <w:rPr>
          <w:rFonts w:asciiTheme="majorHAnsi" w:hAnsiTheme="majorHAnsi" w:cstheme="majorHAnsi"/>
        </w:rPr>
        <w:tab/>
      </w:r>
      <w:r w:rsidR="00362A13">
        <w:t xml:space="preserve">Prüfung der bestehenden gesetzlichen Grundlagen im Hinblick auf die in der JI </w:t>
      </w:r>
      <w:r w:rsidR="001F5AE3">
        <w:t xml:space="preserve">im Rahmen ihrer Aufgabenerfüllung </w:t>
      </w:r>
      <w:r w:rsidR="004652F1">
        <w:t>be</w:t>
      </w:r>
      <w:r w:rsidR="00362A13">
        <w:t xml:space="preserve">arbeiteten besonderen Personendaten </w:t>
      </w:r>
      <w:r>
        <w:rPr>
          <w:rFonts w:asciiTheme="majorHAnsi" w:hAnsiTheme="majorHAnsi" w:cstheme="majorHAnsi"/>
        </w:rPr>
        <w:t xml:space="preserve"> </w:t>
      </w:r>
      <w:r>
        <w:t xml:space="preserve"> </w:t>
      </w:r>
    </w:p>
    <w:p w:rsidR="00DF65B1" w:rsidRDefault="00455B62">
      <w:pPr>
        <w:pStyle w:val="00Vorgabetext"/>
        <w:keepNext/>
        <w:tabs>
          <w:tab w:val="left" w:pos="425"/>
        </w:tabs>
        <w:spacing w:before="240"/>
      </w:pPr>
      <w:r>
        <w:t xml:space="preserve">A. </w:t>
      </w:r>
      <w:r w:rsidR="00345516">
        <w:tab/>
      </w:r>
      <w:r w:rsidR="005C3C7D">
        <w:t>Vorbemerkungen</w:t>
      </w:r>
    </w:p>
    <w:p w:rsidR="00455B62" w:rsidRDefault="00F85658" w:rsidP="00455B62">
      <w:pPr>
        <w:pStyle w:val="00Vorgabetext"/>
        <w:tabs>
          <w:tab w:val="left" w:pos="425"/>
        </w:tabs>
      </w:pPr>
      <w:r>
        <w:t xml:space="preserve">Vorab ist darauf hinzuweisen, </w:t>
      </w:r>
      <w:r w:rsidR="00455B62">
        <w:t>dass lediglich die Bearbeitung von besonderen Pers</w:t>
      </w:r>
      <w:r w:rsidR="00455B62">
        <w:t>o</w:t>
      </w:r>
      <w:r w:rsidR="00455B62">
        <w:t>nendaten eine formellgesetzliche Grundlage gemäss § 8 Abs. 2 IDG verlangt. G</w:t>
      </w:r>
      <w:r w:rsidR="00930213">
        <w:t xml:space="preserve">emäss Weisung des Regierungsrates </w:t>
      </w:r>
      <w:r w:rsidR="001D36BA">
        <w:t xml:space="preserve">zum IDG </w:t>
      </w:r>
      <w:r w:rsidR="00930213">
        <w:t>soll g</w:t>
      </w:r>
      <w:r w:rsidR="00455B62">
        <w:t xml:space="preserve">estützt auf diese Bestimmung </w:t>
      </w:r>
      <w:r w:rsidR="00930213">
        <w:t>im forme</w:t>
      </w:r>
      <w:r w:rsidR="00930213">
        <w:t>l</w:t>
      </w:r>
      <w:r w:rsidR="00930213">
        <w:t>len Gesetz folgendes geregelt sein</w:t>
      </w:r>
      <w:r w:rsidR="00455B62">
        <w:t>:</w:t>
      </w:r>
    </w:p>
    <w:p w:rsidR="00455B62" w:rsidRDefault="00455B62" w:rsidP="00455B62">
      <w:pPr>
        <w:pStyle w:val="00Vorgabetext"/>
        <w:numPr>
          <w:ilvl w:val="0"/>
          <w:numId w:val="45"/>
        </w:numPr>
        <w:tabs>
          <w:tab w:val="left" w:pos="425"/>
        </w:tabs>
      </w:pPr>
      <w:r>
        <w:t xml:space="preserve">das verantwortliche Organ, </w:t>
      </w:r>
    </w:p>
    <w:p w:rsidR="00455B62" w:rsidRDefault="00455B62" w:rsidP="00455B62">
      <w:pPr>
        <w:pStyle w:val="00Vorgabetext"/>
        <w:numPr>
          <w:ilvl w:val="0"/>
          <w:numId w:val="45"/>
        </w:numPr>
        <w:tabs>
          <w:tab w:val="left" w:pos="425"/>
        </w:tabs>
      </w:pPr>
      <w:r>
        <w:t>der Bearbeitungszweck,</w:t>
      </w:r>
    </w:p>
    <w:p w:rsidR="00455B62" w:rsidRDefault="00455B62" w:rsidP="00455B62">
      <w:pPr>
        <w:pStyle w:val="00Vorgabetext"/>
        <w:numPr>
          <w:ilvl w:val="0"/>
          <w:numId w:val="45"/>
        </w:numPr>
        <w:tabs>
          <w:tab w:val="left" w:pos="425"/>
        </w:tabs>
      </w:pPr>
      <w:r>
        <w:t xml:space="preserve">die </w:t>
      </w:r>
      <w:r w:rsidR="000B1F23">
        <w:t>Art der bearbeiteten Daten</w:t>
      </w:r>
      <w:r>
        <w:t>,</w:t>
      </w:r>
    </w:p>
    <w:p w:rsidR="00455B62" w:rsidRDefault="00455B62" w:rsidP="00455B62">
      <w:pPr>
        <w:pStyle w:val="00Vorgabetext"/>
        <w:numPr>
          <w:ilvl w:val="0"/>
          <w:numId w:val="45"/>
        </w:numPr>
        <w:tabs>
          <w:tab w:val="left" w:pos="425"/>
        </w:tabs>
      </w:pPr>
      <w:r>
        <w:t xml:space="preserve">die Art und Weise der </w:t>
      </w:r>
      <w:r w:rsidR="007E4F9B">
        <w:t>Datenbearbeitung</w:t>
      </w:r>
      <w:r>
        <w:t>.</w:t>
      </w:r>
    </w:p>
    <w:p w:rsidR="009854E9" w:rsidRDefault="009854E9" w:rsidP="00455B62">
      <w:pPr>
        <w:pStyle w:val="00Vorgabetext"/>
      </w:pPr>
      <w:r>
        <w:t xml:space="preserve">Die Beurteilung, ob die bestehenden gesetzlichen Grundlagen für </w:t>
      </w:r>
      <w:r w:rsidR="00203665">
        <w:t xml:space="preserve">die </w:t>
      </w:r>
      <w:r>
        <w:t xml:space="preserve">Bearbeitung von besonderen Personendaten </w:t>
      </w:r>
      <w:r w:rsidR="005C3C7D">
        <w:t xml:space="preserve">in der JI </w:t>
      </w:r>
      <w:r>
        <w:t xml:space="preserve">ausreichen, setzt </w:t>
      </w:r>
      <w:r w:rsidR="0061323E">
        <w:t xml:space="preserve">eine </w:t>
      </w:r>
      <w:r w:rsidR="00F85658">
        <w:t xml:space="preserve">Prüfung </w:t>
      </w:r>
      <w:r w:rsidR="005C3C7D">
        <w:t>sämtlicher</w:t>
      </w:r>
      <w:r w:rsidR="00F85658">
        <w:t xml:space="preserve"> Aufg</w:t>
      </w:r>
      <w:r w:rsidR="00F85658">
        <w:t>a</w:t>
      </w:r>
      <w:r w:rsidR="00F85658">
        <w:t xml:space="preserve">ben </w:t>
      </w:r>
      <w:r w:rsidR="005C3C7D">
        <w:t>der einzelnen Verwaltungseinheiten</w:t>
      </w:r>
      <w:r>
        <w:t xml:space="preserve"> voraus. </w:t>
      </w:r>
    </w:p>
    <w:p w:rsidR="008E5645" w:rsidRDefault="00455B62" w:rsidP="008E5645">
      <w:pPr>
        <w:pStyle w:val="00Vorgabetext"/>
        <w:spacing w:before="240"/>
      </w:pPr>
      <w:r>
        <w:t>B</w:t>
      </w:r>
      <w:r w:rsidR="00362A13">
        <w:t xml:space="preserve">. </w:t>
      </w:r>
      <w:r w:rsidR="00345516">
        <w:tab/>
      </w:r>
      <w:r w:rsidR="00362A13">
        <w:t>Art und Weise der Datenbearbeitung</w:t>
      </w:r>
    </w:p>
    <w:p w:rsidR="00362A13" w:rsidRDefault="00362A13" w:rsidP="00362A13">
      <w:pPr>
        <w:pStyle w:val="00Vorgabetext"/>
      </w:pPr>
      <w:r>
        <w:t xml:space="preserve">1. </w:t>
      </w:r>
      <w:r>
        <w:tab/>
      </w:r>
      <w:r w:rsidRPr="00EF20A1">
        <w:rPr>
          <w:lang w:val="de-DE"/>
        </w:rPr>
        <w:t>Allgemeines</w:t>
      </w:r>
    </w:p>
    <w:p w:rsidR="00897949" w:rsidRPr="00897949" w:rsidRDefault="00362A13" w:rsidP="00362A13">
      <w:pPr>
        <w:pStyle w:val="00Vorgabetext"/>
        <w:rPr>
          <w:lang w:val="de-DE"/>
        </w:rPr>
      </w:pPr>
      <w:r>
        <w:t xml:space="preserve">Bezüglich </w:t>
      </w:r>
      <w:r w:rsidR="00455B62">
        <w:t xml:space="preserve">der Art und Weise der Bearbeitung </w:t>
      </w:r>
      <w:r>
        <w:t>d</w:t>
      </w:r>
      <w:r w:rsidR="005C3C7D">
        <w:t>er</w:t>
      </w:r>
      <w:r>
        <w:t xml:space="preserve"> im Rahmen der Geschäftserfüllung bearbeitet</w:t>
      </w:r>
      <w:r w:rsidR="005C3C7D">
        <w:t>en Daten</w:t>
      </w:r>
      <w:r>
        <w:t xml:space="preserve"> besteht eine allgemeine </w:t>
      </w:r>
      <w:r w:rsidR="0061323E">
        <w:t xml:space="preserve">gesetzliche </w:t>
      </w:r>
      <w:r>
        <w:t xml:space="preserve">Grundlage in § 44 OG RR. Diese Rechtsgrundlage ist zwar älter als das IDG. Dies ändert aber nichts daran, dass das Gesetz zusammen mit den Spezialgesetzen, welche die Aufgaben der Verwaltung festlegen, eine </w:t>
      </w:r>
      <w:r w:rsidR="00F77A8C">
        <w:t xml:space="preserve">genügende </w:t>
      </w:r>
      <w:r>
        <w:t>Rechtsgrundlage gemäss § 8 Abs. 2 IDG bilden kann (vorn I.B.</w:t>
      </w:r>
      <w:r w:rsidRPr="007962AA">
        <w:rPr>
          <w:lang w:val="de-DE"/>
        </w:rPr>
        <w:t>).</w:t>
      </w:r>
      <w:r>
        <w:rPr>
          <w:lang w:val="de-DE"/>
        </w:rPr>
        <w:t xml:space="preserve"> </w:t>
      </w:r>
    </w:p>
    <w:p w:rsidR="00DF65B1" w:rsidRDefault="00362A13">
      <w:pPr>
        <w:pStyle w:val="00Vorgabetext"/>
        <w:keepNext/>
        <w:tabs>
          <w:tab w:val="left" w:pos="425"/>
        </w:tabs>
        <w:spacing w:before="240"/>
      </w:pPr>
      <w:r>
        <w:t xml:space="preserve">2. </w:t>
      </w:r>
      <w:r>
        <w:tab/>
        <w:t xml:space="preserve">In </w:t>
      </w:r>
      <w:r w:rsidRPr="00B3628E">
        <w:t xml:space="preserve">§ 44 OG RR </w:t>
      </w:r>
      <w:r>
        <w:t>ge</w:t>
      </w:r>
      <w:r w:rsidRPr="00B3628E">
        <w:t>regelt</w:t>
      </w:r>
      <w:r>
        <w:t>e</w:t>
      </w:r>
      <w:r w:rsidRPr="00B3628E">
        <w:t xml:space="preserve"> </w:t>
      </w:r>
      <w:r>
        <w:t>Kriterien</w:t>
      </w:r>
    </w:p>
    <w:p w:rsidR="00DF65B1" w:rsidRDefault="00362A13">
      <w:pPr>
        <w:pStyle w:val="00Vorgabetext"/>
        <w:tabs>
          <w:tab w:val="left" w:pos="425"/>
        </w:tabs>
      </w:pPr>
      <w:r>
        <w:t xml:space="preserve">§ 44 OG RR </w:t>
      </w:r>
      <w:r w:rsidR="008E271C">
        <w:t xml:space="preserve">bestimmt </w:t>
      </w:r>
      <w:r>
        <w:t xml:space="preserve">in verschiedenen Absätzen </w:t>
      </w:r>
      <w:r w:rsidR="00897949">
        <w:t>die für die Bearbeitung von beso</w:t>
      </w:r>
      <w:r w:rsidR="00897949">
        <w:t>n</w:t>
      </w:r>
      <w:r w:rsidR="00897949">
        <w:t>deren Personendaten zulässigen Bearbeitungsmethoden</w:t>
      </w:r>
      <w:r w:rsidR="0061323E">
        <w:t xml:space="preserve"> (Art</w:t>
      </w:r>
      <w:r w:rsidR="009C717C">
        <w:t xml:space="preserve"> und Weise der Bearbe</w:t>
      </w:r>
      <w:r w:rsidR="009C717C">
        <w:t>i</w:t>
      </w:r>
      <w:r w:rsidR="009C717C">
        <w:t>tung)</w:t>
      </w:r>
      <w:r>
        <w:t xml:space="preserve">: </w:t>
      </w:r>
    </w:p>
    <w:p w:rsidR="00362A13" w:rsidRDefault="00362A13" w:rsidP="009C717C">
      <w:pPr>
        <w:pStyle w:val="00Vorgabetext"/>
        <w:numPr>
          <w:ilvl w:val="0"/>
          <w:numId w:val="49"/>
        </w:numPr>
        <w:tabs>
          <w:tab w:val="clear" w:pos="794"/>
          <w:tab w:val="left" w:pos="851"/>
        </w:tabs>
      </w:pPr>
      <w:r>
        <w:t xml:space="preserve">Geschäftsbearbeitung (Abs. 2 lit. a), </w:t>
      </w:r>
    </w:p>
    <w:p w:rsidR="00362A13" w:rsidRDefault="00362A13" w:rsidP="009C717C">
      <w:pPr>
        <w:pStyle w:val="00Vorgabetext"/>
        <w:numPr>
          <w:ilvl w:val="0"/>
          <w:numId w:val="49"/>
        </w:numPr>
        <w:tabs>
          <w:tab w:val="clear" w:pos="794"/>
          <w:tab w:val="left" w:pos="851"/>
        </w:tabs>
      </w:pPr>
      <w:r>
        <w:t>Geschäftskontrolle („Arbeitsabläufe organisieren“, „</w:t>
      </w:r>
      <w:r w:rsidRPr="00DC34FE">
        <w:t>Registrierung, Verwaltung, I</w:t>
      </w:r>
      <w:r w:rsidRPr="00DC34FE">
        <w:t>n</w:t>
      </w:r>
      <w:r w:rsidRPr="00DC34FE">
        <w:t>dexierung und Über</w:t>
      </w:r>
      <w:r w:rsidRPr="00DC34FE">
        <w:softHyphen/>
        <w:t>wachung</w:t>
      </w:r>
      <w:r>
        <w:t xml:space="preserve">“, Abs. 1 und Abs. 2 lit. b), </w:t>
      </w:r>
    </w:p>
    <w:p w:rsidR="00362A13" w:rsidRDefault="00362A13" w:rsidP="009C717C">
      <w:pPr>
        <w:pStyle w:val="00Vorgabetext"/>
        <w:numPr>
          <w:ilvl w:val="0"/>
          <w:numId w:val="49"/>
        </w:numPr>
        <w:tabs>
          <w:tab w:val="clear" w:pos="794"/>
          <w:tab w:val="left" w:pos="851"/>
        </w:tabs>
      </w:pPr>
      <w:r>
        <w:t xml:space="preserve">Findmittel („festzustellen, ob es Daten über eine bestimmte Person bearbeitet“, Abs. 2 lit. c), </w:t>
      </w:r>
    </w:p>
    <w:p w:rsidR="00362A13" w:rsidRDefault="00362A13" w:rsidP="009C717C">
      <w:pPr>
        <w:pStyle w:val="00Vorgabetext"/>
        <w:numPr>
          <w:ilvl w:val="0"/>
          <w:numId w:val="49"/>
        </w:numPr>
        <w:tabs>
          <w:tab w:val="clear" w:pos="794"/>
          <w:tab w:val="left" w:pos="851"/>
        </w:tabs>
      </w:pPr>
      <w:r>
        <w:t xml:space="preserve">Dokumentenablage </w:t>
      </w:r>
      <w:r w:rsidRPr="00985E5F">
        <w:t>(„Zugang zur Dokumentation erleichtern“</w:t>
      </w:r>
      <w:r>
        <w:t>, Abs. 2 lit. d,</w:t>
      </w:r>
      <w:r w:rsidRPr="005D6F85">
        <w:t xml:space="preserve"> </w:t>
      </w:r>
      <w:r>
        <w:t>„</w:t>
      </w:r>
      <w:r w:rsidRPr="00DC34FE">
        <w:t>Regis</w:t>
      </w:r>
      <w:r w:rsidRPr="00DC34FE">
        <w:t>t</w:t>
      </w:r>
      <w:r w:rsidRPr="00DC34FE">
        <w:t>rierung, Verwaltung, Indexierung und Über</w:t>
      </w:r>
      <w:r w:rsidRPr="00DC34FE">
        <w:softHyphen/>
        <w:t>wachung</w:t>
      </w:r>
      <w:r>
        <w:t>“, Abs. 1 und Abs. 2 lit. b</w:t>
      </w:r>
      <w:r w:rsidRPr="00985E5F">
        <w:t>),</w:t>
      </w:r>
      <w:r>
        <w:t xml:space="preserve"> </w:t>
      </w:r>
    </w:p>
    <w:p w:rsidR="00362A13" w:rsidRPr="00C4457B" w:rsidRDefault="00362A13" w:rsidP="0034047D">
      <w:pPr>
        <w:pStyle w:val="00Vorgabetext"/>
        <w:numPr>
          <w:ilvl w:val="0"/>
          <w:numId w:val="49"/>
        </w:numPr>
        <w:tabs>
          <w:tab w:val="clear" w:pos="794"/>
          <w:tab w:val="left" w:pos="851"/>
        </w:tabs>
      </w:pPr>
      <w:r>
        <w:t>Kommunikation (Abs. 1)</w:t>
      </w:r>
      <w:r w:rsidRPr="00B3628E">
        <w:t xml:space="preserve">. </w:t>
      </w:r>
    </w:p>
    <w:p w:rsidR="00897949" w:rsidRDefault="00897949" w:rsidP="00897949">
      <w:pPr>
        <w:pStyle w:val="00Vorgabetext"/>
        <w:tabs>
          <w:tab w:val="left" w:pos="426"/>
        </w:tabs>
      </w:pPr>
      <w:r>
        <w:lastRenderedPageBreak/>
        <w:t xml:space="preserve">In der JI </w:t>
      </w:r>
      <w:r w:rsidR="009C717C">
        <w:t xml:space="preserve"> erfolgt diese</w:t>
      </w:r>
      <w:r>
        <w:t xml:space="preserve"> Bearbeitung, neben der Bearbeitung mit den in der ganzen Ve</w:t>
      </w:r>
      <w:r>
        <w:t>r</w:t>
      </w:r>
      <w:r>
        <w:t xml:space="preserve">waltung verwendeten </w:t>
      </w:r>
      <w:r w:rsidR="0061323E">
        <w:t>Datenbearbeitungssystemen</w:t>
      </w:r>
      <w:r>
        <w:t xml:space="preserve"> (</w:t>
      </w:r>
      <w:proofErr w:type="spellStart"/>
      <w:r>
        <w:t>word</w:t>
      </w:r>
      <w:proofErr w:type="spellEnd"/>
      <w:r>
        <w:t xml:space="preserve">, </w:t>
      </w:r>
      <w:proofErr w:type="spellStart"/>
      <w:r>
        <w:t>excel</w:t>
      </w:r>
      <w:proofErr w:type="spellEnd"/>
      <w:r>
        <w:t xml:space="preserve"> </w:t>
      </w:r>
      <w:r w:rsidR="0061323E">
        <w:t>usw.</w:t>
      </w:r>
      <w:r>
        <w:t xml:space="preserve">) insbesondere mit </w:t>
      </w:r>
      <w:r w:rsidR="00600272">
        <w:t xml:space="preserve">dem </w:t>
      </w:r>
      <w:r>
        <w:t>eigens für sie entwickelten System „RIS“ bzw. bei den Statthalterämtern</w:t>
      </w:r>
      <w:r w:rsidR="009C717C">
        <w:t xml:space="preserve"> und Bezirksräten</w:t>
      </w:r>
      <w:r>
        <w:t xml:space="preserve"> mit dem System „Juris“. </w:t>
      </w:r>
      <w:r w:rsidR="004652F1">
        <w:t>D</w:t>
      </w:r>
      <w:r>
        <w:t>iese</w:t>
      </w:r>
      <w:r w:rsidR="004652F1">
        <w:t xml:space="preserve"> </w:t>
      </w:r>
      <w:r w:rsidR="0061323E">
        <w:t xml:space="preserve">beiden </w:t>
      </w:r>
      <w:r w:rsidR="004652F1">
        <w:t>Systeme dienen</w:t>
      </w:r>
      <w:r>
        <w:t xml:space="preserve"> der Geschäftsve</w:t>
      </w:r>
      <w:r>
        <w:t>r</w:t>
      </w:r>
      <w:r>
        <w:t xml:space="preserve">waltung und Speicherung von Geschäftsdaten und </w:t>
      </w:r>
      <w:r w:rsidR="004652F1">
        <w:t xml:space="preserve">sind </w:t>
      </w:r>
      <w:r>
        <w:t>mit Suchfunktionen ausgesta</w:t>
      </w:r>
      <w:r>
        <w:t>t</w:t>
      </w:r>
      <w:r>
        <w:t>tet</w:t>
      </w:r>
      <w:r w:rsidR="004652F1">
        <w:t>, weshalb sie von besonderer Bedeutung sind</w:t>
      </w:r>
      <w:r>
        <w:t>.</w:t>
      </w:r>
      <w:r w:rsidR="0034047D">
        <w:t xml:space="preserve"> </w:t>
      </w:r>
    </w:p>
    <w:p w:rsidR="0034047D" w:rsidRDefault="0034047D" w:rsidP="0034047D">
      <w:pPr>
        <w:pStyle w:val="00Vorgabetext"/>
        <w:tabs>
          <w:tab w:val="left" w:pos="426"/>
        </w:tabs>
      </w:pPr>
      <w:r>
        <w:t>Gestützt auf die Regelung im OG RR ist die Verwendung der elektronischen Datenb</w:t>
      </w:r>
      <w:r>
        <w:t>e</w:t>
      </w:r>
      <w:r>
        <w:t xml:space="preserve">arbeitung grundsätzlich zulässig. Die Zugriffsrechte der einzelnen Mitarbeitenden und die notwendigen Sicherheitskonzepte können sodann gestützt auf </w:t>
      </w:r>
      <w:r w:rsidR="0061323E">
        <w:t xml:space="preserve">die Delegationsnorm in </w:t>
      </w:r>
      <w:r>
        <w:t>§ 61 Abs. 1 der  Verordnung über die Organisation des Regierungsrates und der kantonalen Verwaltung (VOG RR) in Direktionsverordnungen erfolgen.</w:t>
      </w:r>
    </w:p>
    <w:p w:rsidR="00DF65B1" w:rsidRDefault="00455B62">
      <w:pPr>
        <w:pStyle w:val="00Vorgabetext"/>
        <w:tabs>
          <w:tab w:val="clear" w:pos="397"/>
          <w:tab w:val="left" w:pos="425"/>
        </w:tabs>
        <w:spacing w:before="240"/>
        <w:ind w:left="425" w:hanging="425"/>
      </w:pPr>
      <w:r>
        <w:t>C</w:t>
      </w:r>
      <w:r w:rsidR="009854E9">
        <w:t>.</w:t>
      </w:r>
      <w:r w:rsidR="009854E9">
        <w:tab/>
      </w:r>
      <w:r w:rsidR="00362A13">
        <w:t>Bearbeitungszwecke</w:t>
      </w:r>
      <w:r w:rsidR="00256027">
        <w:t>,</w:t>
      </w:r>
      <w:r w:rsidR="00362A13">
        <w:t xml:space="preserve"> </w:t>
      </w:r>
      <w:r w:rsidR="0034047D">
        <w:t>Art der bearbeiteten besonderen Personendaten</w:t>
      </w:r>
      <w:r w:rsidR="00256027">
        <w:t xml:space="preserve"> und ve</w:t>
      </w:r>
      <w:r w:rsidR="00256027">
        <w:t>r</w:t>
      </w:r>
      <w:r w:rsidR="00256027">
        <w:t>antwortliche Organe</w:t>
      </w:r>
    </w:p>
    <w:p w:rsidR="005C3C7D" w:rsidRDefault="005F7A33" w:rsidP="004652F1">
      <w:pPr>
        <w:pStyle w:val="00Vorgabetext"/>
        <w:tabs>
          <w:tab w:val="clear" w:pos="397"/>
          <w:tab w:val="left" w:pos="425"/>
        </w:tabs>
        <w:spacing w:before="240"/>
      </w:pPr>
      <w:r>
        <w:t xml:space="preserve">1. </w:t>
      </w:r>
      <w:r w:rsidR="00345516">
        <w:tab/>
      </w:r>
      <w:r w:rsidR="005C3C7D">
        <w:t>Allgemeines</w:t>
      </w:r>
    </w:p>
    <w:p w:rsidR="005C3C7D" w:rsidRDefault="005C3C7D" w:rsidP="005C3C7D">
      <w:pPr>
        <w:pStyle w:val="00Vorgabetext"/>
      </w:pPr>
      <w:r>
        <w:t>Die Verwaltungseinheiten der JI bearbeiten besondere Personendaten ausschliesslich als Geschäftsdaten (in den einzelnen Geschäften abgespeicherte Daten). Die G</w:t>
      </w:r>
      <w:r>
        <w:t>e</w:t>
      </w:r>
      <w:r>
        <w:t>schäftsbearbeitung als solche hat ihre Grundlage in den verschiedensten Sachgese</w:t>
      </w:r>
      <w:r>
        <w:t>t</w:t>
      </w:r>
      <w:r>
        <w:t>zen (hinten B.). Dabei bestimmt die gemäss Gesetz zu erfüllende Aufgabe den Bea</w:t>
      </w:r>
      <w:r>
        <w:t>r</w:t>
      </w:r>
      <w:r>
        <w:t>beitungszweck. Von besonderer Bedeutung sind dabei die Daten der Strafverfolgung</w:t>
      </w:r>
      <w:r>
        <w:t>s</w:t>
      </w:r>
      <w:r>
        <w:t>behörden und des Amtes für Justizvollzug, da sie Informationen über administrative und strafrechtliche Verfolgungen und Sanktionen enthalten (vgl. § 3 IDG, der unter den besonderen Personendaten diese Daten ausdrücklich erwähnt). Besondere Persone</w:t>
      </w:r>
      <w:r>
        <w:t>n</w:t>
      </w:r>
      <w:r>
        <w:t>daten enthalten aber auch andere im Zusammenhang mit der Erfüllung gesetzlicher Aufgaben bearbeitete Geschäfte. Zudem enthalten auch die innerhalb der JI bearbeit</w:t>
      </w:r>
      <w:r>
        <w:t>e</w:t>
      </w:r>
      <w:r>
        <w:t>ten Rechtsmittelverfahren aus den entsprechenden Bereichen besondere Personend</w:t>
      </w:r>
      <w:r>
        <w:t>a</w:t>
      </w:r>
      <w:r>
        <w:t xml:space="preserve">ten. </w:t>
      </w:r>
    </w:p>
    <w:p w:rsidR="005C3C7D" w:rsidRDefault="005C3C7D" w:rsidP="005C3C7D">
      <w:pPr>
        <w:pStyle w:val="00Vorgabetext"/>
        <w:spacing w:before="240"/>
      </w:pPr>
      <w:r>
        <w:t xml:space="preserve">2. </w:t>
      </w:r>
      <w:r>
        <w:tab/>
        <w:t>Beurteilung der Datenbearbeitung in den einzelnen Verwaltungseinheiten</w:t>
      </w:r>
    </w:p>
    <w:p w:rsidR="005F7A33" w:rsidRDefault="005C3C7D" w:rsidP="004652F1">
      <w:pPr>
        <w:pStyle w:val="00Vorgabetext"/>
        <w:tabs>
          <w:tab w:val="clear" w:pos="397"/>
          <w:tab w:val="left" w:pos="425"/>
        </w:tabs>
        <w:spacing w:before="240"/>
      </w:pPr>
      <w:r>
        <w:t xml:space="preserve">a. </w:t>
      </w:r>
      <w:r w:rsidR="005F7A33">
        <w:t xml:space="preserve">Strafverfolgung </w:t>
      </w:r>
    </w:p>
    <w:p w:rsidR="005F7A33" w:rsidRDefault="00D04670" w:rsidP="005F29C5">
      <w:pPr>
        <w:pStyle w:val="00Vorgabetext"/>
        <w:tabs>
          <w:tab w:val="left" w:pos="425"/>
        </w:tabs>
      </w:pPr>
      <w:r>
        <w:t xml:space="preserve">Die </w:t>
      </w:r>
      <w:r w:rsidR="00DE7B4F">
        <w:t xml:space="preserve">der JI zugeordneten </w:t>
      </w:r>
      <w:r>
        <w:t>Aufgaben der Strafverfolgung werden durch Oberstaatsa</w:t>
      </w:r>
      <w:r>
        <w:t>n</w:t>
      </w:r>
      <w:r>
        <w:t xml:space="preserve">waltschaft, Staatsanwaltschaften, Oberjugendanwaltschaft, Jugendanwaltschaften und Statthalterämter erfüllt. </w:t>
      </w:r>
      <w:r w:rsidR="005F7A33">
        <w:t>Die Aufgabenerfüllung dieser Organe</w:t>
      </w:r>
      <w:r w:rsidR="00307DCB">
        <w:t>, die zwingend die Bea</w:t>
      </w:r>
      <w:r w:rsidR="00307DCB">
        <w:t>r</w:t>
      </w:r>
      <w:r w:rsidR="00307DCB">
        <w:t>beitung besonderer Personendaten nach sich zieht,</w:t>
      </w:r>
      <w:r w:rsidR="005F7A33">
        <w:t xml:space="preserve"> ist von den materiellen Strafgese</w:t>
      </w:r>
      <w:r w:rsidR="005F7A33">
        <w:t>t</w:t>
      </w:r>
      <w:r w:rsidR="005F7A33">
        <w:t>zen (StGB und Jugendstrafgesetz) sowie den Verfahrensgesetzen (StPO und Jugen</w:t>
      </w:r>
      <w:r w:rsidR="005F7A33">
        <w:t>d</w:t>
      </w:r>
      <w:r w:rsidR="005F7A33">
        <w:t xml:space="preserve">strafprozessordnung) des Bundes </w:t>
      </w:r>
      <w:r w:rsidR="00600272">
        <w:t>geregelt</w:t>
      </w:r>
      <w:r w:rsidR="005F7A33">
        <w:t xml:space="preserve">. </w:t>
      </w:r>
      <w:r w:rsidR="00307DCB">
        <w:t>Diese Gesetze enthalten denn auch No</w:t>
      </w:r>
      <w:r w:rsidR="00307DCB">
        <w:t>r</w:t>
      </w:r>
      <w:r w:rsidR="00307DCB">
        <w:t>men zur Datenbearbeitung (vgl. Art. 89 ff. StPO, Art. 3 JStPO i.V.m. Art. 89 ff. StPO)</w:t>
      </w:r>
      <w:r w:rsidR="00EA417D">
        <w:t>.</w:t>
      </w:r>
      <w:r w:rsidR="00307DCB">
        <w:t xml:space="preserve"> </w:t>
      </w:r>
      <w:r w:rsidR="00930213">
        <w:t>Ergänzend</w:t>
      </w:r>
      <w:r w:rsidR="00307DCB">
        <w:t xml:space="preserve"> enthalten </w:t>
      </w:r>
      <w:r w:rsidR="00DE7B4F">
        <w:t xml:space="preserve">weitere </w:t>
      </w:r>
      <w:r w:rsidR="00307DCB">
        <w:t>Spezialgesetze zusätzliche Normen zur Datenbearbe</w:t>
      </w:r>
      <w:r w:rsidR="00307DCB">
        <w:t>i</w:t>
      </w:r>
      <w:r w:rsidR="00307DCB">
        <w:t>tung (vgl. etwa Art. 8 f. DNA-Profil-Gesetz</w:t>
      </w:r>
      <w:r w:rsidR="00EA417D">
        <w:t xml:space="preserve">). Da </w:t>
      </w:r>
      <w:r w:rsidR="00930213">
        <w:t xml:space="preserve">in diesem Bereich der Bund </w:t>
      </w:r>
      <w:r w:rsidR="00EA417D">
        <w:t>abschlie</w:t>
      </w:r>
      <w:r w:rsidR="00EA417D">
        <w:t>s</w:t>
      </w:r>
      <w:r w:rsidR="00930213">
        <w:t>send z</w:t>
      </w:r>
      <w:r w:rsidR="00EA417D">
        <w:t>uständig</w:t>
      </w:r>
      <w:r w:rsidR="00930213">
        <w:t xml:space="preserve"> ist</w:t>
      </w:r>
      <w:r w:rsidR="00EA417D">
        <w:t xml:space="preserve">, sind </w:t>
      </w:r>
      <w:r w:rsidR="008552A0">
        <w:t>die Kantone</w:t>
      </w:r>
      <w:r w:rsidR="008552A0" w:rsidRPr="00EA417D">
        <w:t xml:space="preserve"> </w:t>
      </w:r>
      <w:r w:rsidR="001F5AE3">
        <w:t>nur</w:t>
      </w:r>
      <w:r w:rsidR="009C41D0">
        <w:t xml:space="preserve"> </w:t>
      </w:r>
      <w:r w:rsidR="00EA417D">
        <w:t xml:space="preserve">zum Erlass organisatorischer Normen </w:t>
      </w:r>
      <w:r w:rsidR="00930213">
        <w:t>befugt</w:t>
      </w:r>
      <w:r w:rsidR="007E4F9B">
        <w:t xml:space="preserve">. Die Bezeichnung der zuständigen Organe </w:t>
      </w:r>
      <w:r w:rsidR="00DE7B4F">
        <w:t>erfolg</w:t>
      </w:r>
      <w:r w:rsidR="00D92DC5">
        <w:t>t im GOG</w:t>
      </w:r>
      <w:r w:rsidR="00EA417D">
        <w:t xml:space="preserve">. </w:t>
      </w:r>
      <w:r w:rsidR="001F5AE3">
        <w:t>Lediglich Minimalvorschri</w:t>
      </w:r>
      <w:r w:rsidR="001F5AE3">
        <w:t>f</w:t>
      </w:r>
      <w:r w:rsidR="001F5AE3">
        <w:t xml:space="preserve">ten erlässt das Bundesrecht für </w:t>
      </w:r>
      <w:r w:rsidR="00E57F0A">
        <w:t>die Aktenaufbewahrung nach Abschluss der Verfahren</w:t>
      </w:r>
      <w:r w:rsidR="001F5AE3">
        <w:t xml:space="preserve"> (Art. 103 Abs. 1 StPO)</w:t>
      </w:r>
      <w:r w:rsidR="00E57F0A">
        <w:t xml:space="preserve">. </w:t>
      </w:r>
      <w:r w:rsidR="001F5AE3">
        <w:t>Soll über diese Bestimmunen hinausgegangen und</w:t>
      </w:r>
      <w:r w:rsidR="00605936">
        <w:t xml:space="preserve"> auch</w:t>
      </w:r>
      <w:r w:rsidR="001F5AE3">
        <w:t xml:space="preserve"> </w:t>
      </w:r>
      <w:r w:rsidR="00D92DC5">
        <w:t>von den allgemeinen</w:t>
      </w:r>
      <w:r w:rsidR="009C41D0">
        <w:t xml:space="preserve"> Regelungen </w:t>
      </w:r>
      <w:r w:rsidR="00600272">
        <w:t xml:space="preserve">im IDG </w:t>
      </w:r>
      <w:r w:rsidR="005C3C7D">
        <w:t xml:space="preserve">und im Archivgesetz </w:t>
      </w:r>
      <w:r w:rsidR="00605936">
        <w:t xml:space="preserve">abgewichen werden, sind </w:t>
      </w:r>
      <w:r w:rsidR="00605936">
        <w:lastRenderedPageBreak/>
        <w:t>entsprechende</w:t>
      </w:r>
      <w:r w:rsidR="00D92DC5">
        <w:t xml:space="preserve"> Bestimmun</w:t>
      </w:r>
      <w:r w:rsidR="00605936">
        <w:t xml:space="preserve">gen </w:t>
      </w:r>
      <w:r w:rsidR="00E57F0A">
        <w:t xml:space="preserve">im massgebenden Spezialgesetz (GOG) zu ergänzen </w:t>
      </w:r>
      <w:r w:rsidR="008552A0">
        <w:t>(</w:t>
      </w:r>
      <w:r w:rsidR="00E549D4">
        <w:t xml:space="preserve">vgl. </w:t>
      </w:r>
      <w:r w:rsidR="008552A0">
        <w:t>hinten I</w:t>
      </w:r>
      <w:r w:rsidR="00E10AB8">
        <w:t>II.B.</w:t>
      </w:r>
      <w:r w:rsidR="008552A0">
        <w:t xml:space="preserve">). </w:t>
      </w:r>
    </w:p>
    <w:p w:rsidR="00307DCB" w:rsidRDefault="005C3C7D" w:rsidP="00605936">
      <w:pPr>
        <w:pStyle w:val="00Vorgabetext"/>
        <w:keepNext/>
        <w:tabs>
          <w:tab w:val="left" w:pos="425"/>
        </w:tabs>
        <w:spacing w:before="240"/>
      </w:pPr>
      <w:r>
        <w:t>b.</w:t>
      </w:r>
      <w:r w:rsidR="00307DCB">
        <w:t xml:space="preserve"> </w:t>
      </w:r>
      <w:r w:rsidR="00345516">
        <w:tab/>
      </w:r>
      <w:r w:rsidR="00307DCB">
        <w:t>Justizvollzug</w:t>
      </w:r>
    </w:p>
    <w:p w:rsidR="0000639F" w:rsidRDefault="004B1640" w:rsidP="00976B03">
      <w:pPr>
        <w:pStyle w:val="00Vorgabetext"/>
        <w:tabs>
          <w:tab w:val="left" w:pos="425"/>
        </w:tabs>
      </w:pPr>
      <w:r>
        <w:t xml:space="preserve">Die Aufgaben der </w:t>
      </w:r>
      <w:r w:rsidR="00D04670">
        <w:t xml:space="preserve">mit dem </w:t>
      </w:r>
      <w:r>
        <w:t>Justizvollzug</w:t>
      </w:r>
      <w:r w:rsidR="00D04670">
        <w:t xml:space="preserve"> beauftragten Stellen und </w:t>
      </w:r>
      <w:r w:rsidR="00930213">
        <w:t xml:space="preserve">damit </w:t>
      </w:r>
      <w:r w:rsidR="00D04670">
        <w:t xml:space="preserve">der </w:t>
      </w:r>
      <w:r w:rsidR="00C211E2">
        <w:t>Zweck der Datenbearbeitung</w:t>
      </w:r>
      <w:r w:rsidR="00976B03">
        <w:t>, nämlich der Vollzug von Freiheitsstrafen und freiheitsentziehenden Massnahmen, erg</w:t>
      </w:r>
      <w:r w:rsidR="00930213">
        <w:t>e</w:t>
      </w:r>
      <w:r w:rsidR="00976B03">
        <w:t>b</w:t>
      </w:r>
      <w:r w:rsidR="00E10AB8">
        <w:t>en</w:t>
      </w:r>
      <w:r w:rsidR="00976B03">
        <w:t xml:space="preserve"> sich aus dem StGB</w:t>
      </w:r>
      <w:r w:rsidR="00C211E2">
        <w:t xml:space="preserve"> (Art. 74 ff. und 372 ff. StGB). </w:t>
      </w:r>
      <w:r w:rsidR="00E57F0A">
        <w:t>D</w:t>
      </w:r>
      <w:r w:rsidR="00C211E2">
        <w:t>as kanton</w:t>
      </w:r>
      <w:r w:rsidR="00C211E2">
        <w:t>a</w:t>
      </w:r>
      <w:r w:rsidR="00C211E2">
        <w:t xml:space="preserve">le Straf- und Justizvollzugsgesetz (StJVG) </w:t>
      </w:r>
      <w:r w:rsidR="00E57F0A">
        <w:t xml:space="preserve">bezeichnet </w:t>
      </w:r>
      <w:r w:rsidR="00976B03">
        <w:t xml:space="preserve">in Ergänzung dazu </w:t>
      </w:r>
      <w:r w:rsidR="00C211E2">
        <w:t>die zuständ</w:t>
      </w:r>
      <w:r w:rsidR="00C211E2">
        <w:t>i</w:t>
      </w:r>
      <w:r w:rsidR="00C211E2">
        <w:t>gen Organe</w:t>
      </w:r>
      <w:r w:rsidR="0000639F">
        <w:t>: die Aufgaben werden grundsätzlich der JI übertragen, mit der Möglichkeit der Delegation an ein Amt auf Verordnungsstufe (§ 14 i.V.m. § 3 StJVG)</w:t>
      </w:r>
      <w:r w:rsidR="00C211E2">
        <w:t xml:space="preserve">. </w:t>
      </w:r>
      <w:r w:rsidR="0000639F">
        <w:t>Die entspr</w:t>
      </w:r>
      <w:r w:rsidR="0000639F">
        <w:t>e</w:t>
      </w:r>
      <w:r w:rsidR="0000639F">
        <w:t>chende Delegation wurde denn auch in der Justizvollzugsverordnung (JVV) vorg</w:t>
      </w:r>
      <w:r w:rsidR="0000639F">
        <w:t>e</w:t>
      </w:r>
      <w:r w:rsidR="0000639F">
        <w:t xml:space="preserve">nommen (Amt für Justizvollzug, § 2 Abs. 1 JVV). </w:t>
      </w:r>
    </w:p>
    <w:p w:rsidR="009A73AF" w:rsidRDefault="00412D2A" w:rsidP="00E10AB8">
      <w:pPr>
        <w:pStyle w:val="00Vorgabetext"/>
        <w:tabs>
          <w:tab w:val="left" w:pos="425"/>
        </w:tabs>
      </w:pPr>
      <w:r>
        <w:t xml:space="preserve">Die von den Justizvollzugsbehörden zu erfüllenden gesetzlichen </w:t>
      </w:r>
      <w:r w:rsidR="00976B03">
        <w:t xml:space="preserve">Vollzugsaufgaben </w:t>
      </w:r>
      <w:r>
        <w:t>ziehen zwingend die Bearbeitung besonderer Personendaten nach sich</w:t>
      </w:r>
      <w:r w:rsidR="00C211E2">
        <w:t>, ist doch d</w:t>
      </w:r>
      <w:r w:rsidR="00C42B36">
        <w:t>ie</w:t>
      </w:r>
      <w:r>
        <w:t xml:space="preserve"> Vollzugsplanung</w:t>
      </w:r>
      <w:r w:rsidR="00C211E2">
        <w:t xml:space="preserve"> (Art. 75 StGB)</w:t>
      </w:r>
      <w:r w:rsidR="00976B03">
        <w:t xml:space="preserve"> und der entsprechend dieser Planung vorgenommene Vollzug</w:t>
      </w:r>
      <w:r w:rsidR="00C211E2">
        <w:t xml:space="preserve"> </w:t>
      </w:r>
      <w:r>
        <w:t xml:space="preserve">ohne Bearbeitung </w:t>
      </w:r>
      <w:r w:rsidR="003A6B90">
        <w:t xml:space="preserve">entsprechender Daten </w:t>
      </w:r>
      <w:r w:rsidR="00E10AB8">
        <w:t>ausgeschlossen</w:t>
      </w:r>
      <w:r w:rsidR="003A6B90">
        <w:t>. Das StGB enthält denn auch verschiedene</w:t>
      </w:r>
      <w:r w:rsidR="00976B03">
        <w:t xml:space="preserve"> Arten von besonderen Personend</w:t>
      </w:r>
      <w:r w:rsidR="003A6B90">
        <w:t xml:space="preserve">aten, die </w:t>
      </w:r>
      <w:r w:rsidR="0000639F">
        <w:t>be</w:t>
      </w:r>
      <w:r w:rsidR="00976B03">
        <w:t xml:space="preserve">arbeitet </w:t>
      </w:r>
      <w:r w:rsidR="003A6B90">
        <w:t>werden dürfen</w:t>
      </w:r>
      <w:r w:rsidR="00C211E2">
        <w:t xml:space="preserve"> (</w:t>
      </w:r>
      <w:r w:rsidR="00976B03">
        <w:t xml:space="preserve">Angaben über die </w:t>
      </w:r>
      <w:r w:rsidR="00C211E2">
        <w:t>notwendige Betreuung</w:t>
      </w:r>
      <w:r w:rsidR="00976B03">
        <w:t xml:space="preserve"> und die </w:t>
      </w:r>
      <w:r w:rsidR="00C211E2">
        <w:t>Beziehungen zur Aussenwelt [Art. 75 StGB],</w:t>
      </w:r>
      <w:r w:rsidR="00C42B36" w:rsidRPr="00C42B36">
        <w:t xml:space="preserve"> </w:t>
      </w:r>
      <w:r w:rsidR="00C211E2">
        <w:t xml:space="preserve">Daten über den Gesundheitszustand [Art. 80 StGB] und </w:t>
      </w:r>
      <w:r w:rsidR="00C42B36" w:rsidRPr="00C42B36">
        <w:t xml:space="preserve">Angaben über die Behandlung </w:t>
      </w:r>
      <w:r w:rsidR="00C211E2">
        <w:t xml:space="preserve">von </w:t>
      </w:r>
      <w:r w:rsidR="00C42B36" w:rsidRPr="00C42B36">
        <w:t>psychischen Störung</w:t>
      </w:r>
      <w:r w:rsidR="00C211E2">
        <w:t>en</w:t>
      </w:r>
      <w:r w:rsidR="00C42B36" w:rsidRPr="00C42B36">
        <w:t>, der Abhängigkeit</w:t>
      </w:r>
      <w:r w:rsidR="00C211E2">
        <w:t>en</w:t>
      </w:r>
      <w:r w:rsidR="00C42B36" w:rsidRPr="00C42B36">
        <w:t xml:space="preserve"> oder der Entwic</w:t>
      </w:r>
      <w:r w:rsidR="00C42B36" w:rsidRPr="00C42B36">
        <w:t>k</w:t>
      </w:r>
      <w:r w:rsidR="00C42B36" w:rsidRPr="00C42B36">
        <w:t>lungsstörung</w:t>
      </w:r>
      <w:r w:rsidR="00C211E2">
        <w:t>en [Art. 90 StGB]</w:t>
      </w:r>
      <w:r w:rsidR="003A6B90">
        <w:t>)</w:t>
      </w:r>
      <w:r w:rsidR="00C42B36" w:rsidRPr="00C42B36">
        <w:t>.</w:t>
      </w:r>
      <w:r w:rsidR="00C42B36">
        <w:t xml:space="preserve"> </w:t>
      </w:r>
      <w:r w:rsidR="00E57F0A">
        <w:t xml:space="preserve">In Ergänzung dazu regelt das </w:t>
      </w:r>
      <w:r>
        <w:t>StJVG</w:t>
      </w:r>
      <w:r w:rsidR="004B1640">
        <w:t xml:space="preserve"> </w:t>
      </w:r>
      <w:r w:rsidR="00E57F0A">
        <w:t>die in den Vol</w:t>
      </w:r>
      <w:r w:rsidR="00E57F0A">
        <w:t>l</w:t>
      </w:r>
      <w:r w:rsidR="00E57F0A">
        <w:t>zugsakten enthaltenen Daten und die Einsichtsrechte</w:t>
      </w:r>
      <w:r w:rsidR="004B1640">
        <w:t xml:space="preserve"> (§ 2</w:t>
      </w:r>
      <w:r w:rsidR="00E57F0A">
        <w:t>6</w:t>
      </w:r>
      <w:r w:rsidR="004B1640">
        <w:t xml:space="preserve"> </w:t>
      </w:r>
      <w:r w:rsidR="005F29C5">
        <w:t xml:space="preserve">StJVG). </w:t>
      </w:r>
      <w:r w:rsidR="00E57F0A">
        <w:t xml:space="preserve">Nicht geregelt sind jedoch die Aufbewahrungsfristen für diese Daten. </w:t>
      </w:r>
      <w:r w:rsidR="00976B03">
        <w:t>Weshalb</w:t>
      </w:r>
      <w:r w:rsidR="00E57F0A">
        <w:t xml:space="preserve"> das StJVG</w:t>
      </w:r>
      <w:r w:rsidR="005F53B2">
        <w:t>, falls von den allgemeinen Regelungen im Archivgesetz und im IDG abweichende Bestimmungen erlassen werden sollen,</w:t>
      </w:r>
      <w:r w:rsidR="00E57F0A">
        <w:t xml:space="preserve"> </w:t>
      </w:r>
      <w:r w:rsidR="00976B03">
        <w:t xml:space="preserve">diesbezüglich </w:t>
      </w:r>
      <w:r w:rsidR="00E57F0A">
        <w:t>zu ergänzen</w:t>
      </w:r>
      <w:r w:rsidR="00976B03">
        <w:t xml:space="preserve"> ist</w:t>
      </w:r>
      <w:r w:rsidR="00E57F0A">
        <w:t xml:space="preserve"> (</w:t>
      </w:r>
      <w:r w:rsidR="00E549D4">
        <w:t xml:space="preserve">vgl. </w:t>
      </w:r>
      <w:r w:rsidR="00E57F0A">
        <w:t xml:space="preserve">hinten </w:t>
      </w:r>
      <w:r w:rsidR="00E10AB8">
        <w:t>III.B.</w:t>
      </w:r>
      <w:r w:rsidR="00E57F0A">
        <w:t xml:space="preserve">). </w:t>
      </w:r>
    </w:p>
    <w:p w:rsidR="00307DCB" w:rsidRDefault="005C3C7D" w:rsidP="009A73AF">
      <w:pPr>
        <w:pStyle w:val="00Vorgabetext"/>
        <w:tabs>
          <w:tab w:val="left" w:pos="425"/>
        </w:tabs>
        <w:spacing w:before="240"/>
      </w:pPr>
      <w:r>
        <w:t>c</w:t>
      </w:r>
      <w:r w:rsidR="00307DCB">
        <w:t xml:space="preserve">. </w:t>
      </w:r>
      <w:r w:rsidR="00345516">
        <w:tab/>
      </w:r>
      <w:r w:rsidR="00307DCB">
        <w:t>Opferhilfe</w:t>
      </w:r>
    </w:p>
    <w:p w:rsidR="00DF65B1" w:rsidRDefault="00E549D4" w:rsidP="009A73AF">
      <w:pPr>
        <w:tabs>
          <w:tab w:val="clear" w:pos="397"/>
          <w:tab w:val="clear" w:pos="794"/>
          <w:tab w:val="clear" w:pos="1191"/>
          <w:tab w:val="clear" w:pos="4479"/>
          <w:tab w:val="clear" w:pos="4876"/>
          <w:tab w:val="clear" w:pos="5273"/>
          <w:tab w:val="clear" w:pos="5670"/>
          <w:tab w:val="clear" w:pos="6067"/>
          <w:tab w:val="clear" w:pos="7938"/>
        </w:tabs>
        <w:autoSpaceDE w:val="0"/>
        <w:autoSpaceDN w:val="0"/>
        <w:adjustRightInd w:val="0"/>
        <w:rPr>
          <w:rFonts w:cs="Arial"/>
        </w:rPr>
      </w:pPr>
      <w:r>
        <w:t xml:space="preserve">Die Aufgaben der Opferhilfe ergeben sich weitgehend aus dem Opferhilfegesetz (OHG; Beratung, finanzielle Leistungen). </w:t>
      </w:r>
      <w:r>
        <w:rPr>
          <w:rFonts w:cs="Arial"/>
        </w:rPr>
        <w:t>Der Zweck der Datenbearbeitung ist damit bunde</w:t>
      </w:r>
      <w:r>
        <w:rPr>
          <w:rFonts w:cs="Arial"/>
        </w:rPr>
        <w:t>s</w:t>
      </w:r>
      <w:r>
        <w:rPr>
          <w:rFonts w:cs="Arial"/>
        </w:rPr>
        <w:t>rechtlich geregelt. Das kantonale Einführungsgesetz zum Opferhilfegesetz (EG OHG) bezeichnet die zuständigen Organe und konkretisiert das Akteneinsichtsrecht</w:t>
      </w:r>
      <w:r w:rsidR="00144494">
        <w:rPr>
          <w:rFonts w:cs="Arial"/>
        </w:rPr>
        <w:t xml:space="preserve"> der Ber</w:t>
      </w:r>
      <w:r w:rsidR="00144494">
        <w:rPr>
          <w:rFonts w:cs="Arial"/>
        </w:rPr>
        <w:t>a</w:t>
      </w:r>
      <w:r w:rsidR="00144494">
        <w:rPr>
          <w:rFonts w:cs="Arial"/>
        </w:rPr>
        <w:t>tungsstellen</w:t>
      </w:r>
      <w:r>
        <w:rPr>
          <w:rFonts w:cs="Arial"/>
        </w:rPr>
        <w:t xml:space="preserve"> </w:t>
      </w:r>
      <w:r w:rsidR="00E10AB8">
        <w:t xml:space="preserve">gemäss </w:t>
      </w:r>
      <w:r w:rsidR="00E10AB8">
        <w:rPr>
          <w:rFonts w:cs="Arial"/>
        </w:rPr>
        <w:t>Art. 10 OHG und damit die von diesen zu bearbeitenden beso</w:t>
      </w:r>
      <w:r w:rsidR="00E10AB8">
        <w:rPr>
          <w:rFonts w:cs="Arial"/>
        </w:rPr>
        <w:t>n</w:t>
      </w:r>
      <w:r w:rsidR="00930213">
        <w:rPr>
          <w:rFonts w:cs="Arial"/>
        </w:rPr>
        <w:t>deren Personendaten</w:t>
      </w:r>
      <w:r w:rsidR="00E10AB8">
        <w:rPr>
          <w:rFonts w:cs="Arial"/>
        </w:rPr>
        <w:t xml:space="preserve"> </w:t>
      </w:r>
      <w:r>
        <w:rPr>
          <w:rFonts w:cs="Arial"/>
        </w:rPr>
        <w:t>(§ 6 EG OHG).</w:t>
      </w:r>
      <w:r w:rsidR="00144494">
        <w:rPr>
          <w:rFonts w:cs="Arial"/>
        </w:rPr>
        <w:t xml:space="preserve"> In §§ 8 ff. EG OHG werden sodann die Aufgaben der Opferhilfestelle geregelt. § 9 EG OHG legt fest, </w:t>
      </w:r>
      <w:r w:rsidR="00801B28">
        <w:rPr>
          <w:rFonts w:cs="Arial"/>
        </w:rPr>
        <w:t>dass</w:t>
      </w:r>
      <w:r w:rsidR="00144494">
        <w:rPr>
          <w:rFonts w:cs="Arial"/>
        </w:rPr>
        <w:t xml:space="preserve"> die Opferhilfestelle </w:t>
      </w:r>
      <w:r w:rsidR="00801B28">
        <w:rPr>
          <w:rFonts w:cs="Arial"/>
        </w:rPr>
        <w:t>unter a</w:t>
      </w:r>
      <w:r w:rsidR="00801B28">
        <w:rPr>
          <w:rFonts w:cs="Arial"/>
        </w:rPr>
        <w:t>n</w:t>
      </w:r>
      <w:r w:rsidR="00801B28">
        <w:rPr>
          <w:rFonts w:cs="Arial"/>
        </w:rPr>
        <w:t xml:space="preserve">derem aufgrund der Strafakten </w:t>
      </w:r>
      <w:r w:rsidR="00144494">
        <w:rPr>
          <w:rFonts w:cs="Arial"/>
        </w:rPr>
        <w:t xml:space="preserve">über Entschädigung und Genugtuung entscheidet. </w:t>
      </w:r>
      <w:r w:rsidR="00E10AB8">
        <w:rPr>
          <w:rFonts w:cs="Arial"/>
        </w:rPr>
        <w:t>Die</w:t>
      </w:r>
      <w:r w:rsidR="00801B28">
        <w:rPr>
          <w:rFonts w:cs="Arial"/>
        </w:rPr>
        <w:t xml:space="preserve"> zu bearbeitenden besonderen Personendaten </w:t>
      </w:r>
      <w:r w:rsidR="00E10AB8">
        <w:rPr>
          <w:rFonts w:cs="Arial"/>
        </w:rPr>
        <w:t>werden</w:t>
      </w:r>
      <w:r w:rsidR="00801B28">
        <w:rPr>
          <w:rFonts w:cs="Arial"/>
        </w:rPr>
        <w:t xml:space="preserve"> </w:t>
      </w:r>
      <w:r w:rsidR="00E10AB8">
        <w:rPr>
          <w:rFonts w:cs="Arial"/>
        </w:rPr>
        <w:t>mit Bezug auf die Opferhilfeste</w:t>
      </w:r>
      <w:r w:rsidR="00E10AB8">
        <w:rPr>
          <w:rFonts w:cs="Arial"/>
        </w:rPr>
        <w:t>l</w:t>
      </w:r>
      <w:r w:rsidR="00E10AB8">
        <w:rPr>
          <w:rFonts w:cs="Arial"/>
        </w:rPr>
        <w:t xml:space="preserve">le also </w:t>
      </w:r>
      <w:r w:rsidR="00801B28">
        <w:rPr>
          <w:rFonts w:cs="Arial"/>
        </w:rPr>
        <w:t xml:space="preserve">vom </w:t>
      </w:r>
      <w:r w:rsidR="005F53B2">
        <w:rPr>
          <w:rFonts w:cs="Arial"/>
        </w:rPr>
        <w:t>EG OHG</w:t>
      </w:r>
      <w:r w:rsidR="009D5607">
        <w:rPr>
          <w:rFonts w:cs="Arial"/>
        </w:rPr>
        <w:t xml:space="preserve"> geregelt</w:t>
      </w:r>
      <w:r w:rsidR="00801B28">
        <w:t>.</w:t>
      </w:r>
      <w:r w:rsidR="00514A46">
        <w:t xml:space="preserve"> Die vorhandenen gesetzlichen Grundlagen erscheinen damit als ausreichend.</w:t>
      </w:r>
    </w:p>
    <w:p w:rsidR="00DF65B1" w:rsidRDefault="005C3C7D">
      <w:pPr>
        <w:keepNext/>
        <w:tabs>
          <w:tab w:val="clear" w:pos="397"/>
          <w:tab w:val="clear" w:pos="794"/>
          <w:tab w:val="clear" w:pos="1191"/>
          <w:tab w:val="clear" w:pos="4479"/>
          <w:tab w:val="clear" w:pos="4876"/>
          <w:tab w:val="clear" w:pos="5273"/>
          <w:tab w:val="clear" w:pos="5670"/>
          <w:tab w:val="clear" w:pos="6067"/>
          <w:tab w:val="clear" w:pos="7938"/>
        </w:tabs>
        <w:autoSpaceDE w:val="0"/>
        <w:autoSpaceDN w:val="0"/>
        <w:adjustRightInd w:val="0"/>
        <w:spacing w:before="240"/>
        <w:rPr>
          <w:rFonts w:cs="Arial"/>
        </w:rPr>
      </w:pPr>
      <w:r>
        <w:rPr>
          <w:rFonts w:cs="Arial"/>
        </w:rPr>
        <w:t>d</w:t>
      </w:r>
      <w:r w:rsidR="00C159B2">
        <w:rPr>
          <w:rFonts w:cs="Arial"/>
        </w:rPr>
        <w:t>. Interventionsstelle gegen häusliche Gewalt</w:t>
      </w:r>
    </w:p>
    <w:p w:rsidR="00DF65B1" w:rsidRDefault="00DF65B1">
      <w:pPr>
        <w:tabs>
          <w:tab w:val="clear" w:pos="397"/>
          <w:tab w:val="clear" w:pos="794"/>
          <w:tab w:val="clear" w:pos="1191"/>
          <w:tab w:val="clear" w:pos="4479"/>
          <w:tab w:val="clear" w:pos="4876"/>
          <w:tab w:val="clear" w:pos="5273"/>
          <w:tab w:val="clear" w:pos="5670"/>
          <w:tab w:val="clear" w:pos="6067"/>
          <w:tab w:val="clear" w:pos="7938"/>
        </w:tabs>
        <w:autoSpaceDE w:val="0"/>
        <w:autoSpaceDN w:val="0"/>
        <w:adjustRightInd w:val="0"/>
        <w:rPr>
          <w:rFonts w:cs="Arial"/>
        </w:rPr>
      </w:pPr>
      <w:r>
        <w:rPr>
          <w:rFonts w:cs="Arial"/>
        </w:rPr>
        <w:t xml:space="preserve">Die </w:t>
      </w:r>
      <w:r w:rsidR="00A9365F">
        <w:rPr>
          <w:rFonts w:cs="Arial"/>
        </w:rPr>
        <w:t xml:space="preserve">Aufgaben der </w:t>
      </w:r>
      <w:r>
        <w:rPr>
          <w:rFonts w:cs="Arial"/>
        </w:rPr>
        <w:t xml:space="preserve">Interventionsstelle gegen häusliche Gewalt </w:t>
      </w:r>
      <w:r w:rsidR="00A9365F">
        <w:rPr>
          <w:rFonts w:cs="Arial"/>
        </w:rPr>
        <w:t>ergeben sich aus § 17 Abs. 1</w:t>
      </w:r>
      <w:r w:rsidR="00E10AB8">
        <w:rPr>
          <w:rFonts w:cs="Arial"/>
        </w:rPr>
        <w:t xml:space="preserve"> des</w:t>
      </w:r>
      <w:r w:rsidR="00A9365F">
        <w:rPr>
          <w:rFonts w:cs="Arial"/>
        </w:rPr>
        <w:t xml:space="preserve"> Gewaltschutzgesetz</w:t>
      </w:r>
      <w:r w:rsidR="00E10AB8">
        <w:rPr>
          <w:rFonts w:cs="Arial"/>
        </w:rPr>
        <w:t>es</w:t>
      </w:r>
      <w:r w:rsidR="00A9365F">
        <w:rPr>
          <w:rFonts w:cs="Arial"/>
        </w:rPr>
        <w:t xml:space="preserve">. Nach dieser Bestimmung </w:t>
      </w:r>
      <w:r w:rsidR="00A9365F" w:rsidRPr="00A9365F">
        <w:rPr>
          <w:rFonts w:cs="Arial"/>
        </w:rPr>
        <w:t xml:space="preserve">gewährleistet, steuert, koordiniert und überprüft </w:t>
      </w:r>
      <w:r w:rsidR="00EF67AE">
        <w:rPr>
          <w:rFonts w:cs="Arial"/>
        </w:rPr>
        <w:t>di</w:t>
      </w:r>
      <w:r w:rsidR="00A9365F">
        <w:rPr>
          <w:rFonts w:cs="Arial"/>
        </w:rPr>
        <w:t xml:space="preserve">e </w:t>
      </w:r>
      <w:r w:rsidR="00EF67AE">
        <w:rPr>
          <w:rFonts w:cs="Arial"/>
        </w:rPr>
        <w:t xml:space="preserve">Interventionsstelle </w:t>
      </w:r>
      <w:r w:rsidR="00A9365F" w:rsidRPr="00A9365F">
        <w:rPr>
          <w:rFonts w:cs="Arial"/>
        </w:rPr>
        <w:t>die Zusammenarbeit der mit häuslicher Gewalt befassten Behörden und Beratungsstellen</w:t>
      </w:r>
      <w:r w:rsidR="00A9365F">
        <w:rPr>
          <w:rFonts w:cs="Arial"/>
        </w:rPr>
        <w:t xml:space="preserve">. Dabei ist festzuhalten, dass </w:t>
      </w:r>
      <w:r w:rsidR="00EF67AE">
        <w:rPr>
          <w:rFonts w:cs="Arial"/>
        </w:rPr>
        <w:t>die</w:t>
      </w:r>
      <w:r w:rsidR="00A9365F">
        <w:rPr>
          <w:rFonts w:cs="Arial"/>
        </w:rPr>
        <w:t xml:space="preserve"> I</w:t>
      </w:r>
      <w:r w:rsidR="00A9365F">
        <w:rPr>
          <w:rFonts w:cs="Arial"/>
        </w:rPr>
        <w:t>n</w:t>
      </w:r>
      <w:r w:rsidR="00A9365F">
        <w:rPr>
          <w:rFonts w:cs="Arial"/>
        </w:rPr>
        <w:t>terventionsstelle gestützt auf diese Bestimmung keine generelle Überprüfung sämtl</w:t>
      </w:r>
      <w:r w:rsidR="00A9365F">
        <w:rPr>
          <w:rFonts w:cs="Arial"/>
        </w:rPr>
        <w:t>i</w:t>
      </w:r>
      <w:r w:rsidR="00A9365F">
        <w:rPr>
          <w:rFonts w:cs="Arial"/>
        </w:rPr>
        <w:lastRenderedPageBreak/>
        <w:t xml:space="preserve">cher Vorfälle im Zusammenhang mit häuslicher Gewalt vornimmt und ihr auch keine Einsicht in </w:t>
      </w:r>
      <w:r w:rsidR="00847DE5">
        <w:rPr>
          <w:rFonts w:cs="Arial"/>
        </w:rPr>
        <w:t>besondere Personend</w:t>
      </w:r>
      <w:r w:rsidR="00A9365F">
        <w:rPr>
          <w:rFonts w:cs="Arial"/>
        </w:rPr>
        <w:t xml:space="preserve">aten der befassten Behörden zusteht. </w:t>
      </w:r>
      <w:r w:rsidR="00212B2F">
        <w:rPr>
          <w:rFonts w:cs="Arial"/>
        </w:rPr>
        <w:t>E</w:t>
      </w:r>
      <w:r w:rsidR="00CA30DE">
        <w:rPr>
          <w:rFonts w:cs="Arial"/>
        </w:rPr>
        <w:t>igene Date</w:t>
      </w:r>
      <w:r w:rsidR="00CA30DE">
        <w:rPr>
          <w:rFonts w:cs="Arial"/>
        </w:rPr>
        <w:t>n</w:t>
      </w:r>
      <w:r w:rsidR="00CA30DE">
        <w:rPr>
          <w:rFonts w:cs="Arial"/>
        </w:rPr>
        <w:t>banken</w:t>
      </w:r>
      <w:r w:rsidR="00212B2F">
        <w:rPr>
          <w:rFonts w:cs="Arial"/>
        </w:rPr>
        <w:t xml:space="preserve"> führt sie nicht</w:t>
      </w:r>
      <w:r w:rsidR="00CA30DE">
        <w:rPr>
          <w:rFonts w:cs="Arial"/>
        </w:rPr>
        <w:t>. Vielmehr ist d</w:t>
      </w:r>
      <w:r w:rsidR="00A9365F">
        <w:rPr>
          <w:rFonts w:cs="Arial"/>
        </w:rPr>
        <w:t>ie Überprüfung der Zusammenarbeit auf Einzelfä</w:t>
      </w:r>
      <w:r w:rsidR="00A9365F">
        <w:rPr>
          <w:rFonts w:cs="Arial"/>
        </w:rPr>
        <w:t>l</w:t>
      </w:r>
      <w:r w:rsidR="00A9365F">
        <w:rPr>
          <w:rFonts w:cs="Arial"/>
        </w:rPr>
        <w:t xml:space="preserve">le beschränkt, in denen ihr Daten durch die mit häuslicher Gewalt befassten Behörden gestützt auf § 17 Abs. 2 IDG </w:t>
      </w:r>
      <w:r w:rsidR="00CA30DE">
        <w:rPr>
          <w:rFonts w:cs="Arial"/>
        </w:rPr>
        <w:t>bekannt ge</w:t>
      </w:r>
      <w:r w:rsidR="00212B2F">
        <w:rPr>
          <w:rFonts w:cs="Arial"/>
        </w:rPr>
        <w:t xml:space="preserve">geben und mit den involvierten Behörden </w:t>
      </w:r>
      <w:r w:rsidR="00847DE5">
        <w:rPr>
          <w:rFonts w:cs="Arial"/>
        </w:rPr>
        <w:t xml:space="preserve">mündlich </w:t>
      </w:r>
      <w:r w:rsidR="00212B2F">
        <w:rPr>
          <w:rFonts w:cs="Arial"/>
        </w:rPr>
        <w:t>besprochen werden</w:t>
      </w:r>
      <w:r w:rsidR="00A9365F">
        <w:rPr>
          <w:rFonts w:cs="Arial"/>
        </w:rPr>
        <w:t>.</w:t>
      </w:r>
      <w:r w:rsidR="00212B2F">
        <w:rPr>
          <w:rFonts w:cs="Arial"/>
        </w:rPr>
        <w:t xml:space="preserve"> Eine Bearbeitung besonderer Personendaten darüber hinaus erfolgt nicht</w:t>
      </w:r>
      <w:r w:rsidR="00847DE5">
        <w:rPr>
          <w:rFonts w:cs="Arial"/>
        </w:rPr>
        <w:t xml:space="preserve">, weshalb </w:t>
      </w:r>
      <w:r w:rsidR="00847DE5">
        <w:t>die vorhandenen gesetzlichen Grundlagen unter dem Gesichtspunkt des Datenschutzes als ausreichend erscheinen</w:t>
      </w:r>
      <w:r w:rsidR="00212B2F">
        <w:rPr>
          <w:rFonts w:cs="Arial"/>
        </w:rPr>
        <w:t>.</w:t>
      </w:r>
    </w:p>
    <w:p w:rsidR="00DF65B1" w:rsidRDefault="005C3C7D">
      <w:pPr>
        <w:pStyle w:val="00Vorgabetext"/>
        <w:keepNext/>
        <w:tabs>
          <w:tab w:val="left" w:pos="425"/>
        </w:tabs>
        <w:spacing w:before="240"/>
      </w:pPr>
      <w:r>
        <w:t>e</w:t>
      </w:r>
      <w:r w:rsidR="00307DCB">
        <w:t xml:space="preserve">. </w:t>
      </w:r>
      <w:r w:rsidR="00345516">
        <w:tab/>
      </w:r>
      <w:r w:rsidR="00345516">
        <w:tab/>
      </w:r>
      <w:r w:rsidR="00256027">
        <w:t>Zivilstandswesen</w:t>
      </w:r>
    </w:p>
    <w:p w:rsidR="00930213" w:rsidRDefault="00930213" w:rsidP="00930213">
      <w:pPr>
        <w:pStyle w:val="00Vorgabetext"/>
        <w:tabs>
          <w:tab w:val="left" w:pos="425"/>
        </w:tabs>
      </w:pPr>
      <w:r>
        <w:t>Das Zivilstandswesen</w:t>
      </w:r>
      <w:r w:rsidR="009C41D0">
        <w:t xml:space="preserve"> ist durch das Bundesrecht abschliessend geregelt (vgl. insb</w:t>
      </w:r>
      <w:r w:rsidR="009C41D0">
        <w:t>e</w:t>
      </w:r>
      <w:r w:rsidR="009C41D0">
        <w:t>sondere Art. 40, 43</w:t>
      </w:r>
      <w:r w:rsidR="00D650C2" w:rsidRPr="00D650C2">
        <w:rPr>
          <w:i/>
        </w:rPr>
        <w:t>a</w:t>
      </w:r>
      <w:r w:rsidR="009C41D0">
        <w:t>,</w:t>
      </w:r>
      <w:r w:rsidR="00841157">
        <w:t xml:space="preserve"> </w:t>
      </w:r>
      <w:r w:rsidR="009C41D0">
        <w:t>48 und 103 ZGB sowie Art. 8, 15 ff. Zivilstandsverordnung</w:t>
      </w:r>
      <w:r w:rsidR="00CE53E1">
        <w:t xml:space="preserve">, </w:t>
      </w:r>
      <w:proofErr w:type="spellStart"/>
      <w:r w:rsidR="00CE53E1">
        <w:t>ZStV</w:t>
      </w:r>
      <w:proofErr w:type="spellEnd"/>
      <w:r w:rsidR="009C41D0">
        <w:t xml:space="preserve">). </w:t>
      </w:r>
      <w:r w:rsidR="00D92DC5">
        <w:t>Das Bundesrecht regelt sowohl den Bearbeitungszweck als auch die zu bea</w:t>
      </w:r>
      <w:r w:rsidR="00D92DC5">
        <w:t>r</w:t>
      </w:r>
      <w:r w:rsidR="00D92DC5">
        <w:t xml:space="preserve">beitenden besonderen Personendaten. </w:t>
      </w:r>
      <w:r w:rsidR="009C41D0">
        <w:t xml:space="preserve">Die zuständigen Organe </w:t>
      </w:r>
      <w:r w:rsidR="00D92DC5">
        <w:t>sind durch die Kant</w:t>
      </w:r>
      <w:r w:rsidR="00D92DC5">
        <w:t>o</w:t>
      </w:r>
      <w:r w:rsidR="00D92DC5">
        <w:t>ne zu bestimmen</w:t>
      </w:r>
      <w:r w:rsidR="00212B2F">
        <w:t>. Die gesetzliche Grundlage dazu findet sich in</w:t>
      </w:r>
      <w:r w:rsidR="009C41D0">
        <w:t xml:space="preserve"> §§ 26</w:t>
      </w:r>
      <w:r w:rsidR="00CE53E1">
        <w:t xml:space="preserve"> </w:t>
      </w:r>
      <w:r w:rsidR="009C41D0">
        <w:t>f. EG ZGB</w:t>
      </w:r>
      <w:r w:rsidR="00D92DC5">
        <w:t>)</w:t>
      </w:r>
      <w:r w:rsidR="009C41D0">
        <w:t xml:space="preserve">. </w:t>
      </w:r>
      <w:r w:rsidR="00847DE5">
        <w:t>Zusätzliche Regelungen</w:t>
      </w:r>
      <w:r w:rsidR="00847DE5" w:rsidRPr="00847DE5">
        <w:t xml:space="preserve"> </w:t>
      </w:r>
      <w:r w:rsidR="00847DE5">
        <w:t>unter dem Gesichtspunkt des Datenschutzes sind nicht zu erlassen.</w:t>
      </w:r>
    </w:p>
    <w:p w:rsidR="00DF65B1" w:rsidRDefault="005C3C7D" w:rsidP="00930213">
      <w:pPr>
        <w:pStyle w:val="00Vorgabetext"/>
        <w:tabs>
          <w:tab w:val="left" w:pos="425"/>
        </w:tabs>
        <w:spacing w:before="240"/>
      </w:pPr>
      <w:r>
        <w:t>f</w:t>
      </w:r>
      <w:r w:rsidR="00F11F6C">
        <w:t xml:space="preserve">. </w:t>
      </w:r>
      <w:r w:rsidR="00C159B2">
        <w:tab/>
      </w:r>
      <w:r w:rsidR="00F11F6C">
        <w:t xml:space="preserve">Einbürgerungen </w:t>
      </w:r>
      <w:r w:rsidR="00930213">
        <w:t xml:space="preserve"> </w:t>
      </w:r>
    </w:p>
    <w:p w:rsidR="009A73AF" w:rsidRPr="00BD5619" w:rsidRDefault="00A040C5" w:rsidP="00BD5619">
      <w:pPr>
        <w:tabs>
          <w:tab w:val="clear" w:pos="397"/>
          <w:tab w:val="clear" w:pos="794"/>
          <w:tab w:val="clear" w:pos="1191"/>
          <w:tab w:val="clear" w:pos="4479"/>
          <w:tab w:val="clear" w:pos="4876"/>
          <w:tab w:val="clear" w:pos="5273"/>
          <w:tab w:val="clear" w:pos="5670"/>
          <w:tab w:val="clear" w:pos="6067"/>
          <w:tab w:val="clear" w:pos="7938"/>
        </w:tabs>
        <w:autoSpaceDE w:val="0"/>
        <w:autoSpaceDN w:val="0"/>
        <w:adjustRightInd w:val="0"/>
        <w:rPr>
          <w:rFonts w:cs="Arial"/>
        </w:rPr>
      </w:pPr>
      <w:r>
        <w:t xml:space="preserve">Die Erlangung des Schweizer Bürgerrechts wird einerseits durch das Bundesgesetz über Erwerb und Verlust des Schweizer Bürgerrechts </w:t>
      </w:r>
      <w:r w:rsidR="00F11F6C">
        <w:t>(</w:t>
      </w:r>
      <w:r w:rsidR="00F11F6C" w:rsidRPr="00CE31A2">
        <w:t>BüG)</w:t>
      </w:r>
      <w:r w:rsidR="007E4F9B">
        <w:t xml:space="preserve"> </w:t>
      </w:r>
      <w:r>
        <w:t>geregelt. Bei der Einbü</w:t>
      </w:r>
      <w:r>
        <w:t>r</w:t>
      </w:r>
      <w:r>
        <w:t>gerung im ordentlichen Verfahren wird das Schweizer Bürgerrecht jedoch mit der Ei</w:t>
      </w:r>
      <w:r>
        <w:t>n</w:t>
      </w:r>
      <w:r>
        <w:t xml:space="preserve">bürgerung in einem Kanton und einer Gemeinde erworben. Das BüG verweist denn </w:t>
      </w:r>
      <w:r w:rsidR="00F67D97">
        <w:t xml:space="preserve">bezüglich der Erlangung des Kantons- und Gemeindebürgerrechts </w:t>
      </w:r>
      <w:r>
        <w:t>auch auf</w:t>
      </w:r>
      <w:r w:rsidR="00F67D97">
        <w:t xml:space="preserve"> das ka</w:t>
      </w:r>
      <w:r w:rsidR="00F67D97">
        <w:t>n</w:t>
      </w:r>
      <w:r w:rsidR="00F67D97">
        <w:t>tonale</w:t>
      </w:r>
      <w:r>
        <w:t xml:space="preserve"> Recht. Im Kanton Zürich regeln Art. 20 f. KV</w:t>
      </w:r>
      <w:r w:rsidR="00F67D97">
        <w:t>, das Gemeindegesetz (GG)</w:t>
      </w:r>
      <w:r>
        <w:t xml:space="preserve"> und die Bürgerrechtsverordnung</w:t>
      </w:r>
      <w:r w:rsidR="005F53B2">
        <w:t xml:space="preserve"> (BüV)</w:t>
      </w:r>
      <w:r>
        <w:t xml:space="preserve"> das </w:t>
      </w:r>
      <w:r w:rsidR="00F67D97">
        <w:t>N</w:t>
      </w:r>
      <w:r>
        <w:t xml:space="preserve">ähere. Ein </w:t>
      </w:r>
      <w:r w:rsidR="00F67D97">
        <w:t>Spezialg</w:t>
      </w:r>
      <w:r>
        <w:t xml:space="preserve">esetz </w:t>
      </w:r>
      <w:r w:rsidR="00F67D97">
        <w:t xml:space="preserve">betreffend das Kantons- und Gemeindebürgerrecht </w:t>
      </w:r>
      <w:r>
        <w:t xml:space="preserve">fehlt. </w:t>
      </w:r>
      <w:r w:rsidR="004D245F">
        <w:t>Der Bearbeitungszweck</w:t>
      </w:r>
      <w:r w:rsidR="006164E0">
        <w:t xml:space="preserve">, nämlich die Beurteilung von Einbürgerungsgesuchen, </w:t>
      </w:r>
      <w:r w:rsidR="004D245F">
        <w:t xml:space="preserve">ergibt sich </w:t>
      </w:r>
      <w:r w:rsidR="00F67D97">
        <w:t xml:space="preserve">jedoch </w:t>
      </w:r>
      <w:r w:rsidR="004D245F">
        <w:t xml:space="preserve">aus den bestehenden Rechtsgrundlagen und auch mit Bezug auf die Art der zu bearbeitenden Daten legen BüG und KV das Grundlegende fest (Art. 14 </w:t>
      </w:r>
      <w:r w:rsidR="006164E0">
        <w:t xml:space="preserve">und 49a Abs. 1 </w:t>
      </w:r>
      <w:r w:rsidR="004D245F">
        <w:t xml:space="preserve">BüG und Art. </w:t>
      </w:r>
      <w:r w:rsidR="006164E0">
        <w:t>20 Abs. 3 KV)</w:t>
      </w:r>
      <w:r w:rsidR="004D245F">
        <w:t xml:space="preserve">. </w:t>
      </w:r>
      <w:r w:rsidR="00BD5619">
        <w:t>Für die Ve</w:t>
      </w:r>
      <w:r w:rsidR="00BD5619">
        <w:t>r</w:t>
      </w:r>
      <w:r w:rsidR="00BD5619">
        <w:t>wendung der Strafregisterauszüge besteht zudem eine besondere gesetzliche Grun</w:t>
      </w:r>
      <w:r w:rsidR="00BD5619">
        <w:t>d</w:t>
      </w:r>
      <w:r w:rsidR="00BD5619">
        <w:t xml:space="preserve">lage in Art. 365 Abs. 2 Bst. g StGB. </w:t>
      </w:r>
      <w:r w:rsidR="006164E0">
        <w:t xml:space="preserve">Mit Bezug auf die verantwortlichen Organe ergibt sich die Zuständigkeit des Kantons aus Art. 15a BüG. Mit Bezug auf die Erteilung des Gemeindebürgerrechts regelt § 23 </w:t>
      </w:r>
      <w:r w:rsidR="00F67D97">
        <w:t>GG</w:t>
      </w:r>
      <w:r w:rsidR="006164E0">
        <w:t xml:space="preserve"> das Notwendige. </w:t>
      </w:r>
      <w:r w:rsidR="005E20E2">
        <w:t>Nicht auf formell gesetzlicher Stufe geregelt ist die für die Erteilung des Kantonsbürgerrechts zuständige Stelle. Die</w:t>
      </w:r>
      <w:r w:rsidR="00715FDB">
        <w:t xml:space="preserve"> entsprechende</w:t>
      </w:r>
      <w:r w:rsidR="005E20E2">
        <w:t xml:space="preserve"> Regelung finde</w:t>
      </w:r>
      <w:r w:rsidR="00715FDB">
        <w:t>t</w:t>
      </w:r>
      <w:r w:rsidR="005E20E2">
        <w:t xml:space="preserve"> sich kraft Delegation im Gemeindegesetz auf Veror</w:t>
      </w:r>
      <w:r w:rsidR="005E20E2">
        <w:t>d</w:t>
      </w:r>
      <w:r w:rsidR="005E20E2">
        <w:t xml:space="preserve">nungsstufe (§ 31 GG; § 20 der </w:t>
      </w:r>
      <w:r w:rsidR="005E20E2" w:rsidRPr="005E20E2">
        <w:t>Bürgerrechtsverordnung</w:t>
      </w:r>
      <w:r w:rsidR="005E20E2">
        <w:t xml:space="preserve"> und Anhang 1, lit. A, Ziff. 7</w:t>
      </w:r>
      <w:r w:rsidR="005E20E2" w:rsidRPr="005E20E2">
        <w:t xml:space="preserve"> </w:t>
      </w:r>
      <w:r w:rsidR="005E20E2">
        <w:t>der Verordnung über die Organisation des Regierungsrates und der kantonalen Verwa</w:t>
      </w:r>
      <w:r w:rsidR="005E20E2">
        <w:t>l</w:t>
      </w:r>
      <w:r w:rsidR="005E20E2">
        <w:t xml:space="preserve">tung). </w:t>
      </w:r>
      <w:r w:rsidR="00715FDB">
        <w:t xml:space="preserve">Auch diesbezüglich erscheinen die vorhandenen gesetzlichen Grundlagen unter dem Gesichtspunkt des Datenschutzes mithin als ausreichend. </w:t>
      </w:r>
    </w:p>
    <w:p w:rsidR="00307DCB" w:rsidRDefault="005C3C7D" w:rsidP="009A73AF">
      <w:pPr>
        <w:pStyle w:val="00Vorgabetext"/>
        <w:keepNext/>
        <w:tabs>
          <w:tab w:val="left" w:pos="425"/>
        </w:tabs>
        <w:spacing w:before="240"/>
      </w:pPr>
      <w:r>
        <w:t>g</w:t>
      </w:r>
      <w:r w:rsidR="00307DCB">
        <w:t xml:space="preserve">. </w:t>
      </w:r>
      <w:r w:rsidR="00C159B2">
        <w:tab/>
      </w:r>
      <w:r w:rsidR="00307DCB">
        <w:t>Namensänderung</w:t>
      </w:r>
      <w:r w:rsidR="00256027">
        <w:t>en</w:t>
      </w:r>
    </w:p>
    <w:p w:rsidR="005F29C5" w:rsidRDefault="00126812" w:rsidP="005F29C5">
      <w:pPr>
        <w:pStyle w:val="00Vorgabetext"/>
        <w:tabs>
          <w:tab w:val="left" w:pos="425"/>
        </w:tabs>
      </w:pPr>
      <w:r>
        <w:t>Das Bundesrecht regelt das Recht zur Namensänderung abschliessend</w:t>
      </w:r>
      <w:r w:rsidR="00D04670">
        <w:t xml:space="preserve"> (Art. 29 f. ZGB und für internationale Sachverhalte Art. 37 ff. des </w:t>
      </w:r>
      <w:r w:rsidR="00D04670" w:rsidRPr="00CE31A2">
        <w:t>Bundesgesetz</w:t>
      </w:r>
      <w:r w:rsidR="00D04670">
        <w:t>es</w:t>
      </w:r>
      <w:r w:rsidR="00D04670" w:rsidRPr="00CE31A2">
        <w:t xml:space="preserve"> vom 18. Dezember 1987 über das Internationale Privatrecht)</w:t>
      </w:r>
      <w:r w:rsidR="00D04670">
        <w:t>. Dem kantonalen Gesetzgeber steht es nicht zu, die entsprechenden Regelungen</w:t>
      </w:r>
      <w:r w:rsidR="001962DB">
        <w:t xml:space="preserve"> – sei es bezüglich </w:t>
      </w:r>
      <w:r w:rsidR="00F67D97">
        <w:t xml:space="preserve">des Bearbeitungszwecks, sei </w:t>
      </w:r>
      <w:r w:rsidR="00F67D97">
        <w:lastRenderedPageBreak/>
        <w:t xml:space="preserve">es bezüglich der </w:t>
      </w:r>
      <w:r w:rsidR="001962DB">
        <w:t>bearbeitete</w:t>
      </w:r>
      <w:r w:rsidR="00F67D97">
        <w:t>n</w:t>
      </w:r>
      <w:r w:rsidR="001962DB">
        <w:t xml:space="preserve"> Daten</w:t>
      </w:r>
      <w:r w:rsidR="00F67D97">
        <w:t xml:space="preserve"> – zu </w:t>
      </w:r>
      <w:r w:rsidR="00D04670">
        <w:t xml:space="preserve">ergänzen. </w:t>
      </w:r>
      <w:r w:rsidR="001962DB">
        <w:t>Das ZGB</w:t>
      </w:r>
      <w:r>
        <w:t xml:space="preserve"> bestimmt</w:t>
      </w:r>
      <w:r w:rsidR="00F67D97" w:rsidRPr="00F67D97">
        <w:t xml:space="preserve"> </w:t>
      </w:r>
      <w:r w:rsidR="00F67D97">
        <w:t>als zuständige Behörde</w:t>
      </w:r>
      <w:r>
        <w:t xml:space="preserve"> die „Regierung“ des Wohnsitzkantons</w:t>
      </w:r>
      <w:r w:rsidR="001962DB">
        <w:t>.</w:t>
      </w:r>
      <w:r>
        <w:t xml:space="preserve"> Die Zuständigkeit der JI ergibt sich aus der Delegation </w:t>
      </w:r>
      <w:r w:rsidR="00F67D97">
        <w:t xml:space="preserve">in </w:t>
      </w:r>
      <w:r>
        <w:t xml:space="preserve">§ 44 Abs. 2 Ziff. 15 EG ZGB. </w:t>
      </w:r>
    </w:p>
    <w:p w:rsidR="00307DCB" w:rsidRDefault="005C3C7D" w:rsidP="005F29C5">
      <w:pPr>
        <w:pStyle w:val="00Vorgabetext"/>
        <w:tabs>
          <w:tab w:val="left" w:pos="425"/>
        </w:tabs>
        <w:spacing w:before="240"/>
      </w:pPr>
      <w:r>
        <w:t>h</w:t>
      </w:r>
      <w:r w:rsidR="00307DCB">
        <w:t>.</w:t>
      </w:r>
      <w:r w:rsidR="00C159B2">
        <w:tab/>
      </w:r>
      <w:r w:rsidR="00F11F6C">
        <w:t>Handelsregister</w:t>
      </w:r>
      <w:r w:rsidR="00256027">
        <w:t>wesen</w:t>
      </w:r>
    </w:p>
    <w:p w:rsidR="0012324F" w:rsidRDefault="00F67D97" w:rsidP="00F67D97">
      <w:pPr>
        <w:pStyle w:val="00Vorgabetext"/>
        <w:tabs>
          <w:tab w:val="left" w:pos="425"/>
        </w:tabs>
      </w:pPr>
      <w:r>
        <w:t xml:space="preserve">Das Handelsregisterwesen wird in Art. 927 ff. </w:t>
      </w:r>
      <w:r w:rsidR="00F11F6C">
        <w:t>OR</w:t>
      </w:r>
      <w:r>
        <w:t xml:space="preserve"> geregelt. Die Bestimmungen regeln den Bearbeitungszweck und die zu bearbeitenden Daten abschliessend. </w:t>
      </w:r>
      <w:r w:rsidR="00850452">
        <w:t xml:space="preserve">Zusätzliche gesetzliche Grundlagen unter dem Gesichtspunkt des Datenschutzes </w:t>
      </w:r>
      <w:r w:rsidR="00930213">
        <w:t>dürfen</w:t>
      </w:r>
      <w:r w:rsidR="00850452">
        <w:t xml:space="preserve"> vo</w:t>
      </w:r>
      <w:r w:rsidR="00930213">
        <w:t xml:space="preserve">n den </w:t>
      </w:r>
      <w:r w:rsidR="00850452">
        <w:t xml:space="preserve"> Kanton</w:t>
      </w:r>
      <w:r w:rsidR="00930213">
        <w:t>en</w:t>
      </w:r>
      <w:r w:rsidR="00850452">
        <w:t xml:space="preserve"> nicht erlassen werden. D</w:t>
      </w:r>
      <w:r>
        <w:t xml:space="preserve">urch den kantonalen Gesetzgeber sind lediglich die Amtsstellen, die das Handelsregister führen und die kantonale Aufsichtsbehörde zu bezeichnen (Art. 927 Abs. 3). Beide Aufgaben werden </w:t>
      </w:r>
      <w:r w:rsidR="00850452">
        <w:t xml:space="preserve">gemäss </w:t>
      </w:r>
      <w:r w:rsidR="005F53B2">
        <w:t xml:space="preserve">Delegation in </w:t>
      </w:r>
      <w:r w:rsidR="00850452">
        <w:t>§ 38 OG RR im</w:t>
      </w:r>
      <w:r>
        <w:t xml:space="preserve"> Anhang 1 lit. A. Ziff. 8 VOG RR der JI zugewiesen.</w:t>
      </w:r>
      <w:r w:rsidR="00850452" w:rsidRPr="00850452">
        <w:t xml:space="preserve"> </w:t>
      </w:r>
    </w:p>
    <w:p w:rsidR="00DF65B1" w:rsidRDefault="005C3C7D">
      <w:pPr>
        <w:pStyle w:val="00Vorgabetext"/>
        <w:keepNext/>
        <w:tabs>
          <w:tab w:val="left" w:pos="425"/>
        </w:tabs>
        <w:spacing w:before="240"/>
      </w:pPr>
      <w:r>
        <w:t>i</w:t>
      </w:r>
      <w:r w:rsidR="00C675C4">
        <w:t xml:space="preserve">. </w:t>
      </w:r>
      <w:r w:rsidR="00C159B2">
        <w:tab/>
      </w:r>
      <w:r w:rsidR="00C675C4">
        <w:t xml:space="preserve">Rechtsmittel </w:t>
      </w:r>
    </w:p>
    <w:p w:rsidR="00C675C4" w:rsidRDefault="00255D7A" w:rsidP="00F11F6C">
      <w:pPr>
        <w:pStyle w:val="00Vorgabetext"/>
        <w:tabs>
          <w:tab w:val="left" w:pos="425"/>
        </w:tabs>
      </w:pPr>
      <w:r>
        <w:t>Die Direktion ist gestützt auf § 19b Abs. 2 lit. b Verwaltungsrechtspflegegesetz (VRG) zuständig für den v</w:t>
      </w:r>
      <w:r w:rsidR="00C675C4">
        <w:t xml:space="preserve">erwaltungsinternen Rechtsmittelzug </w:t>
      </w:r>
      <w:r>
        <w:t>gegen untergeordnete Verwa</w:t>
      </w:r>
      <w:r>
        <w:t>l</w:t>
      </w:r>
      <w:r>
        <w:t xml:space="preserve">tungseinheiten. In §§ 19 ff. VRG werden die Aufgaben der Rekursinstanz geregelt. </w:t>
      </w:r>
      <w:r w:rsidR="00C159B2">
        <w:t>Bearbeitungszweck und zu bearbeitende Daten erg</w:t>
      </w:r>
      <w:r w:rsidR="00E43515">
        <w:t>e</w:t>
      </w:r>
      <w:r w:rsidR="00C159B2">
        <w:t>ben sich dabei</w:t>
      </w:r>
      <w:r w:rsidR="00B87DE2">
        <w:t xml:space="preserve"> ausnahmslos</w:t>
      </w:r>
      <w:r w:rsidR="00C159B2">
        <w:t xml:space="preserve"> aus dem VRG in Verbindung mit dem jeweiligen Spezialgesetz.</w:t>
      </w:r>
      <w:r w:rsidR="00850452">
        <w:t xml:space="preserve"> Zusätzliche gesetzliche Grundlagen unter dem Gesichtspunkt des Datenschutzes für Rekursverfahren sind nicht zu erlassen.</w:t>
      </w:r>
      <w:r w:rsidR="00C159B2">
        <w:t xml:space="preserve"> </w:t>
      </w:r>
      <w:r>
        <w:t xml:space="preserve"> </w:t>
      </w:r>
    </w:p>
    <w:p w:rsidR="005F53B2" w:rsidRDefault="005C3C7D" w:rsidP="005F53B2">
      <w:pPr>
        <w:pStyle w:val="00Vorgabetext"/>
        <w:tabs>
          <w:tab w:val="left" w:pos="425"/>
        </w:tabs>
        <w:spacing w:before="240"/>
      </w:pPr>
      <w:r>
        <w:t>j</w:t>
      </w:r>
      <w:r w:rsidR="005F53B2">
        <w:t>. Weiter</w:t>
      </w:r>
      <w:r w:rsidR="00402D22">
        <w:t>e</w:t>
      </w:r>
      <w:r w:rsidR="005F53B2">
        <w:t xml:space="preserve"> Aufgaben</w:t>
      </w:r>
    </w:p>
    <w:p w:rsidR="009854E9" w:rsidRDefault="005F53B2" w:rsidP="009A73AF">
      <w:pPr>
        <w:pStyle w:val="00Vorgabetext"/>
      </w:pPr>
      <w:r>
        <w:t>Im Rahmen der übrigen in der JI erfüllten Aufgaben (</w:t>
      </w:r>
      <w:r w:rsidR="00402D22">
        <w:t xml:space="preserve">Betreuung der Gemeinden durch das Gemeindeamt, Fachstellen für </w:t>
      </w:r>
      <w:r>
        <w:t xml:space="preserve">Integration, </w:t>
      </w:r>
      <w:r w:rsidR="00402D22">
        <w:t xml:space="preserve">Gleichstellung und </w:t>
      </w:r>
      <w:r>
        <w:t xml:space="preserve">Kultur) werden </w:t>
      </w:r>
      <w:r w:rsidR="001F5AE3">
        <w:t xml:space="preserve">keine </w:t>
      </w:r>
      <w:r w:rsidR="00605936">
        <w:t>besonderen</w:t>
      </w:r>
      <w:r>
        <w:t xml:space="preserve"> Personendaten</w:t>
      </w:r>
      <w:r w:rsidR="00930213">
        <w:t xml:space="preserve"> </w:t>
      </w:r>
      <w:proofErr w:type="spellStart"/>
      <w:r w:rsidR="00063533">
        <w:t>b</w:t>
      </w:r>
      <w:r>
        <w:t>erarbeitet</w:t>
      </w:r>
      <w:proofErr w:type="spellEnd"/>
      <w:r>
        <w:t>.</w:t>
      </w:r>
      <w:r w:rsidR="00930213">
        <w:t xml:space="preserve"> </w:t>
      </w:r>
    </w:p>
    <w:p w:rsidR="00605936" w:rsidRDefault="005C3C7D" w:rsidP="00605936">
      <w:pPr>
        <w:pStyle w:val="00Vorgabetext"/>
        <w:spacing w:before="240"/>
      </w:pPr>
      <w:r>
        <w:t>3</w:t>
      </w:r>
      <w:r w:rsidR="00605936">
        <w:t xml:space="preserve">. </w:t>
      </w:r>
      <w:r>
        <w:t>Schlussb</w:t>
      </w:r>
      <w:r w:rsidR="00605936">
        <w:t>etrachtung</w:t>
      </w:r>
    </w:p>
    <w:p w:rsidR="00605936" w:rsidRDefault="00605936" w:rsidP="009A73AF">
      <w:pPr>
        <w:pStyle w:val="00Vorgabetext"/>
      </w:pPr>
      <w:r>
        <w:t>Zusamme</w:t>
      </w:r>
      <w:r w:rsidR="00564FE5">
        <w:t>nfassend ist festzuhalten, dass die vorhandenen gesetzlichen Grundlagen für die Bearbeitung besonderer Personendaten durch Verwaltungseinheiten der JI den Voraussetzungen von</w:t>
      </w:r>
      <w:r>
        <w:t xml:space="preserve"> § 8 Abs. 2 IDG </w:t>
      </w:r>
      <w:r w:rsidR="00564FE5">
        <w:t xml:space="preserve">genügen. </w:t>
      </w:r>
    </w:p>
    <w:p w:rsidR="00514A46" w:rsidRDefault="00514A46" w:rsidP="009A73AF">
      <w:pPr>
        <w:pStyle w:val="00Vorgabetext"/>
        <w:keepNext/>
        <w:tabs>
          <w:tab w:val="clear" w:pos="794"/>
          <w:tab w:val="left" w:pos="426"/>
          <w:tab w:val="left" w:pos="993"/>
        </w:tabs>
        <w:spacing w:before="240"/>
        <w:ind w:left="397" w:hanging="397"/>
        <w:rPr>
          <w:lang w:val="de-DE"/>
        </w:rPr>
      </w:pPr>
    </w:p>
    <w:p w:rsidR="009854E9" w:rsidRDefault="009854E9" w:rsidP="009A73AF">
      <w:pPr>
        <w:pStyle w:val="00Vorgabetext"/>
        <w:keepNext/>
        <w:tabs>
          <w:tab w:val="clear" w:pos="794"/>
          <w:tab w:val="left" w:pos="426"/>
          <w:tab w:val="left" w:pos="993"/>
        </w:tabs>
        <w:spacing w:before="240"/>
        <w:ind w:left="397" w:hanging="397"/>
        <w:rPr>
          <w:lang w:val="de-DE"/>
        </w:rPr>
      </w:pPr>
      <w:r>
        <w:rPr>
          <w:lang w:val="de-DE"/>
        </w:rPr>
        <w:t>I</w:t>
      </w:r>
      <w:r w:rsidR="008E5645">
        <w:rPr>
          <w:lang w:val="de-DE"/>
        </w:rPr>
        <w:t>II</w:t>
      </w:r>
      <w:r>
        <w:rPr>
          <w:lang w:val="de-DE"/>
        </w:rPr>
        <w:t xml:space="preserve">. </w:t>
      </w:r>
      <w:r w:rsidR="00C159B2">
        <w:rPr>
          <w:lang w:val="de-DE"/>
        </w:rPr>
        <w:tab/>
      </w:r>
      <w:r>
        <w:rPr>
          <w:lang w:val="de-DE"/>
        </w:rPr>
        <w:t xml:space="preserve">Notwendige </w:t>
      </w:r>
      <w:r w:rsidR="003C7B3D">
        <w:rPr>
          <w:lang w:val="de-DE"/>
        </w:rPr>
        <w:t xml:space="preserve">zusätzliche </w:t>
      </w:r>
      <w:r>
        <w:rPr>
          <w:lang w:val="de-DE"/>
        </w:rPr>
        <w:t>gesetzliche Regelungen</w:t>
      </w:r>
    </w:p>
    <w:p w:rsidR="009854E9" w:rsidRPr="00174E19" w:rsidRDefault="009854E9" w:rsidP="009854E9">
      <w:pPr>
        <w:pStyle w:val="00Vorgabetext"/>
        <w:keepNext/>
        <w:tabs>
          <w:tab w:val="clear" w:pos="794"/>
          <w:tab w:val="left" w:pos="426"/>
          <w:tab w:val="left" w:pos="993"/>
        </w:tabs>
        <w:spacing w:before="240"/>
        <w:ind w:left="397" w:hanging="397"/>
        <w:rPr>
          <w:lang w:val="de-DE"/>
        </w:rPr>
      </w:pPr>
      <w:r>
        <w:rPr>
          <w:lang w:val="de-DE"/>
        </w:rPr>
        <w:t>A</w:t>
      </w:r>
      <w:r w:rsidRPr="00174E19">
        <w:rPr>
          <w:lang w:val="de-DE"/>
        </w:rPr>
        <w:t xml:space="preserve">. </w:t>
      </w:r>
      <w:r w:rsidRPr="00174E19">
        <w:rPr>
          <w:lang w:val="de-DE"/>
        </w:rPr>
        <w:tab/>
      </w:r>
      <w:r>
        <w:rPr>
          <w:lang w:val="de-DE"/>
        </w:rPr>
        <w:t>Bekanntgabe von besonderen Personendaten mittels elektronischen Zugriffs (A</w:t>
      </w:r>
      <w:r>
        <w:rPr>
          <w:lang w:val="de-DE"/>
        </w:rPr>
        <w:t>b</w:t>
      </w:r>
      <w:r>
        <w:rPr>
          <w:lang w:val="de-DE"/>
        </w:rPr>
        <w:t xml:space="preserve">rufverfahren) </w:t>
      </w:r>
    </w:p>
    <w:p w:rsidR="009854E9" w:rsidRDefault="009854E9" w:rsidP="009854E9">
      <w:pPr>
        <w:pStyle w:val="00Vorgabetext"/>
        <w:keepNext/>
        <w:tabs>
          <w:tab w:val="left" w:pos="426"/>
        </w:tabs>
        <w:rPr>
          <w:lang w:val="de-DE"/>
        </w:rPr>
      </w:pPr>
      <w:r>
        <w:rPr>
          <w:lang w:val="de-DE"/>
        </w:rPr>
        <w:t xml:space="preserve">1. </w:t>
      </w:r>
      <w:r>
        <w:rPr>
          <w:lang w:val="de-DE"/>
        </w:rPr>
        <w:tab/>
      </w:r>
      <w:r w:rsidRPr="0010675F">
        <w:t>Anforderungen</w:t>
      </w:r>
      <w:r>
        <w:rPr>
          <w:lang w:val="de-DE"/>
        </w:rPr>
        <w:t xml:space="preserve"> des IDG</w:t>
      </w:r>
    </w:p>
    <w:p w:rsidR="009854E9" w:rsidRPr="00174E19" w:rsidRDefault="009854E9" w:rsidP="009854E9">
      <w:pPr>
        <w:pStyle w:val="00Vorgabetext"/>
        <w:rPr>
          <w:lang w:val="de-DE"/>
        </w:rPr>
      </w:pPr>
      <w:r w:rsidRPr="00174E19">
        <w:rPr>
          <w:lang w:val="de-DE"/>
        </w:rPr>
        <w:t xml:space="preserve">§ 17 Abs. 1 lit. a IDG </w:t>
      </w:r>
      <w:r w:rsidR="00402D22">
        <w:rPr>
          <w:lang w:val="de-DE"/>
        </w:rPr>
        <w:t xml:space="preserve">verlangt </w:t>
      </w:r>
      <w:r w:rsidRPr="00174E19">
        <w:rPr>
          <w:lang w:val="de-DE"/>
        </w:rPr>
        <w:t>für die Bekanntgabe besonderer Personendaten durch</w:t>
      </w:r>
      <w:r w:rsidR="00402D22" w:rsidRPr="00174E19">
        <w:rPr>
          <w:lang w:val="de-DE"/>
        </w:rPr>
        <w:t xml:space="preserve"> öffentliche Organe</w:t>
      </w:r>
      <w:r w:rsidRPr="00174E19">
        <w:rPr>
          <w:lang w:val="de-DE"/>
        </w:rPr>
        <w:t xml:space="preserve"> eine hinreichend bestimmte Regelung in einem formellen Gesetz</w:t>
      </w:r>
      <w:r w:rsidR="00402D22">
        <w:rPr>
          <w:lang w:val="de-DE"/>
        </w:rPr>
        <w:t>.</w:t>
      </w:r>
      <w:r>
        <w:rPr>
          <w:lang w:val="de-DE"/>
        </w:rPr>
        <w:t xml:space="preserve"> </w:t>
      </w:r>
      <w:r w:rsidRPr="00174E19">
        <w:rPr>
          <w:lang w:val="de-DE"/>
        </w:rPr>
        <w:t>§</w:t>
      </w:r>
      <w:r w:rsidR="008E271C">
        <w:rPr>
          <w:lang w:val="de-DE"/>
        </w:rPr>
        <w:t> </w:t>
      </w:r>
      <w:r w:rsidRPr="00174E19">
        <w:rPr>
          <w:lang w:val="de-DE"/>
        </w:rPr>
        <w:t xml:space="preserve">17 Abs. 2 IDG </w:t>
      </w:r>
      <w:r w:rsidR="00402D22">
        <w:rPr>
          <w:lang w:val="de-DE"/>
        </w:rPr>
        <w:t xml:space="preserve">schränkt </w:t>
      </w:r>
      <w:r w:rsidRPr="00174E19">
        <w:rPr>
          <w:lang w:val="de-DE"/>
        </w:rPr>
        <w:t>diese Anforderung ein</w:t>
      </w:r>
      <w:r>
        <w:rPr>
          <w:lang w:val="de-DE"/>
        </w:rPr>
        <w:t>, indem festgelegt wird</w:t>
      </w:r>
      <w:r w:rsidRPr="00174E19">
        <w:rPr>
          <w:lang w:val="de-DE"/>
        </w:rPr>
        <w:t>, dass eine Grundlage in einem formellen Gesetz dann nicht notwendig ist, wenn die Bekanntgabe der Daten</w:t>
      </w:r>
    </w:p>
    <w:p w:rsidR="009854E9" w:rsidRPr="00174E19" w:rsidRDefault="009854E9" w:rsidP="009854E9">
      <w:pPr>
        <w:pStyle w:val="00Vorgabetext"/>
        <w:numPr>
          <w:ilvl w:val="0"/>
          <w:numId w:val="44"/>
        </w:numPr>
        <w:tabs>
          <w:tab w:val="clear" w:pos="794"/>
          <w:tab w:val="clear" w:pos="1191"/>
          <w:tab w:val="left" w:pos="426"/>
        </w:tabs>
        <w:ind w:left="426" w:hanging="426"/>
        <w:rPr>
          <w:lang w:val="de-DE"/>
        </w:rPr>
      </w:pPr>
      <w:r w:rsidRPr="00174E19">
        <w:rPr>
          <w:lang w:val="de-DE"/>
        </w:rPr>
        <w:lastRenderedPageBreak/>
        <w:t>an ein anderes öffentliches Organe erfolgt,</w:t>
      </w:r>
    </w:p>
    <w:p w:rsidR="009854E9" w:rsidRPr="00174E19" w:rsidRDefault="009854E9" w:rsidP="009854E9">
      <w:pPr>
        <w:pStyle w:val="00Vorgabetext"/>
        <w:numPr>
          <w:ilvl w:val="0"/>
          <w:numId w:val="44"/>
        </w:numPr>
        <w:tabs>
          <w:tab w:val="clear" w:pos="794"/>
          <w:tab w:val="clear" w:pos="1191"/>
          <w:tab w:val="left" w:pos="426"/>
        </w:tabs>
        <w:ind w:left="426" w:hanging="426"/>
        <w:rPr>
          <w:lang w:val="de-DE"/>
        </w:rPr>
      </w:pPr>
      <w:r w:rsidRPr="00174E19">
        <w:rPr>
          <w:lang w:val="de-DE"/>
        </w:rPr>
        <w:t>in Einzelfällen erfolgt und</w:t>
      </w:r>
    </w:p>
    <w:p w:rsidR="009854E9" w:rsidRPr="00174E19" w:rsidRDefault="009854E9" w:rsidP="009854E9">
      <w:pPr>
        <w:pStyle w:val="00Vorgabetext"/>
        <w:numPr>
          <w:ilvl w:val="0"/>
          <w:numId w:val="44"/>
        </w:numPr>
        <w:tabs>
          <w:tab w:val="clear" w:pos="794"/>
          <w:tab w:val="clear" w:pos="1191"/>
          <w:tab w:val="left" w:pos="426"/>
        </w:tabs>
        <w:ind w:left="397" w:hanging="397"/>
        <w:rPr>
          <w:lang w:val="de-DE"/>
        </w:rPr>
      </w:pPr>
      <w:r w:rsidRPr="00174E19">
        <w:rPr>
          <w:lang w:val="de-DE"/>
        </w:rPr>
        <w:t>die besonderen Personendaten, vom Organ, dem sie mitgeteilt werden, zur Erfü</w:t>
      </w:r>
      <w:r w:rsidRPr="00174E19">
        <w:rPr>
          <w:lang w:val="de-DE"/>
        </w:rPr>
        <w:t>l</w:t>
      </w:r>
      <w:r w:rsidRPr="00174E19">
        <w:rPr>
          <w:lang w:val="de-DE"/>
        </w:rPr>
        <w:t xml:space="preserve">lung seiner gesetzlichen Aufgaben benötigt werden.  </w:t>
      </w:r>
    </w:p>
    <w:p w:rsidR="009854E9" w:rsidRDefault="009854E9" w:rsidP="009A436B">
      <w:pPr>
        <w:pStyle w:val="00Vorgabetext"/>
      </w:pPr>
      <w:r>
        <w:t>Aus dieser Regelung ist zu schliessen, dass</w:t>
      </w:r>
      <w:r w:rsidR="009A436B">
        <w:t xml:space="preserve"> für die Bekanntgabe von besonderen Pe</w:t>
      </w:r>
      <w:r w:rsidR="009A436B">
        <w:t>r</w:t>
      </w:r>
      <w:r w:rsidR="009A436B">
        <w:t>sonendaten</w:t>
      </w:r>
      <w:r>
        <w:t xml:space="preserve"> immer dann eine formell gesetzliche Grundlage notwendig ist, wenn das andere Organ direkt auf besondere </w:t>
      </w:r>
      <w:r w:rsidRPr="00174E19">
        <w:t>Personendaten anderer Amtsstellen</w:t>
      </w:r>
      <w:r>
        <w:t xml:space="preserve"> zugreifen kann</w:t>
      </w:r>
      <w:r w:rsidR="009A436B">
        <w:t xml:space="preserve"> oder </w:t>
      </w:r>
      <w:r>
        <w:t>die Bekanntgabe nicht auf bestimmte Einzelfälle beschränkt ist</w:t>
      </w:r>
      <w:r w:rsidRPr="00174E19">
        <w:t xml:space="preserve">. </w:t>
      </w:r>
    </w:p>
    <w:p w:rsidR="009854E9" w:rsidRDefault="009854E9" w:rsidP="009854E9">
      <w:pPr>
        <w:pStyle w:val="00Vorgabetext"/>
        <w:tabs>
          <w:tab w:val="left" w:pos="567"/>
        </w:tabs>
      </w:pPr>
      <w:r w:rsidRPr="00174E19">
        <w:t>Diese</w:t>
      </w:r>
      <w:r>
        <w:t xml:space="preserve"> Art </w:t>
      </w:r>
      <w:r w:rsidR="00402D22">
        <w:t>der Bekanntgabe von Personendaten</w:t>
      </w:r>
      <w:r>
        <w:t xml:space="preserve"> </w:t>
      </w:r>
      <w:r w:rsidR="00402D22">
        <w:t>wird</w:t>
      </w:r>
      <w:r w:rsidRPr="00174E19">
        <w:t xml:space="preserve"> im Bereich der besonderen Pe</w:t>
      </w:r>
      <w:r w:rsidRPr="00174E19">
        <w:t>r</w:t>
      </w:r>
      <w:r w:rsidRPr="00174E19">
        <w:t xml:space="preserve">sonendaten aus den Bereichen des Strafverfolgung und des Strafvollzugs </w:t>
      </w:r>
      <w:r w:rsidR="00473207" w:rsidRPr="00174E19">
        <w:t>von ve</w:t>
      </w:r>
      <w:r w:rsidR="00473207" w:rsidRPr="00174E19">
        <w:t>r</w:t>
      </w:r>
      <w:r w:rsidR="00473207" w:rsidRPr="00174E19">
        <w:t xml:space="preserve">schiedenen Amtsstellen </w:t>
      </w:r>
      <w:r w:rsidR="00473207">
        <w:t>gewünscht</w:t>
      </w:r>
      <w:r w:rsidR="00473207" w:rsidRPr="00174E19">
        <w:t xml:space="preserve"> </w:t>
      </w:r>
      <w:r w:rsidRPr="00174E19">
        <w:t>(Polizei, Gemeindeamt betr. Einbürgerungen</w:t>
      </w:r>
      <w:r w:rsidR="003C0E51">
        <w:t>, O</w:t>
      </w:r>
      <w:r w:rsidR="003C0E51">
        <w:t>p</w:t>
      </w:r>
      <w:r w:rsidR="003C0E51">
        <w:t>ferhilfestelle</w:t>
      </w:r>
      <w:r w:rsidRPr="00174E19">
        <w:t xml:space="preserve">). </w:t>
      </w:r>
      <w:r>
        <w:t>Besteht tatsächlich ein</w:t>
      </w:r>
      <w:r w:rsidR="003C7B3D">
        <w:t xml:space="preserve"> durch das</w:t>
      </w:r>
      <w:r>
        <w:t xml:space="preserve"> öffentliche Interesse gerechtfertigtes Bedürfnis a</w:t>
      </w:r>
      <w:r w:rsidR="00CF28DC">
        <w:t>n</w:t>
      </w:r>
      <w:r>
        <w:t xml:space="preserve"> entsprechenden Daten</w:t>
      </w:r>
      <w:r w:rsidR="00CF28DC">
        <w:t>zugriffen</w:t>
      </w:r>
      <w:r>
        <w:t xml:space="preserve">, ist eine gesetzliche Grundlage </w:t>
      </w:r>
      <w:r w:rsidRPr="00174E19">
        <w:t>i</w:t>
      </w:r>
      <w:r w:rsidR="00B87DE2">
        <w:t>m en</w:t>
      </w:r>
      <w:r w:rsidR="00B87DE2">
        <w:t>t</w:t>
      </w:r>
      <w:r w:rsidR="00B87DE2">
        <w:t>sprechenden Spezialgesetz</w:t>
      </w:r>
      <w:r w:rsidRPr="00174E19">
        <w:t xml:space="preserve"> </w:t>
      </w:r>
      <w:r>
        <w:t>zu schaffen. Dabei muss sich die gesetzliche Regelung auf die Grundzüge beschränken und für die Einzelheiten ist eine Verordnungskomp</w:t>
      </w:r>
      <w:r>
        <w:t>e</w:t>
      </w:r>
      <w:r>
        <w:t xml:space="preserve">tenz vorzusehen (vgl. vorn I.B.). </w:t>
      </w:r>
    </w:p>
    <w:p w:rsidR="009854E9" w:rsidRDefault="009854E9" w:rsidP="009854E9">
      <w:pPr>
        <w:pStyle w:val="00Vorgabetext"/>
      </w:pPr>
      <w:r>
        <w:t>Zu ergänzen ist, dass g</w:t>
      </w:r>
      <w:r w:rsidRPr="00174E19">
        <w:t xml:space="preserve">estützt auf § 16 Abs. </w:t>
      </w:r>
      <w:r>
        <w:t xml:space="preserve">1 lit. a </w:t>
      </w:r>
      <w:r w:rsidRPr="00174E19">
        <w:t xml:space="preserve">IDG </w:t>
      </w:r>
      <w:r>
        <w:t>für die Bekanntgabe der übr</w:t>
      </w:r>
      <w:r>
        <w:t>i</w:t>
      </w:r>
      <w:r>
        <w:t>gen Personendaten eine „rechtliche Bestimmung“ genügt. Die Anforderungen im B</w:t>
      </w:r>
      <w:r>
        <w:t>e</w:t>
      </w:r>
      <w:r>
        <w:t>reich der übrigen Personendaten können damit auch ohne besondere Delegationsnorm auf Verordnungsstufe geregelt werden.</w:t>
      </w:r>
      <w:r w:rsidRPr="00174E19">
        <w:t xml:space="preserve"> </w:t>
      </w:r>
      <w:r>
        <w:t>In Übereinstimmung mit dieser Bestimmung legt § 44 Abs. 3 OG RR fest, dass zu den Personendaten (nicht aber zu den besond</w:t>
      </w:r>
      <w:r>
        <w:t>e</w:t>
      </w:r>
      <w:r>
        <w:t>ren Personendaten) alle Stelle</w:t>
      </w:r>
      <w:r w:rsidR="00DF5901">
        <w:t>n</w:t>
      </w:r>
      <w:r>
        <w:t xml:space="preserve"> der kantonalen Verwaltung Zugang haben, soweit sie sie zur Erfüllung ihrer Aufgaben brauchen.</w:t>
      </w:r>
    </w:p>
    <w:p w:rsidR="009854E9" w:rsidRDefault="009854E9" w:rsidP="009854E9">
      <w:pPr>
        <w:pStyle w:val="00Vorgabetext"/>
        <w:keepNext/>
        <w:tabs>
          <w:tab w:val="left" w:pos="567"/>
        </w:tabs>
        <w:spacing w:before="240"/>
        <w:ind w:left="397" w:hanging="397"/>
      </w:pPr>
      <w:r>
        <w:t xml:space="preserve">2. </w:t>
      </w:r>
      <w:r>
        <w:tab/>
        <w:t>Zugriff auf Daten der Strafverfolgungsbehörden</w:t>
      </w:r>
    </w:p>
    <w:p w:rsidR="009854E9" w:rsidRDefault="009854E9" w:rsidP="009854E9">
      <w:pPr>
        <w:pStyle w:val="00Vorgabetext"/>
        <w:keepNext/>
        <w:tabs>
          <w:tab w:val="left" w:pos="567"/>
        </w:tabs>
        <w:ind w:left="397" w:hanging="397"/>
      </w:pPr>
      <w:r>
        <w:t xml:space="preserve">a. </w:t>
      </w:r>
      <w:r>
        <w:tab/>
        <w:t>Zugriff anderer Strafverfolgungsbehörden</w:t>
      </w:r>
    </w:p>
    <w:p w:rsidR="009854E9" w:rsidRPr="006B6FD6" w:rsidRDefault="009854E9" w:rsidP="009854E9">
      <w:pPr>
        <w:pStyle w:val="00Vorgabetext"/>
        <w:tabs>
          <w:tab w:val="left" w:pos="284"/>
        </w:tabs>
      </w:pPr>
      <w:r>
        <w:t>Art. 95 ff. StPO regelt die Datenbearbeitung für hängige Strafverfahren im Grundsatz und hält fest, dass Daten aus einem hängigen Verfahren zur Unterstützung eines a</w:t>
      </w:r>
      <w:r>
        <w:t>n</w:t>
      </w:r>
      <w:r>
        <w:t xml:space="preserve">deren ebenfalls hängigen Verfahrens mitgeteilt werden dürfen (Art. 96 Abs. 1 StPO). Keinerlei Beschränkungen auferlegt die StPO der Datenbekanntgabe innerhalb eines hängigen Verfahrens: Der Datenaustausch zwischen den </w:t>
      </w:r>
      <w:r w:rsidR="009A436B">
        <w:t>verschiedenen mit der Stra</w:t>
      </w:r>
      <w:r w:rsidR="009A436B">
        <w:t>f</w:t>
      </w:r>
      <w:r w:rsidR="009A436B">
        <w:t>untersuchung befassten</w:t>
      </w:r>
      <w:r>
        <w:t xml:space="preserve"> Strafverfolgungsbehörden vor Abschluss des Hauptverfa</w:t>
      </w:r>
      <w:r>
        <w:t>h</w:t>
      </w:r>
      <w:r>
        <w:t xml:space="preserve">rens, d.h. vor Urteilseröffnung (vgl. BSK StPO-Gerhard </w:t>
      </w:r>
      <w:proofErr w:type="spellStart"/>
      <w:r>
        <w:t>Fiolka</w:t>
      </w:r>
      <w:proofErr w:type="spellEnd"/>
      <w:r>
        <w:t>, Art. 96 StPO N 18 f.), ist deshalb bereits gestützt auf die StPO zulässig. Keine Regelung enthält das Bunde</w:t>
      </w:r>
      <w:r>
        <w:t>s</w:t>
      </w:r>
      <w:r>
        <w:t>recht dazu, wie die Datenbekanntgabe zwischen verschiedenen Verfahren der Stra</w:t>
      </w:r>
      <w:r>
        <w:t>f</w:t>
      </w:r>
      <w:r>
        <w:t>verfolgungsbehörden zu erfolgen hat. D</w:t>
      </w:r>
      <w:r w:rsidR="009A436B">
        <w:t>a d</w:t>
      </w:r>
      <w:r>
        <w:t xml:space="preserve">ies eine organisatorische Frage </w:t>
      </w:r>
      <w:r w:rsidR="009A436B">
        <w:t xml:space="preserve">ist, sind die Kantone </w:t>
      </w:r>
      <w:r>
        <w:t>zu</w:t>
      </w:r>
      <w:r w:rsidR="009A436B">
        <w:t>r</w:t>
      </w:r>
      <w:r>
        <w:t xml:space="preserve"> Regelung zuständig. Für den elektronischen </w:t>
      </w:r>
      <w:r w:rsidR="003F60AF">
        <w:t>Zugriff der Strafverfolgung</w:t>
      </w:r>
      <w:r w:rsidR="003F60AF">
        <w:t>s</w:t>
      </w:r>
      <w:r w:rsidR="003F60AF">
        <w:t xml:space="preserve">behörden auf </w:t>
      </w:r>
      <w:r>
        <w:t xml:space="preserve">Daten </w:t>
      </w:r>
      <w:r w:rsidR="003F60AF">
        <w:t xml:space="preserve">sämtlicher </w:t>
      </w:r>
      <w:r>
        <w:t>hängige</w:t>
      </w:r>
      <w:r w:rsidR="003F60AF">
        <w:t>r</w:t>
      </w:r>
      <w:r>
        <w:t xml:space="preserve"> Verfahren</w:t>
      </w:r>
      <w:r w:rsidR="000F486A">
        <w:t>, der zur Vermeidung übermässigen Verwaltungsaufwandes unumgänglich ist,</w:t>
      </w:r>
      <w:r>
        <w:t xml:space="preserve"> ist deshalb eine gesetzliche Grundlage zu schaffen. </w:t>
      </w:r>
      <w:r w:rsidRPr="006B6FD6">
        <w:t xml:space="preserve">Die Grundsätze der notwendigen Regelungen sind </w:t>
      </w:r>
      <w:r>
        <w:t>dabei</w:t>
      </w:r>
      <w:r w:rsidRPr="006B6FD6">
        <w:t xml:space="preserve"> ins GOG, das für diese Behörden massgebende kantonale Spezialgesetz aufzunehmen. </w:t>
      </w:r>
    </w:p>
    <w:p w:rsidR="003C7B3D" w:rsidRDefault="009854E9" w:rsidP="008552A0">
      <w:pPr>
        <w:pStyle w:val="00Vorgabetext"/>
        <w:tabs>
          <w:tab w:val="left" w:pos="567"/>
        </w:tabs>
      </w:pPr>
      <w:r>
        <w:t xml:space="preserve">Die StPO enthält </w:t>
      </w:r>
      <w:r w:rsidR="009A436B">
        <w:t xml:space="preserve">sodann </w:t>
      </w:r>
      <w:r>
        <w:t>keine Sonderregelung bezüglich der Bearbeitung von Daten der Strafbehörden nach Abschluss der Verfahren. Diesbezüglich gilt, sofern</w:t>
      </w:r>
      <w:r w:rsidR="00473207">
        <w:t xml:space="preserve"> die</w:t>
      </w:r>
      <w:r>
        <w:t xml:space="preserve"> kant</w:t>
      </w:r>
      <w:r>
        <w:t>o</w:t>
      </w:r>
      <w:r>
        <w:lastRenderedPageBreak/>
        <w:t>nale Spezialgesetze keine Regelung enthalten, allgemeines Datenschutzrecht (vgl. BSK, a.a.O. N 13). Für einen direkten elektronischen Zugriff auf die Daten abgeschlo</w:t>
      </w:r>
      <w:r>
        <w:t>s</w:t>
      </w:r>
      <w:r>
        <w:t xml:space="preserve">sener Strafverfahren, </w:t>
      </w:r>
      <w:r w:rsidR="000F486A">
        <w:t xml:space="preserve">der für die Strafverfolgungsbehörden im Zusammenhang mit neuen Verfahren unerlässlich ist, </w:t>
      </w:r>
      <w:r>
        <w:t xml:space="preserve">ist deshalb </w:t>
      </w:r>
      <w:r w:rsidR="003C7B3D">
        <w:t xml:space="preserve">ebenfalls </w:t>
      </w:r>
      <w:r>
        <w:t>eine gesetzliche Grundlage zu schaffen. Auch diese Regelung ist ins GOG aufzunehmen.</w:t>
      </w:r>
    </w:p>
    <w:p w:rsidR="009854E9" w:rsidRDefault="009854E9" w:rsidP="009854E9">
      <w:pPr>
        <w:pStyle w:val="00Vorgabetext"/>
        <w:keepNext/>
        <w:tabs>
          <w:tab w:val="left" w:pos="567"/>
        </w:tabs>
        <w:spacing w:before="240"/>
        <w:ind w:left="567" w:hanging="567"/>
      </w:pPr>
      <w:r>
        <w:t xml:space="preserve">b. </w:t>
      </w:r>
      <w:r>
        <w:tab/>
        <w:t>Zugriff anderer Verwaltungseinheiten</w:t>
      </w:r>
    </w:p>
    <w:p w:rsidR="009854E9" w:rsidRDefault="00C159B2" w:rsidP="009854E9">
      <w:pPr>
        <w:pStyle w:val="00Vorgabetext"/>
        <w:keepNext/>
        <w:tabs>
          <w:tab w:val="left" w:pos="426"/>
        </w:tabs>
      </w:pPr>
      <w:proofErr w:type="spellStart"/>
      <w:r>
        <w:t>aa</w:t>
      </w:r>
      <w:proofErr w:type="spellEnd"/>
      <w:r>
        <w:t>.</w:t>
      </w:r>
      <w:r>
        <w:tab/>
      </w:r>
      <w:r w:rsidR="009854E9">
        <w:t>Allgemeines</w:t>
      </w:r>
    </w:p>
    <w:p w:rsidR="009854E9" w:rsidRDefault="009854E9" w:rsidP="009854E9">
      <w:pPr>
        <w:pStyle w:val="00Vorgabetext"/>
        <w:tabs>
          <w:tab w:val="left" w:pos="567"/>
        </w:tabs>
      </w:pPr>
      <w:r>
        <w:t>Art. 96 Abs. 1 StPO regelt nur die Bekanntgabe von Daten innerhalb der Strafverfo</w:t>
      </w:r>
      <w:r>
        <w:t>l</w:t>
      </w:r>
      <w:r>
        <w:t>gungsbehörden. Zivil- und Verwaltungsbehörden dürfen die Daten gestützt auf Art. 101 StPO einsehen (BSK, a.a.O. N 11). Wenn dabei auch grundsätzlich an die Bekanntg</w:t>
      </w:r>
      <w:r>
        <w:t>a</w:t>
      </w:r>
      <w:r>
        <w:t xml:space="preserve">be gestützt auf Einzelanfragen gedacht ist, </w:t>
      </w:r>
      <w:r w:rsidR="009A436B">
        <w:t>wird durch die Bestimmung</w:t>
      </w:r>
      <w:r>
        <w:t xml:space="preserve"> ein direkte</w:t>
      </w:r>
      <w:r w:rsidR="000F486A">
        <w:t>r</w:t>
      </w:r>
      <w:r>
        <w:t xml:space="preserve"> elektronischer Zugriff anderer </w:t>
      </w:r>
      <w:r w:rsidR="009A436B">
        <w:t>Verwaltungseinheiten</w:t>
      </w:r>
      <w:r>
        <w:t xml:space="preserve"> auf die Daten der Strafverfo</w:t>
      </w:r>
      <w:r>
        <w:t>l</w:t>
      </w:r>
      <w:r>
        <w:t>gungsbehörden nicht ausgeschlossen. Vorausgesetzt ist dabei allerdings</w:t>
      </w:r>
      <w:r w:rsidRPr="00D603AD">
        <w:t>, dass die Daten</w:t>
      </w:r>
      <w:r>
        <w:t>, auf die Zugriff gewährt wird,</w:t>
      </w:r>
      <w:r w:rsidRPr="00D603AD">
        <w:t xml:space="preserve"> wesentliche Aufschlüsse</w:t>
      </w:r>
      <w:r>
        <w:t xml:space="preserve"> für ein Verfahren</w:t>
      </w:r>
      <w:r w:rsidRPr="00D603AD">
        <w:t xml:space="preserve"> geben können</w:t>
      </w:r>
      <w:r>
        <w:t xml:space="preserve"> (Art. 101 Abs. 2 StPO). Entsprechende Regelungen sind, da es sich um Daten der Strafverfolgungsbehörden handelt, ins GOG einzufügen.</w:t>
      </w:r>
    </w:p>
    <w:p w:rsidR="009854E9" w:rsidRDefault="00C159B2" w:rsidP="009854E9">
      <w:pPr>
        <w:pStyle w:val="00Vorgabetext"/>
        <w:keepNext/>
        <w:tabs>
          <w:tab w:val="left" w:pos="426"/>
        </w:tabs>
        <w:spacing w:before="240"/>
      </w:pPr>
      <w:proofErr w:type="spellStart"/>
      <w:r>
        <w:t>bb</w:t>
      </w:r>
      <w:proofErr w:type="spellEnd"/>
      <w:r>
        <w:t>.</w:t>
      </w:r>
      <w:r>
        <w:tab/>
      </w:r>
      <w:r w:rsidR="009854E9">
        <w:t>Justizvollzugsbehörden</w:t>
      </w:r>
    </w:p>
    <w:p w:rsidR="00E150B7" w:rsidRDefault="00E150B7" w:rsidP="00E150B7">
      <w:pPr>
        <w:pStyle w:val="00Vorgabetext"/>
        <w:tabs>
          <w:tab w:val="left" w:pos="284"/>
        </w:tabs>
      </w:pPr>
      <w:r>
        <w:t xml:space="preserve">In einem eingeschränkten Umfang sind die Vollzugsbehörden auf einen elektronischen Zugriff auf die Daten hängiger Strafverfahren angewiesen. So müssen sie sich z.B. vor </w:t>
      </w:r>
      <w:r w:rsidR="00473207">
        <w:t xml:space="preserve">der </w:t>
      </w:r>
      <w:r>
        <w:t xml:space="preserve">Aufhebung </w:t>
      </w:r>
      <w:r w:rsidR="00473207">
        <w:t>einer</w:t>
      </w:r>
      <w:r>
        <w:t xml:space="preserve"> </w:t>
      </w:r>
      <w:proofErr w:type="gramStart"/>
      <w:r>
        <w:t>Massnahmen</w:t>
      </w:r>
      <w:proofErr w:type="gramEnd"/>
      <w:r>
        <w:t xml:space="preserve"> oder vor </w:t>
      </w:r>
      <w:r w:rsidR="00473207">
        <w:t xml:space="preserve">einer </w:t>
      </w:r>
      <w:r>
        <w:t>bedingten</w:t>
      </w:r>
      <w:r w:rsidR="00473207">
        <w:t xml:space="preserve"> Entlassung</w:t>
      </w:r>
      <w:r>
        <w:t xml:space="preserve"> aus dem Vol</w:t>
      </w:r>
      <w:r>
        <w:t>l</w:t>
      </w:r>
      <w:r>
        <w:t>zug informieren können, ob gegen die betreffende Person ein neues Strafverfahren erhoben wurde oder diese</w:t>
      </w:r>
      <w:r w:rsidR="00473207">
        <w:t xml:space="preserve"> Person</w:t>
      </w:r>
      <w:r>
        <w:t xml:space="preserve"> gar von den Strafbehörden gesucht wird. Dieser elektronische Zugriff ist gesetzlich im GOG zu regeln.</w:t>
      </w:r>
    </w:p>
    <w:p w:rsidR="009854E9" w:rsidRDefault="00C159B2" w:rsidP="009854E9">
      <w:pPr>
        <w:pStyle w:val="00Vorgabetext"/>
        <w:keepNext/>
        <w:tabs>
          <w:tab w:val="left" w:pos="426"/>
        </w:tabs>
        <w:spacing w:before="240"/>
      </w:pPr>
      <w:r>
        <w:t xml:space="preserve">cc. </w:t>
      </w:r>
      <w:r>
        <w:tab/>
      </w:r>
      <w:r w:rsidR="009854E9">
        <w:t>Für die Einbürgerung zuständige Behörde</w:t>
      </w:r>
    </w:p>
    <w:p w:rsidR="009854E9" w:rsidRDefault="009854E9" w:rsidP="009854E9">
      <w:pPr>
        <w:pStyle w:val="00Vorgabetext"/>
        <w:tabs>
          <w:tab w:val="left" w:pos="567"/>
        </w:tabs>
      </w:pPr>
      <w:r>
        <w:t>Bereits heute wird der Abteilung für Bürgerrechte des kantonalen Gemeindeamtes – in eingeschränktem Mass – Zugriff auf Daten der Strafverfolgungsbehörden gewährt</w:t>
      </w:r>
      <w:r w:rsidR="000F486A">
        <w:t>,</w:t>
      </w:r>
      <w:r>
        <w:t xml:space="preserve"> um die Frage zu klären, ob die </w:t>
      </w:r>
      <w:r w:rsidRPr="00D9108D">
        <w:t>gesuchstellende Person die schweizerische Rechtsordnung</w:t>
      </w:r>
      <w:r>
        <w:t xml:space="preserve"> beachtet. </w:t>
      </w:r>
      <w:r w:rsidR="00DF5901">
        <w:t xml:space="preserve">Die Abfrage ist bezüglich der Jugendlichen unverzichtbar, da entsprechende Daten im Strafregister nur in eingeschränkter Weise </w:t>
      </w:r>
      <w:r w:rsidR="0041337D">
        <w:t>enthalten</w:t>
      </w:r>
      <w:r w:rsidR="00DF5901">
        <w:t xml:space="preserve"> sind. </w:t>
      </w:r>
      <w:r>
        <w:t xml:space="preserve">Die dafür fehlende gesetzliche Grundlage ist ins GOG einzufügen. </w:t>
      </w:r>
    </w:p>
    <w:p w:rsidR="009854E9" w:rsidRDefault="00C159B2" w:rsidP="009A73AF">
      <w:pPr>
        <w:pStyle w:val="00Vorgabetext"/>
        <w:keepNext/>
        <w:tabs>
          <w:tab w:val="left" w:pos="426"/>
        </w:tabs>
        <w:spacing w:before="240"/>
      </w:pPr>
      <w:proofErr w:type="spellStart"/>
      <w:r>
        <w:t>dd</w:t>
      </w:r>
      <w:proofErr w:type="spellEnd"/>
      <w:r>
        <w:t>.</w:t>
      </w:r>
      <w:r>
        <w:tab/>
      </w:r>
      <w:r w:rsidR="009854E9">
        <w:t>Kantonale Opferhilfestelle</w:t>
      </w:r>
    </w:p>
    <w:p w:rsidR="003F60AF" w:rsidRDefault="009854E9" w:rsidP="00B87DE2">
      <w:pPr>
        <w:pStyle w:val="00Vorgabetext"/>
        <w:tabs>
          <w:tab w:val="left" w:pos="567"/>
        </w:tabs>
      </w:pPr>
      <w:r>
        <w:t xml:space="preserve">Der kantonalen Opferhilfestelle steht </w:t>
      </w:r>
      <w:r w:rsidR="00F85658" w:rsidRPr="00F85658">
        <w:t>E</w:t>
      </w:r>
      <w:r w:rsidRPr="00F85658">
        <w:t xml:space="preserve">insicht </w:t>
      </w:r>
      <w:r w:rsidR="00F85658" w:rsidRPr="00F85658">
        <w:t>in Akten des Strafverfahrens zu (</w:t>
      </w:r>
      <w:r w:rsidRPr="00F85658">
        <w:t xml:space="preserve">§ </w:t>
      </w:r>
      <w:r w:rsidR="00F85658">
        <w:t>9 EG OHG)</w:t>
      </w:r>
      <w:r w:rsidR="00514A46">
        <w:t xml:space="preserve">. Die Akten der Strafverfahren bezieht </w:t>
      </w:r>
      <w:r w:rsidR="00CF28DC">
        <w:t>die Opferhilfestelle</w:t>
      </w:r>
      <w:r w:rsidR="00514A46">
        <w:t xml:space="preserve"> in der Form von Ei</w:t>
      </w:r>
      <w:r w:rsidR="00514A46">
        <w:t>n</w:t>
      </w:r>
      <w:r w:rsidR="00514A46">
        <w:t>zelanfragen. Allerdings ist sie für die Klärung</w:t>
      </w:r>
      <w:r w:rsidR="00B060FD">
        <w:t>,</w:t>
      </w:r>
      <w:r w:rsidR="00514A46">
        <w:t xml:space="preserve"> bei welcher Strafverfolgungsbehörde sie die Akten beiziehen muss</w:t>
      </w:r>
      <w:r w:rsidR="00B060FD">
        <w:t>,</w:t>
      </w:r>
      <w:r w:rsidR="00514A46">
        <w:t xml:space="preserve"> auf Einblick in die Daten der Geschäftskontrolle der Staat</w:t>
      </w:r>
      <w:r w:rsidR="00514A46">
        <w:t>s</w:t>
      </w:r>
      <w:r w:rsidR="00514A46">
        <w:t>anwaltschaften und Jugendanwaltschaften angewiesen. Da die kantonale Opferhilf</w:t>
      </w:r>
      <w:r w:rsidR="00514A46">
        <w:t>e</w:t>
      </w:r>
      <w:r w:rsidR="00514A46">
        <w:t xml:space="preserve">stelle </w:t>
      </w:r>
      <w:r w:rsidR="00CF28DC">
        <w:t>fast ausschliesslich</w:t>
      </w:r>
      <w:r w:rsidR="00514A46">
        <w:t xml:space="preserve"> Verfahren bearbeitet, die den Kanton Zürich betreffen, </w:t>
      </w:r>
      <w:r w:rsidR="00473207">
        <w:t>dient ein entsprechender</w:t>
      </w:r>
      <w:r w:rsidR="00514A46">
        <w:t xml:space="preserve"> direkte</w:t>
      </w:r>
      <w:r w:rsidR="00473207">
        <w:t>r</w:t>
      </w:r>
      <w:r w:rsidR="00514A46">
        <w:t xml:space="preserve"> Zugriff eine</w:t>
      </w:r>
      <w:r w:rsidR="00473207">
        <w:t>r</w:t>
      </w:r>
      <w:r w:rsidR="00514A46">
        <w:t xml:space="preserve"> rationelle</w:t>
      </w:r>
      <w:r w:rsidR="00473207">
        <w:t>n</w:t>
      </w:r>
      <w:r w:rsidR="00514A46">
        <w:t xml:space="preserve"> Verwaltungstätigkeit. </w:t>
      </w:r>
      <w:r>
        <w:t>Die</w:t>
      </w:r>
      <w:r w:rsidR="00514A46">
        <w:t>se</w:t>
      </w:r>
      <w:r>
        <w:t xml:space="preserve"> direkte Datenabfrage bei den Strafuntersuchungsbehörden</w:t>
      </w:r>
      <w:r w:rsidR="00473207">
        <w:t>, die auf die Daten der Geschäft</w:t>
      </w:r>
      <w:r w:rsidR="00473207">
        <w:t>s</w:t>
      </w:r>
      <w:r w:rsidR="00473207">
        <w:t>kontrolle zu beschränken ist,</w:t>
      </w:r>
      <w:r w:rsidR="00514A46">
        <w:t xml:space="preserve"> ist</w:t>
      </w:r>
      <w:r>
        <w:t xml:space="preserve"> von der allgemeinen Bestimmung </w:t>
      </w:r>
      <w:r w:rsidR="00514A46">
        <w:t xml:space="preserve">im EG OHG </w:t>
      </w:r>
      <w:r>
        <w:t xml:space="preserve">nicht </w:t>
      </w:r>
      <w:r w:rsidR="00F85658">
        <w:t>ab</w:t>
      </w:r>
      <w:r>
        <w:t>gedeckt</w:t>
      </w:r>
      <w:r w:rsidR="00514A46">
        <w:t xml:space="preserve">, weshalb </w:t>
      </w:r>
      <w:r w:rsidR="00CF28DC">
        <w:t>eine entsprechende gesetzliche Grundlage zu schaffen</w:t>
      </w:r>
      <w:r w:rsidR="00514A46">
        <w:t xml:space="preserve"> ist</w:t>
      </w:r>
      <w:r>
        <w:t xml:space="preserve">. </w:t>
      </w:r>
    </w:p>
    <w:p w:rsidR="009854E9" w:rsidRDefault="009854E9" w:rsidP="009A436B">
      <w:pPr>
        <w:pStyle w:val="00Vorgabetext"/>
        <w:keepNext/>
        <w:tabs>
          <w:tab w:val="left" w:pos="567"/>
        </w:tabs>
        <w:spacing w:before="240"/>
      </w:pPr>
      <w:r>
        <w:lastRenderedPageBreak/>
        <w:t>3.</w:t>
      </w:r>
      <w:r>
        <w:tab/>
        <w:t>Zugriff auf Daten des Justizvollzugs</w:t>
      </w:r>
    </w:p>
    <w:p w:rsidR="009854E9" w:rsidRDefault="009854E9" w:rsidP="009854E9">
      <w:pPr>
        <w:pStyle w:val="00Vorgabetext"/>
      </w:pPr>
      <w:r>
        <w:t>Wie sämtliche besonderen Personendaten können auch die Daten des Justizvollzugs bereits heute</w:t>
      </w:r>
      <w:r w:rsidRPr="004F31BF">
        <w:t xml:space="preserve"> </w:t>
      </w:r>
      <w:r>
        <w:t>den Strafverfolgungsbehörden auf Verlangen mitgeteilt werden (§ 17 Abs. 2 IDG). Um in Fällen von Dringlichkeit keine Zeit zu verlieren und um übermäss</w:t>
      </w:r>
      <w:r>
        <w:t>i</w:t>
      </w:r>
      <w:r>
        <w:t xml:space="preserve">gen personellen Aufwand zu verhindern, ist den Strafverfolgungsbehörden der direkte Zugriff auf Daten des Justizvollzugs zu gewähren. </w:t>
      </w:r>
      <w:r w:rsidR="00CF28DC">
        <w:t>Zugriff auf diese</w:t>
      </w:r>
      <w:r w:rsidR="0041337D">
        <w:t xml:space="preserve"> Daten </w:t>
      </w:r>
      <w:r w:rsidR="00CF28DC">
        <w:t>ist</w:t>
      </w:r>
      <w:r w:rsidR="0041337D">
        <w:t xml:space="preserve"> insbeso</w:t>
      </w:r>
      <w:r w:rsidR="0041337D">
        <w:t>n</w:t>
      </w:r>
      <w:r w:rsidR="0041337D">
        <w:t xml:space="preserve">dere </w:t>
      </w:r>
      <w:r w:rsidR="00CF28DC">
        <w:t xml:space="preserve">erforderlich </w:t>
      </w:r>
      <w:r w:rsidR="0041337D">
        <w:t>zur Klärung vorangegangener oder laufender Massnahmen und Stra</w:t>
      </w:r>
      <w:r w:rsidR="0041337D">
        <w:t>f</w:t>
      </w:r>
      <w:r w:rsidR="0041337D">
        <w:t>vollzüge mit Blick a</w:t>
      </w:r>
      <w:r w:rsidR="00083D83">
        <w:t>uf die Beurteilung der Prognose</w:t>
      </w:r>
      <w:r w:rsidR="0041337D">
        <w:t>.</w:t>
      </w:r>
      <w:r w:rsidR="008C3EFE" w:rsidRPr="008C3EFE">
        <w:t xml:space="preserve"> </w:t>
      </w:r>
      <w:r w:rsidR="008C3EFE">
        <w:t>Die entsprechende Regelung ist, mit den notwendigen Einschränkungen, ins StJVG einzufügen.</w:t>
      </w:r>
    </w:p>
    <w:p w:rsidR="009854E9" w:rsidRDefault="009854E9" w:rsidP="009854E9">
      <w:pPr>
        <w:pStyle w:val="00Vorgabetext"/>
        <w:tabs>
          <w:tab w:val="left" w:pos="425"/>
        </w:tabs>
        <w:spacing w:before="240"/>
        <w:rPr>
          <w:lang w:val="de-DE"/>
        </w:rPr>
      </w:pPr>
      <w:r>
        <w:rPr>
          <w:lang w:val="de-DE"/>
        </w:rPr>
        <w:t>B.</w:t>
      </w:r>
      <w:r>
        <w:rPr>
          <w:lang w:val="de-DE"/>
        </w:rPr>
        <w:tab/>
        <w:t xml:space="preserve">Datenaufbewahrung </w:t>
      </w:r>
    </w:p>
    <w:p w:rsidR="009854E9" w:rsidRDefault="009854E9" w:rsidP="009854E9">
      <w:pPr>
        <w:pStyle w:val="00Vorgabetext"/>
      </w:pPr>
      <w:r>
        <w:t xml:space="preserve">1. </w:t>
      </w:r>
      <w:r>
        <w:tab/>
      </w:r>
      <w:r w:rsidRPr="00EF20A1">
        <w:rPr>
          <w:lang w:val="de-DE"/>
        </w:rPr>
        <w:t>Vorgaben</w:t>
      </w:r>
      <w:r>
        <w:t xml:space="preserve"> des IDG</w:t>
      </w:r>
    </w:p>
    <w:p w:rsidR="009854E9" w:rsidRDefault="009854E9" w:rsidP="009854E9">
      <w:pPr>
        <w:pStyle w:val="00Vorgabetext"/>
        <w:tabs>
          <w:tab w:val="left" w:pos="425"/>
        </w:tabs>
      </w:pPr>
      <w:r>
        <w:t>Gestützt auf § 5 Abs. 2 IDG sind Informationen und Findmittel, sofern Spezialgesetze keine abweichende Regelung enthalten, während zehn Jahren aufzubewahren. Nach Ablauf dieser Frist sind die Informationen, sofern sie nicht vom zuständigen Archiv übernommen werden, zu vernichten. Für den Bereich der JI ist zu prüfen, ob und in welchen Bereichen ein Bedürfnis nach längere</w:t>
      </w:r>
      <w:r w:rsidR="00473207">
        <w:t>n Aufbewahrungsfristen besteht.</w:t>
      </w:r>
    </w:p>
    <w:p w:rsidR="009854E9" w:rsidRDefault="009854E9" w:rsidP="009854E9">
      <w:pPr>
        <w:pStyle w:val="00Vorgabetext"/>
        <w:keepNext/>
        <w:tabs>
          <w:tab w:val="left" w:pos="425"/>
        </w:tabs>
        <w:spacing w:before="240"/>
        <w:rPr>
          <w:lang w:val="de-DE"/>
        </w:rPr>
      </w:pPr>
      <w:r>
        <w:t xml:space="preserve">2. </w:t>
      </w:r>
      <w:r>
        <w:tab/>
      </w:r>
      <w:r w:rsidR="00A77CE0">
        <w:t>Akten</w:t>
      </w:r>
      <w:r>
        <w:t>aufbewahrung i</w:t>
      </w:r>
      <w:r>
        <w:rPr>
          <w:lang w:val="de-DE"/>
        </w:rPr>
        <w:t>m Bereich der Strafverfolgung</w:t>
      </w:r>
    </w:p>
    <w:p w:rsidR="009854E9" w:rsidRDefault="009854E9" w:rsidP="009854E9">
      <w:pPr>
        <w:pStyle w:val="00Vorgabetext"/>
        <w:tabs>
          <w:tab w:val="left" w:pos="567"/>
        </w:tabs>
        <w:spacing w:after="120"/>
      </w:pPr>
      <w:r w:rsidRPr="00F92975">
        <w:t>Art. 103 StPO</w:t>
      </w:r>
      <w:r>
        <w:t xml:space="preserve">, der die Aufbewahrung der </w:t>
      </w:r>
      <w:r w:rsidR="00A77CE0">
        <w:t>Akten</w:t>
      </w:r>
      <w:r>
        <w:t xml:space="preserve"> nach Abschluss der Verfahren regelt, legt fest, dass</w:t>
      </w:r>
      <w:r w:rsidRPr="00962C66">
        <w:t xml:space="preserve"> </w:t>
      </w:r>
      <w:r>
        <w:t>Akten mindestens bis zum Ablauf der Verfolgungs- und Vollstreckung</w:t>
      </w:r>
      <w:r>
        <w:t>s</w:t>
      </w:r>
      <w:r>
        <w:t>verjährung aufzubewahren</w:t>
      </w:r>
      <w:r>
        <w:rPr>
          <w:color w:val="006AD4" w:themeColor="accent1"/>
        </w:rPr>
        <w:t xml:space="preserve"> </w:t>
      </w:r>
      <w:r w:rsidRPr="00876CEA">
        <w:t>sind.</w:t>
      </w:r>
      <w:r>
        <w:t xml:space="preserve"> Dieselbe Regelung gilt</w:t>
      </w:r>
      <w:r w:rsidRPr="00876CEA">
        <w:t xml:space="preserve"> auch für </w:t>
      </w:r>
      <w:r>
        <w:t>Verfahren gegen J</w:t>
      </w:r>
      <w:r>
        <w:t>u</w:t>
      </w:r>
      <w:r>
        <w:t>gendliche</w:t>
      </w:r>
      <w:r w:rsidRPr="00876CEA">
        <w:t xml:space="preserve"> </w:t>
      </w:r>
      <w:r>
        <w:t>(Art. 3 Abs. 1 JStPO)</w:t>
      </w:r>
      <w:r w:rsidRPr="00876CEA">
        <w:t>.</w:t>
      </w:r>
      <w:r>
        <w:rPr>
          <w:color w:val="006AD4" w:themeColor="accent1"/>
        </w:rPr>
        <w:t xml:space="preserve"> </w:t>
      </w:r>
      <w:r>
        <w:t xml:space="preserve">Dies hat zur Folge, dass Akten </w:t>
      </w:r>
      <w:r w:rsidR="00FE792F">
        <w:t>aus dem</w:t>
      </w:r>
      <w:r>
        <w:t xml:space="preserve"> Bereich des Jugendstrafrechts und </w:t>
      </w:r>
      <w:r w:rsidR="00FE792F">
        <w:t>aus dem</w:t>
      </w:r>
      <w:r>
        <w:t xml:space="preserve"> Bereich der Verfolgung von durch Erwachsene bega</w:t>
      </w:r>
      <w:r>
        <w:t>n</w:t>
      </w:r>
      <w:r>
        <w:t>gene</w:t>
      </w:r>
      <w:r w:rsidR="00C0496F">
        <w:t>r</w:t>
      </w:r>
      <w:r>
        <w:t xml:space="preserve"> Vergehen weniger </w:t>
      </w:r>
      <w:r w:rsidR="00C0496F">
        <w:t xml:space="preserve">als </w:t>
      </w:r>
      <w:r>
        <w:t>zehn Jahre aufbewahrt werden dür</w:t>
      </w:r>
      <w:r w:rsidR="00C0496F">
        <w:t>fen, wie es der vom IDG festgelegten</w:t>
      </w:r>
      <w:r w:rsidR="00C0496F" w:rsidRPr="00C0496F">
        <w:t xml:space="preserve"> </w:t>
      </w:r>
      <w:r w:rsidR="00C0496F">
        <w:t>Regel entsprechen würde.</w:t>
      </w:r>
      <w:r>
        <w:t xml:space="preserve"> Gerade im Bereich der Strafverfolgung werden Akten im Zusammenhang mit späteren Strafverfahren </w:t>
      </w:r>
      <w:r w:rsidR="00C0496F">
        <w:t xml:space="preserve">aber </w:t>
      </w:r>
      <w:r>
        <w:t>während längerer Zeit benötigt</w:t>
      </w:r>
      <w:r w:rsidR="0041337D">
        <w:t>,</w:t>
      </w:r>
      <w:r w:rsidR="0041337D" w:rsidRPr="0041337D">
        <w:t xml:space="preserve"> </w:t>
      </w:r>
      <w:r w:rsidR="0041337D">
        <w:t>mindestens bis zur Entfernung des Strafregistereintrages (Art 369 Abs. 7 StGB)</w:t>
      </w:r>
      <w:r w:rsidR="00C0496F">
        <w:t>. Diese Frist beträgt</w:t>
      </w:r>
      <w:r w:rsidR="0041337D">
        <w:t xml:space="preserve"> bei Strafbefehlen zehn Jahre nach Rechtskraft, wobei die Frist mit der Vollstreckbarkeit </w:t>
      </w:r>
      <w:r w:rsidR="00C0496F">
        <w:t xml:space="preserve">zu laufen </w:t>
      </w:r>
      <w:r w:rsidR="0041337D">
        <w:t>beginnt.</w:t>
      </w:r>
      <w:r>
        <w:t xml:space="preserve"> Eine gegenüber der Verjährungsfrist verlängerte Aufbewahrungsfrist liegt deshalb im öffentlichen Interesse. Nach Art. 103 StPO ist eine kantonale Verlängerung der Fristen zulässig</w:t>
      </w:r>
      <w:r w:rsidR="0041337D" w:rsidRPr="0041337D">
        <w:t xml:space="preserve"> </w:t>
      </w:r>
      <w:r w:rsidR="0041337D">
        <w:t>und erforderlich, weil sonst die Gefahr vorzeitiger Vernichtung drohen würde</w:t>
      </w:r>
      <w:r>
        <w:t xml:space="preserve">. Da die Mindestaufbewahrungsfristen auf Bundesebene gesetzlich geregelt sind, </w:t>
      </w:r>
      <w:r w:rsidRPr="0001145D">
        <w:t>ist eine allfällige Verlängerung dieser Fri</w:t>
      </w:r>
      <w:r w:rsidRPr="0001145D">
        <w:t>s</w:t>
      </w:r>
      <w:r w:rsidRPr="0001145D">
        <w:t>ten ebenfalls auf formellgesetzlicher Stufe zu regeln.</w:t>
      </w:r>
      <w:r>
        <w:t xml:space="preserve"> Im GOG ist deshalb eine einheitl</w:t>
      </w:r>
      <w:r>
        <w:t>i</w:t>
      </w:r>
      <w:r>
        <w:t xml:space="preserve">che Mindestaufbewahrungsfrist von 15 Jahren festzulegen. Dabei sollen die Akten nur während der ersten zehn Jahre uneingeschränkt zugänglich sein. Nach Ablauf von zehn Jahren soll der Zugang </w:t>
      </w:r>
      <w:r w:rsidR="0041337D">
        <w:t>nur noch eingeschränkt möglich sein</w:t>
      </w:r>
      <w:r>
        <w:t>.</w:t>
      </w:r>
    </w:p>
    <w:p w:rsidR="009854E9" w:rsidRDefault="009854E9" w:rsidP="009854E9">
      <w:pPr>
        <w:pStyle w:val="00Vorgabetext"/>
        <w:keepNext/>
        <w:tabs>
          <w:tab w:val="left" w:pos="425"/>
        </w:tabs>
        <w:spacing w:before="240"/>
      </w:pPr>
      <w:r>
        <w:t xml:space="preserve">3. </w:t>
      </w:r>
      <w:r>
        <w:tab/>
      </w:r>
      <w:r w:rsidR="00A77CE0">
        <w:t>Akten</w:t>
      </w:r>
      <w:r>
        <w:t>aufbewahrung im Bereich des Justizvollzugs</w:t>
      </w:r>
    </w:p>
    <w:p w:rsidR="009854E9" w:rsidRPr="001210D1" w:rsidRDefault="009854E9" w:rsidP="009854E9">
      <w:pPr>
        <w:pStyle w:val="00Vorgabetext"/>
        <w:tabs>
          <w:tab w:val="left" w:pos="425"/>
        </w:tabs>
      </w:pPr>
      <w:r>
        <w:t xml:space="preserve">Für Akten aus dem Bereich des Justizvollzugs </w:t>
      </w:r>
      <w:r w:rsidR="00473207">
        <w:t>enthält das Bundesrecht keine Aufb</w:t>
      </w:r>
      <w:r w:rsidR="00473207">
        <w:t>e</w:t>
      </w:r>
      <w:r w:rsidR="00473207">
        <w:t>wahrungsfristen</w:t>
      </w:r>
      <w:r>
        <w:t xml:space="preserve">, weshalb </w:t>
      </w:r>
      <w:r w:rsidR="00FE792F">
        <w:t xml:space="preserve">im Kanton Zürich </w:t>
      </w:r>
      <w:r>
        <w:t xml:space="preserve">die Aufbewahrungsfrist von zehn Jahren </w:t>
      </w:r>
      <w:r w:rsidR="00473207">
        <w:t xml:space="preserve">gemäss </w:t>
      </w:r>
      <w:r>
        <w:t>§ 5 Abs. 2 IDG</w:t>
      </w:r>
      <w:r w:rsidR="00473207">
        <w:t xml:space="preserve"> gilt</w:t>
      </w:r>
      <w:r>
        <w:t xml:space="preserve">. Wie </w:t>
      </w:r>
      <w:r w:rsidR="00FE792F">
        <w:t>die Akten</w:t>
      </w:r>
      <w:r>
        <w:t xml:space="preserve"> der Strafverfolgung sind auch die Akten des Justizvollzugs für spätere Verfahren häufig von grosser Bedeutung. Auch in diesem Bereich müssen frühere Akten</w:t>
      </w:r>
      <w:r w:rsidR="00A77CE0">
        <w:t xml:space="preserve"> mit den darin enthaltenen besonderen Personendaten</w:t>
      </w:r>
      <w:r>
        <w:t xml:space="preserve"> </w:t>
      </w:r>
      <w:r>
        <w:lastRenderedPageBreak/>
        <w:t xml:space="preserve">regelmässig </w:t>
      </w:r>
      <w:r w:rsidR="0041337D">
        <w:t xml:space="preserve">zur Vollzugsplanung und </w:t>
      </w:r>
      <w:r>
        <w:t>zur Fällung von Entscheiden im Rahmen des Vollzugs (z.B. Entscheid über Fluchtgefahr) beigezogen werden. Das öffentliche Int</w:t>
      </w:r>
      <w:r>
        <w:t>e</w:t>
      </w:r>
      <w:r>
        <w:t>resse an einer wirksamen Strafvollstreckung spricht damit auch in diesem Bereich für eine längere als die in § 5 Abs. 2 IDG vorgesehene Aufbewahrungsfrist. Auch für di</w:t>
      </w:r>
      <w:r>
        <w:t>e</w:t>
      </w:r>
      <w:r>
        <w:t>sen Bereich ist deshalb eine Aktenaufbewahrung</w:t>
      </w:r>
      <w:r w:rsidR="00473207">
        <w:t>sfrist</w:t>
      </w:r>
      <w:r>
        <w:t xml:space="preserve"> </w:t>
      </w:r>
      <w:r w:rsidR="00473207">
        <w:t>von</w:t>
      </w:r>
      <w:r>
        <w:t xml:space="preserve"> 15 Jahre</w:t>
      </w:r>
      <w:r w:rsidR="00FE792F">
        <w:t>n</w:t>
      </w:r>
      <w:r>
        <w:t xml:space="preserve"> vorzusehen. Für den Zeitraum, der zehn Jahre überschreitet, sind die Zugangsrechte zusätzlich einz</w:t>
      </w:r>
      <w:r>
        <w:t>u</w:t>
      </w:r>
      <w:r>
        <w:t>schränken. Die Regelung ist ins StJVG einzufügen.</w:t>
      </w:r>
    </w:p>
    <w:p w:rsidR="009854E9" w:rsidRDefault="009854E9" w:rsidP="009854E9">
      <w:pPr>
        <w:pStyle w:val="00Vorgabetext"/>
        <w:keepNext/>
        <w:tabs>
          <w:tab w:val="clear" w:pos="794"/>
          <w:tab w:val="clear" w:pos="1191"/>
          <w:tab w:val="clear" w:pos="4479"/>
          <w:tab w:val="clear" w:pos="4876"/>
          <w:tab w:val="clear" w:pos="5273"/>
          <w:tab w:val="clear" w:pos="5670"/>
          <w:tab w:val="clear" w:pos="6067"/>
          <w:tab w:val="clear" w:pos="7938"/>
          <w:tab w:val="left" w:pos="426"/>
          <w:tab w:val="center" w:pos="4536"/>
        </w:tabs>
        <w:spacing w:before="240"/>
        <w:ind w:left="397" w:hanging="397"/>
      </w:pPr>
      <w:r>
        <w:t>C</w:t>
      </w:r>
      <w:r w:rsidRPr="00794076">
        <w:t xml:space="preserve">. </w:t>
      </w:r>
      <w:r>
        <w:tab/>
        <w:t>Sonderfragen der Akteneinsicht</w:t>
      </w:r>
      <w:r>
        <w:tab/>
      </w:r>
    </w:p>
    <w:p w:rsidR="009854E9" w:rsidRPr="00794076" w:rsidRDefault="009854E9" w:rsidP="009854E9">
      <w:pPr>
        <w:pStyle w:val="00Vorgabetext"/>
        <w:keepNext/>
        <w:tabs>
          <w:tab w:val="clear" w:pos="794"/>
          <w:tab w:val="clear" w:pos="1191"/>
          <w:tab w:val="clear" w:pos="4479"/>
          <w:tab w:val="clear" w:pos="4876"/>
          <w:tab w:val="clear" w:pos="5273"/>
          <w:tab w:val="clear" w:pos="5670"/>
          <w:tab w:val="clear" w:pos="6067"/>
          <w:tab w:val="clear" w:pos="7938"/>
          <w:tab w:val="left" w:pos="426"/>
          <w:tab w:val="center" w:pos="4536"/>
        </w:tabs>
        <w:ind w:left="397" w:hanging="397"/>
      </w:pPr>
      <w:r>
        <w:t xml:space="preserve">1. </w:t>
      </w:r>
      <w:r>
        <w:tab/>
        <w:t>Regelung der E</w:t>
      </w:r>
      <w:r w:rsidRPr="00794076">
        <w:t xml:space="preserve">insicht </w:t>
      </w:r>
      <w:r>
        <w:t xml:space="preserve">in Akten der Strafuntersuchungsbehörden </w:t>
      </w:r>
      <w:r w:rsidRPr="00794076">
        <w:t>nach Abschluss des Strafverfahrens</w:t>
      </w:r>
    </w:p>
    <w:p w:rsidR="009854E9" w:rsidRPr="00794076" w:rsidRDefault="009854E9" w:rsidP="009854E9">
      <w:pPr>
        <w:tabs>
          <w:tab w:val="clear" w:pos="794"/>
          <w:tab w:val="clear" w:pos="1191"/>
          <w:tab w:val="clear" w:pos="4479"/>
          <w:tab w:val="clear" w:pos="4876"/>
          <w:tab w:val="clear" w:pos="5273"/>
          <w:tab w:val="clear" w:pos="5670"/>
          <w:tab w:val="clear" w:pos="6067"/>
          <w:tab w:val="clear" w:pos="7938"/>
        </w:tabs>
        <w:autoSpaceDE w:val="0"/>
        <w:autoSpaceDN w:val="0"/>
        <w:adjustRightInd w:val="0"/>
      </w:pPr>
      <w:r>
        <w:t xml:space="preserve">Art. 101 f. StPO regelt die </w:t>
      </w:r>
      <w:r w:rsidR="00FE792F">
        <w:t>E</w:t>
      </w:r>
      <w:r>
        <w:t>insicht in Akten der Strafbehörden für laufende Strafverfa</w:t>
      </w:r>
      <w:r>
        <w:t>h</w:t>
      </w:r>
      <w:r>
        <w:t>ren. Auf abgeschlossene Strafverfahren ist die Bestimmung demgegenüber nicht a</w:t>
      </w:r>
      <w:r>
        <w:t>n</w:t>
      </w:r>
      <w:r>
        <w:t xml:space="preserve">wendbar, sondern es kommen die </w:t>
      </w:r>
      <w:proofErr w:type="spellStart"/>
      <w:r>
        <w:t>datenschutz</w:t>
      </w:r>
      <w:proofErr w:type="spellEnd"/>
      <w:r w:rsidR="00473207">
        <w:t>-</w:t>
      </w:r>
      <w:r>
        <w:t xml:space="preserve"> und archivrechtlichen Bestimmungen zu Anwendung. Im Kanton Zürich sind die Regeln des IDG auf gerichtliche Akten nicht anwendbar (§ 2 Abs. 1 IDG). Das Einsichtsrecht in Akten von Strafuntersuchungsve</w:t>
      </w:r>
      <w:r>
        <w:t>r</w:t>
      </w:r>
      <w:r>
        <w:t>fahren, die nicht mit einem gerichtlichen Verfahren</w:t>
      </w:r>
      <w:r w:rsidR="0041337D">
        <w:t>, sondern durch die Staatsanwal</w:t>
      </w:r>
      <w:r w:rsidR="0041337D">
        <w:t>t</w:t>
      </w:r>
      <w:r w:rsidR="0041337D">
        <w:t xml:space="preserve">schaft bzw. </w:t>
      </w:r>
      <w:r w:rsidR="00473207">
        <w:t xml:space="preserve">die </w:t>
      </w:r>
      <w:r w:rsidR="0041337D">
        <w:t>Jugendanwaltschaft</w:t>
      </w:r>
      <w:r w:rsidR="005C7D05">
        <w:t xml:space="preserve"> mit einem Strafbefehl oder durch Einstellung</w:t>
      </w:r>
      <w:r w:rsidR="0041337D">
        <w:t xml:space="preserve"> </w:t>
      </w:r>
      <w:r>
        <w:t>a</w:t>
      </w:r>
      <w:r>
        <w:t>b</w:t>
      </w:r>
      <w:r>
        <w:t>geschlossen w</w:t>
      </w:r>
      <w:r w:rsidR="00473207">
        <w:t>e</w:t>
      </w:r>
      <w:r>
        <w:t>rden</w:t>
      </w:r>
      <w:r w:rsidR="005D6F85">
        <w:t xml:space="preserve">, ist folglich anders geregelt, als dasjenige in Strafuntersuchungen, die </w:t>
      </w:r>
      <w:r w:rsidR="00473207">
        <w:t>mit</w:t>
      </w:r>
      <w:r w:rsidR="005D6F85">
        <w:t xml:space="preserve"> einem gerichtlichen Verfahren abgeschlossen werden. D</w:t>
      </w:r>
      <w:r w:rsidR="00FE792F">
        <w:t>ie</w:t>
      </w:r>
      <w:r w:rsidR="005D6F85">
        <w:t>se</w:t>
      </w:r>
      <w:r w:rsidR="00FE792F">
        <w:t xml:space="preserve"> unterschiedliche Behandlung </w:t>
      </w:r>
      <w:r w:rsidR="005D6F85">
        <w:t xml:space="preserve">leuchtet </w:t>
      </w:r>
      <w:r w:rsidR="00FE792F">
        <w:t>nicht ein</w:t>
      </w:r>
      <w:r w:rsidR="0041337D">
        <w:t>.</w:t>
      </w:r>
      <w:r w:rsidR="005D6F85">
        <w:t xml:space="preserve"> </w:t>
      </w:r>
      <w:r w:rsidR="0041337D">
        <w:t>D</w:t>
      </w:r>
      <w:r w:rsidR="005D6F85">
        <w:t>eshalb</w:t>
      </w:r>
      <w:r>
        <w:t xml:space="preserve"> </w:t>
      </w:r>
      <w:r w:rsidR="0041337D">
        <w:t xml:space="preserve">soll </w:t>
      </w:r>
      <w:r w:rsidR="00FE792F">
        <w:t>die Einsicht in die Akten der Strafunters</w:t>
      </w:r>
      <w:r w:rsidR="00FE792F">
        <w:t>u</w:t>
      </w:r>
      <w:r w:rsidR="00FE792F">
        <w:t xml:space="preserve">chungsbehörden (Staatsanwaltschaft und Jugendanwaltschaft) entsprechend </w:t>
      </w:r>
      <w:r>
        <w:t>der Ei</w:t>
      </w:r>
      <w:r>
        <w:t>n</w:t>
      </w:r>
      <w:r>
        <w:t xml:space="preserve">sicht in gerichtliche Akten geregelt werden. </w:t>
      </w:r>
      <w:r w:rsidR="0041337D">
        <w:t>Massgebend muss eine Interessenabw</w:t>
      </w:r>
      <w:r w:rsidR="0041337D">
        <w:t>ä</w:t>
      </w:r>
      <w:r w:rsidR="0041337D">
        <w:t xml:space="preserve">gung sein. </w:t>
      </w:r>
      <w:r>
        <w:t xml:space="preserve">Die Regelung ist ins GOG aufzunehmen. </w:t>
      </w:r>
    </w:p>
    <w:p w:rsidR="009854E9" w:rsidRDefault="009854E9" w:rsidP="009854E9">
      <w:pPr>
        <w:pStyle w:val="00Vorgabetext"/>
        <w:keepNext/>
        <w:tabs>
          <w:tab w:val="left" w:pos="425"/>
          <w:tab w:val="left" w:pos="567"/>
        </w:tabs>
        <w:spacing w:before="240"/>
      </w:pPr>
      <w:r>
        <w:t xml:space="preserve">2. </w:t>
      </w:r>
      <w:r>
        <w:tab/>
        <w:t>Akteneinsicht der Vollzugsbehörden in Akten der Strafbehörden</w:t>
      </w:r>
    </w:p>
    <w:p w:rsidR="009854E9" w:rsidRDefault="009854E9" w:rsidP="009854E9">
      <w:pPr>
        <w:pStyle w:val="00Vorgabetext"/>
        <w:tabs>
          <w:tab w:val="left" w:pos="284"/>
        </w:tabs>
      </w:pPr>
      <w:r w:rsidRPr="006A5119">
        <w:t>Die Vollzugsbehörden sind im Zusammenhang mit der Erfüllung ihrer Aufgaben auf gewisse Daten der Strafbehörden angewiesen. Die Ermächtigung der Strafbehörden den Vollzugsbehörden Akten rechtskräftiger Verfahren zuzustellen</w:t>
      </w:r>
      <w:r w:rsidR="00B6104F">
        <w:t>,</w:t>
      </w:r>
      <w:r w:rsidRPr="006A5119">
        <w:t xml:space="preserve"> ist in § 26 StJVG </w:t>
      </w:r>
      <w:r w:rsidR="00FE792F">
        <w:t xml:space="preserve">ausdrücklich </w:t>
      </w:r>
      <w:r w:rsidRPr="006A5119">
        <w:t>enthalten. Diese Regelung weist jedoch mit Bezug auf den vorzeitigen Straf- bzw. Massnahmenantritt</w:t>
      </w:r>
      <w:r w:rsidR="00473207" w:rsidRPr="00473207">
        <w:t xml:space="preserve"> </w:t>
      </w:r>
      <w:r w:rsidR="00473207" w:rsidRPr="006A5119">
        <w:t>eine Lücke auf</w:t>
      </w:r>
      <w:r w:rsidR="003F60AF">
        <w:t>, da in diesen Fällen das Verfahren noch nicht rechtskräftig abgeschlossen ist</w:t>
      </w:r>
      <w:r w:rsidR="00473207">
        <w:t xml:space="preserve">. Diese Lücke ist </w:t>
      </w:r>
      <w:r w:rsidRPr="006A5119">
        <w:t xml:space="preserve">zu schliessen. </w:t>
      </w:r>
    </w:p>
    <w:p w:rsidR="009854E9" w:rsidRDefault="009854E9" w:rsidP="009854E9">
      <w:pPr>
        <w:pStyle w:val="00Vorgabetext"/>
        <w:keepNext/>
        <w:tabs>
          <w:tab w:val="left" w:pos="425"/>
          <w:tab w:val="left" w:pos="567"/>
        </w:tabs>
        <w:spacing w:before="240"/>
      </w:pPr>
      <w:r>
        <w:t>3.</w:t>
      </w:r>
      <w:r>
        <w:tab/>
        <w:t>Akteneinsicht im Bereich des Justizvollzugs</w:t>
      </w:r>
    </w:p>
    <w:p w:rsidR="009854E9" w:rsidRDefault="009854E9" w:rsidP="009854E9">
      <w:pPr>
        <w:pStyle w:val="00Vorgabetext"/>
        <w:keepNext/>
        <w:tabs>
          <w:tab w:val="left" w:pos="425"/>
          <w:tab w:val="left" w:pos="567"/>
        </w:tabs>
      </w:pPr>
      <w:r>
        <w:t xml:space="preserve">a. </w:t>
      </w:r>
      <w:r>
        <w:tab/>
        <w:t>Akteneinsicht von Mitarbeitenden privater Institutionen in Akten des Justizvollzugs</w:t>
      </w:r>
    </w:p>
    <w:p w:rsidR="009A73AF" w:rsidRDefault="009854E9" w:rsidP="009A73AF">
      <w:pPr>
        <w:pStyle w:val="00Vorgabetext"/>
        <w:tabs>
          <w:tab w:val="left" w:pos="567"/>
        </w:tabs>
        <w:rPr>
          <w:rFonts w:asciiTheme="minorHAnsi" w:hAnsiTheme="minorHAnsi" w:cstheme="minorHAnsi"/>
          <w:iCs/>
          <w:color w:val="000000"/>
        </w:rPr>
      </w:pPr>
      <w:r>
        <w:rPr>
          <w:rFonts w:asciiTheme="minorHAnsi" w:hAnsiTheme="minorHAnsi" w:cstheme="minorHAnsi"/>
          <w:iCs/>
          <w:color w:val="000000"/>
        </w:rPr>
        <w:t xml:space="preserve">Im Bereich des Justizvollzugs sind die Zugriffsrechte der Mitarbeitenden und Dritter in § 26 f. StJVG detailliert geregelt. </w:t>
      </w:r>
      <w:r w:rsidR="00FE792F">
        <w:rPr>
          <w:rFonts w:asciiTheme="minorHAnsi" w:hAnsiTheme="minorHAnsi" w:cstheme="minorHAnsi"/>
          <w:iCs/>
          <w:color w:val="000000"/>
        </w:rPr>
        <w:t>Da der Vollzug gestützt auf § 17 StJVG Privaten übe</w:t>
      </w:r>
      <w:r w:rsidR="00FE792F">
        <w:rPr>
          <w:rFonts w:asciiTheme="minorHAnsi" w:hAnsiTheme="minorHAnsi" w:cstheme="minorHAnsi"/>
          <w:iCs/>
          <w:color w:val="000000"/>
        </w:rPr>
        <w:t>r</w:t>
      </w:r>
      <w:r w:rsidR="00FE792F">
        <w:rPr>
          <w:rFonts w:asciiTheme="minorHAnsi" w:hAnsiTheme="minorHAnsi" w:cstheme="minorHAnsi"/>
          <w:iCs/>
          <w:color w:val="000000"/>
        </w:rPr>
        <w:t>tragen werden kann, ist die Einsicht in die Vollzugsakten für die Mitarbeitenden von mit dem Vollzug beauftragten privaten Institutionen gesetzlich zu regeln und das StJVG entsprechend zu ergänzen.</w:t>
      </w:r>
    </w:p>
    <w:p w:rsidR="00345516" w:rsidRDefault="009854E9" w:rsidP="009A73AF">
      <w:pPr>
        <w:pStyle w:val="00Vorgabetext"/>
        <w:tabs>
          <w:tab w:val="left" w:pos="567"/>
        </w:tabs>
        <w:spacing w:before="240"/>
        <w:rPr>
          <w:rFonts w:asciiTheme="minorHAnsi" w:hAnsiTheme="minorHAnsi" w:cstheme="minorHAnsi"/>
          <w:iCs/>
          <w:color w:val="000000"/>
        </w:rPr>
      </w:pPr>
      <w:r>
        <w:rPr>
          <w:rFonts w:asciiTheme="minorHAnsi" w:hAnsiTheme="minorHAnsi" w:cstheme="minorHAnsi"/>
          <w:iCs/>
          <w:color w:val="000000"/>
        </w:rPr>
        <w:t>b.</w:t>
      </w:r>
      <w:r>
        <w:rPr>
          <w:rFonts w:asciiTheme="minorHAnsi" w:hAnsiTheme="minorHAnsi" w:cstheme="minorHAnsi"/>
          <w:iCs/>
          <w:color w:val="000000"/>
        </w:rPr>
        <w:tab/>
        <w:t>Spezialregelung für Akteneinsicht ärztlicher Mitarbeitenden</w:t>
      </w:r>
    </w:p>
    <w:p w:rsidR="00345516" w:rsidRDefault="00E150B7" w:rsidP="00345516">
      <w:pPr>
        <w:pStyle w:val="00Vorgabetext"/>
        <w:tabs>
          <w:tab w:val="left" w:pos="567"/>
        </w:tabs>
        <w:rPr>
          <w:rFonts w:asciiTheme="minorHAnsi" w:hAnsiTheme="minorHAnsi" w:cstheme="minorHAnsi"/>
          <w:iCs/>
          <w:color w:val="000000"/>
        </w:rPr>
      </w:pPr>
      <w:r>
        <w:t>Innerhalb der mit dem Vollzug befassten Verwaltungseinheiten sind häufig verschied</w:t>
      </w:r>
      <w:r>
        <w:t>e</w:t>
      </w:r>
      <w:r>
        <w:t xml:space="preserve">ne Ärztinnen und Ärzte sowie </w:t>
      </w:r>
      <w:r w:rsidR="00473207">
        <w:t xml:space="preserve">Psychiaterinnen und Psychiater </w:t>
      </w:r>
      <w:r>
        <w:t>mit einer sich im Vollzug befindenden Person befasst. Dies kommt insbesondere beim Wechsel von Vol</w:t>
      </w:r>
      <w:r>
        <w:t>l</w:t>
      </w:r>
      <w:r>
        <w:lastRenderedPageBreak/>
        <w:t xml:space="preserve">zugseinrichtungen oder bei Notfällen vor. Dabei handelt es sich </w:t>
      </w:r>
      <w:r w:rsidR="00473207">
        <w:t>sowohl</w:t>
      </w:r>
      <w:r>
        <w:t xml:space="preserve"> um Mitarbe</w:t>
      </w:r>
      <w:r>
        <w:t>i</w:t>
      </w:r>
      <w:r>
        <w:t xml:space="preserve">tende des Vollzugs </w:t>
      </w:r>
      <w:r w:rsidR="00473207">
        <w:t>als auch</w:t>
      </w:r>
      <w:r>
        <w:t xml:space="preserve"> um </w:t>
      </w:r>
      <w:r w:rsidR="00473207">
        <w:t>e</w:t>
      </w:r>
      <w:r>
        <w:t>xterne</w:t>
      </w:r>
      <w:r w:rsidR="00473207">
        <w:t xml:space="preserve"> Personen</w:t>
      </w:r>
      <w:r>
        <w:t xml:space="preserve"> (z.B. Notfallpsychiater, Notarzt). Durch eine besondere gesetzliche Regelung soll sichergestellt werden, dass ärztliche Mitarbeitende sowie beigezogene externe Ärztinnen oder Ärzte auch ohne eine En</w:t>
      </w:r>
      <w:r>
        <w:t>t</w:t>
      </w:r>
      <w:r>
        <w:t>bindung vom Berufsgeheimnis</w:t>
      </w:r>
      <w:r w:rsidRPr="00F92460">
        <w:t xml:space="preserve"> </w:t>
      </w:r>
      <w:r>
        <w:t>im Einzelfall Einblick in von früher zuständigen Ärzti</w:t>
      </w:r>
      <w:r>
        <w:t>n</w:t>
      </w:r>
      <w:r>
        <w:t>nen oder Ärzten erstell</w:t>
      </w:r>
      <w:r w:rsidR="003F60AF">
        <w:t>t</w:t>
      </w:r>
      <w:r>
        <w:t xml:space="preserve">e Krankengeschichten und Arztberichte nehmen können. </w:t>
      </w:r>
    </w:p>
    <w:p w:rsidR="009A73AF" w:rsidRDefault="009A73AF" w:rsidP="009A73AF">
      <w:pPr>
        <w:pStyle w:val="00Vorgabetext"/>
        <w:keepNext/>
        <w:tabs>
          <w:tab w:val="left" w:pos="567"/>
        </w:tabs>
        <w:rPr>
          <w:lang w:val="de-DE"/>
        </w:rPr>
      </w:pPr>
    </w:p>
    <w:p w:rsidR="009854E9" w:rsidRPr="00345516" w:rsidRDefault="00F11F6C" w:rsidP="009A73AF">
      <w:pPr>
        <w:pStyle w:val="00Vorgabetext"/>
        <w:keepNext/>
        <w:tabs>
          <w:tab w:val="left" w:pos="567"/>
        </w:tabs>
        <w:spacing w:before="240"/>
        <w:ind w:left="426" w:hanging="426"/>
        <w:rPr>
          <w:rFonts w:asciiTheme="minorHAnsi" w:hAnsiTheme="minorHAnsi" w:cstheme="minorHAnsi"/>
          <w:iCs/>
          <w:color w:val="000000"/>
        </w:rPr>
      </w:pPr>
      <w:r>
        <w:rPr>
          <w:lang w:val="de-DE"/>
        </w:rPr>
        <w:t>I</w:t>
      </w:r>
      <w:r w:rsidR="009854E9" w:rsidRPr="00ED6090">
        <w:rPr>
          <w:lang w:val="de-DE"/>
        </w:rPr>
        <w:t>V.</w:t>
      </w:r>
      <w:r w:rsidR="009854E9" w:rsidRPr="00ED6090">
        <w:rPr>
          <w:lang w:val="de-DE"/>
        </w:rPr>
        <w:tab/>
      </w:r>
      <w:r w:rsidR="009A73AF">
        <w:rPr>
          <w:lang w:val="de-DE"/>
        </w:rPr>
        <w:tab/>
      </w:r>
      <w:r w:rsidR="009854E9">
        <w:rPr>
          <w:lang w:val="de-DE"/>
        </w:rPr>
        <w:t>Zentrale A</w:t>
      </w:r>
      <w:r w:rsidR="009854E9" w:rsidRPr="00ED6090">
        <w:rPr>
          <w:lang w:val="de-DE"/>
        </w:rPr>
        <w:t xml:space="preserve">ufbewahrung </w:t>
      </w:r>
      <w:r w:rsidR="009854E9">
        <w:rPr>
          <w:lang w:val="de-DE"/>
        </w:rPr>
        <w:t>und Verwertung von Beweismitteln und beschlagnahmten Gegenständen und Vermögenswerten</w:t>
      </w:r>
    </w:p>
    <w:p w:rsidR="009854E9" w:rsidRPr="00D218D9" w:rsidRDefault="009854E9" w:rsidP="009854E9">
      <w:pPr>
        <w:pStyle w:val="00Vorgabetext"/>
        <w:tabs>
          <w:tab w:val="left" w:pos="0"/>
        </w:tabs>
        <w:rPr>
          <w:rFonts w:asciiTheme="minorHAnsi" w:hAnsiTheme="minorHAnsi" w:cstheme="minorHAnsi"/>
          <w:iCs/>
          <w:color w:val="000000"/>
        </w:rPr>
      </w:pPr>
      <w:r>
        <w:rPr>
          <w:rFonts w:asciiTheme="minorHAnsi" w:hAnsiTheme="minorHAnsi" w:cstheme="minorHAnsi"/>
          <w:iCs/>
          <w:color w:val="000000"/>
        </w:rPr>
        <w:t>Beweismittel</w:t>
      </w:r>
      <w:r w:rsidRPr="00D218D9">
        <w:rPr>
          <w:rFonts w:asciiTheme="minorHAnsi" w:hAnsiTheme="minorHAnsi" w:cstheme="minorHAnsi"/>
          <w:iCs/>
          <w:color w:val="000000"/>
        </w:rPr>
        <w:t xml:space="preserve"> aller Art </w:t>
      </w:r>
      <w:r>
        <w:rPr>
          <w:rFonts w:asciiTheme="minorHAnsi" w:hAnsiTheme="minorHAnsi" w:cstheme="minorHAnsi"/>
          <w:iCs/>
          <w:color w:val="000000"/>
        </w:rPr>
        <w:t xml:space="preserve">(z.B. Tatwerkzeug, Tatspuren) </w:t>
      </w:r>
      <w:r w:rsidRPr="00D218D9">
        <w:rPr>
          <w:rFonts w:asciiTheme="minorHAnsi" w:hAnsiTheme="minorHAnsi" w:cstheme="minorHAnsi"/>
          <w:iCs/>
          <w:color w:val="000000"/>
        </w:rPr>
        <w:t xml:space="preserve">werden </w:t>
      </w:r>
      <w:r>
        <w:rPr>
          <w:rFonts w:asciiTheme="minorHAnsi" w:hAnsiTheme="minorHAnsi" w:cstheme="minorHAnsi"/>
          <w:iCs/>
          <w:color w:val="000000"/>
        </w:rPr>
        <w:t>in der Regel</w:t>
      </w:r>
      <w:r w:rsidRPr="00D218D9">
        <w:rPr>
          <w:rFonts w:asciiTheme="minorHAnsi" w:hAnsiTheme="minorHAnsi" w:cstheme="minorHAnsi"/>
          <w:iCs/>
          <w:color w:val="000000"/>
        </w:rPr>
        <w:t xml:space="preserve"> von der Pol</w:t>
      </w:r>
      <w:r w:rsidRPr="00D218D9">
        <w:rPr>
          <w:rFonts w:asciiTheme="minorHAnsi" w:hAnsiTheme="minorHAnsi" w:cstheme="minorHAnsi"/>
          <w:iCs/>
          <w:color w:val="000000"/>
        </w:rPr>
        <w:t>i</w:t>
      </w:r>
      <w:r w:rsidRPr="00D218D9">
        <w:rPr>
          <w:rFonts w:asciiTheme="minorHAnsi" w:hAnsiTheme="minorHAnsi" w:cstheme="minorHAnsi"/>
          <w:iCs/>
          <w:color w:val="000000"/>
        </w:rPr>
        <w:t xml:space="preserve">zei entweder selbständig oder im Auftrag </w:t>
      </w:r>
      <w:r>
        <w:rPr>
          <w:rFonts w:asciiTheme="minorHAnsi" w:hAnsiTheme="minorHAnsi" w:cstheme="minorHAnsi"/>
          <w:iCs/>
          <w:color w:val="000000"/>
        </w:rPr>
        <w:t>der Strafuntersuchungsbehörden (</w:t>
      </w:r>
      <w:r w:rsidRPr="00D218D9">
        <w:rPr>
          <w:rFonts w:asciiTheme="minorHAnsi" w:hAnsiTheme="minorHAnsi" w:cstheme="minorHAnsi"/>
          <w:iCs/>
          <w:color w:val="000000"/>
        </w:rPr>
        <w:t>Staatsa</w:t>
      </w:r>
      <w:r w:rsidRPr="00D218D9">
        <w:rPr>
          <w:rFonts w:asciiTheme="minorHAnsi" w:hAnsiTheme="minorHAnsi" w:cstheme="minorHAnsi"/>
          <w:iCs/>
          <w:color w:val="000000"/>
        </w:rPr>
        <w:t>n</w:t>
      </w:r>
      <w:r w:rsidRPr="00D218D9">
        <w:rPr>
          <w:rFonts w:asciiTheme="minorHAnsi" w:hAnsiTheme="minorHAnsi" w:cstheme="minorHAnsi"/>
          <w:iCs/>
          <w:color w:val="000000"/>
        </w:rPr>
        <w:t>waltschaft, Jugendstaatsanwaltschaft oder Übertretungsstrafbehörde</w:t>
      </w:r>
      <w:r>
        <w:rPr>
          <w:rFonts w:asciiTheme="minorHAnsi" w:hAnsiTheme="minorHAnsi" w:cstheme="minorHAnsi"/>
          <w:iCs/>
          <w:color w:val="000000"/>
        </w:rPr>
        <w:t>)</w:t>
      </w:r>
      <w:r w:rsidRPr="00D218D9">
        <w:rPr>
          <w:rFonts w:asciiTheme="minorHAnsi" w:hAnsiTheme="minorHAnsi" w:cstheme="minorHAnsi"/>
          <w:iCs/>
          <w:color w:val="000000"/>
        </w:rPr>
        <w:t xml:space="preserve"> sichergestellt und dann beschlagnahmt, allenfalls untersucht oder ausgewertet und dokumentiert. Nach </w:t>
      </w:r>
      <w:r>
        <w:rPr>
          <w:rFonts w:asciiTheme="minorHAnsi" w:hAnsiTheme="minorHAnsi" w:cstheme="minorHAnsi"/>
          <w:iCs/>
          <w:color w:val="000000"/>
        </w:rPr>
        <w:t>ihrer</w:t>
      </w:r>
      <w:r w:rsidRPr="00D218D9">
        <w:rPr>
          <w:rFonts w:asciiTheme="minorHAnsi" w:hAnsiTheme="minorHAnsi" w:cstheme="minorHAnsi"/>
          <w:iCs/>
          <w:color w:val="000000"/>
        </w:rPr>
        <w:t xml:space="preserve"> Auswertung, Untersuchung und Dokumentation werden </w:t>
      </w:r>
      <w:r>
        <w:rPr>
          <w:rFonts w:asciiTheme="minorHAnsi" w:hAnsiTheme="minorHAnsi" w:cstheme="minorHAnsi"/>
          <w:iCs/>
          <w:color w:val="000000"/>
        </w:rPr>
        <w:t>die</w:t>
      </w:r>
      <w:r w:rsidRPr="00D218D9">
        <w:rPr>
          <w:rFonts w:asciiTheme="minorHAnsi" w:hAnsiTheme="minorHAnsi" w:cstheme="minorHAnsi"/>
          <w:iCs/>
          <w:color w:val="000000"/>
        </w:rPr>
        <w:t xml:space="preserve"> </w:t>
      </w:r>
      <w:r>
        <w:rPr>
          <w:rFonts w:asciiTheme="minorHAnsi" w:hAnsiTheme="minorHAnsi" w:cstheme="minorHAnsi"/>
          <w:iCs/>
          <w:color w:val="000000"/>
        </w:rPr>
        <w:t xml:space="preserve">Beweismittel </w:t>
      </w:r>
      <w:r w:rsidRPr="00D218D9">
        <w:rPr>
          <w:rFonts w:asciiTheme="minorHAnsi" w:hAnsiTheme="minorHAnsi" w:cstheme="minorHAnsi"/>
          <w:iCs/>
          <w:color w:val="000000"/>
        </w:rPr>
        <w:t xml:space="preserve">für die weitere </w:t>
      </w:r>
      <w:r>
        <w:rPr>
          <w:rFonts w:asciiTheme="minorHAnsi" w:hAnsiTheme="minorHAnsi" w:cstheme="minorHAnsi"/>
          <w:iCs/>
          <w:color w:val="000000"/>
        </w:rPr>
        <w:t>B</w:t>
      </w:r>
      <w:r w:rsidRPr="00D218D9">
        <w:rPr>
          <w:rFonts w:asciiTheme="minorHAnsi" w:hAnsiTheme="minorHAnsi" w:cstheme="minorHAnsi"/>
          <w:iCs/>
          <w:color w:val="000000"/>
        </w:rPr>
        <w:t xml:space="preserve">earbeitung </w:t>
      </w:r>
      <w:r>
        <w:rPr>
          <w:rFonts w:asciiTheme="minorHAnsi" w:hAnsiTheme="minorHAnsi" w:cstheme="minorHAnsi"/>
          <w:iCs/>
          <w:color w:val="000000"/>
        </w:rPr>
        <w:t xml:space="preserve">in der Regel </w:t>
      </w:r>
      <w:r w:rsidRPr="00D218D9">
        <w:rPr>
          <w:rFonts w:asciiTheme="minorHAnsi" w:hAnsiTheme="minorHAnsi" w:cstheme="minorHAnsi"/>
          <w:iCs/>
          <w:color w:val="000000"/>
        </w:rPr>
        <w:t>nicht mehr im Original benötigt</w:t>
      </w:r>
      <w:r>
        <w:rPr>
          <w:rFonts w:asciiTheme="minorHAnsi" w:hAnsiTheme="minorHAnsi" w:cstheme="minorHAnsi"/>
          <w:iCs/>
          <w:color w:val="000000"/>
        </w:rPr>
        <w:t>, sondern es gen</w:t>
      </w:r>
      <w:r>
        <w:rPr>
          <w:rFonts w:asciiTheme="minorHAnsi" w:hAnsiTheme="minorHAnsi" w:cstheme="minorHAnsi"/>
          <w:iCs/>
          <w:color w:val="000000"/>
        </w:rPr>
        <w:t>ü</w:t>
      </w:r>
      <w:r>
        <w:rPr>
          <w:rFonts w:asciiTheme="minorHAnsi" w:hAnsiTheme="minorHAnsi" w:cstheme="minorHAnsi"/>
          <w:iCs/>
          <w:color w:val="000000"/>
        </w:rPr>
        <w:t>g</w:t>
      </w:r>
      <w:r w:rsidR="0041337D">
        <w:rPr>
          <w:rFonts w:asciiTheme="minorHAnsi" w:hAnsiTheme="minorHAnsi" w:cstheme="minorHAnsi"/>
          <w:iCs/>
          <w:color w:val="000000"/>
        </w:rPr>
        <w:t>en die Dokumentation und</w:t>
      </w:r>
      <w:r>
        <w:rPr>
          <w:rFonts w:asciiTheme="minorHAnsi" w:hAnsiTheme="minorHAnsi" w:cstheme="minorHAnsi"/>
          <w:iCs/>
          <w:color w:val="000000"/>
        </w:rPr>
        <w:t xml:space="preserve"> der dazu erstellte Bericht. Gleiches gilt auch für die weit</w:t>
      </w:r>
      <w:r>
        <w:rPr>
          <w:rFonts w:asciiTheme="minorHAnsi" w:hAnsiTheme="minorHAnsi" w:cstheme="minorHAnsi"/>
          <w:iCs/>
          <w:color w:val="000000"/>
        </w:rPr>
        <w:t>e</w:t>
      </w:r>
      <w:r>
        <w:rPr>
          <w:rFonts w:asciiTheme="minorHAnsi" w:hAnsiTheme="minorHAnsi" w:cstheme="minorHAnsi"/>
          <w:iCs/>
          <w:color w:val="000000"/>
        </w:rPr>
        <w:t>ren beschlagnahmten Gegenstände und die Vermögenswerte</w:t>
      </w:r>
      <w:r w:rsidRPr="00D218D9">
        <w:rPr>
          <w:rFonts w:asciiTheme="minorHAnsi" w:hAnsiTheme="minorHAnsi" w:cstheme="minorHAnsi"/>
          <w:iCs/>
          <w:color w:val="000000"/>
        </w:rPr>
        <w:t xml:space="preserve">. </w:t>
      </w:r>
      <w:r>
        <w:rPr>
          <w:rFonts w:asciiTheme="minorHAnsi" w:hAnsiTheme="minorHAnsi" w:cstheme="minorHAnsi"/>
          <w:iCs/>
          <w:color w:val="000000"/>
        </w:rPr>
        <w:t>Ihre</w:t>
      </w:r>
      <w:r w:rsidRPr="00D218D9">
        <w:rPr>
          <w:rFonts w:asciiTheme="minorHAnsi" w:hAnsiTheme="minorHAnsi" w:cstheme="minorHAnsi"/>
          <w:iCs/>
          <w:color w:val="000000"/>
        </w:rPr>
        <w:t xml:space="preserve"> </w:t>
      </w:r>
      <w:r w:rsidR="0041337D">
        <w:rPr>
          <w:rFonts w:asciiTheme="minorHAnsi" w:hAnsiTheme="minorHAnsi" w:cstheme="minorHAnsi"/>
          <w:iCs/>
          <w:color w:val="000000"/>
        </w:rPr>
        <w:t xml:space="preserve">konsequente </w:t>
      </w:r>
      <w:r w:rsidRPr="00D218D9">
        <w:rPr>
          <w:rFonts w:asciiTheme="minorHAnsi" w:hAnsiTheme="minorHAnsi" w:cstheme="minorHAnsi"/>
          <w:iCs/>
          <w:color w:val="000000"/>
        </w:rPr>
        <w:t>We</w:t>
      </w:r>
      <w:r w:rsidRPr="00D218D9">
        <w:rPr>
          <w:rFonts w:asciiTheme="minorHAnsi" w:hAnsiTheme="minorHAnsi" w:cstheme="minorHAnsi"/>
          <w:iCs/>
          <w:color w:val="000000"/>
        </w:rPr>
        <w:t>i</w:t>
      </w:r>
      <w:r w:rsidRPr="00D218D9">
        <w:rPr>
          <w:rFonts w:asciiTheme="minorHAnsi" w:hAnsiTheme="minorHAnsi" w:cstheme="minorHAnsi"/>
          <w:iCs/>
          <w:color w:val="000000"/>
        </w:rPr>
        <w:t>tergab</w:t>
      </w:r>
      <w:r>
        <w:rPr>
          <w:rFonts w:asciiTheme="minorHAnsi" w:hAnsiTheme="minorHAnsi" w:cstheme="minorHAnsi"/>
          <w:iCs/>
          <w:color w:val="000000"/>
        </w:rPr>
        <w:t>e an die Strafuntersuchungsb</w:t>
      </w:r>
      <w:r w:rsidRPr="00D218D9">
        <w:rPr>
          <w:rFonts w:asciiTheme="minorHAnsi" w:hAnsiTheme="minorHAnsi" w:cstheme="minorHAnsi"/>
          <w:iCs/>
          <w:color w:val="000000"/>
        </w:rPr>
        <w:t>ehörde</w:t>
      </w:r>
      <w:r>
        <w:rPr>
          <w:rFonts w:asciiTheme="minorHAnsi" w:hAnsiTheme="minorHAnsi" w:cstheme="minorHAnsi"/>
          <w:iCs/>
          <w:color w:val="000000"/>
        </w:rPr>
        <w:t>n</w:t>
      </w:r>
      <w:r w:rsidRPr="00D218D9">
        <w:rPr>
          <w:rFonts w:asciiTheme="minorHAnsi" w:hAnsiTheme="minorHAnsi" w:cstheme="minorHAnsi"/>
          <w:iCs/>
          <w:color w:val="000000"/>
        </w:rPr>
        <w:t xml:space="preserve"> und die Gerichte </w:t>
      </w:r>
      <w:r>
        <w:rPr>
          <w:rFonts w:asciiTheme="minorHAnsi" w:hAnsiTheme="minorHAnsi" w:cstheme="minorHAnsi"/>
          <w:iCs/>
          <w:color w:val="000000"/>
        </w:rPr>
        <w:t xml:space="preserve">– wie sie sinngemäss aus der StPO hervorgeht (insbesondere Art. 100 und Art. 192 StPO) – ist nicht sinnvoll, da die Weiterleitung und Lagerung mit </w:t>
      </w:r>
      <w:r w:rsidRPr="00D218D9">
        <w:rPr>
          <w:rFonts w:asciiTheme="minorHAnsi" w:hAnsiTheme="minorHAnsi" w:cstheme="minorHAnsi"/>
          <w:iCs/>
          <w:color w:val="000000"/>
        </w:rPr>
        <w:t>grossem Aufwand verbunden</w:t>
      </w:r>
      <w:r>
        <w:rPr>
          <w:rFonts w:asciiTheme="minorHAnsi" w:hAnsiTheme="minorHAnsi" w:cstheme="minorHAnsi"/>
          <w:iCs/>
          <w:color w:val="000000"/>
        </w:rPr>
        <w:t xml:space="preserve"> und</w:t>
      </w:r>
      <w:r w:rsidRPr="00D61F12">
        <w:rPr>
          <w:rFonts w:asciiTheme="minorHAnsi" w:hAnsiTheme="minorHAnsi" w:cstheme="minorHAnsi"/>
          <w:iCs/>
          <w:color w:val="000000"/>
        </w:rPr>
        <w:t xml:space="preserve"> </w:t>
      </w:r>
      <w:r w:rsidRPr="00D218D9">
        <w:rPr>
          <w:rFonts w:asciiTheme="minorHAnsi" w:hAnsiTheme="minorHAnsi" w:cstheme="minorHAnsi"/>
          <w:iCs/>
          <w:color w:val="000000"/>
        </w:rPr>
        <w:t>pannenanfä</w:t>
      </w:r>
      <w:r w:rsidRPr="00D218D9">
        <w:rPr>
          <w:rFonts w:asciiTheme="minorHAnsi" w:hAnsiTheme="minorHAnsi" w:cstheme="minorHAnsi"/>
          <w:iCs/>
          <w:color w:val="000000"/>
        </w:rPr>
        <w:t>l</w:t>
      </w:r>
      <w:r w:rsidRPr="00D218D9">
        <w:rPr>
          <w:rFonts w:asciiTheme="minorHAnsi" w:hAnsiTheme="minorHAnsi" w:cstheme="minorHAnsi"/>
          <w:iCs/>
          <w:color w:val="000000"/>
        </w:rPr>
        <w:t>lig</w:t>
      </w:r>
      <w:r>
        <w:rPr>
          <w:rFonts w:asciiTheme="minorHAnsi" w:hAnsiTheme="minorHAnsi" w:cstheme="minorHAnsi"/>
          <w:iCs/>
          <w:color w:val="000000"/>
        </w:rPr>
        <w:t xml:space="preserve"> ist. </w:t>
      </w:r>
      <w:r w:rsidRPr="00D218D9">
        <w:rPr>
          <w:rFonts w:asciiTheme="minorHAnsi" w:hAnsiTheme="minorHAnsi" w:cstheme="minorHAnsi"/>
          <w:iCs/>
          <w:color w:val="000000"/>
        </w:rPr>
        <w:t>Eine Professionalisierung der Verwaltung und die Einrichtung einer</w:t>
      </w:r>
      <w:r>
        <w:rPr>
          <w:rFonts w:asciiTheme="minorHAnsi" w:hAnsiTheme="minorHAnsi" w:cstheme="minorHAnsi"/>
          <w:iCs/>
          <w:color w:val="000000"/>
        </w:rPr>
        <w:t xml:space="preserve"> zentralen</w:t>
      </w:r>
      <w:r w:rsidRPr="00D218D9">
        <w:rPr>
          <w:rFonts w:asciiTheme="minorHAnsi" w:hAnsiTheme="minorHAnsi" w:cstheme="minorHAnsi"/>
          <w:iCs/>
          <w:color w:val="000000"/>
        </w:rPr>
        <w:t xml:space="preserve"> Stelle, die sich mit </w:t>
      </w:r>
      <w:r>
        <w:rPr>
          <w:rFonts w:asciiTheme="minorHAnsi" w:hAnsiTheme="minorHAnsi" w:cstheme="minorHAnsi"/>
          <w:iCs/>
          <w:color w:val="000000"/>
        </w:rPr>
        <w:t xml:space="preserve">der Aufbewahrung und Bewirtschaftung </w:t>
      </w:r>
      <w:r w:rsidR="00473207">
        <w:rPr>
          <w:rFonts w:asciiTheme="minorHAnsi" w:hAnsiTheme="minorHAnsi" w:cstheme="minorHAnsi"/>
          <w:iCs/>
          <w:color w:val="000000"/>
        </w:rPr>
        <w:t>von</w:t>
      </w:r>
      <w:r>
        <w:rPr>
          <w:rFonts w:asciiTheme="minorHAnsi" w:hAnsiTheme="minorHAnsi" w:cstheme="minorHAnsi"/>
          <w:iCs/>
          <w:color w:val="000000"/>
        </w:rPr>
        <w:t xml:space="preserve"> </w:t>
      </w:r>
      <w:r w:rsidR="00473207">
        <w:rPr>
          <w:lang w:val="de-DE"/>
        </w:rPr>
        <w:t>Beweismitteln</w:t>
      </w:r>
      <w:r>
        <w:rPr>
          <w:lang w:val="de-DE"/>
        </w:rPr>
        <w:t xml:space="preserve"> </w:t>
      </w:r>
      <w:r w:rsidR="003F60AF">
        <w:rPr>
          <w:lang w:val="de-DE"/>
        </w:rPr>
        <w:t>und b</w:t>
      </w:r>
      <w:r w:rsidR="003F60AF">
        <w:rPr>
          <w:lang w:val="de-DE"/>
        </w:rPr>
        <w:t>e</w:t>
      </w:r>
      <w:r w:rsidR="003F60AF">
        <w:rPr>
          <w:lang w:val="de-DE"/>
        </w:rPr>
        <w:t>schlagnahmten Gegenstände</w:t>
      </w:r>
      <w:r w:rsidR="00B060FD">
        <w:rPr>
          <w:lang w:val="de-DE"/>
        </w:rPr>
        <w:t>n</w:t>
      </w:r>
      <w:r>
        <w:rPr>
          <w:lang w:val="de-DE"/>
        </w:rPr>
        <w:t xml:space="preserve"> und Vermögenswerten</w:t>
      </w:r>
      <w:r w:rsidRPr="00D218D9">
        <w:rPr>
          <w:rFonts w:asciiTheme="minorHAnsi" w:hAnsiTheme="minorHAnsi" w:cstheme="minorHAnsi"/>
          <w:iCs/>
          <w:color w:val="000000"/>
        </w:rPr>
        <w:t xml:space="preserve"> befasst, </w:t>
      </w:r>
      <w:proofErr w:type="gramStart"/>
      <w:r w:rsidR="0041337D" w:rsidRPr="00D218D9">
        <w:rPr>
          <w:rFonts w:asciiTheme="minorHAnsi" w:hAnsiTheme="minorHAnsi" w:cstheme="minorHAnsi"/>
          <w:iCs/>
          <w:color w:val="000000"/>
        </w:rPr>
        <w:t>biete</w:t>
      </w:r>
      <w:r w:rsidR="0041337D">
        <w:rPr>
          <w:rFonts w:asciiTheme="minorHAnsi" w:hAnsiTheme="minorHAnsi" w:cstheme="minorHAnsi"/>
          <w:iCs/>
          <w:color w:val="000000"/>
        </w:rPr>
        <w:t>t</w:t>
      </w:r>
      <w:proofErr w:type="gramEnd"/>
      <w:r w:rsidR="0041337D" w:rsidRPr="00D218D9">
        <w:rPr>
          <w:rFonts w:asciiTheme="minorHAnsi" w:hAnsiTheme="minorHAnsi" w:cstheme="minorHAnsi"/>
          <w:iCs/>
          <w:color w:val="000000"/>
        </w:rPr>
        <w:t xml:space="preserve"> </w:t>
      </w:r>
      <w:r w:rsidRPr="00D218D9">
        <w:rPr>
          <w:rFonts w:asciiTheme="minorHAnsi" w:hAnsiTheme="minorHAnsi" w:cstheme="minorHAnsi"/>
          <w:iCs/>
          <w:color w:val="000000"/>
        </w:rPr>
        <w:t>zahlreiche Vorte</w:t>
      </w:r>
      <w:r w:rsidRPr="00D218D9">
        <w:rPr>
          <w:rFonts w:asciiTheme="minorHAnsi" w:hAnsiTheme="minorHAnsi" w:cstheme="minorHAnsi"/>
          <w:iCs/>
          <w:color w:val="000000"/>
        </w:rPr>
        <w:t>i</w:t>
      </w:r>
      <w:r w:rsidRPr="00D218D9">
        <w:rPr>
          <w:rFonts w:asciiTheme="minorHAnsi" w:hAnsiTheme="minorHAnsi" w:cstheme="minorHAnsi"/>
          <w:iCs/>
          <w:color w:val="000000"/>
        </w:rPr>
        <w:t xml:space="preserve">le. </w:t>
      </w:r>
    </w:p>
    <w:p w:rsidR="009854E9" w:rsidRDefault="008E46A9" w:rsidP="009854E9">
      <w:pPr>
        <w:pStyle w:val="00Vorgabetext"/>
        <w:tabs>
          <w:tab w:val="left" w:pos="0"/>
        </w:tabs>
        <w:rPr>
          <w:rFonts w:asciiTheme="minorHAnsi" w:hAnsiTheme="minorHAnsi" w:cstheme="minorHAnsi"/>
          <w:iCs/>
          <w:color w:val="000000"/>
        </w:rPr>
      </w:pPr>
      <w:r w:rsidRPr="008E46A9">
        <w:t xml:space="preserve">Eine entsprechende Regelung führt dazu, dass die Polizei auch nach Abschluss der polizeilichen Ermittlungen für die Staatsanwaltschaften und Gerichte Daten bearbeitet und zu deren korrekter Verwaltung auch Daten erhält (z.B. </w:t>
      </w:r>
      <w:proofErr w:type="spellStart"/>
      <w:r w:rsidRPr="008E46A9">
        <w:t>Beschlagnahmeverfügu</w:t>
      </w:r>
      <w:r w:rsidRPr="008E46A9">
        <w:t>n</w:t>
      </w:r>
      <w:r w:rsidR="005D3E03">
        <w:t>gen</w:t>
      </w:r>
      <w:proofErr w:type="spellEnd"/>
      <w:r w:rsidR="005D3E03">
        <w:t>, Urteile und Beschlüsse,</w:t>
      </w:r>
      <w:r w:rsidRPr="008E46A9">
        <w:t xml:space="preserve"> </w:t>
      </w:r>
      <w:r w:rsidR="005D3E03">
        <w:t>gemäss</w:t>
      </w:r>
      <w:r w:rsidRPr="008E46A9">
        <w:t xml:space="preserve"> denen Asservate etc. freigegeben, vernichtet oder verwertet werden). Da damit auch besondere Personendaten verbunden sein können, bedarf es dazu eine</w:t>
      </w:r>
      <w:r w:rsidR="005D3E03">
        <w:t>r</w:t>
      </w:r>
      <w:r w:rsidRPr="008E46A9">
        <w:t xml:space="preserve"> gesetzlichen Regelung.</w:t>
      </w:r>
      <w:r w:rsidR="005D3E03" w:rsidRPr="005D3E03">
        <w:rPr>
          <w:i/>
        </w:rPr>
        <w:t xml:space="preserve"> </w:t>
      </w:r>
      <w:r w:rsidR="009854E9">
        <w:rPr>
          <w:rFonts w:asciiTheme="minorHAnsi" w:hAnsiTheme="minorHAnsi" w:cstheme="minorHAnsi"/>
          <w:iCs/>
          <w:color w:val="000000"/>
        </w:rPr>
        <w:t>D</w:t>
      </w:r>
      <w:r w:rsidR="009854E9" w:rsidRPr="00D218D9">
        <w:rPr>
          <w:rFonts w:asciiTheme="minorHAnsi" w:hAnsiTheme="minorHAnsi" w:cstheme="minorHAnsi"/>
          <w:iCs/>
          <w:color w:val="000000"/>
        </w:rPr>
        <w:t>ie</w:t>
      </w:r>
      <w:r w:rsidR="005A5AE3">
        <w:rPr>
          <w:rFonts w:asciiTheme="minorHAnsi" w:hAnsiTheme="minorHAnsi" w:cstheme="minorHAnsi"/>
          <w:iCs/>
          <w:color w:val="000000"/>
        </w:rPr>
        <w:t>se</w:t>
      </w:r>
      <w:r w:rsidR="009854E9" w:rsidRPr="00D218D9">
        <w:rPr>
          <w:rFonts w:asciiTheme="minorHAnsi" w:hAnsiTheme="minorHAnsi" w:cstheme="minorHAnsi"/>
          <w:iCs/>
          <w:color w:val="000000"/>
        </w:rPr>
        <w:t xml:space="preserve"> </w:t>
      </w:r>
      <w:r w:rsidR="009854E9">
        <w:rPr>
          <w:rFonts w:asciiTheme="minorHAnsi" w:hAnsiTheme="minorHAnsi" w:cstheme="minorHAnsi"/>
          <w:iCs/>
          <w:color w:val="000000"/>
        </w:rPr>
        <w:t xml:space="preserve">ist im GOG </w:t>
      </w:r>
      <w:r w:rsidR="009854E9" w:rsidRPr="00D218D9">
        <w:rPr>
          <w:rFonts w:asciiTheme="minorHAnsi" w:hAnsiTheme="minorHAnsi" w:cstheme="minorHAnsi"/>
          <w:iCs/>
          <w:color w:val="000000"/>
        </w:rPr>
        <w:t>zu schaffen</w:t>
      </w:r>
      <w:r w:rsidR="009854E9">
        <w:rPr>
          <w:rFonts w:asciiTheme="minorHAnsi" w:hAnsiTheme="minorHAnsi" w:cstheme="minorHAnsi"/>
          <w:iCs/>
          <w:color w:val="000000"/>
        </w:rPr>
        <w:t>. Selbstverständlich ist sicherzustellen, dass die</w:t>
      </w:r>
      <w:r w:rsidR="009854E9" w:rsidRPr="00D218D9">
        <w:rPr>
          <w:rFonts w:asciiTheme="minorHAnsi" w:hAnsiTheme="minorHAnsi" w:cstheme="minorHAnsi"/>
          <w:iCs/>
          <w:color w:val="000000"/>
        </w:rPr>
        <w:t xml:space="preserve"> Auslieferung der Originale </w:t>
      </w:r>
      <w:r w:rsidR="0041337D">
        <w:rPr>
          <w:rFonts w:asciiTheme="minorHAnsi" w:hAnsiTheme="minorHAnsi" w:cstheme="minorHAnsi"/>
          <w:iCs/>
          <w:color w:val="000000"/>
        </w:rPr>
        <w:t>im Einzelfa</w:t>
      </w:r>
      <w:r w:rsidR="005A5AE3">
        <w:rPr>
          <w:rFonts w:asciiTheme="minorHAnsi" w:hAnsiTheme="minorHAnsi" w:cstheme="minorHAnsi"/>
          <w:iCs/>
          <w:color w:val="000000"/>
        </w:rPr>
        <w:t>ll und auf Anforderung hin</w:t>
      </w:r>
      <w:r w:rsidR="0041337D">
        <w:rPr>
          <w:rFonts w:asciiTheme="minorHAnsi" w:hAnsiTheme="minorHAnsi" w:cstheme="minorHAnsi"/>
          <w:iCs/>
          <w:color w:val="000000"/>
        </w:rPr>
        <w:t xml:space="preserve"> </w:t>
      </w:r>
      <w:r w:rsidR="009854E9" w:rsidRPr="00D218D9">
        <w:rPr>
          <w:rFonts w:asciiTheme="minorHAnsi" w:hAnsiTheme="minorHAnsi" w:cstheme="minorHAnsi"/>
          <w:iCs/>
          <w:color w:val="000000"/>
        </w:rPr>
        <w:t>jederzeit gewährleistet</w:t>
      </w:r>
      <w:r w:rsidR="009854E9">
        <w:rPr>
          <w:rFonts w:asciiTheme="minorHAnsi" w:hAnsiTheme="minorHAnsi" w:cstheme="minorHAnsi"/>
          <w:iCs/>
          <w:color w:val="000000"/>
        </w:rPr>
        <w:t xml:space="preserve"> ist</w:t>
      </w:r>
      <w:r w:rsidR="005D3E03">
        <w:rPr>
          <w:rFonts w:asciiTheme="minorHAnsi" w:hAnsiTheme="minorHAnsi" w:cstheme="minorHAnsi"/>
          <w:iCs/>
          <w:color w:val="000000"/>
        </w:rPr>
        <w:t>.</w:t>
      </w:r>
    </w:p>
    <w:p w:rsidR="009854E9" w:rsidRDefault="009854E9" w:rsidP="009A73AF">
      <w:pPr>
        <w:tabs>
          <w:tab w:val="clear" w:pos="794"/>
          <w:tab w:val="clear" w:pos="1191"/>
          <w:tab w:val="clear" w:pos="4479"/>
          <w:tab w:val="clear" w:pos="4876"/>
          <w:tab w:val="clear" w:pos="5273"/>
          <w:tab w:val="clear" w:pos="5670"/>
          <w:tab w:val="clear" w:pos="6067"/>
          <w:tab w:val="clear" w:pos="7938"/>
        </w:tabs>
        <w:rPr>
          <w:lang w:val="de-DE"/>
        </w:rPr>
      </w:pPr>
    </w:p>
    <w:p w:rsidR="009854E9" w:rsidRPr="006956FF" w:rsidRDefault="009854E9" w:rsidP="009854E9">
      <w:pPr>
        <w:keepNext/>
        <w:tabs>
          <w:tab w:val="clear" w:pos="794"/>
          <w:tab w:val="clear" w:pos="1191"/>
          <w:tab w:val="clear" w:pos="4479"/>
          <w:tab w:val="clear" w:pos="4876"/>
          <w:tab w:val="clear" w:pos="5273"/>
          <w:tab w:val="clear" w:pos="5670"/>
          <w:tab w:val="clear" w:pos="6067"/>
          <w:tab w:val="clear" w:pos="7938"/>
          <w:tab w:val="left" w:pos="567"/>
        </w:tabs>
        <w:autoSpaceDE w:val="0"/>
        <w:autoSpaceDN w:val="0"/>
        <w:adjustRightInd w:val="0"/>
        <w:spacing w:before="240"/>
        <w:rPr>
          <w:rFonts w:asciiTheme="minorHAnsi" w:hAnsiTheme="minorHAnsi" w:cstheme="minorHAnsi"/>
          <w:b/>
          <w:iCs/>
          <w:color w:val="000000"/>
        </w:rPr>
      </w:pPr>
      <w:r>
        <w:rPr>
          <w:lang w:val="de-DE"/>
        </w:rPr>
        <w:t xml:space="preserve">V. </w:t>
      </w:r>
      <w:r>
        <w:rPr>
          <w:lang w:val="de-DE"/>
        </w:rPr>
        <w:tab/>
        <w:t xml:space="preserve">Ausblick: </w:t>
      </w:r>
      <w:r w:rsidRPr="00254DA2">
        <w:rPr>
          <w:rFonts w:asciiTheme="minorHAnsi" w:hAnsiTheme="minorHAnsi" w:cstheme="minorHAnsi"/>
          <w:iCs/>
          <w:color w:val="000000"/>
        </w:rPr>
        <w:t>Ergänzung des Verordnungsrechts</w:t>
      </w:r>
      <w:r>
        <w:rPr>
          <w:rFonts w:asciiTheme="minorHAnsi" w:hAnsiTheme="minorHAnsi" w:cstheme="minorHAnsi"/>
          <w:b/>
          <w:iCs/>
          <w:color w:val="000000"/>
        </w:rPr>
        <w:t xml:space="preserve"> </w:t>
      </w:r>
    </w:p>
    <w:p w:rsidR="00E1284D" w:rsidRDefault="00C0496F" w:rsidP="001D36BA">
      <w:pPr>
        <w:tabs>
          <w:tab w:val="clear" w:pos="794"/>
          <w:tab w:val="clear" w:pos="1191"/>
          <w:tab w:val="clear" w:pos="4479"/>
          <w:tab w:val="clear" w:pos="4876"/>
          <w:tab w:val="clear" w:pos="5273"/>
          <w:tab w:val="clear" w:pos="5670"/>
          <w:tab w:val="clear" w:pos="6067"/>
          <w:tab w:val="clear" w:pos="7938"/>
        </w:tabs>
        <w:autoSpaceDE w:val="0"/>
        <w:autoSpaceDN w:val="0"/>
        <w:adjustRightInd w:val="0"/>
        <w:rPr>
          <w:rFonts w:asciiTheme="minorHAnsi" w:hAnsiTheme="minorHAnsi" w:cstheme="minorHAnsi"/>
        </w:rPr>
      </w:pPr>
      <w:r>
        <w:rPr>
          <w:rFonts w:asciiTheme="minorHAnsi" w:hAnsiTheme="minorHAnsi" w:cstheme="minorHAnsi"/>
          <w:iCs/>
          <w:color w:val="000000"/>
        </w:rPr>
        <w:t>Zusätzlich zu</w:t>
      </w:r>
      <w:r w:rsidR="009854E9">
        <w:rPr>
          <w:rFonts w:asciiTheme="minorHAnsi" w:hAnsiTheme="minorHAnsi" w:cstheme="minorHAnsi"/>
          <w:iCs/>
          <w:color w:val="000000"/>
        </w:rPr>
        <w:t xml:space="preserve"> den Gesetzesänderungen wird auch das Verordnungsrecht anzupassen sein.</w:t>
      </w:r>
      <w:r w:rsidR="009854E9" w:rsidRPr="0051604C">
        <w:t xml:space="preserve"> </w:t>
      </w:r>
      <w:r w:rsidR="009854E9">
        <w:rPr>
          <w:rFonts w:asciiTheme="minorHAnsi" w:hAnsiTheme="minorHAnsi" w:cstheme="minorHAnsi"/>
          <w:iCs/>
          <w:color w:val="000000"/>
        </w:rPr>
        <w:t>Die fehlende</w:t>
      </w:r>
      <w:r w:rsidR="009854E9" w:rsidRPr="0051604C">
        <w:rPr>
          <w:rFonts w:asciiTheme="minorHAnsi" w:hAnsiTheme="minorHAnsi" w:cstheme="minorHAnsi"/>
          <w:iCs/>
          <w:color w:val="000000"/>
        </w:rPr>
        <w:t xml:space="preserve"> Regelung der Einzelheiten der Datenbearbeitung (</w:t>
      </w:r>
      <w:r>
        <w:rPr>
          <w:rFonts w:asciiTheme="minorHAnsi" w:hAnsiTheme="minorHAnsi" w:cstheme="minorHAnsi"/>
          <w:iCs/>
          <w:color w:val="000000"/>
        </w:rPr>
        <w:t xml:space="preserve">insbesondere </w:t>
      </w:r>
      <w:r w:rsidR="009854E9" w:rsidRPr="0051604C">
        <w:rPr>
          <w:rFonts w:asciiTheme="minorHAnsi" w:hAnsiTheme="minorHAnsi" w:cstheme="minorHAnsi"/>
          <w:iCs/>
          <w:color w:val="000000"/>
        </w:rPr>
        <w:t>Datensi</w:t>
      </w:r>
      <w:r w:rsidR="009854E9">
        <w:rPr>
          <w:rFonts w:asciiTheme="minorHAnsi" w:hAnsiTheme="minorHAnsi" w:cstheme="minorHAnsi"/>
          <w:iCs/>
          <w:color w:val="000000"/>
        </w:rPr>
        <w:t>cher</w:t>
      </w:r>
      <w:r w:rsidR="009854E9" w:rsidRPr="0051604C">
        <w:rPr>
          <w:rFonts w:asciiTheme="minorHAnsi" w:hAnsiTheme="minorHAnsi" w:cstheme="minorHAnsi"/>
          <w:iCs/>
          <w:color w:val="000000"/>
        </w:rPr>
        <w:t>heitsvorsc</w:t>
      </w:r>
      <w:r w:rsidR="009854E9">
        <w:rPr>
          <w:rFonts w:asciiTheme="minorHAnsi" w:hAnsiTheme="minorHAnsi" w:cstheme="minorHAnsi"/>
          <w:iCs/>
          <w:color w:val="000000"/>
        </w:rPr>
        <w:t xml:space="preserve">hriften, </w:t>
      </w:r>
      <w:r w:rsidR="00345516">
        <w:rPr>
          <w:rFonts w:asciiTheme="minorHAnsi" w:hAnsiTheme="minorHAnsi" w:cstheme="minorHAnsi"/>
        </w:rPr>
        <w:t>Zugriffsberechtigungen</w:t>
      </w:r>
      <w:r w:rsidR="009854E9">
        <w:rPr>
          <w:rFonts w:asciiTheme="minorHAnsi" w:hAnsiTheme="minorHAnsi" w:cstheme="minorHAnsi"/>
          <w:iCs/>
          <w:color w:val="000000"/>
        </w:rPr>
        <w:t xml:space="preserve"> usw.)</w:t>
      </w:r>
      <w:r w:rsidR="009854E9" w:rsidRPr="0051604C">
        <w:rPr>
          <w:rFonts w:asciiTheme="minorHAnsi" w:hAnsiTheme="minorHAnsi" w:cstheme="minorHAnsi"/>
          <w:iCs/>
          <w:color w:val="000000"/>
        </w:rPr>
        <w:t xml:space="preserve"> </w:t>
      </w:r>
      <w:r w:rsidR="009854E9">
        <w:rPr>
          <w:rFonts w:asciiTheme="minorHAnsi" w:hAnsiTheme="minorHAnsi" w:cstheme="minorHAnsi"/>
          <w:iCs/>
          <w:color w:val="000000"/>
        </w:rPr>
        <w:t xml:space="preserve">ist </w:t>
      </w:r>
      <w:r w:rsidR="009854E9" w:rsidRPr="0051604C">
        <w:rPr>
          <w:rFonts w:asciiTheme="minorHAnsi" w:hAnsiTheme="minorHAnsi" w:cstheme="minorHAnsi"/>
          <w:iCs/>
          <w:color w:val="000000"/>
        </w:rPr>
        <w:t>gestützt auf die Ve</w:t>
      </w:r>
      <w:r w:rsidR="009854E9">
        <w:rPr>
          <w:rFonts w:asciiTheme="minorHAnsi" w:hAnsiTheme="minorHAnsi" w:cstheme="minorHAnsi"/>
          <w:iCs/>
          <w:color w:val="000000"/>
        </w:rPr>
        <w:t>ror</w:t>
      </w:r>
      <w:r w:rsidR="009854E9">
        <w:rPr>
          <w:rFonts w:asciiTheme="minorHAnsi" w:hAnsiTheme="minorHAnsi" w:cstheme="minorHAnsi"/>
          <w:iCs/>
          <w:color w:val="000000"/>
        </w:rPr>
        <w:t>d</w:t>
      </w:r>
      <w:r w:rsidR="009854E9">
        <w:rPr>
          <w:rFonts w:asciiTheme="minorHAnsi" w:hAnsiTheme="minorHAnsi" w:cstheme="minorHAnsi"/>
          <w:iCs/>
          <w:color w:val="000000"/>
        </w:rPr>
        <w:t>nungs</w:t>
      </w:r>
      <w:r w:rsidR="009854E9" w:rsidRPr="0051604C">
        <w:rPr>
          <w:rFonts w:asciiTheme="minorHAnsi" w:hAnsiTheme="minorHAnsi" w:cstheme="minorHAnsi"/>
          <w:iCs/>
          <w:color w:val="000000"/>
        </w:rPr>
        <w:t xml:space="preserve">kompetenz </w:t>
      </w:r>
      <w:r w:rsidR="009854E9">
        <w:rPr>
          <w:rFonts w:asciiTheme="minorHAnsi" w:hAnsiTheme="minorHAnsi" w:cstheme="minorHAnsi"/>
          <w:iCs/>
          <w:color w:val="000000"/>
        </w:rPr>
        <w:t xml:space="preserve">in </w:t>
      </w:r>
      <w:r w:rsidR="00345516">
        <w:rPr>
          <w:rFonts w:asciiTheme="minorHAnsi" w:hAnsiTheme="minorHAnsi" w:cstheme="minorHAnsi"/>
          <w:iCs/>
          <w:color w:val="000000"/>
        </w:rPr>
        <w:t xml:space="preserve">§ 61 </w:t>
      </w:r>
      <w:r w:rsidR="009854E9">
        <w:rPr>
          <w:rFonts w:asciiTheme="minorHAnsi" w:hAnsiTheme="minorHAnsi" w:cstheme="minorHAnsi"/>
          <w:iCs/>
          <w:color w:val="000000"/>
        </w:rPr>
        <w:t>VOG</w:t>
      </w:r>
      <w:r w:rsidR="009854E9" w:rsidRPr="0051604C">
        <w:rPr>
          <w:rFonts w:asciiTheme="minorHAnsi" w:hAnsiTheme="minorHAnsi" w:cstheme="minorHAnsi"/>
          <w:iCs/>
          <w:color w:val="000000"/>
        </w:rPr>
        <w:t xml:space="preserve"> RR </w:t>
      </w:r>
      <w:r w:rsidR="009854E9">
        <w:rPr>
          <w:rFonts w:asciiTheme="minorHAnsi" w:hAnsiTheme="minorHAnsi" w:cstheme="minorHAnsi"/>
          <w:iCs/>
          <w:color w:val="000000"/>
        </w:rPr>
        <w:t xml:space="preserve">in der Form </w:t>
      </w:r>
      <w:r w:rsidR="00850452">
        <w:rPr>
          <w:rFonts w:asciiTheme="minorHAnsi" w:hAnsiTheme="minorHAnsi" w:cstheme="minorHAnsi"/>
          <w:iCs/>
          <w:color w:val="000000"/>
        </w:rPr>
        <w:t xml:space="preserve">der </w:t>
      </w:r>
      <w:r w:rsidR="00345516" w:rsidRPr="0051604C">
        <w:rPr>
          <w:rFonts w:asciiTheme="minorHAnsi" w:hAnsiTheme="minorHAnsi" w:cstheme="minorHAnsi"/>
          <w:iCs/>
          <w:color w:val="000000"/>
        </w:rPr>
        <w:t>Direktion</w:t>
      </w:r>
      <w:r w:rsidR="00345516">
        <w:rPr>
          <w:rFonts w:asciiTheme="minorHAnsi" w:hAnsiTheme="minorHAnsi" w:cstheme="minorHAnsi"/>
          <w:iCs/>
          <w:color w:val="000000"/>
        </w:rPr>
        <w:t>sverordnung</w:t>
      </w:r>
      <w:r w:rsidR="00345516" w:rsidRPr="0051604C">
        <w:rPr>
          <w:rFonts w:asciiTheme="minorHAnsi" w:hAnsiTheme="minorHAnsi" w:cstheme="minorHAnsi"/>
          <w:iCs/>
          <w:color w:val="000000"/>
        </w:rPr>
        <w:t xml:space="preserve"> </w:t>
      </w:r>
      <w:r w:rsidR="009854E9">
        <w:rPr>
          <w:rFonts w:asciiTheme="minorHAnsi" w:hAnsiTheme="minorHAnsi" w:cstheme="minorHAnsi"/>
          <w:iCs/>
          <w:color w:val="000000"/>
        </w:rPr>
        <w:t>zu ergänzen</w:t>
      </w:r>
      <w:r w:rsidR="001D36BA">
        <w:rPr>
          <w:rFonts w:asciiTheme="minorHAnsi" w:hAnsiTheme="minorHAnsi" w:cstheme="minorHAnsi"/>
          <w:iCs/>
          <w:color w:val="000000"/>
        </w:rPr>
        <w:t xml:space="preserve">. </w:t>
      </w:r>
    </w:p>
    <w:sectPr w:rsidR="00E1284D" w:rsidSect="001D36BA">
      <w:headerReference w:type="default" r:id="rId8"/>
      <w:headerReference w:type="first" r:id="rId9"/>
      <w:pgSz w:w="11906" w:h="16838" w:code="9"/>
      <w:pgMar w:top="3062" w:right="1418" w:bottom="1701" w:left="1985"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271C" w:rsidRDefault="008E271C">
      <w:r>
        <w:separator/>
      </w:r>
    </w:p>
  </w:endnote>
  <w:endnote w:type="continuationSeparator" w:id="0">
    <w:p w:rsidR="008E271C" w:rsidRDefault="008E27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lack">
    <w:altName w:val="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JUST">
    <w:altName w:val="Courier"/>
    <w:panose1 w:val="00000400000000000000"/>
    <w:charset w:val="00"/>
    <w:family w:val="auto"/>
    <w:pitch w:val="variable"/>
    <w:sig w:usb0="00000003" w:usb1="00000000" w:usb2="00000000" w:usb3="00000000" w:csb0="00000001" w:csb1="00000000"/>
  </w:font>
  <w:font w:name="Tahoma">
    <w:altName w:val="Ucs251mc"/>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BAILL A+ Times Ten">
    <w:altName w:val="Times"/>
    <w:panose1 w:val="00000000000000000000"/>
    <w:charset w:val="00"/>
    <w:family w:val="roman"/>
    <w:notTrueType/>
    <w:pitch w:val="default"/>
    <w:sig w:usb0="00000003" w:usb1="00000000" w:usb2="00000000" w:usb3="00000000" w:csb0="00000001" w:csb1="00000000"/>
  </w:font>
  <w:font w:name="BAILK A+ Times Ten">
    <w:altName w:val="Times"/>
    <w:panose1 w:val="00000000000000000000"/>
    <w:charset w:val="00"/>
    <w:family w:val="roman"/>
    <w:notTrueType/>
    <w:pitch w:val="default"/>
    <w:sig w:usb0="00000003" w:usb1="00000000" w:usb2="00000000" w:usb3="00000000" w:csb0="00000001" w:csb1="00000000"/>
  </w:font>
  <w:font w:name="GKGHA A+ Times Ten">
    <w:altName w:val="Times"/>
    <w:panose1 w:val="00000000000000000000"/>
    <w:charset w:val="00"/>
    <w:family w:val="roman"/>
    <w:notTrueType/>
    <w:pitch w:val="default"/>
    <w:sig w:usb0="00000003" w:usb1="00000000" w:usb2="00000000" w:usb3="00000000" w:csb0="00000001" w:csb1="00000000"/>
  </w:font>
  <w:font w:name="GJJPK I+ Times Ten">
    <w:altName w:val="Times"/>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271C" w:rsidRDefault="008E271C">
      <w:r>
        <w:separator/>
      </w:r>
    </w:p>
  </w:footnote>
  <w:footnote w:type="continuationSeparator" w:id="0">
    <w:p w:rsidR="008E271C" w:rsidRDefault="008E27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42" w:rightFromText="142" w:vertAnchor="page" w:horzAnchor="page" w:tblpX="7089" w:tblpY="766"/>
      <w:tblW w:w="0" w:type="auto"/>
      <w:tblLayout w:type="fixed"/>
      <w:tblLook w:val="00A0"/>
    </w:tblPr>
    <w:tblGrid>
      <w:gridCol w:w="1134"/>
      <w:gridCol w:w="3594"/>
    </w:tblGrid>
    <w:tr w:rsidR="008E271C" w:rsidTr="00946D14">
      <w:tc>
        <w:tcPr>
          <w:tcW w:w="1134" w:type="dxa"/>
        </w:tcPr>
        <w:p w:rsidR="008E271C" w:rsidRDefault="008E271C" w:rsidP="00946D14">
          <w:pPr>
            <w:pStyle w:val="00Vorgabetext"/>
          </w:pPr>
        </w:p>
      </w:tc>
      <w:tc>
        <w:tcPr>
          <w:tcW w:w="3594" w:type="dxa"/>
        </w:tcPr>
        <w:p w:rsidR="008E271C" w:rsidRPr="00376A29" w:rsidRDefault="008E271C" w:rsidP="00946D14">
          <w:pPr>
            <w:pStyle w:val="55Kopf"/>
          </w:pPr>
        </w:p>
        <w:p w:rsidR="008E271C" w:rsidRPr="00376A29" w:rsidRDefault="008E271C" w:rsidP="00946D14">
          <w:pPr>
            <w:pStyle w:val="55Kopf"/>
          </w:pPr>
        </w:p>
        <w:p w:rsidR="008E271C" w:rsidRPr="00283ED8" w:rsidRDefault="008E271C" w:rsidP="00946D14">
          <w:pPr>
            <w:pStyle w:val="55Kopf"/>
          </w:pPr>
          <w:r w:rsidRPr="00283ED8">
            <w:t xml:space="preserve">Seite </w:t>
          </w:r>
          <w:r w:rsidR="002D3659" w:rsidRPr="00283ED8">
            <w:rPr>
              <w:rStyle w:val="Seitenzahl"/>
            </w:rPr>
            <w:fldChar w:fldCharType="begin"/>
          </w:r>
          <w:r w:rsidRPr="00283ED8">
            <w:rPr>
              <w:rStyle w:val="Seitenzahl"/>
            </w:rPr>
            <w:instrText xml:space="preserve"> PAGE </w:instrText>
          </w:r>
          <w:r w:rsidR="002D3659" w:rsidRPr="00283ED8">
            <w:rPr>
              <w:rStyle w:val="Seitenzahl"/>
            </w:rPr>
            <w:fldChar w:fldCharType="separate"/>
          </w:r>
          <w:r w:rsidR="006860AB">
            <w:rPr>
              <w:rStyle w:val="Seitenzahl"/>
              <w:noProof/>
            </w:rPr>
            <w:t>12</w:t>
          </w:r>
          <w:r w:rsidR="002D3659" w:rsidRPr="00283ED8">
            <w:rPr>
              <w:rStyle w:val="Seitenzahl"/>
            </w:rPr>
            <w:fldChar w:fldCharType="end"/>
          </w:r>
          <w:r w:rsidRPr="00283ED8">
            <w:rPr>
              <w:rStyle w:val="Seitenzahl"/>
            </w:rPr>
            <w:t>/</w:t>
          </w:r>
          <w:r w:rsidR="002D3659" w:rsidRPr="00283ED8">
            <w:rPr>
              <w:rStyle w:val="Seitenzahl"/>
            </w:rPr>
            <w:fldChar w:fldCharType="begin"/>
          </w:r>
          <w:r w:rsidRPr="00283ED8">
            <w:rPr>
              <w:rStyle w:val="Seitenzahl"/>
            </w:rPr>
            <w:instrText xml:space="preserve"> NUMPAGES </w:instrText>
          </w:r>
          <w:r w:rsidR="002D3659" w:rsidRPr="00283ED8">
            <w:rPr>
              <w:rStyle w:val="Seitenzahl"/>
            </w:rPr>
            <w:fldChar w:fldCharType="separate"/>
          </w:r>
          <w:r w:rsidR="006860AB">
            <w:rPr>
              <w:rStyle w:val="Seitenzahl"/>
              <w:noProof/>
            </w:rPr>
            <w:t>12</w:t>
          </w:r>
          <w:r w:rsidR="002D3659" w:rsidRPr="00283ED8">
            <w:rPr>
              <w:rStyle w:val="Seitenzahl"/>
            </w:rPr>
            <w:fldChar w:fldCharType="end"/>
          </w:r>
        </w:p>
        <w:p w:rsidR="008E271C" w:rsidRDefault="008E271C" w:rsidP="00946D14">
          <w:pPr>
            <w:pStyle w:val="55Kopf"/>
          </w:pPr>
        </w:p>
        <w:p w:rsidR="008E271C" w:rsidRDefault="008E271C" w:rsidP="00946D14">
          <w:pPr>
            <w:pStyle w:val="55Kopf"/>
          </w:pPr>
        </w:p>
      </w:tc>
    </w:tr>
  </w:tbl>
  <w:p w:rsidR="008E271C" w:rsidRDefault="008E271C">
    <w:pPr>
      <w:pStyle w:val="Kopfzeile"/>
    </w:pPr>
    <w:r>
      <w:rPr>
        <w:noProof/>
      </w:rPr>
      <w:drawing>
        <wp:anchor distT="0" distB="0" distL="114300" distR="114300" simplePos="0" relativeHeight="251658752" behindDoc="0" locked="0" layoutInCell="1" allowOverlap="1">
          <wp:simplePos x="0" y="0"/>
          <wp:positionH relativeFrom="page">
            <wp:posOffset>4914900</wp:posOffset>
          </wp:positionH>
          <wp:positionV relativeFrom="page">
            <wp:posOffset>702310</wp:posOffset>
          </wp:positionV>
          <wp:extent cx="215900" cy="215900"/>
          <wp:effectExtent l="19050" t="0" r="0" b="0"/>
          <wp:wrapNone/>
          <wp:docPr id="3" name="Bild 3" descr="Flagg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geNeu"/>
                  <pic:cNvPicPr>
                    <a:picLocks noChangeAspect="1" noChangeArrowheads="1"/>
                  </pic:cNvPicPr>
                </pic:nvPicPr>
                <pic:blipFill>
                  <a:blip r:embed="rId1"/>
                  <a:srcRect/>
                  <a:stretch>
                    <a:fillRect/>
                  </a:stretch>
                </pic:blipFill>
                <pic:spPr bwMode="auto">
                  <a:xfrm>
                    <a:off x="0" y="0"/>
                    <a:ext cx="215900" cy="215900"/>
                  </a:xfrm>
                  <a:prstGeom prst="rect">
                    <a:avLst/>
                  </a:prstGeom>
                  <a:noFill/>
                  <a:ln w="9525">
                    <a:noFill/>
                    <a:miter lim="800000"/>
                    <a:headEnd/>
                    <a:tailEnd/>
                  </a:ln>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5103" w:rightFromText="142" w:vertAnchor="page" w:horzAnchor="page" w:tblpX="7089" w:tblpY="766"/>
      <w:tblW w:w="0" w:type="auto"/>
      <w:tblLayout w:type="fixed"/>
      <w:tblLook w:val="00A0"/>
    </w:tblPr>
    <w:tblGrid>
      <w:gridCol w:w="1134"/>
      <w:gridCol w:w="3594"/>
    </w:tblGrid>
    <w:tr w:rsidR="008E271C" w:rsidTr="00946D14">
      <w:tc>
        <w:tcPr>
          <w:tcW w:w="1134" w:type="dxa"/>
        </w:tcPr>
        <w:p w:rsidR="008E271C" w:rsidRDefault="008E271C" w:rsidP="00946D14">
          <w:pPr>
            <w:pStyle w:val="00Vorgabetext"/>
          </w:pPr>
        </w:p>
      </w:tc>
      <w:tc>
        <w:tcPr>
          <w:tcW w:w="3594" w:type="dxa"/>
        </w:tcPr>
        <w:p w:rsidR="008E271C" w:rsidRPr="00376A29" w:rsidRDefault="008E271C" w:rsidP="00F871FE">
          <w:pPr>
            <w:pStyle w:val="55Kopf"/>
          </w:pPr>
        </w:p>
        <w:p w:rsidR="008E271C" w:rsidRPr="00376A29" w:rsidRDefault="008E271C" w:rsidP="00F871FE">
          <w:pPr>
            <w:pStyle w:val="55Kopf"/>
          </w:pPr>
          <w:r w:rsidRPr="009854E9">
            <w:t>Kanton Zürich</w:t>
          </w:r>
        </w:p>
        <w:p w:rsidR="008E271C" w:rsidRPr="004F7A3E" w:rsidRDefault="008E271C" w:rsidP="00F871FE">
          <w:pPr>
            <w:pStyle w:val="552Kopfblack"/>
          </w:pPr>
          <w:r w:rsidRPr="009854E9">
            <w:t>Direktion der Justiz und des Innern</w:t>
          </w:r>
        </w:p>
        <w:p w:rsidR="008E271C" w:rsidRDefault="008E271C" w:rsidP="00F871FE">
          <w:pPr>
            <w:pStyle w:val="55Kopf"/>
          </w:pPr>
          <w:r w:rsidRPr="009854E9">
            <w:t>Generalsekretariat</w:t>
          </w:r>
        </w:p>
        <w:p w:rsidR="008E271C" w:rsidRDefault="008E271C" w:rsidP="00F871FE">
          <w:pPr>
            <w:pStyle w:val="55Kopf"/>
          </w:pPr>
        </w:p>
        <w:p w:rsidR="008E271C" w:rsidRDefault="008E271C" w:rsidP="00D75B8E">
          <w:pPr>
            <w:pStyle w:val="55Kopf"/>
          </w:pPr>
        </w:p>
      </w:tc>
    </w:tr>
  </w:tbl>
  <w:p w:rsidR="001D28A8" w:rsidRDefault="001D28A8">
    <w:pPr>
      <w:pStyle w:val="Kopfzeile"/>
    </w:pPr>
  </w:p>
  <w:p w:rsidR="008E271C" w:rsidRDefault="008E271C">
    <w:pPr>
      <w:pStyle w:val="Kopfzeile"/>
    </w:pPr>
    <w:r>
      <w:rPr>
        <w:noProof/>
      </w:rPr>
      <w:drawing>
        <wp:anchor distT="0" distB="0" distL="114300" distR="114300" simplePos="0" relativeHeight="251656704" behindDoc="1" locked="0" layoutInCell="1" allowOverlap="1">
          <wp:simplePos x="0" y="0"/>
          <wp:positionH relativeFrom="column">
            <wp:posOffset>-900430</wp:posOffset>
          </wp:positionH>
          <wp:positionV relativeFrom="page">
            <wp:posOffset>269875</wp:posOffset>
          </wp:positionV>
          <wp:extent cx="831850" cy="1080135"/>
          <wp:effectExtent l="19050" t="0" r="6350" b="0"/>
          <wp:wrapNone/>
          <wp:docPr id="1" name="Bild 1" descr="LoeweN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eweNeu"/>
                  <pic:cNvPicPr>
                    <a:picLocks noChangeAspect="1" noChangeArrowheads="1"/>
                  </pic:cNvPicPr>
                </pic:nvPicPr>
                <pic:blipFill>
                  <a:blip r:embed="rId1"/>
                  <a:srcRect/>
                  <a:stretch>
                    <a:fillRect/>
                  </a:stretch>
                </pic:blipFill>
                <pic:spPr bwMode="auto">
                  <a:xfrm>
                    <a:off x="0" y="0"/>
                    <a:ext cx="831850" cy="1080135"/>
                  </a:xfrm>
                  <a:prstGeom prst="rect">
                    <a:avLst/>
                  </a:prstGeom>
                  <a:noFill/>
                  <a:ln w="9525">
                    <a:noFill/>
                    <a:miter lim="800000"/>
                    <a:headEnd/>
                    <a:tailEnd/>
                  </a:ln>
                </pic:spPr>
              </pic:pic>
            </a:graphicData>
          </a:graphic>
        </wp:anchor>
      </w:drawing>
    </w:r>
    <w:r w:rsidR="001D28A8">
      <w:rPr>
        <w:sz w:val="18"/>
        <w:szCs w:val="18"/>
      </w:rPr>
      <w:t>22. Januar 2013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0E0F7B0"/>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679C2BAA"/>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765285EE"/>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A38A5006"/>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CB02878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EB001012"/>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6CB4A7C0"/>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E0385C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1AB6380C"/>
    <w:lvl w:ilvl="0">
      <w:start w:val="1"/>
      <w:numFmt w:val="decimal"/>
      <w:pStyle w:val="Listennummer"/>
      <w:lvlText w:val="%1."/>
      <w:lvlJc w:val="left"/>
      <w:pPr>
        <w:tabs>
          <w:tab w:val="num" w:pos="360"/>
        </w:tabs>
        <w:ind w:left="360" w:hanging="360"/>
      </w:pPr>
    </w:lvl>
  </w:abstractNum>
  <w:abstractNum w:abstractNumId="9">
    <w:nsid w:val="FFFFFF89"/>
    <w:multiLevelType w:val="singleLevel"/>
    <w:tmpl w:val="2934216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047933BA"/>
    <w:multiLevelType w:val="hybridMultilevel"/>
    <w:tmpl w:val="83DE8466"/>
    <w:lvl w:ilvl="0" w:tplc="2CA874D8">
      <w:start w:val="1"/>
      <w:numFmt w:val="bullet"/>
      <w:lvlText w:val=""/>
      <w:lvlJc w:val="left"/>
      <w:pPr>
        <w:ind w:left="360" w:hanging="360"/>
      </w:pPr>
      <w:rPr>
        <w:rFonts w:ascii="Symbol" w:hAnsi="Symbol" w:hint="default"/>
      </w:rPr>
    </w:lvl>
    <w:lvl w:ilvl="1" w:tplc="BD701770">
      <w:start w:val="1"/>
      <w:numFmt w:val="bullet"/>
      <w:lvlText w:val=""/>
      <w:lvlJc w:val="left"/>
      <w:pPr>
        <w:ind w:left="1080" w:hanging="360"/>
      </w:pPr>
      <w:rPr>
        <w:rFonts w:ascii="Symbol" w:hAnsi="Symbol" w:hint="default"/>
        <w:b/>
      </w:rPr>
    </w:lvl>
    <w:lvl w:ilvl="2" w:tplc="08070005">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1">
    <w:nsid w:val="09CB5434"/>
    <w:multiLevelType w:val="multilevel"/>
    <w:tmpl w:val="82A8E94A"/>
    <w:styleLink w:val="AufzhlungenZusatz"/>
    <w:lvl w:ilvl="0">
      <w:start w:val="1"/>
      <w:numFmt w:val="bullet"/>
      <w:pStyle w:val="431AufzProtokollnotiz"/>
      <w:lvlText w:val=""/>
      <w:lvlJc w:val="left"/>
      <w:pPr>
        <w:tabs>
          <w:tab w:val="num" w:pos="397"/>
        </w:tabs>
        <w:ind w:left="397" w:hanging="397"/>
      </w:pPr>
      <w:rPr>
        <w:rFonts w:ascii="Symbol" w:hAnsi="Symbol" w:hint="default"/>
        <w:color w:val="auto"/>
      </w:rPr>
    </w:lvl>
    <w:lvl w:ilvl="1">
      <w:start w:val="1"/>
      <w:numFmt w:val="none"/>
      <w:lvlRestart w:val="0"/>
      <w:pStyle w:val="43Prokollnotiz"/>
      <w:suff w:val="nothing"/>
      <w:lvlText w:val="%2Protokollnotiz: "/>
      <w:lvlJc w:val="left"/>
      <w:pPr>
        <w:ind w:left="0" w:firstLine="0"/>
      </w:pPr>
      <w:rPr>
        <w:rFonts w:ascii="Arial Black" w:hAnsi="Arial Black" w:hint="default"/>
        <w:i w:val="0"/>
        <w:sz w:val="22"/>
        <w:szCs w:val="22"/>
      </w:rPr>
    </w:lvl>
    <w:lvl w:ilvl="2">
      <w:start w:val="1"/>
      <w:numFmt w:val="bullet"/>
      <w:lvlRestart w:val="0"/>
      <w:pStyle w:val="601FrageAufz1Stufe"/>
      <w:lvlText w:val=""/>
      <w:lvlJc w:val="left"/>
      <w:pPr>
        <w:tabs>
          <w:tab w:val="num" w:pos="3232"/>
        </w:tabs>
        <w:ind w:left="3232" w:hanging="397"/>
      </w:pPr>
      <w:rPr>
        <w:rFonts w:ascii="Symbol" w:hAnsi="Symbol" w:hint="default"/>
        <w:color w:val="auto"/>
      </w:rPr>
    </w:lvl>
    <w:lvl w:ilvl="3">
      <w:start w:val="1"/>
      <w:numFmt w:val="bullet"/>
      <w:lvlRestart w:val="0"/>
      <w:pStyle w:val="602FrageAufz2Stufe"/>
      <w:lvlText w:val=""/>
      <w:lvlJc w:val="left"/>
      <w:pPr>
        <w:tabs>
          <w:tab w:val="num" w:pos="3629"/>
        </w:tabs>
        <w:ind w:left="3629" w:hanging="397"/>
      </w:pPr>
      <w:rPr>
        <w:rFonts w:ascii="Wingdings" w:hAnsi="Wingdings" w:hint="default"/>
        <w:color w:val="auto"/>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0C8B735D"/>
    <w:multiLevelType w:val="multilevel"/>
    <w:tmpl w:val="86B0B62C"/>
    <w:styleLink w:val="GliederungStandardListe"/>
    <w:lvl w:ilvl="0">
      <w:start w:val="1"/>
      <w:numFmt w:val="none"/>
      <w:pStyle w:val="31Formulartitel"/>
      <w:suff w:val="nothing"/>
      <w:lvlText w:val="%1"/>
      <w:lvlJc w:val="left"/>
      <w:pPr>
        <w:ind w:left="0" w:firstLine="0"/>
      </w:pPr>
      <w:rPr>
        <w:rFonts w:hint="default"/>
      </w:rPr>
    </w:lvl>
    <w:lvl w:ilvl="1">
      <w:start w:val="1"/>
      <w:numFmt w:val="none"/>
      <w:pStyle w:val="32Haupttitel"/>
      <w:suff w:val="nothing"/>
      <w:lvlText w:val="%2"/>
      <w:lvlJc w:val="left"/>
      <w:pPr>
        <w:ind w:left="0" w:firstLine="0"/>
      </w:pPr>
      <w:rPr>
        <w:rFonts w:hint="default"/>
      </w:rPr>
    </w:lvl>
    <w:lvl w:ilvl="2">
      <w:start w:val="1"/>
      <w:numFmt w:val="none"/>
      <w:pStyle w:val="33TitelBetreffnis"/>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decimal"/>
      <w:lvlRestart w:val="0"/>
      <w:pStyle w:val="34NumHaupttitel"/>
      <w:lvlText w:val="%5."/>
      <w:lvlJc w:val="left"/>
      <w:pPr>
        <w:tabs>
          <w:tab w:val="num" w:pos="397"/>
        </w:tabs>
        <w:ind w:left="397" w:hanging="397"/>
      </w:pPr>
      <w:rPr>
        <w:rFonts w:hint="default"/>
      </w:rPr>
    </w:lvl>
    <w:lvl w:ilvl="5">
      <w:start w:val="1"/>
      <w:numFmt w:val="decimal"/>
      <w:pStyle w:val="35Titel11"/>
      <w:lvlText w:val="%5.%6"/>
      <w:lvlJc w:val="left"/>
      <w:pPr>
        <w:tabs>
          <w:tab w:val="num" w:pos="397"/>
        </w:tabs>
        <w:ind w:left="397" w:hanging="397"/>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0D0479C7"/>
    <w:multiLevelType w:val="multilevel"/>
    <w:tmpl w:val="0DC47F86"/>
    <w:lvl w:ilvl="0">
      <w:start w:val="1"/>
      <w:numFmt w:val="bullet"/>
      <w:lvlText w:val=""/>
      <w:lvlJc w:val="left"/>
      <w:pPr>
        <w:tabs>
          <w:tab w:val="num" w:pos="397"/>
        </w:tabs>
        <w:ind w:left="397" w:hanging="397"/>
      </w:pPr>
      <w:rPr>
        <w:rFonts w:ascii="Symbol" w:hAnsi="Symbol" w:hint="default"/>
        <w:color w:val="auto"/>
      </w:rPr>
    </w:lvl>
    <w:lvl w:ilvl="1">
      <w:start w:val="1"/>
      <w:numFmt w:val="bullet"/>
      <w:lvlText w:val=""/>
      <w:lvlJc w:val="left"/>
      <w:pPr>
        <w:tabs>
          <w:tab w:val="num" w:pos="757"/>
        </w:tabs>
        <w:ind w:left="757" w:hanging="360"/>
      </w:pPr>
      <w:rPr>
        <w:rFonts w:ascii="Wingdings" w:hAnsi="Wingdings" w:hint="default"/>
        <w:color w:val="auto"/>
      </w:rPr>
    </w:lvl>
    <w:lvl w:ilvl="2">
      <w:start w:val="1"/>
      <w:numFmt w:val="bullet"/>
      <w:lvlRestart w:val="0"/>
      <w:lvlText w:val=""/>
      <w:lvlJc w:val="left"/>
      <w:pPr>
        <w:tabs>
          <w:tab w:val="num" w:pos="794"/>
        </w:tabs>
        <w:ind w:left="794" w:hanging="397"/>
      </w:pPr>
      <w:rPr>
        <w:rFonts w:ascii="Symbol" w:hAnsi="Symbol" w:hint="default"/>
        <w:color w:val="auto"/>
      </w:rPr>
    </w:lvl>
    <w:lvl w:ilvl="3">
      <w:start w:val="1"/>
      <w:numFmt w:val="bullet"/>
      <w:lvlText w:val=""/>
      <w:lvlJc w:val="left"/>
      <w:pPr>
        <w:tabs>
          <w:tab w:val="num" w:pos="1191"/>
        </w:tabs>
        <w:ind w:left="1191" w:hanging="397"/>
      </w:pPr>
      <w:rPr>
        <w:rFonts w:ascii="Symbol" w:hAnsi="Symbol" w:hint="default"/>
      </w:rPr>
    </w:lvl>
    <w:lvl w:ilvl="4">
      <w:start w:val="1"/>
      <w:numFmt w:val="bullet"/>
      <w:lvlRestart w:val="0"/>
      <w:lvlText w:val=""/>
      <w:lvlJc w:val="left"/>
      <w:pPr>
        <w:tabs>
          <w:tab w:val="num" w:pos="397"/>
        </w:tabs>
        <w:ind w:left="397" w:hanging="397"/>
      </w:pPr>
      <w:rPr>
        <w:rFonts w:ascii="Symbol" w:hAnsi="Symbol" w:hint="default"/>
      </w:rPr>
    </w:lvl>
    <w:lvl w:ilvl="5">
      <w:start w:val="1"/>
      <w:numFmt w:val="bullet"/>
      <w:lvlText w:val=""/>
      <w:lvlJc w:val="left"/>
      <w:pPr>
        <w:tabs>
          <w:tab w:val="num" w:pos="794"/>
        </w:tabs>
        <w:ind w:left="794" w:hanging="397"/>
      </w:pPr>
      <w:rPr>
        <w:rFonts w:ascii="Symbol" w:hAnsi="Symbol"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nsid w:val="14720FA0"/>
    <w:multiLevelType w:val="hybridMultilevel"/>
    <w:tmpl w:val="45227C38"/>
    <w:lvl w:ilvl="0" w:tplc="2CA874D8">
      <w:start w:val="1"/>
      <w:numFmt w:val="bullet"/>
      <w:lvlText w:val=""/>
      <w:lvlJc w:val="left"/>
      <w:pPr>
        <w:ind w:left="360" w:hanging="360"/>
      </w:pPr>
      <w:rPr>
        <w:rFonts w:ascii="Symbol" w:hAnsi="Symbol" w:hint="default"/>
        <w:b/>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5">
    <w:nsid w:val="175A1C1B"/>
    <w:multiLevelType w:val="multilevel"/>
    <w:tmpl w:val="826A7EDA"/>
    <w:styleLink w:val="NummerierungStandard"/>
    <w:lvl w:ilvl="0">
      <w:start w:val="1"/>
      <w:numFmt w:val="decimal"/>
      <w:pStyle w:val="21NumAbsatz1"/>
      <w:lvlText w:val="%1."/>
      <w:lvlJc w:val="right"/>
      <w:pPr>
        <w:tabs>
          <w:tab w:val="num" w:pos="397"/>
        </w:tabs>
        <w:ind w:left="0" w:firstLine="284"/>
      </w:pPr>
      <w:rPr>
        <w:rFonts w:hint="default"/>
      </w:rPr>
    </w:lvl>
    <w:lvl w:ilvl="1">
      <w:start w:val="1"/>
      <w:numFmt w:val="upperLetter"/>
      <w:lvlRestart w:val="0"/>
      <w:pStyle w:val="23NumAbsatzA"/>
      <w:lvlText w:val="%2"/>
      <w:lvlJc w:val="left"/>
      <w:pPr>
        <w:tabs>
          <w:tab w:val="num" w:pos="397"/>
        </w:tabs>
        <w:ind w:left="0" w:firstLine="0"/>
      </w:pPr>
      <w:rPr>
        <w:rFonts w:hint="default"/>
      </w:rPr>
    </w:lvl>
    <w:lvl w:ilvl="2">
      <w:start w:val="1"/>
      <w:numFmt w:val="decimal"/>
      <w:lvlRestart w:val="0"/>
      <w:pStyle w:val="24NumDispo1"/>
      <w:lvlText w:val="%3."/>
      <w:lvlJc w:val="left"/>
      <w:pPr>
        <w:tabs>
          <w:tab w:val="num" w:pos="397"/>
        </w:tabs>
        <w:ind w:left="397" w:hanging="397"/>
      </w:pPr>
      <w:rPr>
        <w:rFonts w:hint="default"/>
      </w:rPr>
    </w:lvl>
    <w:lvl w:ilvl="3">
      <w:start w:val="1"/>
      <w:numFmt w:val="upperRoman"/>
      <w:lvlRestart w:val="0"/>
      <w:pStyle w:val="25NumDispoI"/>
      <w:lvlText w:val="%4."/>
      <w:lvlJc w:val="left"/>
      <w:pPr>
        <w:tabs>
          <w:tab w:val="num" w:pos="397"/>
        </w:tabs>
        <w:ind w:left="397" w:hanging="397"/>
      </w:pPr>
      <w:rPr>
        <w:rFonts w:hint="default"/>
      </w:rPr>
    </w:lvl>
    <w:lvl w:ilvl="4">
      <w:start w:val="1"/>
      <w:numFmt w:val="lowerLetter"/>
      <w:lvlRestart w:val="0"/>
      <w:pStyle w:val="26NumDispoa"/>
      <w:lvlText w:val="%5)"/>
      <w:lvlJc w:val="left"/>
      <w:pPr>
        <w:tabs>
          <w:tab w:val="num" w:pos="794"/>
        </w:tabs>
        <w:ind w:left="794" w:hanging="397"/>
      </w:pPr>
      <w:rPr>
        <w:rFonts w:hint="default"/>
      </w:rPr>
    </w:lvl>
    <w:lvl w:ilvl="5">
      <w:start w:val="1"/>
      <w:numFmt w:val="upperRoman"/>
      <w:lvlRestart w:val="0"/>
      <w:pStyle w:val="44RmischeNum"/>
      <w:suff w:val="nothing"/>
      <w:lvlText w:val="%6."/>
      <w:lvlJc w:val="left"/>
      <w:pPr>
        <w:ind w:left="0" w:firstLine="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196908DC"/>
    <w:multiLevelType w:val="hybridMultilevel"/>
    <w:tmpl w:val="1C149CEC"/>
    <w:lvl w:ilvl="0" w:tplc="08070019">
      <w:start w:val="1"/>
      <w:numFmt w:val="lowerLetter"/>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7">
    <w:nsid w:val="1A781BD3"/>
    <w:multiLevelType w:val="hybridMultilevel"/>
    <w:tmpl w:val="55A03CAA"/>
    <w:lvl w:ilvl="0" w:tplc="2CA874D8">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1BF825ED"/>
    <w:multiLevelType w:val="hybridMultilevel"/>
    <w:tmpl w:val="41361BF2"/>
    <w:lvl w:ilvl="0" w:tplc="08070019">
      <w:start w:val="1"/>
      <w:numFmt w:val="lowerLetter"/>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9">
    <w:nsid w:val="1D95162A"/>
    <w:multiLevelType w:val="multilevel"/>
    <w:tmpl w:val="0DC47F86"/>
    <w:lvl w:ilvl="0">
      <w:start w:val="1"/>
      <w:numFmt w:val="bullet"/>
      <w:lvlText w:val=""/>
      <w:lvlJc w:val="left"/>
      <w:pPr>
        <w:tabs>
          <w:tab w:val="num" w:pos="397"/>
        </w:tabs>
        <w:ind w:left="397" w:hanging="397"/>
      </w:pPr>
      <w:rPr>
        <w:rFonts w:ascii="Symbol" w:hAnsi="Symbol" w:hint="default"/>
        <w:color w:val="auto"/>
      </w:rPr>
    </w:lvl>
    <w:lvl w:ilvl="1">
      <w:start w:val="1"/>
      <w:numFmt w:val="bullet"/>
      <w:lvlText w:val=""/>
      <w:lvlJc w:val="left"/>
      <w:pPr>
        <w:tabs>
          <w:tab w:val="num" w:pos="757"/>
        </w:tabs>
        <w:ind w:left="757" w:hanging="360"/>
      </w:pPr>
      <w:rPr>
        <w:rFonts w:ascii="Wingdings" w:hAnsi="Wingdings" w:hint="default"/>
        <w:color w:val="auto"/>
      </w:rPr>
    </w:lvl>
    <w:lvl w:ilvl="2">
      <w:start w:val="1"/>
      <w:numFmt w:val="bullet"/>
      <w:lvlRestart w:val="0"/>
      <w:lvlText w:val=""/>
      <w:lvlJc w:val="left"/>
      <w:pPr>
        <w:tabs>
          <w:tab w:val="num" w:pos="794"/>
        </w:tabs>
        <w:ind w:left="794" w:hanging="397"/>
      </w:pPr>
      <w:rPr>
        <w:rFonts w:ascii="Symbol" w:hAnsi="Symbol" w:hint="default"/>
        <w:color w:val="auto"/>
      </w:rPr>
    </w:lvl>
    <w:lvl w:ilvl="3">
      <w:start w:val="1"/>
      <w:numFmt w:val="bullet"/>
      <w:lvlText w:val=""/>
      <w:lvlJc w:val="left"/>
      <w:pPr>
        <w:tabs>
          <w:tab w:val="num" w:pos="1191"/>
        </w:tabs>
        <w:ind w:left="1191" w:hanging="397"/>
      </w:pPr>
      <w:rPr>
        <w:rFonts w:ascii="Symbol" w:hAnsi="Symbol" w:hint="default"/>
      </w:rPr>
    </w:lvl>
    <w:lvl w:ilvl="4">
      <w:start w:val="1"/>
      <w:numFmt w:val="bullet"/>
      <w:lvlRestart w:val="0"/>
      <w:lvlText w:val=""/>
      <w:lvlJc w:val="left"/>
      <w:pPr>
        <w:tabs>
          <w:tab w:val="num" w:pos="397"/>
        </w:tabs>
        <w:ind w:left="397" w:hanging="397"/>
      </w:pPr>
      <w:rPr>
        <w:rFonts w:ascii="Symbol" w:hAnsi="Symbol" w:hint="default"/>
      </w:rPr>
    </w:lvl>
    <w:lvl w:ilvl="5">
      <w:start w:val="1"/>
      <w:numFmt w:val="bullet"/>
      <w:lvlText w:val=""/>
      <w:lvlJc w:val="left"/>
      <w:pPr>
        <w:tabs>
          <w:tab w:val="num" w:pos="794"/>
        </w:tabs>
        <w:ind w:left="794" w:hanging="397"/>
      </w:pPr>
      <w:rPr>
        <w:rFonts w:ascii="Symbol" w:hAnsi="Symbol"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nsid w:val="1F5530F1"/>
    <w:multiLevelType w:val="hybridMultilevel"/>
    <w:tmpl w:val="B54CD790"/>
    <w:lvl w:ilvl="0" w:tplc="2CA874D8">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1">
    <w:nsid w:val="25D34F52"/>
    <w:multiLevelType w:val="multilevel"/>
    <w:tmpl w:val="D0641EB6"/>
    <w:styleLink w:val="AufzhlungenStandard"/>
    <w:lvl w:ilvl="0">
      <w:start w:val="1"/>
      <w:numFmt w:val="bullet"/>
      <w:pStyle w:val="13Aufz1Stufe"/>
      <w:lvlText w:val=""/>
      <w:lvlJc w:val="left"/>
      <w:pPr>
        <w:tabs>
          <w:tab w:val="num" w:pos="397"/>
        </w:tabs>
        <w:ind w:left="397" w:hanging="397"/>
      </w:pPr>
      <w:rPr>
        <w:rFonts w:ascii="Symbol" w:hAnsi="Symbol" w:hint="default"/>
        <w:color w:val="auto"/>
      </w:rPr>
    </w:lvl>
    <w:lvl w:ilvl="1">
      <w:start w:val="1"/>
      <w:numFmt w:val="bullet"/>
      <w:pStyle w:val="14Aufz2Stufe"/>
      <w:lvlText w:val=""/>
      <w:lvlJc w:val="left"/>
      <w:pPr>
        <w:tabs>
          <w:tab w:val="num" w:pos="794"/>
        </w:tabs>
        <w:ind w:left="794" w:hanging="397"/>
      </w:pPr>
      <w:rPr>
        <w:rFonts w:ascii="Symbol" w:hAnsi="Symbol" w:hint="default"/>
      </w:rPr>
    </w:lvl>
    <w:lvl w:ilvl="2">
      <w:start w:val="1"/>
      <w:numFmt w:val="bullet"/>
      <w:lvlRestart w:val="0"/>
      <w:pStyle w:val="15AufzDispo1Stufe"/>
      <w:lvlText w:val=""/>
      <w:lvlJc w:val="left"/>
      <w:pPr>
        <w:tabs>
          <w:tab w:val="num" w:pos="794"/>
        </w:tabs>
        <w:ind w:left="794" w:hanging="397"/>
      </w:pPr>
      <w:rPr>
        <w:rFonts w:ascii="Symbol" w:hAnsi="Symbol" w:hint="default"/>
        <w:color w:val="auto"/>
      </w:rPr>
    </w:lvl>
    <w:lvl w:ilvl="3">
      <w:start w:val="1"/>
      <w:numFmt w:val="bullet"/>
      <w:pStyle w:val="16AufzDispo2Stufe"/>
      <w:lvlText w:val=""/>
      <w:lvlJc w:val="left"/>
      <w:pPr>
        <w:tabs>
          <w:tab w:val="num" w:pos="1191"/>
        </w:tabs>
        <w:ind w:left="1191" w:hanging="397"/>
      </w:pPr>
      <w:rPr>
        <w:rFonts w:ascii="Symbol" w:hAnsi="Symbol" w:hint="default"/>
      </w:rPr>
    </w:lvl>
    <w:lvl w:ilvl="4">
      <w:start w:val="1"/>
      <w:numFmt w:val="bullet"/>
      <w:lvlRestart w:val="0"/>
      <w:lvlText w:val=""/>
      <w:lvlJc w:val="left"/>
      <w:pPr>
        <w:tabs>
          <w:tab w:val="num" w:pos="397"/>
        </w:tabs>
        <w:ind w:left="397" w:hanging="397"/>
      </w:pPr>
      <w:rPr>
        <w:rFonts w:ascii="Symbol" w:hAnsi="Symbol" w:hint="default"/>
      </w:rPr>
    </w:lvl>
    <w:lvl w:ilvl="5">
      <w:start w:val="1"/>
      <w:numFmt w:val="bullet"/>
      <w:lvlText w:val=""/>
      <w:lvlJc w:val="left"/>
      <w:pPr>
        <w:tabs>
          <w:tab w:val="num" w:pos="794"/>
        </w:tabs>
        <w:ind w:left="794" w:hanging="397"/>
      </w:pPr>
      <w:rPr>
        <w:rFonts w:ascii="Symbol" w:hAnsi="Symbol"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nsid w:val="2B3C584C"/>
    <w:multiLevelType w:val="hybridMultilevel"/>
    <w:tmpl w:val="E9201078"/>
    <w:lvl w:ilvl="0" w:tplc="08070019">
      <w:start w:val="1"/>
      <w:numFmt w:val="lowerLetter"/>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3">
    <w:nsid w:val="2C6564C8"/>
    <w:multiLevelType w:val="hybridMultilevel"/>
    <w:tmpl w:val="2788F19E"/>
    <w:lvl w:ilvl="0" w:tplc="D020ED00">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4">
    <w:nsid w:val="34D45625"/>
    <w:multiLevelType w:val="multilevel"/>
    <w:tmpl w:val="0C0C939E"/>
    <w:styleLink w:val="NummerierungZusatz"/>
    <w:lvl w:ilvl="0">
      <w:start w:val="1"/>
      <w:numFmt w:val="decimal"/>
      <w:pStyle w:val="61NumFrage"/>
      <w:lvlText w:val="%1."/>
      <w:lvlJc w:val="right"/>
      <w:pPr>
        <w:tabs>
          <w:tab w:val="num" w:pos="3232"/>
        </w:tabs>
        <w:ind w:left="3232" w:hanging="113"/>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nsid w:val="4504714B"/>
    <w:multiLevelType w:val="hybridMultilevel"/>
    <w:tmpl w:val="4CDADF1C"/>
    <w:lvl w:ilvl="0" w:tplc="2CA874D8">
      <w:start w:val="1"/>
      <w:numFmt w:val="bullet"/>
      <w:lvlText w:val=""/>
      <w:lvlJc w:val="left"/>
      <w:pPr>
        <w:ind w:left="4472" w:hanging="360"/>
      </w:pPr>
      <w:rPr>
        <w:rFonts w:ascii="Symbol" w:hAnsi="Symbol" w:hint="default"/>
      </w:rPr>
    </w:lvl>
    <w:lvl w:ilvl="1" w:tplc="08070003" w:tentative="1">
      <w:start w:val="1"/>
      <w:numFmt w:val="bullet"/>
      <w:lvlText w:val="o"/>
      <w:lvlJc w:val="left"/>
      <w:pPr>
        <w:ind w:left="5192" w:hanging="360"/>
      </w:pPr>
      <w:rPr>
        <w:rFonts w:ascii="Courier New" w:hAnsi="Courier New" w:cs="Courier New" w:hint="default"/>
      </w:rPr>
    </w:lvl>
    <w:lvl w:ilvl="2" w:tplc="08070005" w:tentative="1">
      <w:start w:val="1"/>
      <w:numFmt w:val="bullet"/>
      <w:lvlText w:val=""/>
      <w:lvlJc w:val="left"/>
      <w:pPr>
        <w:ind w:left="5912" w:hanging="360"/>
      </w:pPr>
      <w:rPr>
        <w:rFonts w:ascii="Wingdings" w:hAnsi="Wingdings" w:hint="default"/>
      </w:rPr>
    </w:lvl>
    <w:lvl w:ilvl="3" w:tplc="08070001" w:tentative="1">
      <w:start w:val="1"/>
      <w:numFmt w:val="bullet"/>
      <w:lvlText w:val=""/>
      <w:lvlJc w:val="left"/>
      <w:pPr>
        <w:ind w:left="6632" w:hanging="360"/>
      </w:pPr>
      <w:rPr>
        <w:rFonts w:ascii="Symbol" w:hAnsi="Symbol" w:hint="default"/>
      </w:rPr>
    </w:lvl>
    <w:lvl w:ilvl="4" w:tplc="08070003" w:tentative="1">
      <w:start w:val="1"/>
      <w:numFmt w:val="bullet"/>
      <w:lvlText w:val="o"/>
      <w:lvlJc w:val="left"/>
      <w:pPr>
        <w:ind w:left="7352" w:hanging="360"/>
      </w:pPr>
      <w:rPr>
        <w:rFonts w:ascii="Courier New" w:hAnsi="Courier New" w:cs="Courier New" w:hint="default"/>
      </w:rPr>
    </w:lvl>
    <w:lvl w:ilvl="5" w:tplc="08070005" w:tentative="1">
      <w:start w:val="1"/>
      <w:numFmt w:val="bullet"/>
      <w:lvlText w:val=""/>
      <w:lvlJc w:val="left"/>
      <w:pPr>
        <w:ind w:left="8072" w:hanging="360"/>
      </w:pPr>
      <w:rPr>
        <w:rFonts w:ascii="Wingdings" w:hAnsi="Wingdings" w:hint="default"/>
      </w:rPr>
    </w:lvl>
    <w:lvl w:ilvl="6" w:tplc="08070001" w:tentative="1">
      <w:start w:val="1"/>
      <w:numFmt w:val="bullet"/>
      <w:lvlText w:val=""/>
      <w:lvlJc w:val="left"/>
      <w:pPr>
        <w:ind w:left="8792" w:hanging="360"/>
      </w:pPr>
      <w:rPr>
        <w:rFonts w:ascii="Symbol" w:hAnsi="Symbol" w:hint="default"/>
      </w:rPr>
    </w:lvl>
    <w:lvl w:ilvl="7" w:tplc="08070003" w:tentative="1">
      <w:start w:val="1"/>
      <w:numFmt w:val="bullet"/>
      <w:lvlText w:val="o"/>
      <w:lvlJc w:val="left"/>
      <w:pPr>
        <w:ind w:left="9512" w:hanging="360"/>
      </w:pPr>
      <w:rPr>
        <w:rFonts w:ascii="Courier New" w:hAnsi="Courier New" w:cs="Courier New" w:hint="default"/>
      </w:rPr>
    </w:lvl>
    <w:lvl w:ilvl="8" w:tplc="08070005" w:tentative="1">
      <w:start w:val="1"/>
      <w:numFmt w:val="bullet"/>
      <w:lvlText w:val=""/>
      <w:lvlJc w:val="left"/>
      <w:pPr>
        <w:ind w:left="10232" w:hanging="360"/>
      </w:pPr>
      <w:rPr>
        <w:rFonts w:ascii="Wingdings" w:hAnsi="Wingdings" w:hint="default"/>
      </w:rPr>
    </w:lvl>
  </w:abstractNum>
  <w:abstractNum w:abstractNumId="26">
    <w:nsid w:val="4CBC177F"/>
    <w:multiLevelType w:val="hybridMultilevel"/>
    <w:tmpl w:val="19BA76E0"/>
    <w:lvl w:ilvl="0" w:tplc="2CA874D8">
      <w:start w:val="1"/>
      <w:numFmt w:val="bullet"/>
      <w:lvlText w:val=""/>
      <w:lvlJc w:val="left"/>
      <w:pPr>
        <w:ind w:left="360" w:hanging="360"/>
      </w:pPr>
      <w:rPr>
        <w:rFonts w:ascii="Symbol" w:hAnsi="Symbol" w:hint="default"/>
        <w:b/>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7">
    <w:nsid w:val="5CF2757E"/>
    <w:multiLevelType w:val="hybridMultilevel"/>
    <w:tmpl w:val="71822218"/>
    <w:lvl w:ilvl="0" w:tplc="2CA874D8">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8">
    <w:nsid w:val="68B4132A"/>
    <w:multiLevelType w:val="hybridMultilevel"/>
    <w:tmpl w:val="E9201078"/>
    <w:lvl w:ilvl="0" w:tplc="08070019">
      <w:start w:val="1"/>
      <w:numFmt w:val="lowerLetter"/>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9">
    <w:nsid w:val="6B6A0E80"/>
    <w:multiLevelType w:val="hybridMultilevel"/>
    <w:tmpl w:val="2EA02966"/>
    <w:lvl w:ilvl="0" w:tplc="9CEED572">
      <w:start w:val="1"/>
      <w:numFmt w:val="decimal"/>
      <w:lvlText w:val="%1."/>
      <w:lvlJc w:val="left"/>
      <w:pPr>
        <w:ind w:left="360" w:hanging="360"/>
      </w:pPr>
      <w:rPr>
        <w:rFonts w:asciiTheme="majorHAnsi" w:hAnsiTheme="majorHAnsi" w:cstheme="majorHAnsi" w:hint="default"/>
      </w:rPr>
    </w:lvl>
    <w:lvl w:ilvl="1" w:tplc="08070019">
      <w:start w:val="1"/>
      <w:numFmt w:val="lowerLetter"/>
      <w:lvlText w:val="%2."/>
      <w:lvlJc w:val="left"/>
      <w:pPr>
        <w:ind w:left="1080" w:hanging="360"/>
      </w:pPr>
    </w:lvl>
    <w:lvl w:ilvl="2" w:tplc="0807001B">
      <w:start w:val="1"/>
      <w:numFmt w:val="lowerRoman"/>
      <w:lvlText w:val="%3."/>
      <w:lvlJc w:val="right"/>
      <w:pPr>
        <w:ind w:left="1800" w:hanging="180"/>
      </w:pPr>
    </w:lvl>
    <w:lvl w:ilvl="3" w:tplc="0807000F">
      <w:start w:val="1"/>
      <w:numFmt w:val="decimal"/>
      <w:lvlText w:val="%4."/>
      <w:lvlJc w:val="left"/>
      <w:pPr>
        <w:ind w:left="2520" w:hanging="360"/>
      </w:pPr>
    </w:lvl>
    <w:lvl w:ilvl="4" w:tplc="0807000F">
      <w:start w:val="1"/>
      <w:numFmt w:val="decimal"/>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30">
    <w:nsid w:val="70937E87"/>
    <w:multiLevelType w:val="hybridMultilevel"/>
    <w:tmpl w:val="B4BE922A"/>
    <w:lvl w:ilvl="0" w:tplc="D020ED00">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nsid w:val="71B042DC"/>
    <w:multiLevelType w:val="hybridMultilevel"/>
    <w:tmpl w:val="5C80F820"/>
    <w:lvl w:ilvl="0" w:tplc="2CA874D8">
      <w:start w:val="1"/>
      <w:numFmt w:val="bullet"/>
      <w:lvlText w:val=""/>
      <w:lvlJc w:val="left"/>
      <w:pPr>
        <w:ind w:left="360" w:hanging="360"/>
      </w:pPr>
      <w:rPr>
        <w:rFonts w:ascii="Symbol" w:hAnsi="Symbol" w:hint="default"/>
      </w:rPr>
    </w:lvl>
    <w:lvl w:ilvl="1" w:tplc="2CA874D8">
      <w:start w:val="1"/>
      <w:numFmt w:val="bullet"/>
      <w:lvlText w:val=""/>
      <w:lvlJc w:val="left"/>
      <w:pPr>
        <w:ind w:left="1080" w:hanging="360"/>
      </w:pPr>
      <w:rPr>
        <w:rFonts w:ascii="Symbol" w:hAnsi="Symbol" w:hint="default"/>
        <w:b/>
      </w:rPr>
    </w:lvl>
    <w:lvl w:ilvl="2" w:tplc="08070005">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2">
    <w:nsid w:val="761A1E2E"/>
    <w:multiLevelType w:val="hybridMultilevel"/>
    <w:tmpl w:val="20CA6B86"/>
    <w:lvl w:ilvl="0" w:tplc="D020ED00">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1"/>
  </w:num>
  <w:num w:numId="2">
    <w:abstractNumId w:val="24"/>
    <w:lvlOverride w:ilvl="0">
      <w:lvl w:ilvl="0">
        <w:start w:val="1"/>
        <w:numFmt w:val="decimal"/>
        <w:pStyle w:val="61NumFrage"/>
        <w:lvlText w:val="%1."/>
        <w:lvlJc w:val="right"/>
        <w:pPr>
          <w:tabs>
            <w:tab w:val="num" w:pos="3232"/>
          </w:tabs>
          <w:ind w:left="2835" w:firstLine="284"/>
        </w:pPr>
        <w:rPr>
          <w:rFonts w:hint="default"/>
        </w:rPr>
      </w:lvl>
    </w:lvlOverride>
  </w:num>
  <w:num w:numId="3">
    <w:abstractNumId w:val="21"/>
  </w:num>
  <w:num w:numId="4">
    <w:abstractNumId w:val="12"/>
  </w:num>
  <w:num w:numId="5">
    <w:abstractNumId w:val="15"/>
    <w:lvlOverride w:ilvl="0">
      <w:lvl w:ilvl="0">
        <w:start w:val="1"/>
        <w:numFmt w:val="decimal"/>
        <w:pStyle w:val="21NumAbsatz1"/>
        <w:lvlText w:val="%1."/>
        <w:lvlJc w:val="right"/>
        <w:pPr>
          <w:tabs>
            <w:tab w:val="num" w:pos="397"/>
          </w:tabs>
          <w:ind w:left="0" w:firstLine="284"/>
        </w:pPr>
        <w:rPr>
          <w:rFonts w:hint="default"/>
        </w:rPr>
      </w:lvl>
    </w:lvlOverride>
  </w:num>
  <w:num w:numId="6">
    <w:abstractNumId w:val="12"/>
  </w:num>
  <w:num w:numId="7">
    <w:abstractNumId w:val="12"/>
  </w:num>
  <w:num w:numId="8">
    <w:abstractNumId w:val="12"/>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5"/>
  </w:num>
  <w:num w:numId="16">
    <w:abstractNumId w:val="15"/>
  </w:num>
  <w:num w:numId="17">
    <w:abstractNumId w:val="15"/>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13"/>
  </w:num>
  <w:num w:numId="30">
    <w:abstractNumId w:val="19"/>
  </w:num>
  <w:num w:numId="31">
    <w:abstractNumId w:val="15"/>
    <w:lvlOverride w:ilvl="0">
      <w:lvl w:ilvl="0">
        <w:start w:val="1"/>
        <w:numFmt w:val="upperLetter"/>
        <w:pStyle w:val="21NumAbsatz1"/>
        <w:lvlText w:val="%1."/>
        <w:lvlJc w:val="left"/>
        <w:pPr>
          <w:ind w:left="1080" w:hanging="360"/>
        </w:pPr>
        <w:rPr>
          <w:rFonts w:hint="default"/>
        </w:rPr>
      </w:lvl>
    </w:lvlOverride>
    <w:lvlOverride w:ilvl="1">
      <w:lvl w:ilvl="1">
        <w:start w:val="1"/>
        <w:numFmt w:val="lowerLetter"/>
        <w:pStyle w:val="23NumAbsatzA"/>
        <w:lvlText w:val="%2."/>
        <w:lvlJc w:val="left"/>
        <w:pPr>
          <w:ind w:left="1800" w:hanging="360"/>
        </w:pPr>
      </w:lvl>
    </w:lvlOverride>
    <w:lvlOverride w:ilvl="2">
      <w:lvl w:ilvl="2" w:tentative="1">
        <w:start w:val="1"/>
        <w:numFmt w:val="lowerRoman"/>
        <w:pStyle w:val="24NumDispo1"/>
        <w:lvlText w:val="%3."/>
        <w:lvlJc w:val="right"/>
        <w:pPr>
          <w:ind w:left="2520" w:hanging="180"/>
        </w:pPr>
      </w:lvl>
    </w:lvlOverride>
    <w:lvlOverride w:ilvl="3">
      <w:lvl w:ilvl="3" w:tentative="1">
        <w:start w:val="1"/>
        <w:numFmt w:val="decimal"/>
        <w:pStyle w:val="25NumDispoI"/>
        <w:lvlText w:val="%4."/>
        <w:lvlJc w:val="left"/>
        <w:pPr>
          <w:ind w:left="3240" w:hanging="360"/>
        </w:pPr>
      </w:lvl>
    </w:lvlOverride>
    <w:lvlOverride w:ilvl="4">
      <w:lvl w:ilvl="4">
        <w:start w:val="1"/>
        <w:numFmt w:val="lowerLetter"/>
        <w:pStyle w:val="26NumDispoa"/>
        <w:lvlText w:val="%5."/>
        <w:lvlJc w:val="left"/>
        <w:pPr>
          <w:ind w:left="3960" w:hanging="360"/>
        </w:pPr>
      </w:lvl>
    </w:lvlOverride>
    <w:lvlOverride w:ilvl="5">
      <w:lvl w:ilvl="5" w:tentative="1">
        <w:start w:val="1"/>
        <w:numFmt w:val="lowerRoman"/>
        <w:pStyle w:val="44RmischeNum"/>
        <w:lvlText w:val="%6."/>
        <w:lvlJc w:val="right"/>
        <w:pPr>
          <w:ind w:left="4680" w:hanging="180"/>
        </w:pPr>
      </w:lvl>
    </w:lvlOverride>
    <w:lvlOverride w:ilvl="6">
      <w:lvl w:ilvl="6" w:tentative="1">
        <w:start w:val="1"/>
        <w:numFmt w:val="decimal"/>
        <w:lvlText w:val="%7."/>
        <w:lvlJc w:val="left"/>
        <w:pPr>
          <w:ind w:left="5400" w:hanging="360"/>
        </w:pPr>
      </w:lvl>
    </w:lvlOverride>
    <w:lvlOverride w:ilvl="7">
      <w:lvl w:ilvl="7" w:tentative="1">
        <w:start w:val="1"/>
        <w:numFmt w:val="lowerLetter"/>
        <w:lvlText w:val="%8."/>
        <w:lvlJc w:val="left"/>
        <w:pPr>
          <w:ind w:left="6120" w:hanging="360"/>
        </w:pPr>
      </w:lvl>
    </w:lvlOverride>
    <w:lvlOverride w:ilvl="8">
      <w:lvl w:ilvl="8" w:tentative="1">
        <w:start w:val="1"/>
        <w:numFmt w:val="lowerRoman"/>
        <w:lvlText w:val="%9."/>
        <w:lvlJc w:val="right"/>
        <w:pPr>
          <w:ind w:left="6840" w:hanging="180"/>
        </w:pPr>
      </w:lvl>
    </w:lvlOverride>
  </w:num>
  <w:num w:numId="32">
    <w:abstractNumId w:val="26"/>
  </w:num>
  <w:num w:numId="33">
    <w:abstractNumId w:val="10"/>
  </w:num>
  <w:num w:numId="34">
    <w:abstractNumId w:val="29"/>
  </w:num>
  <w:num w:numId="35">
    <w:abstractNumId w:val="30"/>
  </w:num>
  <w:num w:numId="36">
    <w:abstractNumId w:val="32"/>
  </w:num>
  <w:num w:numId="37">
    <w:abstractNumId w:val="23"/>
  </w:num>
  <w:num w:numId="38">
    <w:abstractNumId w:val="27"/>
  </w:num>
  <w:num w:numId="39">
    <w:abstractNumId w:val="25"/>
  </w:num>
  <w:num w:numId="40">
    <w:abstractNumId w:val="18"/>
  </w:num>
  <w:num w:numId="41">
    <w:abstractNumId w:val="16"/>
  </w:num>
  <w:num w:numId="42">
    <w:abstractNumId w:val="28"/>
  </w:num>
  <w:num w:numId="43">
    <w:abstractNumId w:val="15"/>
    <w:lvlOverride w:ilvl="0">
      <w:lvl w:ilvl="0">
        <w:start w:val="1"/>
        <w:numFmt w:val="upperLetter"/>
        <w:pStyle w:val="21NumAbsatz1"/>
        <w:lvlText w:val="%1."/>
        <w:lvlJc w:val="left"/>
        <w:pPr>
          <w:ind w:left="1080" w:hanging="360"/>
        </w:pPr>
        <w:rPr>
          <w:rFonts w:hint="default"/>
        </w:rPr>
      </w:lvl>
    </w:lvlOverride>
    <w:lvlOverride w:ilvl="1">
      <w:lvl w:ilvl="1">
        <w:start w:val="1"/>
        <w:numFmt w:val="lowerLetter"/>
        <w:pStyle w:val="23NumAbsatzA"/>
        <w:lvlText w:val="%2."/>
        <w:lvlJc w:val="left"/>
        <w:pPr>
          <w:ind w:left="1800" w:hanging="360"/>
        </w:pPr>
      </w:lvl>
    </w:lvlOverride>
    <w:lvlOverride w:ilvl="2">
      <w:lvl w:ilvl="2" w:tentative="1">
        <w:start w:val="1"/>
        <w:numFmt w:val="lowerRoman"/>
        <w:pStyle w:val="24NumDispo1"/>
        <w:lvlText w:val="%3."/>
        <w:lvlJc w:val="right"/>
        <w:pPr>
          <w:ind w:left="2520" w:hanging="180"/>
        </w:pPr>
      </w:lvl>
    </w:lvlOverride>
    <w:lvlOverride w:ilvl="3">
      <w:lvl w:ilvl="3" w:tentative="1">
        <w:start w:val="1"/>
        <w:numFmt w:val="decimal"/>
        <w:pStyle w:val="25NumDispoI"/>
        <w:lvlText w:val="%4."/>
        <w:lvlJc w:val="left"/>
        <w:pPr>
          <w:ind w:left="3240" w:hanging="360"/>
        </w:pPr>
      </w:lvl>
    </w:lvlOverride>
    <w:lvlOverride w:ilvl="4">
      <w:lvl w:ilvl="4">
        <w:start w:val="1"/>
        <w:numFmt w:val="lowerLetter"/>
        <w:pStyle w:val="26NumDispoa"/>
        <w:lvlText w:val="%5."/>
        <w:lvlJc w:val="left"/>
        <w:pPr>
          <w:ind w:left="3960" w:hanging="360"/>
        </w:pPr>
      </w:lvl>
    </w:lvlOverride>
    <w:lvlOverride w:ilvl="5">
      <w:lvl w:ilvl="5" w:tentative="1">
        <w:start w:val="1"/>
        <w:numFmt w:val="lowerRoman"/>
        <w:pStyle w:val="44RmischeNum"/>
        <w:lvlText w:val="%6."/>
        <w:lvlJc w:val="right"/>
        <w:pPr>
          <w:ind w:left="4680" w:hanging="180"/>
        </w:pPr>
      </w:lvl>
    </w:lvlOverride>
    <w:lvlOverride w:ilvl="6">
      <w:lvl w:ilvl="6" w:tentative="1">
        <w:start w:val="1"/>
        <w:numFmt w:val="decimal"/>
        <w:lvlText w:val="%7."/>
        <w:lvlJc w:val="left"/>
        <w:pPr>
          <w:ind w:left="5400" w:hanging="360"/>
        </w:pPr>
      </w:lvl>
    </w:lvlOverride>
    <w:lvlOverride w:ilvl="7">
      <w:lvl w:ilvl="7" w:tentative="1">
        <w:start w:val="1"/>
        <w:numFmt w:val="lowerLetter"/>
        <w:lvlText w:val="%8."/>
        <w:lvlJc w:val="left"/>
        <w:pPr>
          <w:ind w:left="6120" w:hanging="360"/>
        </w:pPr>
      </w:lvl>
    </w:lvlOverride>
    <w:lvlOverride w:ilvl="8">
      <w:lvl w:ilvl="8" w:tentative="1">
        <w:start w:val="1"/>
        <w:numFmt w:val="lowerRoman"/>
        <w:lvlText w:val="%9."/>
        <w:lvlJc w:val="right"/>
        <w:pPr>
          <w:ind w:left="6840" w:hanging="180"/>
        </w:pPr>
      </w:lvl>
    </w:lvlOverride>
  </w:num>
  <w:num w:numId="44">
    <w:abstractNumId w:val="17"/>
  </w:num>
  <w:num w:numId="45">
    <w:abstractNumId w:val="20"/>
  </w:num>
  <w:num w:numId="46">
    <w:abstractNumId w:val="15"/>
    <w:lvlOverride w:ilvl="0">
      <w:lvl w:ilvl="0">
        <w:start w:val="1"/>
        <w:numFmt w:val="upperLetter"/>
        <w:pStyle w:val="21NumAbsatz1"/>
        <w:lvlText w:val="%1."/>
        <w:lvlJc w:val="left"/>
        <w:pPr>
          <w:ind w:left="1080" w:hanging="360"/>
        </w:pPr>
        <w:rPr>
          <w:rFonts w:hint="default"/>
        </w:rPr>
      </w:lvl>
    </w:lvlOverride>
    <w:lvlOverride w:ilvl="1">
      <w:lvl w:ilvl="1">
        <w:start w:val="1"/>
        <w:numFmt w:val="lowerLetter"/>
        <w:pStyle w:val="23NumAbsatzA"/>
        <w:lvlText w:val="%2."/>
        <w:lvlJc w:val="left"/>
        <w:pPr>
          <w:ind w:left="1800" w:hanging="360"/>
        </w:pPr>
      </w:lvl>
    </w:lvlOverride>
    <w:lvlOverride w:ilvl="2">
      <w:lvl w:ilvl="2" w:tentative="1">
        <w:start w:val="1"/>
        <w:numFmt w:val="lowerRoman"/>
        <w:pStyle w:val="24NumDispo1"/>
        <w:lvlText w:val="%3."/>
        <w:lvlJc w:val="right"/>
        <w:pPr>
          <w:ind w:left="2520" w:hanging="180"/>
        </w:pPr>
      </w:lvl>
    </w:lvlOverride>
    <w:lvlOverride w:ilvl="3">
      <w:lvl w:ilvl="3" w:tentative="1">
        <w:start w:val="1"/>
        <w:numFmt w:val="decimal"/>
        <w:pStyle w:val="25NumDispoI"/>
        <w:lvlText w:val="%4."/>
        <w:lvlJc w:val="left"/>
        <w:pPr>
          <w:ind w:left="3240" w:hanging="360"/>
        </w:pPr>
      </w:lvl>
    </w:lvlOverride>
    <w:lvlOverride w:ilvl="4">
      <w:lvl w:ilvl="4">
        <w:start w:val="1"/>
        <w:numFmt w:val="lowerLetter"/>
        <w:pStyle w:val="26NumDispoa"/>
        <w:lvlText w:val="%5."/>
        <w:lvlJc w:val="left"/>
        <w:pPr>
          <w:ind w:left="3960" w:hanging="360"/>
        </w:pPr>
      </w:lvl>
    </w:lvlOverride>
    <w:lvlOverride w:ilvl="5">
      <w:lvl w:ilvl="5" w:tentative="1">
        <w:start w:val="1"/>
        <w:numFmt w:val="lowerRoman"/>
        <w:pStyle w:val="44RmischeNum"/>
        <w:lvlText w:val="%6."/>
        <w:lvlJc w:val="right"/>
        <w:pPr>
          <w:ind w:left="4680" w:hanging="180"/>
        </w:pPr>
      </w:lvl>
    </w:lvlOverride>
    <w:lvlOverride w:ilvl="6">
      <w:lvl w:ilvl="6" w:tentative="1">
        <w:start w:val="1"/>
        <w:numFmt w:val="decimal"/>
        <w:lvlText w:val="%7."/>
        <w:lvlJc w:val="left"/>
        <w:pPr>
          <w:ind w:left="5400" w:hanging="360"/>
        </w:pPr>
      </w:lvl>
    </w:lvlOverride>
    <w:lvlOverride w:ilvl="7">
      <w:lvl w:ilvl="7" w:tentative="1">
        <w:start w:val="1"/>
        <w:numFmt w:val="lowerLetter"/>
        <w:lvlText w:val="%8."/>
        <w:lvlJc w:val="left"/>
        <w:pPr>
          <w:ind w:left="6120" w:hanging="360"/>
        </w:pPr>
      </w:lvl>
    </w:lvlOverride>
    <w:lvlOverride w:ilvl="8">
      <w:lvl w:ilvl="8" w:tentative="1">
        <w:start w:val="1"/>
        <w:numFmt w:val="lowerRoman"/>
        <w:lvlText w:val="%9."/>
        <w:lvlJc w:val="right"/>
        <w:pPr>
          <w:ind w:left="6840" w:hanging="180"/>
        </w:pPr>
      </w:lvl>
    </w:lvlOverride>
  </w:num>
  <w:num w:numId="47">
    <w:abstractNumId w:val="14"/>
  </w:num>
  <w:num w:numId="48">
    <w:abstractNumId w:val="22"/>
  </w:num>
  <w:num w:numId="49">
    <w:abstractNumId w:val="3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0002"/>
  <w:defaultTabStop w:val="709"/>
  <w:autoHyphenation/>
  <w:hyphenationZone w:val="425"/>
  <w:drawingGridHorizontalSpacing w:val="110"/>
  <w:displayHorizontalDrawingGridEvery w:val="2"/>
  <w:characterSpacingControl w:val="doNotCompress"/>
  <w:hdrShapeDefaults>
    <o:shapedefaults v:ext="edit" spidmax="90113"/>
  </w:hdrShapeDefaults>
  <w:footnotePr>
    <w:footnote w:id="-1"/>
    <w:footnote w:id="0"/>
  </w:footnotePr>
  <w:endnotePr>
    <w:endnote w:id="-1"/>
    <w:endnote w:id="0"/>
  </w:endnotePr>
  <w:compat>
    <w:doNotExpandShiftReturn/>
  </w:compat>
  <w:rsids>
    <w:rsidRoot w:val="00C47305"/>
    <w:rsid w:val="00005002"/>
    <w:rsid w:val="0000566F"/>
    <w:rsid w:val="0000639F"/>
    <w:rsid w:val="00012543"/>
    <w:rsid w:val="000168F2"/>
    <w:rsid w:val="0002054E"/>
    <w:rsid w:val="0002442C"/>
    <w:rsid w:val="000261DD"/>
    <w:rsid w:val="00030EFB"/>
    <w:rsid w:val="00031449"/>
    <w:rsid w:val="000377E2"/>
    <w:rsid w:val="00037B0F"/>
    <w:rsid w:val="00045F36"/>
    <w:rsid w:val="000505DA"/>
    <w:rsid w:val="00050BB9"/>
    <w:rsid w:val="00063533"/>
    <w:rsid w:val="00073068"/>
    <w:rsid w:val="00075041"/>
    <w:rsid w:val="00075C6A"/>
    <w:rsid w:val="0007642A"/>
    <w:rsid w:val="00083D83"/>
    <w:rsid w:val="00084A79"/>
    <w:rsid w:val="000851A0"/>
    <w:rsid w:val="00097B41"/>
    <w:rsid w:val="000B1F23"/>
    <w:rsid w:val="000B65F2"/>
    <w:rsid w:val="000C201D"/>
    <w:rsid w:val="000D48B1"/>
    <w:rsid w:val="000D6561"/>
    <w:rsid w:val="000E2323"/>
    <w:rsid w:val="000E4203"/>
    <w:rsid w:val="000E7C2A"/>
    <w:rsid w:val="000F486A"/>
    <w:rsid w:val="00100F39"/>
    <w:rsid w:val="001076B9"/>
    <w:rsid w:val="00107ED8"/>
    <w:rsid w:val="001114EC"/>
    <w:rsid w:val="0012324F"/>
    <w:rsid w:val="0012521A"/>
    <w:rsid w:val="001257E4"/>
    <w:rsid w:val="00126812"/>
    <w:rsid w:val="001337D8"/>
    <w:rsid w:val="00133AD4"/>
    <w:rsid w:val="001367F9"/>
    <w:rsid w:val="00136F15"/>
    <w:rsid w:val="00140AD8"/>
    <w:rsid w:val="00142BB6"/>
    <w:rsid w:val="00144494"/>
    <w:rsid w:val="001465B6"/>
    <w:rsid w:val="00147772"/>
    <w:rsid w:val="001636B8"/>
    <w:rsid w:val="001751FD"/>
    <w:rsid w:val="001762BA"/>
    <w:rsid w:val="001768A7"/>
    <w:rsid w:val="00180714"/>
    <w:rsid w:val="00180C42"/>
    <w:rsid w:val="0018405E"/>
    <w:rsid w:val="0018593D"/>
    <w:rsid w:val="001933CB"/>
    <w:rsid w:val="001955E0"/>
    <w:rsid w:val="001962DB"/>
    <w:rsid w:val="00196B92"/>
    <w:rsid w:val="00197237"/>
    <w:rsid w:val="001A3639"/>
    <w:rsid w:val="001A3D8A"/>
    <w:rsid w:val="001A44D4"/>
    <w:rsid w:val="001B22CB"/>
    <w:rsid w:val="001C24E5"/>
    <w:rsid w:val="001C56D3"/>
    <w:rsid w:val="001D28A8"/>
    <w:rsid w:val="001D3553"/>
    <w:rsid w:val="001D36BA"/>
    <w:rsid w:val="001D3976"/>
    <w:rsid w:val="001D5799"/>
    <w:rsid w:val="001E0B27"/>
    <w:rsid w:val="001E4AF3"/>
    <w:rsid w:val="001E5DC6"/>
    <w:rsid w:val="001F0A95"/>
    <w:rsid w:val="001F0D18"/>
    <w:rsid w:val="001F5AE3"/>
    <w:rsid w:val="00203665"/>
    <w:rsid w:val="00206661"/>
    <w:rsid w:val="00212B2F"/>
    <w:rsid w:val="0021346F"/>
    <w:rsid w:val="00224F64"/>
    <w:rsid w:val="002251D6"/>
    <w:rsid w:val="00233A44"/>
    <w:rsid w:val="00235C3D"/>
    <w:rsid w:val="00240FA2"/>
    <w:rsid w:val="002411D6"/>
    <w:rsid w:val="00241973"/>
    <w:rsid w:val="00247153"/>
    <w:rsid w:val="00250703"/>
    <w:rsid w:val="00253F67"/>
    <w:rsid w:val="00255D7A"/>
    <w:rsid w:val="00256027"/>
    <w:rsid w:val="00261AE8"/>
    <w:rsid w:val="00263102"/>
    <w:rsid w:val="00272E4C"/>
    <w:rsid w:val="002742C8"/>
    <w:rsid w:val="00274D54"/>
    <w:rsid w:val="002761D5"/>
    <w:rsid w:val="00276FD4"/>
    <w:rsid w:val="00283ED8"/>
    <w:rsid w:val="00286314"/>
    <w:rsid w:val="00291595"/>
    <w:rsid w:val="0029377E"/>
    <w:rsid w:val="00293C74"/>
    <w:rsid w:val="00293F7B"/>
    <w:rsid w:val="002A3EC0"/>
    <w:rsid w:val="002B1837"/>
    <w:rsid w:val="002B2732"/>
    <w:rsid w:val="002C320F"/>
    <w:rsid w:val="002D2852"/>
    <w:rsid w:val="002D3659"/>
    <w:rsid w:val="002D7E89"/>
    <w:rsid w:val="002E021B"/>
    <w:rsid w:val="002E1AD6"/>
    <w:rsid w:val="002E2A2A"/>
    <w:rsid w:val="002E58C5"/>
    <w:rsid w:val="002F61F8"/>
    <w:rsid w:val="00301FFE"/>
    <w:rsid w:val="0030222F"/>
    <w:rsid w:val="003046F8"/>
    <w:rsid w:val="0030756B"/>
    <w:rsid w:val="00307DCB"/>
    <w:rsid w:val="00311B52"/>
    <w:rsid w:val="00311DAE"/>
    <w:rsid w:val="003177AD"/>
    <w:rsid w:val="00321516"/>
    <w:rsid w:val="003234C7"/>
    <w:rsid w:val="00332B4D"/>
    <w:rsid w:val="00336A90"/>
    <w:rsid w:val="0034047D"/>
    <w:rsid w:val="00345516"/>
    <w:rsid w:val="00350AF1"/>
    <w:rsid w:val="00362A13"/>
    <w:rsid w:val="0037192D"/>
    <w:rsid w:val="003730B0"/>
    <w:rsid w:val="003773AB"/>
    <w:rsid w:val="00382E4D"/>
    <w:rsid w:val="00390A53"/>
    <w:rsid w:val="003A1E2C"/>
    <w:rsid w:val="003A2514"/>
    <w:rsid w:val="003A3651"/>
    <w:rsid w:val="003A669D"/>
    <w:rsid w:val="003A6B90"/>
    <w:rsid w:val="003B4778"/>
    <w:rsid w:val="003B4CC2"/>
    <w:rsid w:val="003C0C83"/>
    <w:rsid w:val="003C0E51"/>
    <w:rsid w:val="003C2DF4"/>
    <w:rsid w:val="003C63C3"/>
    <w:rsid w:val="003C7B3D"/>
    <w:rsid w:val="003D275A"/>
    <w:rsid w:val="003D70B4"/>
    <w:rsid w:val="003E2808"/>
    <w:rsid w:val="003E468B"/>
    <w:rsid w:val="003F60AF"/>
    <w:rsid w:val="00400672"/>
    <w:rsid w:val="00402D22"/>
    <w:rsid w:val="00412D2A"/>
    <w:rsid w:val="0041337D"/>
    <w:rsid w:val="004217D7"/>
    <w:rsid w:val="0042577F"/>
    <w:rsid w:val="00430880"/>
    <w:rsid w:val="004338E5"/>
    <w:rsid w:val="00435785"/>
    <w:rsid w:val="0044003B"/>
    <w:rsid w:val="00441F3D"/>
    <w:rsid w:val="00443792"/>
    <w:rsid w:val="004442A1"/>
    <w:rsid w:val="00446275"/>
    <w:rsid w:val="00455B62"/>
    <w:rsid w:val="00456D21"/>
    <w:rsid w:val="004630AB"/>
    <w:rsid w:val="0046494C"/>
    <w:rsid w:val="00464BAB"/>
    <w:rsid w:val="004652F1"/>
    <w:rsid w:val="0046689E"/>
    <w:rsid w:val="00473207"/>
    <w:rsid w:val="0049608B"/>
    <w:rsid w:val="00496205"/>
    <w:rsid w:val="004A1EA2"/>
    <w:rsid w:val="004A320D"/>
    <w:rsid w:val="004A7A1A"/>
    <w:rsid w:val="004B1640"/>
    <w:rsid w:val="004B5F2C"/>
    <w:rsid w:val="004B6AFA"/>
    <w:rsid w:val="004C053C"/>
    <w:rsid w:val="004D182A"/>
    <w:rsid w:val="004D245F"/>
    <w:rsid w:val="004D4372"/>
    <w:rsid w:val="004E1955"/>
    <w:rsid w:val="004E6670"/>
    <w:rsid w:val="004F09FB"/>
    <w:rsid w:val="004F53D4"/>
    <w:rsid w:val="004F6A65"/>
    <w:rsid w:val="00501CA0"/>
    <w:rsid w:val="005075F5"/>
    <w:rsid w:val="0051374F"/>
    <w:rsid w:val="00514A46"/>
    <w:rsid w:val="00531FFE"/>
    <w:rsid w:val="0053341B"/>
    <w:rsid w:val="005338B9"/>
    <w:rsid w:val="00533E7D"/>
    <w:rsid w:val="0053483A"/>
    <w:rsid w:val="00540649"/>
    <w:rsid w:val="00542521"/>
    <w:rsid w:val="00543FA0"/>
    <w:rsid w:val="00551C35"/>
    <w:rsid w:val="0055259C"/>
    <w:rsid w:val="005543D1"/>
    <w:rsid w:val="00564F8F"/>
    <w:rsid w:val="00564FE5"/>
    <w:rsid w:val="005664EA"/>
    <w:rsid w:val="00573410"/>
    <w:rsid w:val="00575674"/>
    <w:rsid w:val="005759A9"/>
    <w:rsid w:val="0058230E"/>
    <w:rsid w:val="00583F67"/>
    <w:rsid w:val="00585D06"/>
    <w:rsid w:val="00591BC8"/>
    <w:rsid w:val="005946B3"/>
    <w:rsid w:val="005A2A77"/>
    <w:rsid w:val="005A5AE3"/>
    <w:rsid w:val="005B1328"/>
    <w:rsid w:val="005B44AB"/>
    <w:rsid w:val="005B60DE"/>
    <w:rsid w:val="005C2B96"/>
    <w:rsid w:val="005C3C7D"/>
    <w:rsid w:val="005C6680"/>
    <w:rsid w:val="005C69D5"/>
    <w:rsid w:val="005C75F4"/>
    <w:rsid w:val="005C796D"/>
    <w:rsid w:val="005C7D05"/>
    <w:rsid w:val="005D3E03"/>
    <w:rsid w:val="005D6ED6"/>
    <w:rsid w:val="005D6F85"/>
    <w:rsid w:val="005E20E2"/>
    <w:rsid w:val="005E7284"/>
    <w:rsid w:val="005F29C5"/>
    <w:rsid w:val="005F53B2"/>
    <w:rsid w:val="005F568C"/>
    <w:rsid w:val="005F67D1"/>
    <w:rsid w:val="005F6F12"/>
    <w:rsid w:val="005F7A33"/>
    <w:rsid w:val="00600272"/>
    <w:rsid w:val="00601211"/>
    <w:rsid w:val="006030D9"/>
    <w:rsid w:val="006058C6"/>
    <w:rsid w:val="00605936"/>
    <w:rsid w:val="00612D5A"/>
    <w:rsid w:val="0061323E"/>
    <w:rsid w:val="006164E0"/>
    <w:rsid w:val="00617BE2"/>
    <w:rsid w:val="00621891"/>
    <w:rsid w:val="00624B69"/>
    <w:rsid w:val="00624D91"/>
    <w:rsid w:val="00624EA8"/>
    <w:rsid w:val="00634DAE"/>
    <w:rsid w:val="0066443B"/>
    <w:rsid w:val="006651AA"/>
    <w:rsid w:val="00665A75"/>
    <w:rsid w:val="00670003"/>
    <w:rsid w:val="00671C18"/>
    <w:rsid w:val="00672ED4"/>
    <w:rsid w:val="00674C5D"/>
    <w:rsid w:val="00680D59"/>
    <w:rsid w:val="006854E0"/>
    <w:rsid w:val="006860AB"/>
    <w:rsid w:val="00691CCF"/>
    <w:rsid w:val="006A0467"/>
    <w:rsid w:val="006A11E7"/>
    <w:rsid w:val="006B4EB6"/>
    <w:rsid w:val="006C1729"/>
    <w:rsid w:val="006C27C7"/>
    <w:rsid w:val="006C3898"/>
    <w:rsid w:val="006C38F5"/>
    <w:rsid w:val="006C503B"/>
    <w:rsid w:val="006C7E9D"/>
    <w:rsid w:val="006D262E"/>
    <w:rsid w:val="006D7914"/>
    <w:rsid w:val="006E2BAC"/>
    <w:rsid w:val="006E3817"/>
    <w:rsid w:val="006F3F14"/>
    <w:rsid w:val="006F5ECE"/>
    <w:rsid w:val="007005F7"/>
    <w:rsid w:val="0071123E"/>
    <w:rsid w:val="00715FDB"/>
    <w:rsid w:val="007208E1"/>
    <w:rsid w:val="00731351"/>
    <w:rsid w:val="00733C52"/>
    <w:rsid w:val="00744200"/>
    <w:rsid w:val="00755496"/>
    <w:rsid w:val="00761100"/>
    <w:rsid w:val="00765512"/>
    <w:rsid w:val="00773767"/>
    <w:rsid w:val="00777F55"/>
    <w:rsid w:val="00780765"/>
    <w:rsid w:val="00782009"/>
    <w:rsid w:val="00784F7B"/>
    <w:rsid w:val="00792095"/>
    <w:rsid w:val="0079258C"/>
    <w:rsid w:val="007A4E05"/>
    <w:rsid w:val="007A5EEC"/>
    <w:rsid w:val="007A7618"/>
    <w:rsid w:val="007B308F"/>
    <w:rsid w:val="007C0481"/>
    <w:rsid w:val="007C058C"/>
    <w:rsid w:val="007C0938"/>
    <w:rsid w:val="007C0D3C"/>
    <w:rsid w:val="007D4CBE"/>
    <w:rsid w:val="007D72EA"/>
    <w:rsid w:val="007E4F9B"/>
    <w:rsid w:val="007F2530"/>
    <w:rsid w:val="007F34D6"/>
    <w:rsid w:val="007F6CC8"/>
    <w:rsid w:val="0080072F"/>
    <w:rsid w:val="00801B28"/>
    <w:rsid w:val="00813B3E"/>
    <w:rsid w:val="00816954"/>
    <w:rsid w:val="00820DDF"/>
    <w:rsid w:val="00822118"/>
    <w:rsid w:val="00831887"/>
    <w:rsid w:val="00835F3C"/>
    <w:rsid w:val="00840428"/>
    <w:rsid w:val="00841157"/>
    <w:rsid w:val="00844C0E"/>
    <w:rsid w:val="008463B2"/>
    <w:rsid w:val="00847DE5"/>
    <w:rsid w:val="00850452"/>
    <w:rsid w:val="00851810"/>
    <w:rsid w:val="008552A0"/>
    <w:rsid w:val="00857582"/>
    <w:rsid w:val="00861B8E"/>
    <w:rsid w:val="00863CD4"/>
    <w:rsid w:val="00870BF3"/>
    <w:rsid w:val="00874FFC"/>
    <w:rsid w:val="00883E10"/>
    <w:rsid w:val="00896D86"/>
    <w:rsid w:val="00897949"/>
    <w:rsid w:val="008A317A"/>
    <w:rsid w:val="008A3A99"/>
    <w:rsid w:val="008B1519"/>
    <w:rsid w:val="008C3DC7"/>
    <w:rsid w:val="008C3EFE"/>
    <w:rsid w:val="008D0D56"/>
    <w:rsid w:val="008D0F59"/>
    <w:rsid w:val="008D3C7F"/>
    <w:rsid w:val="008E271C"/>
    <w:rsid w:val="008E2D9D"/>
    <w:rsid w:val="008E46A9"/>
    <w:rsid w:val="008E5645"/>
    <w:rsid w:val="008E5A9E"/>
    <w:rsid w:val="008E60E9"/>
    <w:rsid w:val="008F063D"/>
    <w:rsid w:val="008F2159"/>
    <w:rsid w:val="008F3FCB"/>
    <w:rsid w:val="008F5FA3"/>
    <w:rsid w:val="008F71C7"/>
    <w:rsid w:val="0090453A"/>
    <w:rsid w:val="009141FD"/>
    <w:rsid w:val="00914CC9"/>
    <w:rsid w:val="00920BC1"/>
    <w:rsid w:val="00922A7A"/>
    <w:rsid w:val="00927ABB"/>
    <w:rsid w:val="00930213"/>
    <w:rsid w:val="00930AA0"/>
    <w:rsid w:val="009316D6"/>
    <w:rsid w:val="00932C26"/>
    <w:rsid w:val="0093428D"/>
    <w:rsid w:val="0094022E"/>
    <w:rsid w:val="00943231"/>
    <w:rsid w:val="00946D14"/>
    <w:rsid w:val="009476A4"/>
    <w:rsid w:val="00960A98"/>
    <w:rsid w:val="009676BD"/>
    <w:rsid w:val="00970E02"/>
    <w:rsid w:val="0097191D"/>
    <w:rsid w:val="00975EF0"/>
    <w:rsid w:val="0097672E"/>
    <w:rsid w:val="00976B03"/>
    <w:rsid w:val="00982972"/>
    <w:rsid w:val="00985258"/>
    <w:rsid w:val="009854E9"/>
    <w:rsid w:val="00985616"/>
    <w:rsid w:val="0098601E"/>
    <w:rsid w:val="00991CB1"/>
    <w:rsid w:val="00996A64"/>
    <w:rsid w:val="009A17F9"/>
    <w:rsid w:val="009A436B"/>
    <w:rsid w:val="009A73AF"/>
    <w:rsid w:val="009B2C90"/>
    <w:rsid w:val="009C240B"/>
    <w:rsid w:val="009C3481"/>
    <w:rsid w:val="009C396F"/>
    <w:rsid w:val="009C41D0"/>
    <w:rsid w:val="009C6614"/>
    <w:rsid w:val="009C717C"/>
    <w:rsid w:val="009C7F0E"/>
    <w:rsid w:val="009D390E"/>
    <w:rsid w:val="009D43D5"/>
    <w:rsid w:val="009D50A6"/>
    <w:rsid w:val="009D5607"/>
    <w:rsid w:val="009E06CA"/>
    <w:rsid w:val="009E45C1"/>
    <w:rsid w:val="009F3232"/>
    <w:rsid w:val="009F788E"/>
    <w:rsid w:val="00A00D74"/>
    <w:rsid w:val="00A00FE7"/>
    <w:rsid w:val="00A0272B"/>
    <w:rsid w:val="00A040C5"/>
    <w:rsid w:val="00A04218"/>
    <w:rsid w:val="00A10CD6"/>
    <w:rsid w:val="00A13754"/>
    <w:rsid w:val="00A13D3E"/>
    <w:rsid w:val="00A22987"/>
    <w:rsid w:val="00A27948"/>
    <w:rsid w:val="00A27D17"/>
    <w:rsid w:val="00A309A3"/>
    <w:rsid w:val="00A35818"/>
    <w:rsid w:val="00A60735"/>
    <w:rsid w:val="00A71022"/>
    <w:rsid w:val="00A7508C"/>
    <w:rsid w:val="00A75AFE"/>
    <w:rsid w:val="00A77CE0"/>
    <w:rsid w:val="00A831A9"/>
    <w:rsid w:val="00A858AF"/>
    <w:rsid w:val="00A85A68"/>
    <w:rsid w:val="00A862E9"/>
    <w:rsid w:val="00A9365F"/>
    <w:rsid w:val="00A956DD"/>
    <w:rsid w:val="00AA1C8D"/>
    <w:rsid w:val="00AA6464"/>
    <w:rsid w:val="00AC1DF4"/>
    <w:rsid w:val="00AC7709"/>
    <w:rsid w:val="00AD3AD1"/>
    <w:rsid w:val="00AD7BAE"/>
    <w:rsid w:val="00AE4C50"/>
    <w:rsid w:val="00AE65AF"/>
    <w:rsid w:val="00AE7B14"/>
    <w:rsid w:val="00AF261F"/>
    <w:rsid w:val="00AF7D10"/>
    <w:rsid w:val="00B03C28"/>
    <w:rsid w:val="00B04703"/>
    <w:rsid w:val="00B0550E"/>
    <w:rsid w:val="00B05A10"/>
    <w:rsid w:val="00B060FD"/>
    <w:rsid w:val="00B11C75"/>
    <w:rsid w:val="00B160B6"/>
    <w:rsid w:val="00B2014B"/>
    <w:rsid w:val="00B20A49"/>
    <w:rsid w:val="00B341F3"/>
    <w:rsid w:val="00B35099"/>
    <w:rsid w:val="00B4079C"/>
    <w:rsid w:val="00B40ED8"/>
    <w:rsid w:val="00B42BAD"/>
    <w:rsid w:val="00B460F1"/>
    <w:rsid w:val="00B60331"/>
    <w:rsid w:val="00B6104F"/>
    <w:rsid w:val="00B61B4C"/>
    <w:rsid w:val="00B63DB7"/>
    <w:rsid w:val="00B66008"/>
    <w:rsid w:val="00B70376"/>
    <w:rsid w:val="00B764E7"/>
    <w:rsid w:val="00B81CAC"/>
    <w:rsid w:val="00B87B6A"/>
    <w:rsid w:val="00B87DE2"/>
    <w:rsid w:val="00B90276"/>
    <w:rsid w:val="00B96DF1"/>
    <w:rsid w:val="00B96F07"/>
    <w:rsid w:val="00BA5363"/>
    <w:rsid w:val="00BA7324"/>
    <w:rsid w:val="00BB5271"/>
    <w:rsid w:val="00BD1659"/>
    <w:rsid w:val="00BD22A2"/>
    <w:rsid w:val="00BD36F8"/>
    <w:rsid w:val="00BD5619"/>
    <w:rsid w:val="00BE7E80"/>
    <w:rsid w:val="00BF150F"/>
    <w:rsid w:val="00BF179A"/>
    <w:rsid w:val="00BF2572"/>
    <w:rsid w:val="00BF6A27"/>
    <w:rsid w:val="00BF743C"/>
    <w:rsid w:val="00C00B12"/>
    <w:rsid w:val="00C00C79"/>
    <w:rsid w:val="00C024E0"/>
    <w:rsid w:val="00C0496F"/>
    <w:rsid w:val="00C05971"/>
    <w:rsid w:val="00C159B2"/>
    <w:rsid w:val="00C2055E"/>
    <w:rsid w:val="00C20C29"/>
    <w:rsid w:val="00C211E2"/>
    <w:rsid w:val="00C22C61"/>
    <w:rsid w:val="00C32FBF"/>
    <w:rsid w:val="00C414B5"/>
    <w:rsid w:val="00C42B36"/>
    <w:rsid w:val="00C47305"/>
    <w:rsid w:val="00C534C5"/>
    <w:rsid w:val="00C53E8A"/>
    <w:rsid w:val="00C5427A"/>
    <w:rsid w:val="00C54657"/>
    <w:rsid w:val="00C55518"/>
    <w:rsid w:val="00C55796"/>
    <w:rsid w:val="00C6204A"/>
    <w:rsid w:val="00C62AA3"/>
    <w:rsid w:val="00C64D91"/>
    <w:rsid w:val="00C675C4"/>
    <w:rsid w:val="00C7253A"/>
    <w:rsid w:val="00C80CAC"/>
    <w:rsid w:val="00C8375A"/>
    <w:rsid w:val="00C85BFD"/>
    <w:rsid w:val="00C91889"/>
    <w:rsid w:val="00C92630"/>
    <w:rsid w:val="00CA176A"/>
    <w:rsid w:val="00CA23DB"/>
    <w:rsid w:val="00CA30DE"/>
    <w:rsid w:val="00CA61E6"/>
    <w:rsid w:val="00CC13B6"/>
    <w:rsid w:val="00CC2B52"/>
    <w:rsid w:val="00CD4A89"/>
    <w:rsid w:val="00CD7C3F"/>
    <w:rsid w:val="00CE176B"/>
    <w:rsid w:val="00CE53E1"/>
    <w:rsid w:val="00CF28DC"/>
    <w:rsid w:val="00CF2FBC"/>
    <w:rsid w:val="00D0275E"/>
    <w:rsid w:val="00D04670"/>
    <w:rsid w:val="00D0708D"/>
    <w:rsid w:val="00D25F40"/>
    <w:rsid w:val="00D27B20"/>
    <w:rsid w:val="00D311A4"/>
    <w:rsid w:val="00D3726D"/>
    <w:rsid w:val="00D60346"/>
    <w:rsid w:val="00D60532"/>
    <w:rsid w:val="00D650C2"/>
    <w:rsid w:val="00D715BC"/>
    <w:rsid w:val="00D72307"/>
    <w:rsid w:val="00D75B8E"/>
    <w:rsid w:val="00D7618E"/>
    <w:rsid w:val="00D765AC"/>
    <w:rsid w:val="00D86CE8"/>
    <w:rsid w:val="00D87386"/>
    <w:rsid w:val="00D9005C"/>
    <w:rsid w:val="00D91E0C"/>
    <w:rsid w:val="00D92462"/>
    <w:rsid w:val="00D92DC5"/>
    <w:rsid w:val="00D931D0"/>
    <w:rsid w:val="00DA2EDE"/>
    <w:rsid w:val="00DA2F5D"/>
    <w:rsid w:val="00DA347A"/>
    <w:rsid w:val="00DB1EE5"/>
    <w:rsid w:val="00DB1F8A"/>
    <w:rsid w:val="00DC1346"/>
    <w:rsid w:val="00DC6404"/>
    <w:rsid w:val="00DD7FC0"/>
    <w:rsid w:val="00DE2BBF"/>
    <w:rsid w:val="00DE4C1D"/>
    <w:rsid w:val="00DE7B4F"/>
    <w:rsid w:val="00DF54A3"/>
    <w:rsid w:val="00DF5901"/>
    <w:rsid w:val="00DF5FAE"/>
    <w:rsid w:val="00DF65B1"/>
    <w:rsid w:val="00E02EFE"/>
    <w:rsid w:val="00E05095"/>
    <w:rsid w:val="00E05665"/>
    <w:rsid w:val="00E10871"/>
    <w:rsid w:val="00E10AB8"/>
    <w:rsid w:val="00E10F06"/>
    <w:rsid w:val="00E1284D"/>
    <w:rsid w:val="00E14358"/>
    <w:rsid w:val="00E150B7"/>
    <w:rsid w:val="00E21E62"/>
    <w:rsid w:val="00E23287"/>
    <w:rsid w:val="00E2693C"/>
    <w:rsid w:val="00E3556D"/>
    <w:rsid w:val="00E36D5A"/>
    <w:rsid w:val="00E404B1"/>
    <w:rsid w:val="00E42D50"/>
    <w:rsid w:val="00E43515"/>
    <w:rsid w:val="00E4530D"/>
    <w:rsid w:val="00E46346"/>
    <w:rsid w:val="00E53833"/>
    <w:rsid w:val="00E549D4"/>
    <w:rsid w:val="00E57F0A"/>
    <w:rsid w:val="00E60190"/>
    <w:rsid w:val="00E6336C"/>
    <w:rsid w:val="00E708FB"/>
    <w:rsid w:val="00E76907"/>
    <w:rsid w:val="00E77A57"/>
    <w:rsid w:val="00E80DD9"/>
    <w:rsid w:val="00E82A00"/>
    <w:rsid w:val="00E867F0"/>
    <w:rsid w:val="00E90236"/>
    <w:rsid w:val="00EA06B0"/>
    <w:rsid w:val="00EA1AD2"/>
    <w:rsid w:val="00EA417D"/>
    <w:rsid w:val="00EB69A9"/>
    <w:rsid w:val="00EB6FB1"/>
    <w:rsid w:val="00EC0341"/>
    <w:rsid w:val="00EC2C6F"/>
    <w:rsid w:val="00EC2E1F"/>
    <w:rsid w:val="00EC44C7"/>
    <w:rsid w:val="00ED626E"/>
    <w:rsid w:val="00ED71CB"/>
    <w:rsid w:val="00ED7DEA"/>
    <w:rsid w:val="00EE1E39"/>
    <w:rsid w:val="00EE1F54"/>
    <w:rsid w:val="00EE2DA5"/>
    <w:rsid w:val="00EE5AB5"/>
    <w:rsid w:val="00EE6AC6"/>
    <w:rsid w:val="00EF0058"/>
    <w:rsid w:val="00EF67AE"/>
    <w:rsid w:val="00EF7A37"/>
    <w:rsid w:val="00F11C46"/>
    <w:rsid w:val="00F11F6C"/>
    <w:rsid w:val="00F1460A"/>
    <w:rsid w:val="00F24E5F"/>
    <w:rsid w:val="00F32394"/>
    <w:rsid w:val="00F33E60"/>
    <w:rsid w:val="00F37D23"/>
    <w:rsid w:val="00F40804"/>
    <w:rsid w:val="00F53D28"/>
    <w:rsid w:val="00F60BBD"/>
    <w:rsid w:val="00F626AA"/>
    <w:rsid w:val="00F65BDB"/>
    <w:rsid w:val="00F67D97"/>
    <w:rsid w:val="00F7019F"/>
    <w:rsid w:val="00F74B9C"/>
    <w:rsid w:val="00F7554F"/>
    <w:rsid w:val="00F77A8C"/>
    <w:rsid w:val="00F811DF"/>
    <w:rsid w:val="00F85658"/>
    <w:rsid w:val="00F8594D"/>
    <w:rsid w:val="00F864D5"/>
    <w:rsid w:val="00F871FE"/>
    <w:rsid w:val="00F87F81"/>
    <w:rsid w:val="00F90326"/>
    <w:rsid w:val="00F94906"/>
    <w:rsid w:val="00F95F5A"/>
    <w:rsid w:val="00FA3F35"/>
    <w:rsid w:val="00FA65F2"/>
    <w:rsid w:val="00FA7447"/>
    <w:rsid w:val="00FB2D42"/>
    <w:rsid w:val="00FC5D79"/>
    <w:rsid w:val="00FC6356"/>
    <w:rsid w:val="00FD168F"/>
    <w:rsid w:val="00FE3920"/>
    <w:rsid w:val="00FE792F"/>
    <w:rsid w:val="00FF2E0A"/>
    <w:rsid w:val="00FF4245"/>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heading 2" w:semiHidden="1" w:unhideWhenUsed="1"/>
    <w:lsdException w:name="heading 3"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caption" w:semiHidden="1" w:unhideWhenUsed="1"/>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atentStyles>
  <w:style w:type="paragraph" w:default="1" w:styleId="Standard">
    <w:name w:val="Normal"/>
    <w:rsid w:val="009854E9"/>
    <w:pPr>
      <w:tabs>
        <w:tab w:val="left" w:pos="397"/>
        <w:tab w:val="left" w:pos="794"/>
        <w:tab w:val="left" w:pos="1191"/>
        <w:tab w:val="left" w:pos="4479"/>
        <w:tab w:val="left" w:pos="4876"/>
        <w:tab w:val="left" w:pos="5273"/>
        <w:tab w:val="left" w:pos="5670"/>
        <w:tab w:val="left" w:pos="6067"/>
        <w:tab w:val="decimal" w:pos="7938"/>
      </w:tabs>
      <w:spacing w:before="120"/>
    </w:pPr>
    <w:rPr>
      <w:rFonts w:ascii="Arial" w:hAnsi="Arial"/>
      <w:sz w:val="22"/>
      <w:szCs w:val="22"/>
    </w:rPr>
  </w:style>
  <w:style w:type="paragraph" w:styleId="berschrift1">
    <w:name w:val="heading 1"/>
    <w:basedOn w:val="Standard"/>
    <w:next w:val="Standard"/>
    <w:link w:val="berschrift1Zchn"/>
    <w:rsid w:val="005338B9"/>
    <w:pPr>
      <w:keepNext/>
      <w:keepLines/>
      <w:spacing w:before="480"/>
      <w:outlineLvl w:val="0"/>
    </w:pPr>
    <w:rPr>
      <w:rFonts w:asciiTheme="majorHAnsi" w:eastAsiaTheme="majorEastAsia" w:hAnsiTheme="majorHAnsi" w:cstheme="majorBidi"/>
      <w:b/>
      <w:bCs/>
      <w:color w:val="004F9E" w:themeColor="accent1" w:themeShade="BF"/>
      <w:sz w:val="28"/>
      <w:szCs w:val="28"/>
    </w:rPr>
  </w:style>
  <w:style w:type="paragraph" w:styleId="berschrift2">
    <w:name w:val="heading 2"/>
    <w:basedOn w:val="Standard"/>
    <w:next w:val="Standard"/>
    <w:link w:val="berschrift2Zchn"/>
    <w:semiHidden/>
    <w:unhideWhenUsed/>
    <w:rsid w:val="005338B9"/>
    <w:pPr>
      <w:keepNext/>
      <w:keepLines/>
      <w:spacing w:before="200"/>
      <w:outlineLvl w:val="1"/>
    </w:pPr>
    <w:rPr>
      <w:rFonts w:asciiTheme="majorHAnsi" w:eastAsiaTheme="majorEastAsia" w:hAnsiTheme="majorHAnsi" w:cstheme="majorBidi"/>
      <w:b/>
      <w:bCs/>
      <w:color w:val="006AD4" w:themeColor="accent1"/>
      <w:sz w:val="26"/>
      <w:szCs w:val="26"/>
    </w:rPr>
  </w:style>
  <w:style w:type="paragraph" w:styleId="berschrift3">
    <w:name w:val="heading 3"/>
    <w:basedOn w:val="Standard"/>
    <w:next w:val="Standard"/>
    <w:link w:val="berschrift3Zchn"/>
    <w:semiHidden/>
    <w:unhideWhenUsed/>
    <w:rsid w:val="005338B9"/>
    <w:pPr>
      <w:keepNext/>
      <w:keepLines/>
      <w:spacing w:before="200"/>
      <w:outlineLvl w:val="2"/>
    </w:pPr>
    <w:rPr>
      <w:rFonts w:asciiTheme="majorHAnsi" w:eastAsiaTheme="majorEastAsia" w:hAnsiTheme="majorHAnsi" w:cstheme="majorBidi"/>
      <w:b/>
      <w:bCs/>
      <w:color w:val="006AD4" w:themeColor="accent1"/>
    </w:rPr>
  </w:style>
  <w:style w:type="paragraph" w:styleId="berschrift4">
    <w:name w:val="heading 4"/>
    <w:basedOn w:val="Standard"/>
    <w:next w:val="Standard"/>
    <w:rsid w:val="0058230E"/>
    <w:pPr>
      <w:keepNext/>
      <w:outlineLvl w:val="3"/>
    </w:pPr>
    <w:rPr>
      <w:bCs/>
      <w:szCs w:val="28"/>
    </w:rPr>
  </w:style>
  <w:style w:type="paragraph" w:styleId="berschrift5">
    <w:name w:val="heading 5"/>
    <w:basedOn w:val="Standard"/>
    <w:next w:val="Standard"/>
    <w:link w:val="berschrift5Zchn"/>
    <w:semiHidden/>
    <w:unhideWhenUsed/>
    <w:rsid w:val="005338B9"/>
    <w:pPr>
      <w:keepNext/>
      <w:keepLines/>
      <w:spacing w:before="200"/>
      <w:outlineLvl w:val="4"/>
    </w:pPr>
    <w:rPr>
      <w:rFonts w:asciiTheme="majorHAnsi" w:eastAsiaTheme="majorEastAsia" w:hAnsiTheme="majorHAnsi" w:cstheme="majorBidi"/>
      <w:color w:val="003469" w:themeColor="accent1" w:themeShade="7F"/>
    </w:rPr>
  </w:style>
  <w:style w:type="paragraph" w:styleId="berschrift6">
    <w:name w:val="heading 6"/>
    <w:basedOn w:val="Standard"/>
    <w:next w:val="Standard"/>
    <w:link w:val="berschrift6Zchn"/>
    <w:semiHidden/>
    <w:unhideWhenUsed/>
    <w:rsid w:val="005338B9"/>
    <w:pPr>
      <w:keepNext/>
      <w:keepLines/>
      <w:spacing w:before="200"/>
      <w:outlineLvl w:val="5"/>
    </w:pPr>
    <w:rPr>
      <w:rFonts w:asciiTheme="majorHAnsi" w:eastAsiaTheme="majorEastAsia" w:hAnsiTheme="majorHAnsi" w:cstheme="majorBidi"/>
      <w:i/>
      <w:iCs/>
      <w:color w:val="003469" w:themeColor="accent1" w:themeShade="7F"/>
    </w:rPr>
  </w:style>
  <w:style w:type="paragraph" w:styleId="berschrift7">
    <w:name w:val="heading 7"/>
    <w:basedOn w:val="Standard"/>
    <w:next w:val="Standard"/>
    <w:link w:val="berschrift7Zchn"/>
    <w:semiHidden/>
    <w:unhideWhenUsed/>
    <w:rsid w:val="005338B9"/>
    <w:pPr>
      <w:keepNext/>
      <w:keepLines/>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semiHidden/>
    <w:unhideWhenUsed/>
    <w:rsid w:val="005338B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semiHidden/>
    <w:unhideWhenUsed/>
    <w:rsid w:val="005338B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00Vorgabetext">
    <w:name w:val="00 Vorgabetext"/>
    <w:basedOn w:val="Standard"/>
    <w:link w:val="00VorgabetextZchn"/>
    <w:qFormat/>
    <w:rsid w:val="0058230E"/>
  </w:style>
  <w:style w:type="paragraph" w:customStyle="1" w:styleId="01Kleinschrift">
    <w:name w:val="01 Kleinschrift"/>
    <w:basedOn w:val="Standard"/>
    <w:qFormat/>
    <w:rsid w:val="008D3C7F"/>
    <w:rPr>
      <w:sz w:val="18"/>
    </w:rPr>
  </w:style>
  <w:style w:type="paragraph" w:customStyle="1" w:styleId="11Einr1Stufe">
    <w:name w:val="11 Einr. 1. Stufe"/>
    <w:basedOn w:val="Standard"/>
    <w:qFormat/>
    <w:rsid w:val="00970E02"/>
    <w:pPr>
      <w:ind w:left="397"/>
    </w:pPr>
  </w:style>
  <w:style w:type="paragraph" w:customStyle="1" w:styleId="12Einr2Stufe">
    <w:name w:val="12 Einr. 2. Stufe"/>
    <w:basedOn w:val="Standard"/>
    <w:qFormat/>
    <w:rsid w:val="002B2732"/>
    <w:pPr>
      <w:tabs>
        <w:tab w:val="clear" w:pos="397"/>
      </w:tabs>
      <w:ind w:left="794"/>
    </w:pPr>
  </w:style>
  <w:style w:type="paragraph" w:customStyle="1" w:styleId="13Aufz1Stufe">
    <w:name w:val="13 Aufz.1.Stufe"/>
    <w:basedOn w:val="Standard"/>
    <w:qFormat/>
    <w:rsid w:val="00C92630"/>
    <w:pPr>
      <w:numPr>
        <w:numId w:val="3"/>
      </w:numPr>
    </w:pPr>
  </w:style>
  <w:style w:type="paragraph" w:customStyle="1" w:styleId="14Aufz2Stufe">
    <w:name w:val="14 Aufz.2.Stufe"/>
    <w:basedOn w:val="Standard"/>
    <w:qFormat/>
    <w:rsid w:val="00C92630"/>
    <w:pPr>
      <w:numPr>
        <w:ilvl w:val="1"/>
        <w:numId w:val="3"/>
      </w:numPr>
      <w:tabs>
        <w:tab w:val="clear" w:pos="397"/>
      </w:tabs>
    </w:pPr>
  </w:style>
  <w:style w:type="paragraph" w:customStyle="1" w:styleId="15AufzDispo1Stufe">
    <w:name w:val="15 Aufz. Dispo 1. Stufe"/>
    <w:basedOn w:val="Standard"/>
    <w:qFormat/>
    <w:rsid w:val="00C92630"/>
    <w:pPr>
      <w:numPr>
        <w:ilvl w:val="2"/>
        <w:numId w:val="3"/>
      </w:numPr>
      <w:tabs>
        <w:tab w:val="clear" w:pos="397"/>
      </w:tabs>
    </w:pPr>
  </w:style>
  <w:style w:type="paragraph" w:customStyle="1" w:styleId="16AufzDispo2Stufe">
    <w:name w:val="16 Aufz. Dispo 2. Stufe"/>
    <w:basedOn w:val="Standard"/>
    <w:qFormat/>
    <w:rsid w:val="00C92630"/>
    <w:pPr>
      <w:numPr>
        <w:ilvl w:val="3"/>
        <w:numId w:val="3"/>
      </w:numPr>
      <w:tabs>
        <w:tab w:val="clear" w:pos="397"/>
        <w:tab w:val="clear" w:pos="794"/>
      </w:tabs>
    </w:pPr>
  </w:style>
  <w:style w:type="paragraph" w:customStyle="1" w:styleId="21NumAbsatz1">
    <w:name w:val="21 Num.Absatz1."/>
    <w:basedOn w:val="Standard"/>
    <w:qFormat/>
    <w:rsid w:val="00A10CD6"/>
    <w:pPr>
      <w:numPr>
        <w:numId w:val="17"/>
      </w:numPr>
    </w:pPr>
  </w:style>
  <w:style w:type="paragraph" w:customStyle="1" w:styleId="23NumAbsatzA">
    <w:name w:val="23 Num.AbsatzA"/>
    <w:basedOn w:val="Standard"/>
    <w:qFormat/>
    <w:rsid w:val="008F71C7"/>
    <w:pPr>
      <w:numPr>
        <w:ilvl w:val="1"/>
        <w:numId w:val="17"/>
      </w:numPr>
    </w:pPr>
  </w:style>
  <w:style w:type="paragraph" w:customStyle="1" w:styleId="24NumDispo1">
    <w:name w:val="24 Num. Dispo 1."/>
    <w:basedOn w:val="Standard"/>
    <w:qFormat/>
    <w:rsid w:val="008F71C7"/>
    <w:pPr>
      <w:numPr>
        <w:ilvl w:val="2"/>
        <w:numId w:val="17"/>
      </w:numPr>
    </w:pPr>
  </w:style>
  <w:style w:type="paragraph" w:customStyle="1" w:styleId="25NumDispoI">
    <w:name w:val="25 Num. Dispo I"/>
    <w:basedOn w:val="Standard"/>
    <w:qFormat/>
    <w:rsid w:val="008F71C7"/>
    <w:pPr>
      <w:numPr>
        <w:ilvl w:val="3"/>
        <w:numId w:val="17"/>
      </w:numPr>
    </w:pPr>
  </w:style>
  <w:style w:type="paragraph" w:customStyle="1" w:styleId="26NumDispoa">
    <w:name w:val="26 Num. Dispo a)"/>
    <w:basedOn w:val="Standard"/>
    <w:qFormat/>
    <w:rsid w:val="00C92630"/>
    <w:pPr>
      <w:numPr>
        <w:ilvl w:val="4"/>
        <w:numId w:val="17"/>
      </w:numPr>
      <w:tabs>
        <w:tab w:val="clear" w:pos="397"/>
      </w:tabs>
    </w:pPr>
  </w:style>
  <w:style w:type="paragraph" w:customStyle="1" w:styleId="44RmischeNum">
    <w:name w:val="44 Römische Num"/>
    <w:basedOn w:val="Standard"/>
    <w:qFormat/>
    <w:rsid w:val="00C92630"/>
    <w:pPr>
      <w:numPr>
        <w:ilvl w:val="5"/>
        <w:numId w:val="17"/>
      </w:numPr>
      <w:tabs>
        <w:tab w:val="clear" w:pos="397"/>
        <w:tab w:val="clear" w:pos="794"/>
      </w:tabs>
      <w:jc w:val="center"/>
    </w:pPr>
  </w:style>
  <w:style w:type="numbering" w:customStyle="1" w:styleId="AufzhlungenStandard">
    <w:name w:val="AufzählungenStandard"/>
    <w:basedOn w:val="KeineListe"/>
    <w:semiHidden/>
    <w:rsid w:val="00C92630"/>
    <w:pPr>
      <w:numPr>
        <w:numId w:val="3"/>
      </w:numPr>
    </w:pPr>
  </w:style>
  <w:style w:type="numbering" w:customStyle="1" w:styleId="NummerierungStandard">
    <w:name w:val="NummerierungStandard"/>
    <w:basedOn w:val="KeineListe"/>
    <w:semiHidden/>
    <w:rsid w:val="00C92630"/>
    <w:pPr>
      <w:numPr>
        <w:numId w:val="15"/>
      </w:numPr>
    </w:pPr>
  </w:style>
  <w:style w:type="paragraph" w:customStyle="1" w:styleId="31Formulartitel">
    <w:name w:val="31 Formulartitel"/>
    <w:basedOn w:val="Standard"/>
    <w:next w:val="00Vorgabetext"/>
    <w:qFormat/>
    <w:rsid w:val="00896D86"/>
    <w:pPr>
      <w:keepNext/>
      <w:keepLines/>
      <w:numPr>
        <w:numId w:val="4"/>
      </w:numPr>
      <w:spacing w:before="140" w:after="140"/>
      <w:outlineLvl w:val="0"/>
    </w:pPr>
    <w:rPr>
      <w:rFonts w:ascii="Arial Black" w:hAnsi="Arial Black"/>
      <w:sz w:val="32"/>
      <w:szCs w:val="28"/>
    </w:rPr>
  </w:style>
  <w:style w:type="paragraph" w:customStyle="1" w:styleId="32Haupttitel">
    <w:name w:val="32 Haupttitel"/>
    <w:basedOn w:val="Standard"/>
    <w:next w:val="00Vorgabetext"/>
    <w:qFormat/>
    <w:rsid w:val="006C3898"/>
    <w:pPr>
      <w:keepNext/>
      <w:keepLines/>
      <w:numPr>
        <w:ilvl w:val="1"/>
        <w:numId w:val="4"/>
      </w:numPr>
      <w:spacing w:after="120"/>
      <w:outlineLvl w:val="1"/>
    </w:pPr>
    <w:rPr>
      <w:rFonts w:ascii="Arial Black" w:hAnsi="Arial Black"/>
    </w:rPr>
  </w:style>
  <w:style w:type="paragraph" w:styleId="Kopfzeile">
    <w:name w:val="header"/>
    <w:basedOn w:val="Standard"/>
    <w:semiHidden/>
    <w:rsid w:val="00EA1AD2"/>
    <w:pPr>
      <w:tabs>
        <w:tab w:val="clear" w:pos="397"/>
        <w:tab w:val="clear" w:pos="794"/>
        <w:tab w:val="clear" w:pos="1191"/>
        <w:tab w:val="clear" w:pos="4479"/>
        <w:tab w:val="clear" w:pos="4876"/>
        <w:tab w:val="clear" w:pos="5273"/>
        <w:tab w:val="clear" w:pos="5670"/>
        <w:tab w:val="clear" w:pos="6067"/>
        <w:tab w:val="center" w:pos="4536"/>
        <w:tab w:val="right" w:pos="9072"/>
      </w:tabs>
    </w:pPr>
  </w:style>
  <w:style w:type="paragraph" w:customStyle="1" w:styleId="35Titel11">
    <w:name w:val="35 Titel 1.1"/>
    <w:basedOn w:val="Standard"/>
    <w:next w:val="00Vorgabetext"/>
    <w:qFormat/>
    <w:rsid w:val="006F5ECE"/>
    <w:pPr>
      <w:keepNext/>
      <w:keepLines/>
      <w:numPr>
        <w:ilvl w:val="5"/>
        <w:numId w:val="4"/>
      </w:numPr>
      <w:spacing w:after="120"/>
      <w:outlineLvl w:val="5"/>
    </w:pPr>
    <w:rPr>
      <w:rFonts w:ascii="Arial Black" w:hAnsi="Arial Black"/>
    </w:rPr>
  </w:style>
  <w:style w:type="character" w:styleId="Hyperlink">
    <w:name w:val="Hyperlink"/>
    <w:basedOn w:val="Absatz-Standardschriftart"/>
    <w:rsid w:val="009C240B"/>
    <w:rPr>
      <w:color w:val="0000FF"/>
      <w:u w:val="single"/>
    </w:rPr>
  </w:style>
  <w:style w:type="paragraph" w:customStyle="1" w:styleId="48Fusszeile">
    <w:name w:val="48 Fusszeile"/>
    <w:basedOn w:val="Standard"/>
    <w:qFormat/>
    <w:rsid w:val="009F3232"/>
    <w:pPr>
      <w:tabs>
        <w:tab w:val="clear" w:pos="397"/>
        <w:tab w:val="clear" w:pos="794"/>
        <w:tab w:val="clear" w:pos="1191"/>
        <w:tab w:val="clear" w:pos="4479"/>
        <w:tab w:val="clear" w:pos="4876"/>
        <w:tab w:val="clear" w:pos="5273"/>
        <w:tab w:val="clear" w:pos="5670"/>
        <w:tab w:val="clear" w:pos="6067"/>
        <w:tab w:val="clear" w:pos="7938"/>
        <w:tab w:val="center" w:pos="4253"/>
        <w:tab w:val="right" w:pos="8505"/>
      </w:tabs>
    </w:pPr>
  </w:style>
  <w:style w:type="paragraph" w:customStyle="1" w:styleId="51Absender">
    <w:name w:val="51 Absender"/>
    <w:basedOn w:val="Standard"/>
    <w:semiHidden/>
    <w:qFormat/>
    <w:rsid w:val="00446275"/>
    <w:pPr>
      <w:tabs>
        <w:tab w:val="clear" w:pos="397"/>
        <w:tab w:val="clear" w:pos="794"/>
        <w:tab w:val="clear" w:pos="1191"/>
        <w:tab w:val="left" w:pos="1259"/>
      </w:tabs>
      <w:spacing w:before="0" w:line="240" w:lineRule="atLeast"/>
      <w:ind w:left="1259" w:hanging="1259"/>
    </w:pPr>
    <w:rPr>
      <w:sz w:val="18"/>
    </w:rPr>
  </w:style>
  <w:style w:type="paragraph" w:customStyle="1" w:styleId="42Empfngeradresse">
    <w:name w:val="42 Empfängeradresse"/>
    <w:basedOn w:val="Standard"/>
    <w:qFormat/>
    <w:rsid w:val="00B35099"/>
    <w:pPr>
      <w:tabs>
        <w:tab w:val="clear" w:pos="4479"/>
        <w:tab w:val="clear" w:pos="4876"/>
        <w:tab w:val="clear" w:pos="5273"/>
        <w:tab w:val="clear" w:pos="5670"/>
        <w:tab w:val="clear" w:pos="6067"/>
        <w:tab w:val="clear" w:pos="7938"/>
      </w:tabs>
      <w:spacing w:before="0"/>
    </w:pPr>
  </w:style>
  <w:style w:type="paragraph" w:customStyle="1" w:styleId="53Briefkopf">
    <w:name w:val="53 Briefkopf"/>
    <w:basedOn w:val="Standard"/>
    <w:semiHidden/>
    <w:qFormat/>
    <w:rsid w:val="00446275"/>
    <w:pPr>
      <w:spacing w:before="0"/>
    </w:pPr>
    <w:rPr>
      <w:sz w:val="20"/>
      <w:szCs w:val="20"/>
    </w:rPr>
  </w:style>
  <w:style w:type="paragraph" w:customStyle="1" w:styleId="52AbsenderAdresse">
    <w:name w:val="52 AbsenderAdresse"/>
    <w:basedOn w:val="Standard"/>
    <w:semiHidden/>
    <w:qFormat/>
    <w:rsid w:val="00446275"/>
    <w:pPr>
      <w:tabs>
        <w:tab w:val="clear" w:pos="397"/>
        <w:tab w:val="clear" w:pos="794"/>
        <w:tab w:val="clear" w:pos="1191"/>
        <w:tab w:val="clear" w:pos="4479"/>
        <w:tab w:val="clear" w:pos="4876"/>
        <w:tab w:val="clear" w:pos="5273"/>
        <w:tab w:val="clear" w:pos="5670"/>
        <w:tab w:val="clear" w:pos="6067"/>
        <w:tab w:val="left" w:pos="2835"/>
        <w:tab w:val="right" w:pos="9072"/>
      </w:tabs>
      <w:suppressAutoHyphens/>
      <w:spacing w:before="0"/>
    </w:pPr>
    <w:rPr>
      <w:sz w:val="18"/>
    </w:rPr>
  </w:style>
  <w:style w:type="character" w:customStyle="1" w:styleId="Unterstrichen">
    <w:name w:val="Unterstrichen"/>
    <w:basedOn w:val="Absatz-Standardschriftart"/>
    <w:semiHidden/>
    <w:qFormat/>
    <w:rsid w:val="006F3F14"/>
    <w:rPr>
      <w:u w:val="single"/>
    </w:rPr>
  </w:style>
  <w:style w:type="paragraph" w:styleId="Fuzeile">
    <w:name w:val="footer"/>
    <w:basedOn w:val="Standard"/>
    <w:semiHidden/>
    <w:rsid w:val="00EA1AD2"/>
    <w:pPr>
      <w:tabs>
        <w:tab w:val="clear" w:pos="397"/>
        <w:tab w:val="clear" w:pos="794"/>
        <w:tab w:val="clear" w:pos="1191"/>
        <w:tab w:val="clear" w:pos="4479"/>
        <w:tab w:val="clear" w:pos="4876"/>
        <w:tab w:val="clear" w:pos="5273"/>
        <w:tab w:val="clear" w:pos="5670"/>
        <w:tab w:val="clear" w:pos="6067"/>
        <w:tab w:val="center" w:pos="4536"/>
        <w:tab w:val="right" w:pos="9072"/>
      </w:tabs>
    </w:pPr>
  </w:style>
  <w:style w:type="paragraph" w:customStyle="1" w:styleId="33TitelBetreffnis">
    <w:name w:val="33 Titel/Betreffnis"/>
    <w:basedOn w:val="Standard"/>
    <w:next w:val="00Vorgabetext"/>
    <w:qFormat/>
    <w:rsid w:val="008F2159"/>
    <w:pPr>
      <w:keepNext/>
      <w:keepLines/>
      <w:numPr>
        <w:ilvl w:val="2"/>
        <w:numId w:val="4"/>
      </w:numPr>
      <w:spacing w:after="120"/>
      <w:outlineLvl w:val="2"/>
    </w:pPr>
    <w:rPr>
      <w:rFonts w:ascii="Arial Black" w:hAnsi="Arial Black"/>
    </w:rPr>
  </w:style>
  <w:style w:type="paragraph" w:customStyle="1" w:styleId="34NumHaupttitel">
    <w:name w:val="34 Num. Haupttitel"/>
    <w:basedOn w:val="Standard"/>
    <w:next w:val="00Vorgabetext"/>
    <w:qFormat/>
    <w:rsid w:val="006C3898"/>
    <w:pPr>
      <w:keepNext/>
      <w:keepLines/>
      <w:numPr>
        <w:ilvl w:val="4"/>
        <w:numId w:val="4"/>
      </w:numPr>
      <w:spacing w:after="120"/>
      <w:outlineLvl w:val="4"/>
    </w:pPr>
    <w:rPr>
      <w:rFonts w:ascii="Arial Black" w:hAnsi="Arial Black"/>
    </w:rPr>
  </w:style>
  <w:style w:type="numbering" w:customStyle="1" w:styleId="GliederungStandardListe">
    <w:name w:val="GliederungStandardListe"/>
    <w:basedOn w:val="KeineListe"/>
    <w:semiHidden/>
    <w:rsid w:val="00C92630"/>
    <w:pPr>
      <w:numPr>
        <w:numId w:val="4"/>
      </w:numPr>
    </w:pPr>
  </w:style>
  <w:style w:type="paragraph" w:customStyle="1" w:styleId="41Unterschrift">
    <w:name w:val="41 Unterschrift"/>
    <w:basedOn w:val="Standard"/>
    <w:qFormat/>
    <w:rsid w:val="008D3C7F"/>
    <w:pPr>
      <w:tabs>
        <w:tab w:val="clear" w:pos="397"/>
        <w:tab w:val="clear" w:pos="794"/>
        <w:tab w:val="clear" w:pos="1191"/>
        <w:tab w:val="clear" w:pos="4479"/>
        <w:tab w:val="clear" w:pos="4876"/>
      </w:tabs>
      <w:spacing w:before="0"/>
    </w:pPr>
  </w:style>
  <w:style w:type="character" w:customStyle="1" w:styleId="doppeltunterstrichen">
    <w:name w:val="doppelt unterstrichen"/>
    <w:basedOn w:val="Absatz-Standardschriftart"/>
    <w:semiHidden/>
    <w:qFormat/>
    <w:rsid w:val="00543FA0"/>
    <w:rPr>
      <w:u w:val="double"/>
    </w:rPr>
  </w:style>
  <w:style w:type="paragraph" w:customStyle="1" w:styleId="531E">
    <w:name w:val="531 E"/>
    <w:basedOn w:val="Standard"/>
    <w:next w:val="00Vorgabetext"/>
    <w:semiHidden/>
    <w:qFormat/>
    <w:rsid w:val="00446275"/>
    <w:pPr>
      <w:tabs>
        <w:tab w:val="clear" w:pos="397"/>
        <w:tab w:val="clear" w:pos="794"/>
        <w:tab w:val="clear" w:pos="1191"/>
        <w:tab w:val="clear" w:pos="4479"/>
        <w:tab w:val="clear" w:pos="4876"/>
        <w:tab w:val="clear" w:pos="5273"/>
        <w:tab w:val="clear" w:pos="5670"/>
        <w:tab w:val="clear" w:pos="6067"/>
      </w:tabs>
      <w:spacing w:before="0"/>
    </w:pPr>
    <w:rPr>
      <w:rFonts w:ascii="JUST" w:hAnsi="JUST"/>
      <w:sz w:val="92"/>
      <w:szCs w:val="92"/>
    </w:rPr>
  </w:style>
  <w:style w:type="character" w:styleId="Kommentarzeichen">
    <w:name w:val="annotation reference"/>
    <w:basedOn w:val="Absatz-Standardschriftart"/>
    <w:semiHidden/>
    <w:rsid w:val="0058230E"/>
    <w:rPr>
      <w:rFonts w:ascii="Times New Roman" w:hAnsi="Times New Roman"/>
      <w:b/>
      <w:color w:val="00FF00"/>
      <w:sz w:val="18"/>
      <w:szCs w:val="18"/>
      <w:bdr w:val="none" w:sz="0" w:space="0" w:color="auto"/>
      <w:shd w:val="clear" w:color="auto" w:fill="auto"/>
    </w:rPr>
  </w:style>
  <w:style w:type="paragraph" w:styleId="Kommentartext">
    <w:name w:val="annotation text"/>
    <w:basedOn w:val="Standard"/>
    <w:semiHidden/>
    <w:rsid w:val="0058230E"/>
    <w:rPr>
      <w:sz w:val="20"/>
      <w:szCs w:val="20"/>
    </w:rPr>
  </w:style>
  <w:style w:type="paragraph" w:styleId="Kommentarthema">
    <w:name w:val="annotation subject"/>
    <w:basedOn w:val="Kommentartext"/>
    <w:next w:val="Kommentartext"/>
    <w:semiHidden/>
    <w:rsid w:val="0058230E"/>
    <w:rPr>
      <w:b/>
      <w:bCs/>
    </w:rPr>
  </w:style>
  <w:style w:type="paragraph" w:styleId="Sprechblasentext">
    <w:name w:val="Balloon Text"/>
    <w:basedOn w:val="Standard"/>
    <w:semiHidden/>
    <w:rsid w:val="0058230E"/>
    <w:rPr>
      <w:rFonts w:ascii="Tahoma" w:hAnsi="Tahoma" w:cs="Tahoma"/>
      <w:sz w:val="16"/>
      <w:szCs w:val="16"/>
    </w:rPr>
  </w:style>
  <w:style w:type="character" w:customStyle="1" w:styleId="KommentarzeichenAus">
    <w:name w:val="Kommentarzeichen_Aus"/>
    <w:basedOn w:val="Absatz-Standardschriftart"/>
    <w:semiHidden/>
    <w:rsid w:val="0058230E"/>
    <w:rPr>
      <w:rFonts w:ascii="Times New Roman" w:hAnsi="Times New Roman"/>
      <w:b/>
      <w:vanish/>
      <w:color w:val="00FF00"/>
      <w:sz w:val="18"/>
      <w:szCs w:val="18"/>
      <w:bdr w:val="none" w:sz="0" w:space="0" w:color="auto"/>
      <w:shd w:val="clear" w:color="auto" w:fill="auto"/>
      <w:lang w:val="de-CH"/>
    </w:rPr>
  </w:style>
  <w:style w:type="paragraph" w:customStyle="1" w:styleId="Drop1">
    <w:name w:val="Drop1"/>
    <w:basedOn w:val="Standard"/>
    <w:next w:val="00Vorgabetext"/>
    <w:semiHidden/>
    <w:rsid w:val="00543FA0"/>
  </w:style>
  <w:style w:type="paragraph" w:styleId="Verzeichnis1">
    <w:name w:val="toc 1"/>
    <w:basedOn w:val="Standard"/>
    <w:next w:val="Standard"/>
    <w:semiHidden/>
    <w:rsid w:val="0058230E"/>
    <w:pPr>
      <w:keepLines/>
      <w:tabs>
        <w:tab w:val="clear" w:pos="397"/>
        <w:tab w:val="clear" w:pos="794"/>
        <w:tab w:val="clear" w:pos="1191"/>
        <w:tab w:val="clear" w:pos="4479"/>
        <w:tab w:val="clear" w:pos="4876"/>
        <w:tab w:val="clear" w:pos="5273"/>
        <w:tab w:val="clear" w:pos="5670"/>
        <w:tab w:val="clear" w:pos="6067"/>
      </w:tabs>
    </w:pPr>
    <w:rPr>
      <w:rFonts w:ascii="Arial Black" w:hAnsi="Arial Black"/>
      <w:b/>
      <w:sz w:val="24"/>
    </w:rPr>
  </w:style>
  <w:style w:type="paragraph" w:styleId="Verzeichnis2">
    <w:name w:val="toc 2"/>
    <w:basedOn w:val="Standard"/>
    <w:next w:val="Standard"/>
    <w:semiHidden/>
    <w:rsid w:val="0058230E"/>
    <w:pPr>
      <w:keepLines/>
      <w:tabs>
        <w:tab w:val="clear" w:pos="397"/>
        <w:tab w:val="clear" w:pos="794"/>
        <w:tab w:val="clear" w:pos="1191"/>
        <w:tab w:val="clear" w:pos="4479"/>
        <w:tab w:val="clear" w:pos="4876"/>
        <w:tab w:val="clear" w:pos="5273"/>
        <w:tab w:val="clear" w:pos="5670"/>
        <w:tab w:val="clear" w:pos="6067"/>
      </w:tabs>
    </w:pPr>
    <w:rPr>
      <w:rFonts w:ascii="Arial Black" w:hAnsi="Arial Black"/>
    </w:rPr>
  </w:style>
  <w:style w:type="paragraph" w:styleId="Verzeichnis3">
    <w:name w:val="toc 3"/>
    <w:basedOn w:val="Standard"/>
    <w:next w:val="Standard"/>
    <w:semiHidden/>
    <w:rsid w:val="0058230E"/>
    <w:pPr>
      <w:keepLines/>
      <w:tabs>
        <w:tab w:val="clear" w:pos="397"/>
        <w:tab w:val="clear" w:pos="794"/>
        <w:tab w:val="clear" w:pos="1191"/>
        <w:tab w:val="clear" w:pos="4479"/>
        <w:tab w:val="clear" w:pos="4876"/>
        <w:tab w:val="clear" w:pos="5273"/>
        <w:tab w:val="clear" w:pos="5670"/>
        <w:tab w:val="clear" w:pos="6067"/>
      </w:tabs>
    </w:pPr>
    <w:rPr>
      <w:rFonts w:ascii="Arial Black" w:hAnsi="Arial Black"/>
    </w:rPr>
  </w:style>
  <w:style w:type="paragraph" w:styleId="Verzeichnis4">
    <w:name w:val="toc 4"/>
    <w:basedOn w:val="Standard"/>
    <w:next w:val="Standard"/>
    <w:semiHidden/>
    <w:rsid w:val="0058230E"/>
    <w:pPr>
      <w:keepLines/>
      <w:tabs>
        <w:tab w:val="clear" w:pos="397"/>
        <w:tab w:val="clear" w:pos="794"/>
        <w:tab w:val="clear" w:pos="1191"/>
        <w:tab w:val="clear" w:pos="4479"/>
        <w:tab w:val="clear" w:pos="4876"/>
        <w:tab w:val="clear" w:pos="5273"/>
        <w:tab w:val="clear" w:pos="5670"/>
        <w:tab w:val="clear" w:pos="6067"/>
      </w:tabs>
    </w:pPr>
  </w:style>
  <w:style w:type="paragraph" w:styleId="Verzeichnis5">
    <w:name w:val="toc 5"/>
    <w:basedOn w:val="Standard"/>
    <w:next w:val="Standard"/>
    <w:semiHidden/>
    <w:rsid w:val="0058230E"/>
    <w:pPr>
      <w:keepLines/>
      <w:tabs>
        <w:tab w:val="clear" w:pos="397"/>
        <w:tab w:val="clear" w:pos="794"/>
        <w:tab w:val="clear" w:pos="1191"/>
        <w:tab w:val="clear" w:pos="4479"/>
        <w:tab w:val="clear" w:pos="4876"/>
        <w:tab w:val="clear" w:pos="5273"/>
        <w:tab w:val="clear" w:pos="5670"/>
        <w:tab w:val="clear" w:pos="6067"/>
        <w:tab w:val="left" w:pos="567"/>
        <w:tab w:val="right" w:leader="dot" w:pos="9072"/>
      </w:tabs>
      <w:ind w:left="567" w:hanging="567"/>
    </w:pPr>
    <w:rPr>
      <w:rFonts w:ascii="Arial Black" w:hAnsi="Arial Black"/>
      <w:b/>
      <w:sz w:val="24"/>
    </w:rPr>
  </w:style>
  <w:style w:type="paragraph" w:styleId="Verzeichnis6">
    <w:name w:val="toc 6"/>
    <w:basedOn w:val="Standard"/>
    <w:next w:val="Standard"/>
    <w:semiHidden/>
    <w:rsid w:val="0058230E"/>
    <w:pPr>
      <w:keepLines/>
      <w:tabs>
        <w:tab w:val="clear" w:pos="397"/>
        <w:tab w:val="clear" w:pos="794"/>
        <w:tab w:val="clear" w:pos="1191"/>
        <w:tab w:val="clear" w:pos="4479"/>
        <w:tab w:val="clear" w:pos="4876"/>
        <w:tab w:val="clear" w:pos="5273"/>
        <w:tab w:val="clear" w:pos="5670"/>
        <w:tab w:val="clear" w:pos="6067"/>
        <w:tab w:val="left" w:pos="1134"/>
        <w:tab w:val="right" w:leader="dot" w:pos="9072"/>
      </w:tabs>
      <w:ind w:left="1134" w:hanging="567"/>
    </w:pPr>
    <w:rPr>
      <w:rFonts w:ascii="Arial Black" w:hAnsi="Arial Black"/>
    </w:rPr>
  </w:style>
  <w:style w:type="paragraph" w:customStyle="1" w:styleId="Drop2">
    <w:name w:val="Drop2"/>
    <w:basedOn w:val="Standard"/>
    <w:next w:val="00Vorgabetext"/>
    <w:semiHidden/>
    <w:rsid w:val="00543FA0"/>
  </w:style>
  <w:style w:type="paragraph" w:customStyle="1" w:styleId="Drop3">
    <w:name w:val="Drop3"/>
    <w:basedOn w:val="Standard"/>
    <w:next w:val="00Vorgabetext"/>
    <w:semiHidden/>
    <w:rsid w:val="00543FA0"/>
  </w:style>
  <w:style w:type="table" w:styleId="Tabellengitternetz">
    <w:name w:val="Table Grid"/>
    <w:basedOn w:val="NormaleTabelle"/>
    <w:rsid w:val="00946D14"/>
    <w:pPr>
      <w:spacing w:before="120"/>
    </w:pPr>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eitenzahl">
    <w:name w:val="page number"/>
    <w:basedOn w:val="Absatz-Standardschriftart"/>
    <w:semiHidden/>
    <w:rsid w:val="0058230E"/>
  </w:style>
  <w:style w:type="paragraph" w:customStyle="1" w:styleId="45Linieunten">
    <w:name w:val="45 Linie unten"/>
    <w:basedOn w:val="Standard"/>
    <w:qFormat/>
    <w:rsid w:val="00446275"/>
    <w:pPr>
      <w:pBdr>
        <w:bottom w:val="single" w:sz="8" w:space="7" w:color="auto"/>
      </w:pBdr>
    </w:pPr>
  </w:style>
  <w:style w:type="paragraph" w:customStyle="1" w:styleId="46Rahmen">
    <w:name w:val="46 Rahmen"/>
    <w:basedOn w:val="Standard"/>
    <w:qFormat/>
    <w:rsid w:val="00446275"/>
    <w:pPr>
      <w:pBdr>
        <w:top w:val="single" w:sz="8" w:space="7" w:color="auto"/>
        <w:left w:val="single" w:sz="8" w:space="7" w:color="auto"/>
        <w:bottom w:val="single" w:sz="8" w:space="7" w:color="auto"/>
        <w:right w:val="single" w:sz="8" w:space="7" w:color="auto"/>
      </w:pBdr>
      <w:ind w:left="144" w:right="144"/>
    </w:pPr>
  </w:style>
  <w:style w:type="paragraph" w:customStyle="1" w:styleId="54Personalien">
    <w:name w:val="54 Personalien"/>
    <w:basedOn w:val="Standard"/>
    <w:qFormat/>
    <w:rsid w:val="00A04218"/>
    <w:pPr>
      <w:tabs>
        <w:tab w:val="clear" w:pos="397"/>
        <w:tab w:val="clear" w:pos="794"/>
      </w:tabs>
    </w:pPr>
  </w:style>
  <w:style w:type="numbering" w:customStyle="1" w:styleId="AufzhlungenZusatz">
    <w:name w:val="AufzählungenZusatz"/>
    <w:basedOn w:val="KeineListe"/>
    <w:semiHidden/>
    <w:rsid w:val="00C92630"/>
    <w:pPr>
      <w:numPr>
        <w:numId w:val="1"/>
      </w:numPr>
    </w:pPr>
  </w:style>
  <w:style w:type="paragraph" w:customStyle="1" w:styleId="43Prokollnotiz">
    <w:name w:val="43 Prokollnotiz"/>
    <w:basedOn w:val="Standard"/>
    <w:qFormat/>
    <w:rsid w:val="009C7F0E"/>
    <w:pPr>
      <w:numPr>
        <w:ilvl w:val="1"/>
        <w:numId w:val="1"/>
      </w:numPr>
      <w:tabs>
        <w:tab w:val="clear" w:pos="397"/>
      </w:tabs>
      <w:ind w:right="3969"/>
    </w:pPr>
  </w:style>
  <w:style w:type="paragraph" w:customStyle="1" w:styleId="431AufzProtokollnotiz">
    <w:name w:val="431 Aufz. Protokollnotiz"/>
    <w:basedOn w:val="Standard"/>
    <w:qFormat/>
    <w:rsid w:val="009C7F0E"/>
    <w:pPr>
      <w:numPr>
        <w:numId w:val="1"/>
      </w:numPr>
      <w:ind w:right="3969"/>
    </w:pPr>
  </w:style>
  <w:style w:type="paragraph" w:customStyle="1" w:styleId="471KopfEinvernahme9pt">
    <w:name w:val="471 Kopf Einvernahme 9pt"/>
    <w:basedOn w:val="Standard"/>
    <w:qFormat/>
    <w:rsid w:val="00DA347A"/>
    <w:pPr>
      <w:pBdr>
        <w:bottom w:val="single" w:sz="8" w:space="7" w:color="auto"/>
      </w:pBdr>
      <w:tabs>
        <w:tab w:val="clear" w:pos="397"/>
        <w:tab w:val="clear" w:pos="794"/>
        <w:tab w:val="clear" w:pos="1191"/>
        <w:tab w:val="clear" w:pos="4479"/>
        <w:tab w:val="clear" w:pos="4876"/>
        <w:tab w:val="clear" w:pos="5273"/>
        <w:tab w:val="clear" w:pos="5670"/>
        <w:tab w:val="clear" w:pos="6067"/>
        <w:tab w:val="right" w:pos="9072"/>
      </w:tabs>
      <w:spacing w:before="0"/>
    </w:pPr>
    <w:rPr>
      <w:sz w:val="18"/>
    </w:rPr>
  </w:style>
  <w:style w:type="paragraph" w:customStyle="1" w:styleId="481FussEinvernahme9pt">
    <w:name w:val="481 Fuss Einvernahme 9pt"/>
    <w:basedOn w:val="Standard"/>
    <w:qFormat/>
    <w:rsid w:val="009F3232"/>
    <w:pPr>
      <w:tabs>
        <w:tab w:val="clear" w:pos="397"/>
        <w:tab w:val="clear" w:pos="794"/>
        <w:tab w:val="clear" w:pos="1191"/>
        <w:tab w:val="clear" w:pos="4479"/>
        <w:tab w:val="clear" w:pos="4876"/>
        <w:tab w:val="clear" w:pos="5273"/>
        <w:tab w:val="clear" w:pos="5670"/>
        <w:tab w:val="clear" w:pos="6067"/>
        <w:tab w:val="clear" w:pos="7938"/>
        <w:tab w:val="center" w:pos="4253"/>
        <w:tab w:val="right" w:pos="8505"/>
      </w:tabs>
    </w:pPr>
    <w:rPr>
      <w:sz w:val="18"/>
    </w:rPr>
  </w:style>
  <w:style w:type="paragraph" w:customStyle="1" w:styleId="60Frage">
    <w:name w:val="60 Frage"/>
    <w:basedOn w:val="Standard"/>
    <w:next w:val="62Antwort"/>
    <w:qFormat/>
    <w:rsid w:val="009C240B"/>
    <w:pPr>
      <w:tabs>
        <w:tab w:val="clear" w:pos="397"/>
        <w:tab w:val="clear" w:pos="794"/>
        <w:tab w:val="clear" w:pos="1191"/>
      </w:tabs>
      <w:ind w:left="1701"/>
    </w:pPr>
  </w:style>
  <w:style w:type="paragraph" w:customStyle="1" w:styleId="62Antwort">
    <w:name w:val="62 Antwort"/>
    <w:basedOn w:val="Standard"/>
    <w:next w:val="60Frage"/>
    <w:qFormat/>
    <w:rsid w:val="00272E4C"/>
    <w:pPr>
      <w:spacing w:line="360" w:lineRule="auto"/>
    </w:pPr>
  </w:style>
  <w:style w:type="paragraph" w:customStyle="1" w:styleId="61NumFrage">
    <w:name w:val="61 Num. Frage"/>
    <w:basedOn w:val="Standard"/>
    <w:next w:val="62Antwort"/>
    <w:qFormat/>
    <w:rsid w:val="00DD7FC0"/>
    <w:pPr>
      <w:numPr>
        <w:numId w:val="28"/>
      </w:numPr>
      <w:tabs>
        <w:tab w:val="clear" w:pos="3232"/>
        <w:tab w:val="clear" w:pos="7938"/>
        <w:tab w:val="left" w:pos="2098"/>
        <w:tab w:val="decimal" w:pos="8505"/>
      </w:tabs>
      <w:ind w:left="2098"/>
    </w:pPr>
  </w:style>
  <w:style w:type="paragraph" w:customStyle="1" w:styleId="601FrageAufz1Stufe">
    <w:name w:val="601 Frage Aufz. 1. Stufe"/>
    <w:basedOn w:val="Standard"/>
    <w:qFormat/>
    <w:rsid w:val="00DD7FC0"/>
    <w:pPr>
      <w:numPr>
        <w:ilvl w:val="2"/>
        <w:numId w:val="1"/>
      </w:numPr>
      <w:tabs>
        <w:tab w:val="clear" w:pos="397"/>
        <w:tab w:val="clear" w:pos="794"/>
        <w:tab w:val="clear" w:pos="1191"/>
        <w:tab w:val="clear" w:pos="3232"/>
        <w:tab w:val="left" w:pos="2098"/>
      </w:tabs>
      <w:ind w:left="2098"/>
    </w:pPr>
  </w:style>
  <w:style w:type="paragraph" w:customStyle="1" w:styleId="602FrageAufz2Stufe">
    <w:name w:val="602 Frage Aufz. 2. Stufe"/>
    <w:basedOn w:val="Standard"/>
    <w:qFormat/>
    <w:rsid w:val="00DD7FC0"/>
    <w:pPr>
      <w:numPr>
        <w:ilvl w:val="3"/>
        <w:numId w:val="1"/>
      </w:numPr>
      <w:tabs>
        <w:tab w:val="clear" w:pos="397"/>
        <w:tab w:val="clear" w:pos="794"/>
        <w:tab w:val="clear" w:pos="1191"/>
        <w:tab w:val="clear" w:pos="3629"/>
        <w:tab w:val="left" w:pos="2495"/>
      </w:tabs>
      <w:ind w:left="2495"/>
    </w:pPr>
  </w:style>
  <w:style w:type="numbering" w:customStyle="1" w:styleId="NummerierungZusatz">
    <w:name w:val="NummerierungZusatz"/>
    <w:basedOn w:val="KeineListe"/>
    <w:semiHidden/>
    <w:rsid w:val="003234C7"/>
    <w:pPr>
      <w:numPr>
        <w:numId w:val="28"/>
      </w:numPr>
    </w:pPr>
  </w:style>
  <w:style w:type="paragraph" w:customStyle="1" w:styleId="64EV-Titel">
    <w:name w:val="64 EV-Titel"/>
    <w:basedOn w:val="Standard"/>
    <w:next w:val="00Vorgabetext"/>
    <w:qFormat/>
    <w:rsid w:val="007A7618"/>
    <w:pPr>
      <w:spacing w:before="520" w:after="280"/>
    </w:pPr>
    <w:rPr>
      <w:rFonts w:ascii="Arial Black" w:hAnsi="Arial Black"/>
      <w:sz w:val="28"/>
    </w:rPr>
  </w:style>
  <w:style w:type="paragraph" w:customStyle="1" w:styleId="63EV-Unterschrift">
    <w:name w:val="63 EV-Unterschrift"/>
    <w:basedOn w:val="Standard"/>
    <w:qFormat/>
    <w:rsid w:val="002D2852"/>
    <w:pPr>
      <w:pBdr>
        <w:bottom w:val="single" w:sz="4" w:space="31" w:color="C0C0C0"/>
      </w:pBdr>
      <w:tabs>
        <w:tab w:val="clear" w:pos="397"/>
        <w:tab w:val="clear" w:pos="794"/>
        <w:tab w:val="clear" w:pos="1191"/>
        <w:tab w:val="clear" w:pos="4479"/>
        <w:tab w:val="clear" w:pos="4876"/>
      </w:tabs>
      <w:spacing w:before="280" w:after="560"/>
      <w:ind w:right="4536"/>
    </w:pPr>
  </w:style>
  <w:style w:type="paragraph" w:customStyle="1" w:styleId="Drop4">
    <w:name w:val="Drop4"/>
    <w:basedOn w:val="Standard"/>
    <w:next w:val="00Vorgabetext"/>
    <w:semiHidden/>
    <w:rsid w:val="00543FA0"/>
  </w:style>
  <w:style w:type="character" w:customStyle="1" w:styleId="kursiv">
    <w:name w:val="kursiv"/>
    <w:basedOn w:val="Absatz-Standardschriftart"/>
    <w:qFormat/>
    <w:rsid w:val="00543FA0"/>
    <w:rPr>
      <w:i/>
    </w:rPr>
  </w:style>
  <w:style w:type="character" w:customStyle="1" w:styleId="fettZeichen">
    <w:name w:val="fett (Zeichen)"/>
    <w:basedOn w:val="Absatz-Standardschriftart"/>
    <w:qFormat/>
    <w:rsid w:val="00050BB9"/>
    <w:rPr>
      <w:b/>
    </w:rPr>
  </w:style>
  <w:style w:type="paragraph" w:customStyle="1" w:styleId="55Kopf">
    <w:name w:val="55 Kopf"/>
    <w:basedOn w:val="Standard"/>
    <w:qFormat/>
    <w:rsid w:val="005B60DE"/>
    <w:pPr>
      <w:tabs>
        <w:tab w:val="clear" w:pos="397"/>
        <w:tab w:val="clear" w:pos="794"/>
        <w:tab w:val="clear" w:pos="1191"/>
        <w:tab w:val="clear" w:pos="4479"/>
        <w:tab w:val="clear" w:pos="4876"/>
        <w:tab w:val="clear" w:pos="5273"/>
        <w:tab w:val="clear" w:pos="5670"/>
        <w:tab w:val="clear" w:pos="6067"/>
        <w:tab w:val="clear" w:pos="7938"/>
      </w:tabs>
      <w:spacing w:before="0" w:line="200" w:lineRule="exact"/>
    </w:pPr>
    <w:rPr>
      <w:sz w:val="16"/>
    </w:rPr>
  </w:style>
  <w:style w:type="paragraph" w:customStyle="1" w:styleId="551Kopfref">
    <w:name w:val="551 Kopf ref"/>
    <w:basedOn w:val="55Kopf"/>
    <w:qFormat/>
    <w:rsid w:val="005B60DE"/>
    <w:pPr>
      <w:jc w:val="right"/>
    </w:pPr>
  </w:style>
  <w:style w:type="paragraph" w:customStyle="1" w:styleId="552Kopfblack">
    <w:name w:val="552 Kopf black"/>
    <w:basedOn w:val="55Kopf"/>
    <w:qFormat/>
    <w:rsid w:val="005B60DE"/>
    <w:rPr>
      <w:rFonts w:ascii="Arial Black" w:hAnsi="Arial Black"/>
    </w:rPr>
  </w:style>
  <w:style w:type="paragraph" w:styleId="StandardWeb">
    <w:name w:val="Normal (Web)"/>
    <w:basedOn w:val="Standard"/>
    <w:uiPriority w:val="99"/>
    <w:semiHidden/>
    <w:rsid w:val="002E1AD6"/>
    <w:rPr>
      <w:rFonts w:ascii="Times New Roman" w:hAnsi="Times New Roman"/>
      <w:sz w:val="24"/>
      <w:szCs w:val="24"/>
    </w:rPr>
  </w:style>
  <w:style w:type="paragraph" w:customStyle="1" w:styleId="010KleinschriftTabelle">
    <w:name w:val="010 Kleinschrift Tabelle"/>
    <w:basedOn w:val="01Kleinschrift"/>
    <w:qFormat/>
    <w:rsid w:val="00A75AFE"/>
    <w:pPr>
      <w:spacing w:before="160"/>
    </w:pPr>
  </w:style>
  <w:style w:type="paragraph" w:styleId="Abbildungsverzeichnis">
    <w:name w:val="table of figures"/>
    <w:basedOn w:val="Standard"/>
    <w:next w:val="Standard"/>
    <w:rsid w:val="005338B9"/>
    <w:pPr>
      <w:tabs>
        <w:tab w:val="clear" w:pos="397"/>
        <w:tab w:val="clear" w:pos="794"/>
        <w:tab w:val="clear" w:pos="1191"/>
        <w:tab w:val="clear" w:pos="4479"/>
        <w:tab w:val="clear" w:pos="4876"/>
        <w:tab w:val="clear" w:pos="5273"/>
        <w:tab w:val="clear" w:pos="5670"/>
        <w:tab w:val="clear" w:pos="6067"/>
        <w:tab w:val="clear" w:pos="7938"/>
      </w:tabs>
    </w:pPr>
  </w:style>
  <w:style w:type="paragraph" w:styleId="Anfhrungszeichen">
    <w:name w:val="Quote"/>
    <w:basedOn w:val="Standard"/>
    <w:next w:val="Standard"/>
    <w:link w:val="AnfhrungszeichenZchn"/>
    <w:uiPriority w:val="29"/>
    <w:rsid w:val="005338B9"/>
    <w:rPr>
      <w:i/>
      <w:iCs/>
      <w:color w:val="000000" w:themeColor="text1"/>
    </w:rPr>
  </w:style>
  <w:style w:type="character" w:customStyle="1" w:styleId="AnfhrungszeichenZchn">
    <w:name w:val="Anführungszeichen Zchn"/>
    <w:basedOn w:val="Absatz-Standardschriftart"/>
    <w:link w:val="Anfhrungszeichen"/>
    <w:uiPriority w:val="29"/>
    <w:rsid w:val="005338B9"/>
    <w:rPr>
      <w:rFonts w:ascii="Arial" w:hAnsi="Arial"/>
      <w:i/>
      <w:iCs/>
      <w:color w:val="000000" w:themeColor="text1"/>
      <w:sz w:val="22"/>
      <w:szCs w:val="22"/>
    </w:rPr>
  </w:style>
  <w:style w:type="paragraph" w:styleId="Anrede">
    <w:name w:val="Salutation"/>
    <w:basedOn w:val="Standard"/>
    <w:next w:val="Standard"/>
    <w:link w:val="AnredeZchn"/>
    <w:rsid w:val="005338B9"/>
  </w:style>
  <w:style w:type="character" w:customStyle="1" w:styleId="AnredeZchn">
    <w:name w:val="Anrede Zchn"/>
    <w:basedOn w:val="Absatz-Standardschriftart"/>
    <w:link w:val="Anrede"/>
    <w:rsid w:val="005338B9"/>
    <w:rPr>
      <w:rFonts w:ascii="Arial" w:hAnsi="Arial"/>
      <w:sz w:val="22"/>
      <w:szCs w:val="22"/>
    </w:rPr>
  </w:style>
  <w:style w:type="paragraph" w:styleId="Aufzhlungszeichen">
    <w:name w:val="List Bullet"/>
    <w:basedOn w:val="Standard"/>
    <w:rsid w:val="005338B9"/>
    <w:pPr>
      <w:numPr>
        <w:numId w:val="18"/>
      </w:numPr>
      <w:contextualSpacing/>
    </w:pPr>
  </w:style>
  <w:style w:type="paragraph" w:styleId="Aufzhlungszeichen2">
    <w:name w:val="List Bullet 2"/>
    <w:basedOn w:val="Standard"/>
    <w:rsid w:val="005338B9"/>
    <w:pPr>
      <w:numPr>
        <w:numId w:val="19"/>
      </w:numPr>
      <w:contextualSpacing/>
    </w:pPr>
  </w:style>
  <w:style w:type="paragraph" w:styleId="Aufzhlungszeichen3">
    <w:name w:val="List Bullet 3"/>
    <w:basedOn w:val="Standard"/>
    <w:rsid w:val="005338B9"/>
    <w:pPr>
      <w:numPr>
        <w:numId w:val="20"/>
      </w:numPr>
      <w:contextualSpacing/>
    </w:pPr>
  </w:style>
  <w:style w:type="paragraph" w:styleId="Aufzhlungszeichen4">
    <w:name w:val="List Bullet 4"/>
    <w:basedOn w:val="Standard"/>
    <w:rsid w:val="005338B9"/>
    <w:pPr>
      <w:numPr>
        <w:numId w:val="21"/>
      </w:numPr>
      <w:contextualSpacing/>
    </w:pPr>
  </w:style>
  <w:style w:type="paragraph" w:styleId="Aufzhlungszeichen5">
    <w:name w:val="List Bullet 5"/>
    <w:basedOn w:val="Standard"/>
    <w:rsid w:val="005338B9"/>
    <w:pPr>
      <w:numPr>
        <w:numId w:val="22"/>
      </w:numPr>
      <w:contextualSpacing/>
    </w:pPr>
  </w:style>
  <w:style w:type="paragraph" w:styleId="Beschriftung">
    <w:name w:val="caption"/>
    <w:basedOn w:val="Standard"/>
    <w:next w:val="Standard"/>
    <w:semiHidden/>
    <w:unhideWhenUsed/>
    <w:rsid w:val="005338B9"/>
    <w:pPr>
      <w:spacing w:before="0" w:after="200"/>
    </w:pPr>
    <w:rPr>
      <w:b/>
      <w:bCs/>
      <w:color w:val="006AD4" w:themeColor="accent1"/>
      <w:sz w:val="18"/>
      <w:szCs w:val="18"/>
    </w:rPr>
  </w:style>
  <w:style w:type="character" w:styleId="BesuchterHyperlink">
    <w:name w:val="FollowedHyperlink"/>
    <w:basedOn w:val="Absatz-Standardschriftart"/>
    <w:rsid w:val="005338B9"/>
    <w:rPr>
      <w:color w:val="006AD4" w:themeColor="followedHyperlink"/>
      <w:u w:val="single"/>
    </w:rPr>
  </w:style>
  <w:style w:type="paragraph" w:styleId="Blocktext">
    <w:name w:val="Block Text"/>
    <w:basedOn w:val="Standard"/>
    <w:rsid w:val="005338B9"/>
    <w:pPr>
      <w:pBdr>
        <w:top w:val="single" w:sz="2" w:space="10" w:color="006AD4" w:themeColor="accent1" w:shadow="1"/>
        <w:left w:val="single" w:sz="2" w:space="10" w:color="006AD4" w:themeColor="accent1" w:shadow="1"/>
        <w:bottom w:val="single" w:sz="2" w:space="10" w:color="006AD4" w:themeColor="accent1" w:shadow="1"/>
        <w:right w:val="single" w:sz="2" w:space="10" w:color="006AD4" w:themeColor="accent1" w:shadow="1"/>
      </w:pBdr>
      <w:ind w:left="1152" w:right="1152"/>
    </w:pPr>
    <w:rPr>
      <w:rFonts w:asciiTheme="minorHAnsi" w:eastAsiaTheme="minorEastAsia" w:hAnsiTheme="minorHAnsi" w:cstheme="minorBidi"/>
      <w:i/>
      <w:iCs/>
      <w:color w:val="006AD4" w:themeColor="accent1"/>
    </w:rPr>
  </w:style>
  <w:style w:type="character" w:styleId="Buchtitel">
    <w:name w:val="Book Title"/>
    <w:basedOn w:val="Absatz-Standardschriftart"/>
    <w:uiPriority w:val="33"/>
    <w:rsid w:val="005338B9"/>
    <w:rPr>
      <w:b/>
      <w:bCs/>
      <w:smallCaps/>
      <w:spacing w:val="5"/>
    </w:rPr>
  </w:style>
  <w:style w:type="paragraph" w:styleId="Datum">
    <w:name w:val="Date"/>
    <w:basedOn w:val="Standard"/>
    <w:next w:val="Standard"/>
    <w:link w:val="DatumZchn"/>
    <w:rsid w:val="005338B9"/>
  </w:style>
  <w:style w:type="character" w:customStyle="1" w:styleId="DatumZchn">
    <w:name w:val="Datum Zchn"/>
    <w:basedOn w:val="Absatz-Standardschriftart"/>
    <w:link w:val="Datum"/>
    <w:rsid w:val="005338B9"/>
    <w:rPr>
      <w:rFonts w:ascii="Arial" w:hAnsi="Arial"/>
      <w:sz w:val="22"/>
      <w:szCs w:val="22"/>
    </w:rPr>
  </w:style>
  <w:style w:type="paragraph" w:styleId="Dokumentstruktur">
    <w:name w:val="Document Map"/>
    <w:basedOn w:val="Standard"/>
    <w:link w:val="DokumentstrukturZchn"/>
    <w:rsid w:val="005338B9"/>
    <w:pPr>
      <w:spacing w:before="0"/>
    </w:pPr>
    <w:rPr>
      <w:rFonts w:ascii="Tahoma" w:hAnsi="Tahoma" w:cs="Tahoma"/>
      <w:sz w:val="16"/>
      <w:szCs w:val="16"/>
    </w:rPr>
  </w:style>
  <w:style w:type="character" w:customStyle="1" w:styleId="DokumentstrukturZchn">
    <w:name w:val="Dokumentstruktur Zchn"/>
    <w:basedOn w:val="Absatz-Standardschriftart"/>
    <w:link w:val="Dokumentstruktur"/>
    <w:rsid w:val="005338B9"/>
    <w:rPr>
      <w:rFonts w:ascii="Tahoma" w:hAnsi="Tahoma" w:cs="Tahoma"/>
      <w:sz w:val="16"/>
      <w:szCs w:val="16"/>
    </w:rPr>
  </w:style>
  <w:style w:type="paragraph" w:styleId="E-Mail-Signatur">
    <w:name w:val="E-mail Signature"/>
    <w:basedOn w:val="Standard"/>
    <w:link w:val="E-Mail-SignaturZchn"/>
    <w:rsid w:val="005338B9"/>
    <w:pPr>
      <w:spacing w:before="0"/>
    </w:pPr>
  </w:style>
  <w:style w:type="character" w:customStyle="1" w:styleId="E-Mail-SignaturZchn">
    <w:name w:val="E-Mail-Signatur Zchn"/>
    <w:basedOn w:val="Absatz-Standardschriftart"/>
    <w:link w:val="E-Mail-Signatur"/>
    <w:rsid w:val="005338B9"/>
    <w:rPr>
      <w:rFonts w:ascii="Arial" w:hAnsi="Arial"/>
      <w:sz w:val="22"/>
      <w:szCs w:val="22"/>
    </w:rPr>
  </w:style>
  <w:style w:type="paragraph" w:styleId="Endnotentext">
    <w:name w:val="endnote text"/>
    <w:basedOn w:val="Standard"/>
    <w:link w:val="EndnotentextZchn"/>
    <w:rsid w:val="005338B9"/>
    <w:pPr>
      <w:spacing w:before="0"/>
    </w:pPr>
    <w:rPr>
      <w:sz w:val="20"/>
      <w:szCs w:val="20"/>
    </w:rPr>
  </w:style>
  <w:style w:type="character" w:customStyle="1" w:styleId="EndnotentextZchn">
    <w:name w:val="Endnotentext Zchn"/>
    <w:basedOn w:val="Absatz-Standardschriftart"/>
    <w:link w:val="Endnotentext"/>
    <w:rsid w:val="005338B9"/>
    <w:rPr>
      <w:rFonts w:ascii="Arial" w:hAnsi="Arial"/>
    </w:rPr>
  </w:style>
  <w:style w:type="character" w:styleId="Endnotenzeichen">
    <w:name w:val="endnote reference"/>
    <w:basedOn w:val="Absatz-Standardschriftart"/>
    <w:rsid w:val="005338B9"/>
    <w:rPr>
      <w:vertAlign w:val="superscript"/>
    </w:rPr>
  </w:style>
  <w:style w:type="character" w:styleId="Fett">
    <w:name w:val="Strong"/>
    <w:basedOn w:val="Absatz-Standardschriftart"/>
    <w:rsid w:val="005338B9"/>
    <w:rPr>
      <w:b/>
      <w:bCs/>
    </w:rPr>
  </w:style>
  <w:style w:type="paragraph" w:styleId="Fu-Endnotenberschrift">
    <w:name w:val="Note Heading"/>
    <w:basedOn w:val="Standard"/>
    <w:next w:val="Standard"/>
    <w:link w:val="Fu-EndnotenberschriftZchn"/>
    <w:rsid w:val="005338B9"/>
    <w:pPr>
      <w:spacing w:before="0"/>
    </w:pPr>
  </w:style>
  <w:style w:type="character" w:customStyle="1" w:styleId="Fu-EndnotenberschriftZchn">
    <w:name w:val="Fuß/-Endnotenüberschrift Zchn"/>
    <w:basedOn w:val="Absatz-Standardschriftart"/>
    <w:link w:val="Fu-Endnotenberschrift"/>
    <w:rsid w:val="005338B9"/>
    <w:rPr>
      <w:rFonts w:ascii="Arial" w:hAnsi="Arial"/>
      <w:sz w:val="22"/>
      <w:szCs w:val="22"/>
    </w:rPr>
  </w:style>
  <w:style w:type="paragraph" w:styleId="Funotentext">
    <w:name w:val="footnote text"/>
    <w:basedOn w:val="Standard"/>
    <w:link w:val="FunotentextZchn"/>
    <w:rsid w:val="005338B9"/>
    <w:pPr>
      <w:spacing w:before="0"/>
    </w:pPr>
    <w:rPr>
      <w:sz w:val="20"/>
      <w:szCs w:val="20"/>
    </w:rPr>
  </w:style>
  <w:style w:type="character" w:customStyle="1" w:styleId="FunotentextZchn">
    <w:name w:val="Fußnotentext Zchn"/>
    <w:basedOn w:val="Absatz-Standardschriftart"/>
    <w:link w:val="Funotentext"/>
    <w:rsid w:val="005338B9"/>
    <w:rPr>
      <w:rFonts w:ascii="Arial" w:hAnsi="Arial"/>
    </w:rPr>
  </w:style>
  <w:style w:type="character" w:styleId="Funotenzeichen">
    <w:name w:val="footnote reference"/>
    <w:basedOn w:val="Absatz-Standardschriftart"/>
    <w:rsid w:val="005338B9"/>
    <w:rPr>
      <w:vertAlign w:val="superscript"/>
    </w:rPr>
  </w:style>
  <w:style w:type="paragraph" w:styleId="Gruformel">
    <w:name w:val="Closing"/>
    <w:basedOn w:val="Standard"/>
    <w:link w:val="GruformelZchn"/>
    <w:rsid w:val="005338B9"/>
    <w:pPr>
      <w:spacing w:before="0"/>
      <w:ind w:left="4252"/>
    </w:pPr>
  </w:style>
  <w:style w:type="character" w:customStyle="1" w:styleId="GruformelZchn">
    <w:name w:val="Grußformel Zchn"/>
    <w:basedOn w:val="Absatz-Standardschriftart"/>
    <w:link w:val="Gruformel"/>
    <w:rsid w:val="005338B9"/>
    <w:rPr>
      <w:rFonts w:ascii="Arial" w:hAnsi="Arial"/>
      <w:sz w:val="22"/>
      <w:szCs w:val="22"/>
    </w:rPr>
  </w:style>
  <w:style w:type="character" w:styleId="Hervorhebung">
    <w:name w:val="Emphasis"/>
    <w:basedOn w:val="Absatz-Standardschriftart"/>
    <w:rsid w:val="005338B9"/>
    <w:rPr>
      <w:i/>
      <w:iCs/>
    </w:rPr>
  </w:style>
  <w:style w:type="paragraph" w:styleId="HTMLAdresse">
    <w:name w:val="HTML Address"/>
    <w:basedOn w:val="Standard"/>
    <w:link w:val="HTMLAdresseZchn"/>
    <w:rsid w:val="005338B9"/>
    <w:pPr>
      <w:spacing w:before="0"/>
    </w:pPr>
    <w:rPr>
      <w:i/>
      <w:iCs/>
    </w:rPr>
  </w:style>
  <w:style w:type="character" w:customStyle="1" w:styleId="HTMLAdresseZchn">
    <w:name w:val="HTML Adresse Zchn"/>
    <w:basedOn w:val="Absatz-Standardschriftart"/>
    <w:link w:val="HTMLAdresse"/>
    <w:rsid w:val="005338B9"/>
    <w:rPr>
      <w:rFonts w:ascii="Arial" w:hAnsi="Arial"/>
      <w:i/>
      <w:iCs/>
      <w:sz w:val="22"/>
      <w:szCs w:val="22"/>
    </w:rPr>
  </w:style>
  <w:style w:type="character" w:styleId="HTMLAkronym">
    <w:name w:val="HTML Acronym"/>
    <w:basedOn w:val="Absatz-Standardschriftart"/>
    <w:rsid w:val="005338B9"/>
  </w:style>
  <w:style w:type="character" w:styleId="HTMLBeispiel">
    <w:name w:val="HTML Sample"/>
    <w:basedOn w:val="Absatz-Standardschriftart"/>
    <w:rsid w:val="005338B9"/>
    <w:rPr>
      <w:rFonts w:ascii="Consolas" w:hAnsi="Consolas" w:cs="Consolas"/>
      <w:sz w:val="24"/>
      <w:szCs w:val="24"/>
    </w:rPr>
  </w:style>
  <w:style w:type="character" w:styleId="HTMLCode">
    <w:name w:val="HTML Code"/>
    <w:basedOn w:val="Absatz-Standardschriftart"/>
    <w:rsid w:val="005338B9"/>
    <w:rPr>
      <w:rFonts w:ascii="Consolas" w:hAnsi="Consolas" w:cs="Consolas"/>
      <w:sz w:val="20"/>
      <w:szCs w:val="20"/>
    </w:rPr>
  </w:style>
  <w:style w:type="character" w:styleId="HTMLDefinition">
    <w:name w:val="HTML Definition"/>
    <w:basedOn w:val="Absatz-Standardschriftart"/>
    <w:rsid w:val="005338B9"/>
    <w:rPr>
      <w:i/>
      <w:iCs/>
    </w:rPr>
  </w:style>
  <w:style w:type="character" w:styleId="HTMLSchreibmaschine">
    <w:name w:val="HTML Typewriter"/>
    <w:basedOn w:val="Absatz-Standardschriftart"/>
    <w:rsid w:val="005338B9"/>
    <w:rPr>
      <w:rFonts w:ascii="Consolas" w:hAnsi="Consolas" w:cs="Consolas"/>
      <w:sz w:val="20"/>
      <w:szCs w:val="20"/>
    </w:rPr>
  </w:style>
  <w:style w:type="character" w:styleId="HTMLTastatur">
    <w:name w:val="HTML Keyboard"/>
    <w:basedOn w:val="Absatz-Standardschriftart"/>
    <w:rsid w:val="005338B9"/>
    <w:rPr>
      <w:rFonts w:ascii="Consolas" w:hAnsi="Consolas" w:cs="Consolas"/>
      <w:sz w:val="20"/>
      <w:szCs w:val="20"/>
    </w:rPr>
  </w:style>
  <w:style w:type="character" w:styleId="HTMLVariable">
    <w:name w:val="HTML Variable"/>
    <w:basedOn w:val="Absatz-Standardschriftart"/>
    <w:rsid w:val="005338B9"/>
    <w:rPr>
      <w:i/>
      <w:iCs/>
    </w:rPr>
  </w:style>
  <w:style w:type="paragraph" w:styleId="HTMLVorformatiert">
    <w:name w:val="HTML Preformatted"/>
    <w:basedOn w:val="Standard"/>
    <w:link w:val="HTMLVorformatiertZchn"/>
    <w:rsid w:val="005338B9"/>
    <w:pPr>
      <w:spacing w:before="0"/>
    </w:pPr>
    <w:rPr>
      <w:rFonts w:ascii="Consolas" w:hAnsi="Consolas" w:cs="Consolas"/>
      <w:sz w:val="20"/>
      <w:szCs w:val="20"/>
    </w:rPr>
  </w:style>
  <w:style w:type="character" w:customStyle="1" w:styleId="HTMLVorformatiertZchn">
    <w:name w:val="HTML Vorformatiert Zchn"/>
    <w:basedOn w:val="Absatz-Standardschriftart"/>
    <w:link w:val="HTMLVorformatiert"/>
    <w:rsid w:val="005338B9"/>
    <w:rPr>
      <w:rFonts w:ascii="Consolas" w:hAnsi="Consolas" w:cs="Consolas"/>
    </w:rPr>
  </w:style>
  <w:style w:type="character" w:styleId="HTMLZitat">
    <w:name w:val="HTML Cite"/>
    <w:basedOn w:val="Absatz-Standardschriftart"/>
    <w:rsid w:val="005338B9"/>
    <w:rPr>
      <w:i/>
      <w:iCs/>
    </w:rPr>
  </w:style>
  <w:style w:type="paragraph" w:styleId="Index1">
    <w:name w:val="index 1"/>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220" w:hanging="220"/>
    </w:pPr>
  </w:style>
  <w:style w:type="paragraph" w:styleId="Index2">
    <w:name w:val="index 2"/>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440" w:hanging="220"/>
    </w:pPr>
  </w:style>
  <w:style w:type="paragraph" w:styleId="Index3">
    <w:name w:val="index 3"/>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660" w:hanging="220"/>
    </w:pPr>
  </w:style>
  <w:style w:type="paragraph" w:styleId="Index4">
    <w:name w:val="index 4"/>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880" w:hanging="220"/>
    </w:pPr>
  </w:style>
  <w:style w:type="paragraph" w:styleId="Index5">
    <w:name w:val="index 5"/>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1100" w:hanging="220"/>
    </w:pPr>
  </w:style>
  <w:style w:type="paragraph" w:styleId="Index6">
    <w:name w:val="index 6"/>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1320" w:hanging="220"/>
    </w:pPr>
  </w:style>
  <w:style w:type="paragraph" w:styleId="Index7">
    <w:name w:val="index 7"/>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1540" w:hanging="220"/>
    </w:pPr>
  </w:style>
  <w:style w:type="paragraph" w:styleId="Index8">
    <w:name w:val="index 8"/>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1760" w:hanging="220"/>
    </w:pPr>
  </w:style>
  <w:style w:type="paragraph" w:styleId="Index9">
    <w:name w:val="index 9"/>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before="0"/>
      <w:ind w:left="1980" w:hanging="220"/>
    </w:pPr>
  </w:style>
  <w:style w:type="paragraph" w:styleId="Indexberschrift">
    <w:name w:val="index heading"/>
    <w:basedOn w:val="Standard"/>
    <w:next w:val="Index1"/>
    <w:rsid w:val="005338B9"/>
    <w:rPr>
      <w:rFonts w:asciiTheme="majorHAnsi" w:eastAsiaTheme="majorEastAsia" w:hAnsiTheme="majorHAnsi" w:cstheme="majorBidi"/>
      <w:b/>
      <w:bCs/>
    </w:rPr>
  </w:style>
  <w:style w:type="character" w:customStyle="1" w:styleId="berschrift1Zchn">
    <w:name w:val="Überschrift 1 Zchn"/>
    <w:basedOn w:val="Absatz-Standardschriftart"/>
    <w:link w:val="berschrift1"/>
    <w:rsid w:val="005338B9"/>
    <w:rPr>
      <w:rFonts w:asciiTheme="majorHAnsi" w:eastAsiaTheme="majorEastAsia" w:hAnsiTheme="majorHAnsi" w:cstheme="majorBidi"/>
      <w:b/>
      <w:bCs/>
      <w:color w:val="004F9E" w:themeColor="accent1" w:themeShade="BF"/>
      <w:sz w:val="28"/>
      <w:szCs w:val="28"/>
    </w:rPr>
  </w:style>
  <w:style w:type="paragraph" w:styleId="Inhaltsverzeichnisberschrift">
    <w:name w:val="TOC Heading"/>
    <w:basedOn w:val="berschrift1"/>
    <w:next w:val="Standard"/>
    <w:uiPriority w:val="39"/>
    <w:semiHidden/>
    <w:unhideWhenUsed/>
    <w:rsid w:val="005338B9"/>
    <w:pPr>
      <w:outlineLvl w:val="9"/>
    </w:pPr>
  </w:style>
  <w:style w:type="character" w:styleId="IntensiveHervorhebung">
    <w:name w:val="Intense Emphasis"/>
    <w:basedOn w:val="Absatz-Standardschriftart"/>
    <w:uiPriority w:val="21"/>
    <w:rsid w:val="005338B9"/>
    <w:rPr>
      <w:b/>
      <w:bCs/>
      <w:i/>
      <w:iCs/>
      <w:color w:val="006AD4" w:themeColor="accent1"/>
    </w:rPr>
  </w:style>
  <w:style w:type="character" w:styleId="IntensiverVerweis">
    <w:name w:val="Intense Reference"/>
    <w:basedOn w:val="Absatz-Standardschriftart"/>
    <w:uiPriority w:val="32"/>
    <w:rsid w:val="005338B9"/>
    <w:rPr>
      <w:b/>
      <w:bCs/>
      <w:smallCaps/>
      <w:color w:val="00ADEE" w:themeColor="accent2"/>
      <w:spacing w:val="5"/>
      <w:u w:val="single"/>
    </w:rPr>
  </w:style>
  <w:style w:type="paragraph" w:styleId="IntensivesAnfhrungszeichen">
    <w:name w:val="Intense Quote"/>
    <w:basedOn w:val="Standard"/>
    <w:next w:val="Standard"/>
    <w:link w:val="IntensivesAnfhrungszeichenZchn"/>
    <w:uiPriority w:val="30"/>
    <w:rsid w:val="005338B9"/>
    <w:pPr>
      <w:pBdr>
        <w:bottom w:val="single" w:sz="4" w:space="4" w:color="006AD4" w:themeColor="accent1"/>
      </w:pBdr>
      <w:spacing w:before="200" w:after="280"/>
      <w:ind w:left="936" w:right="936"/>
    </w:pPr>
    <w:rPr>
      <w:b/>
      <w:bCs/>
      <w:i/>
      <w:iCs/>
      <w:color w:val="006AD4" w:themeColor="accent1"/>
    </w:rPr>
  </w:style>
  <w:style w:type="character" w:customStyle="1" w:styleId="IntensivesAnfhrungszeichenZchn">
    <w:name w:val="Intensives Anführungszeichen Zchn"/>
    <w:basedOn w:val="Absatz-Standardschriftart"/>
    <w:link w:val="IntensivesAnfhrungszeichen"/>
    <w:uiPriority w:val="30"/>
    <w:rsid w:val="005338B9"/>
    <w:rPr>
      <w:rFonts w:ascii="Arial" w:hAnsi="Arial"/>
      <w:b/>
      <w:bCs/>
      <w:i/>
      <w:iCs/>
      <w:color w:val="006AD4" w:themeColor="accent1"/>
      <w:sz w:val="22"/>
      <w:szCs w:val="22"/>
    </w:rPr>
  </w:style>
  <w:style w:type="paragraph" w:styleId="KeinLeerraum">
    <w:name w:val="No Spacing"/>
    <w:uiPriority w:val="1"/>
    <w:rsid w:val="005338B9"/>
    <w:pPr>
      <w:tabs>
        <w:tab w:val="left" w:pos="397"/>
        <w:tab w:val="left" w:pos="794"/>
        <w:tab w:val="left" w:pos="1191"/>
        <w:tab w:val="left" w:pos="4479"/>
        <w:tab w:val="left" w:pos="4876"/>
        <w:tab w:val="left" w:pos="5273"/>
        <w:tab w:val="left" w:pos="5670"/>
        <w:tab w:val="left" w:pos="6067"/>
        <w:tab w:val="decimal" w:pos="7938"/>
      </w:tabs>
    </w:pPr>
    <w:rPr>
      <w:rFonts w:ascii="Arial" w:hAnsi="Arial"/>
      <w:sz w:val="22"/>
      <w:szCs w:val="22"/>
    </w:rPr>
  </w:style>
  <w:style w:type="paragraph" w:styleId="Liste">
    <w:name w:val="List"/>
    <w:basedOn w:val="Standard"/>
    <w:rsid w:val="005338B9"/>
    <w:pPr>
      <w:ind w:left="283" w:hanging="283"/>
      <w:contextualSpacing/>
    </w:pPr>
  </w:style>
  <w:style w:type="paragraph" w:styleId="Liste2">
    <w:name w:val="List 2"/>
    <w:basedOn w:val="Standard"/>
    <w:rsid w:val="005338B9"/>
    <w:pPr>
      <w:ind w:left="566" w:hanging="283"/>
      <w:contextualSpacing/>
    </w:pPr>
  </w:style>
  <w:style w:type="paragraph" w:styleId="Liste3">
    <w:name w:val="List 3"/>
    <w:basedOn w:val="Standard"/>
    <w:rsid w:val="005338B9"/>
    <w:pPr>
      <w:ind w:left="849" w:hanging="283"/>
      <w:contextualSpacing/>
    </w:pPr>
  </w:style>
  <w:style w:type="paragraph" w:styleId="Liste4">
    <w:name w:val="List 4"/>
    <w:basedOn w:val="Standard"/>
    <w:rsid w:val="005338B9"/>
    <w:pPr>
      <w:ind w:left="1132" w:hanging="283"/>
      <w:contextualSpacing/>
    </w:pPr>
  </w:style>
  <w:style w:type="paragraph" w:styleId="Liste5">
    <w:name w:val="List 5"/>
    <w:basedOn w:val="Standard"/>
    <w:rsid w:val="005338B9"/>
    <w:pPr>
      <w:ind w:left="1415" w:hanging="283"/>
      <w:contextualSpacing/>
    </w:pPr>
  </w:style>
  <w:style w:type="paragraph" w:styleId="Listenabsatz">
    <w:name w:val="List Paragraph"/>
    <w:basedOn w:val="Standard"/>
    <w:uiPriority w:val="34"/>
    <w:qFormat/>
    <w:rsid w:val="005338B9"/>
    <w:pPr>
      <w:ind w:left="720"/>
      <w:contextualSpacing/>
    </w:pPr>
  </w:style>
  <w:style w:type="paragraph" w:styleId="Listenfortsetzung">
    <w:name w:val="List Continue"/>
    <w:basedOn w:val="Standard"/>
    <w:rsid w:val="005338B9"/>
    <w:pPr>
      <w:spacing w:after="120"/>
      <w:ind w:left="283"/>
      <w:contextualSpacing/>
    </w:pPr>
  </w:style>
  <w:style w:type="paragraph" w:styleId="Listenfortsetzung2">
    <w:name w:val="List Continue 2"/>
    <w:basedOn w:val="Standard"/>
    <w:rsid w:val="005338B9"/>
    <w:pPr>
      <w:spacing w:after="120"/>
      <w:ind w:left="566"/>
      <w:contextualSpacing/>
    </w:pPr>
  </w:style>
  <w:style w:type="paragraph" w:styleId="Listenfortsetzung3">
    <w:name w:val="List Continue 3"/>
    <w:basedOn w:val="Standard"/>
    <w:rsid w:val="005338B9"/>
    <w:pPr>
      <w:spacing w:after="120"/>
      <w:ind w:left="849"/>
      <w:contextualSpacing/>
    </w:pPr>
  </w:style>
  <w:style w:type="paragraph" w:styleId="Listenfortsetzung4">
    <w:name w:val="List Continue 4"/>
    <w:basedOn w:val="Standard"/>
    <w:rsid w:val="005338B9"/>
    <w:pPr>
      <w:spacing w:after="120"/>
      <w:ind w:left="1132"/>
      <w:contextualSpacing/>
    </w:pPr>
  </w:style>
  <w:style w:type="paragraph" w:styleId="Listenfortsetzung5">
    <w:name w:val="List Continue 5"/>
    <w:basedOn w:val="Standard"/>
    <w:rsid w:val="005338B9"/>
    <w:pPr>
      <w:spacing w:after="120"/>
      <w:ind w:left="1415"/>
      <w:contextualSpacing/>
    </w:pPr>
  </w:style>
  <w:style w:type="paragraph" w:styleId="Listennummer">
    <w:name w:val="List Number"/>
    <w:basedOn w:val="Standard"/>
    <w:rsid w:val="005338B9"/>
    <w:pPr>
      <w:numPr>
        <w:numId w:val="23"/>
      </w:numPr>
      <w:contextualSpacing/>
    </w:pPr>
  </w:style>
  <w:style w:type="paragraph" w:styleId="Listennummer2">
    <w:name w:val="List Number 2"/>
    <w:basedOn w:val="Standard"/>
    <w:rsid w:val="005338B9"/>
    <w:pPr>
      <w:numPr>
        <w:numId w:val="24"/>
      </w:numPr>
      <w:contextualSpacing/>
    </w:pPr>
  </w:style>
  <w:style w:type="paragraph" w:styleId="Listennummer3">
    <w:name w:val="List Number 3"/>
    <w:basedOn w:val="Standard"/>
    <w:rsid w:val="005338B9"/>
    <w:pPr>
      <w:numPr>
        <w:numId w:val="25"/>
      </w:numPr>
      <w:contextualSpacing/>
    </w:pPr>
  </w:style>
  <w:style w:type="paragraph" w:styleId="Listennummer4">
    <w:name w:val="List Number 4"/>
    <w:basedOn w:val="Standard"/>
    <w:rsid w:val="005338B9"/>
    <w:pPr>
      <w:numPr>
        <w:numId w:val="26"/>
      </w:numPr>
      <w:contextualSpacing/>
    </w:pPr>
  </w:style>
  <w:style w:type="paragraph" w:styleId="Listennummer5">
    <w:name w:val="List Number 5"/>
    <w:basedOn w:val="Standard"/>
    <w:rsid w:val="005338B9"/>
    <w:pPr>
      <w:numPr>
        <w:numId w:val="27"/>
      </w:numPr>
      <w:contextualSpacing/>
    </w:pPr>
  </w:style>
  <w:style w:type="paragraph" w:styleId="Literaturverzeichnis">
    <w:name w:val="Bibliography"/>
    <w:basedOn w:val="Standard"/>
    <w:next w:val="Standard"/>
    <w:uiPriority w:val="37"/>
    <w:semiHidden/>
    <w:unhideWhenUsed/>
    <w:rsid w:val="005338B9"/>
  </w:style>
  <w:style w:type="paragraph" w:styleId="Makrotext">
    <w:name w:val="macro"/>
    <w:link w:val="MakrotextZchn"/>
    <w:rsid w:val="005338B9"/>
    <w:pPr>
      <w:tabs>
        <w:tab w:val="left" w:pos="480"/>
        <w:tab w:val="left" w:pos="960"/>
        <w:tab w:val="left" w:pos="1440"/>
        <w:tab w:val="left" w:pos="1920"/>
        <w:tab w:val="left" w:pos="2400"/>
        <w:tab w:val="left" w:pos="2880"/>
        <w:tab w:val="left" w:pos="3360"/>
        <w:tab w:val="left" w:pos="3840"/>
        <w:tab w:val="left" w:pos="4320"/>
      </w:tabs>
      <w:spacing w:before="120"/>
    </w:pPr>
    <w:rPr>
      <w:rFonts w:ascii="Consolas" w:hAnsi="Consolas" w:cs="Consolas"/>
    </w:rPr>
  </w:style>
  <w:style w:type="character" w:customStyle="1" w:styleId="MakrotextZchn">
    <w:name w:val="Makrotext Zchn"/>
    <w:basedOn w:val="Absatz-Standardschriftart"/>
    <w:link w:val="Makrotext"/>
    <w:rsid w:val="005338B9"/>
    <w:rPr>
      <w:rFonts w:ascii="Consolas" w:hAnsi="Consolas" w:cs="Consolas"/>
    </w:rPr>
  </w:style>
  <w:style w:type="paragraph" w:styleId="Nachrichtenkopf">
    <w:name w:val="Message Header"/>
    <w:basedOn w:val="Standard"/>
    <w:link w:val="NachrichtenkopfZchn"/>
    <w:rsid w:val="005338B9"/>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rsid w:val="005338B9"/>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rsid w:val="005338B9"/>
    <w:pPr>
      <w:spacing w:before="0"/>
    </w:pPr>
    <w:rPr>
      <w:rFonts w:ascii="Consolas" w:hAnsi="Consolas" w:cs="Consolas"/>
      <w:sz w:val="21"/>
      <w:szCs w:val="21"/>
    </w:rPr>
  </w:style>
  <w:style w:type="character" w:customStyle="1" w:styleId="NurTextZchn">
    <w:name w:val="Nur Text Zchn"/>
    <w:basedOn w:val="Absatz-Standardschriftart"/>
    <w:link w:val="NurText"/>
    <w:rsid w:val="005338B9"/>
    <w:rPr>
      <w:rFonts w:ascii="Consolas" w:hAnsi="Consolas" w:cs="Consolas"/>
      <w:sz w:val="21"/>
      <w:szCs w:val="21"/>
    </w:rPr>
  </w:style>
  <w:style w:type="character" w:styleId="Platzhaltertext">
    <w:name w:val="Placeholder Text"/>
    <w:basedOn w:val="Absatz-Standardschriftart"/>
    <w:uiPriority w:val="99"/>
    <w:semiHidden/>
    <w:rsid w:val="005338B9"/>
    <w:rPr>
      <w:color w:val="808080"/>
    </w:rPr>
  </w:style>
  <w:style w:type="paragraph" w:styleId="Rechtsgrundlagenverzeichnis">
    <w:name w:val="table of authorities"/>
    <w:basedOn w:val="Standard"/>
    <w:next w:val="Standard"/>
    <w:rsid w:val="005338B9"/>
    <w:pPr>
      <w:tabs>
        <w:tab w:val="clear" w:pos="397"/>
        <w:tab w:val="clear" w:pos="794"/>
        <w:tab w:val="clear" w:pos="1191"/>
        <w:tab w:val="clear" w:pos="4479"/>
        <w:tab w:val="clear" w:pos="4876"/>
        <w:tab w:val="clear" w:pos="5273"/>
        <w:tab w:val="clear" w:pos="5670"/>
        <w:tab w:val="clear" w:pos="6067"/>
        <w:tab w:val="clear" w:pos="7938"/>
      </w:tabs>
      <w:ind w:left="220" w:hanging="220"/>
    </w:pPr>
  </w:style>
  <w:style w:type="paragraph" w:styleId="RGV-berschrift">
    <w:name w:val="toa heading"/>
    <w:basedOn w:val="Standard"/>
    <w:next w:val="Standard"/>
    <w:rsid w:val="005338B9"/>
    <w:rPr>
      <w:rFonts w:asciiTheme="majorHAnsi" w:eastAsiaTheme="majorEastAsia" w:hAnsiTheme="majorHAnsi" w:cstheme="majorBidi"/>
      <w:b/>
      <w:bCs/>
      <w:sz w:val="24"/>
      <w:szCs w:val="24"/>
    </w:rPr>
  </w:style>
  <w:style w:type="character" w:styleId="SchwacheHervorhebung">
    <w:name w:val="Subtle Emphasis"/>
    <w:basedOn w:val="Absatz-Standardschriftart"/>
    <w:uiPriority w:val="19"/>
    <w:rsid w:val="005338B9"/>
    <w:rPr>
      <w:i/>
      <w:iCs/>
      <w:color w:val="808080" w:themeColor="text1" w:themeTint="7F"/>
    </w:rPr>
  </w:style>
  <w:style w:type="character" w:styleId="SchwacherVerweis">
    <w:name w:val="Subtle Reference"/>
    <w:basedOn w:val="Absatz-Standardschriftart"/>
    <w:uiPriority w:val="31"/>
    <w:rsid w:val="005338B9"/>
    <w:rPr>
      <w:smallCaps/>
      <w:color w:val="00ADEE" w:themeColor="accent2"/>
      <w:u w:val="single"/>
    </w:rPr>
  </w:style>
  <w:style w:type="paragraph" w:styleId="Standardeinzug">
    <w:name w:val="Normal Indent"/>
    <w:basedOn w:val="Standard"/>
    <w:rsid w:val="005338B9"/>
    <w:pPr>
      <w:ind w:left="708"/>
    </w:pPr>
  </w:style>
  <w:style w:type="paragraph" w:styleId="Textkrper">
    <w:name w:val="Body Text"/>
    <w:basedOn w:val="Standard"/>
    <w:link w:val="TextkrperZchn"/>
    <w:rsid w:val="005338B9"/>
    <w:pPr>
      <w:spacing w:after="120"/>
    </w:pPr>
  </w:style>
  <w:style w:type="character" w:customStyle="1" w:styleId="TextkrperZchn">
    <w:name w:val="Textkörper Zchn"/>
    <w:basedOn w:val="Absatz-Standardschriftart"/>
    <w:link w:val="Textkrper"/>
    <w:rsid w:val="005338B9"/>
    <w:rPr>
      <w:rFonts w:ascii="Arial" w:hAnsi="Arial"/>
      <w:sz w:val="22"/>
      <w:szCs w:val="22"/>
    </w:rPr>
  </w:style>
  <w:style w:type="paragraph" w:styleId="Textkrper2">
    <w:name w:val="Body Text 2"/>
    <w:basedOn w:val="Standard"/>
    <w:link w:val="Textkrper2Zchn"/>
    <w:rsid w:val="005338B9"/>
    <w:pPr>
      <w:spacing w:after="120" w:line="480" w:lineRule="auto"/>
    </w:pPr>
  </w:style>
  <w:style w:type="character" w:customStyle="1" w:styleId="Textkrper2Zchn">
    <w:name w:val="Textkörper 2 Zchn"/>
    <w:basedOn w:val="Absatz-Standardschriftart"/>
    <w:link w:val="Textkrper2"/>
    <w:rsid w:val="005338B9"/>
    <w:rPr>
      <w:rFonts w:ascii="Arial" w:hAnsi="Arial"/>
      <w:sz w:val="22"/>
      <w:szCs w:val="22"/>
    </w:rPr>
  </w:style>
  <w:style w:type="paragraph" w:styleId="Textkrper3">
    <w:name w:val="Body Text 3"/>
    <w:basedOn w:val="Standard"/>
    <w:link w:val="Textkrper3Zchn"/>
    <w:rsid w:val="005338B9"/>
    <w:pPr>
      <w:spacing w:after="120"/>
    </w:pPr>
    <w:rPr>
      <w:sz w:val="16"/>
      <w:szCs w:val="16"/>
    </w:rPr>
  </w:style>
  <w:style w:type="character" w:customStyle="1" w:styleId="Textkrper3Zchn">
    <w:name w:val="Textkörper 3 Zchn"/>
    <w:basedOn w:val="Absatz-Standardschriftart"/>
    <w:link w:val="Textkrper3"/>
    <w:rsid w:val="005338B9"/>
    <w:rPr>
      <w:rFonts w:ascii="Arial" w:hAnsi="Arial"/>
      <w:sz w:val="16"/>
      <w:szCs w:val="16"/>
    </w:rPr>
  </w:style>
  <w:style w:type="paragraph" w:styleId="Textkrper-Einzug2">
    <w:name w:val="Body Text Indent 2"/>
    <w:basedOn w:val="Standard"/>
    <w:link w:val="Textkrper-Einzug2Zchn"/>
    <w:rsid w:val="005338B9"/>
    <w:pPr>
      <w:spacing w:after="120" w:line="480" w:lineRule="auto"/>
      <w:ind w:left="283"/>
    </w:pPr>
  </w:style>
  <w:style w:type="character" w:customStyle="1" w:styleId="Textkrper-Einzug2Zchn">
    <w:name w:val="Textkörper-Einzug 2 Zchn"/>
    <w:basedOn w:val="Absatz-Standardschriftart"/>
    <w:link w:val="Textkrper-Einzug2"/>
    <w:rsid w:val="005338B9"/>
    <w:rPr>
      <w:rFonts w:ascii="Arial" w:hAnsi="Arial"/>
      <w:sz w:val="22"/>
      <w:szCs w:val="22"/>
    </w:rPr>
  </w:style>
  <w:style w:type="paragraph" w:styleId="Textkrper-Einzug3">
    <w:name w:val="Body Text Indent 3"/>
    <w:basedOn w:val="Standard"/>
    <w:link w:val="Textkrper-Einzug3Zchn"/>
    <w:rsid w:val="005338B9"/>
    <w:pPr>
      <w:spacing w:after="120"/>
      <w:ind w:left="283"/>
    </w:pPr>
    <w:rPr>
      <w:sz w:val="16"/>
      <w:szCs w:val="16"/>
    </w:rPr>
  </w:style>
  <w:style w:type="character" w:customStyle="1" w:styleId="Textkrper-Einzug3Zchn">
    <w:name w:val="Textkörper-Einzug 3 Zchn"/>
    <w:basedOn w:val="Absatz-Standardschriftart"/>
    <w:link w:val="Textkrper-Einzug3"/>
    <w:rsid w:val="005338B9"/>
    <w:rPr>
      <w:rFonts w:ascii="Arial" w:hAnsi="Arial"/>
      <w:sz w:val="16"/>
      <w:szCs w:val="16"/>
    </w:rPr>
  </w:style>
  <w:style w:type="paragraph" w:styleId="Textkrper-Erstzeileneinzug">
    <w:name w:val="Body Text First Indent"/>
    <w:basedOn w:val="Textkrper"/>
    <w:link w:val="Textkrper-ErstzeileneinzugZchn"/>
    <w:rsid w:val="005338B9"/>
    <w:pPr>
      <w:spacing w:after="0"/>
      <w:ind w:firstLine="360"/>
    </w:pPr>
  </w:style>
  <w:style w:type="character" w:customStyle="1" w:styleId="Textkrper-ErstzeileneinzugZchn">
    <w:name w:val="Textkörper-Erstzeileneinzug Zchn"/>
    <w:basedOn w:val="TextkrperZchn"/>
    <w:link w:val="Textkrper-Erstzeileneinzug"/>
    <w:rsid w:val="005338B9"/>
  </w:style>
  <w:style w:type="paragraph" w:styleId="Textkrper-Zeileneinzug">
    <w:name w:val="Body Text Indent"/>
    <w:basedOn w:val="Standard"/>
    <w:link w:val="Textkrper-ZeileneinzugZchn"/>
    <w:rsid w:val="005338B9"/>
    <w:pPr>
      <w:spacing w:after="120"/>
      <w:ind w:left="283"/>
    </w:pPr>
  </w:style>
  <w:style w:type="character" w:customStyle="1" w:styleId="Textkrper-ZeileneinzugZchn">
    <w:name w:val="Textkörper-Zeileneinzug Zchn"/>
    <w:basedOn w:val="Absatz-Standardschriftart"/>
    <w:link w:val="Textkrper-Zeileneinzug"/>
    <w:rsid w:val="005338B9"/>
    <w:rPr>
      <w:rFonts w:ascii="Arial" w:hAnsi="Arial"/>
      <w:sz w:val="22"/>
      <w:szCs w:val="22"/>
    </w:rPr>
  </w:style>
  <w:style w:type="paragraph" w:styleId="Textkrper-Erstzeileneinzug2">
    <w:name w:val="Body Text First Indent 2"/>
    <w:basedOn w:val="Textkrper-Zeileneinzug"/>
    <w:link w:val="Textkrper-Erstzeileneinzug2Zchn"/>
    <w:rsid w:val="005338B9"/>
    <w:pPr>
      <w:spacing w:after="0"/>
      <w:ind w:left="360" w:firstLine="360"/>
    </w:pPr>
  </w:style>
  <w:style w:type="character" w:customStyle="1" w:styleId="Textkrper-Erstzeileneinzug2Zchn">
    <w:name w:val="Textkörper-Erstzeileneinzug 2 Zchn"/>
    <w:basedOn w:val="Textkrper-ZeileneinzugZchn"/>
    <w:link w:val="Textkrper-Erstzeileneinzug2"/>
    <w:rsid w:val="005338B9"/>
  </w:style>
  <w:style w:type="paragraph" w:styleId="Titel">
    <w:name w:val="Title"/>
    <w:basedOn w:val="Standard"/>
    <w:next w:val="Standard"/>
    <w:link w:val="TitelZchn"/>
    <w:rsid w:val="005338B9"/>
    <w:pPr>
      <w:pBdr>
        <w:bottom w:val="single" w:sz="8" w:space="4" w:color="006AD4" w:themeColor="accent1"/>
      </w:pBdr>
      <w:spacing w:before="0" w:after="300"/>
      <w:contextualSpacing/>
    </w:pPr>
    <w:rPr>
      <w:rFonts w:asciiTheme="majorHAnsi" w:eastAsiaTheme="majorEastAsia" w:hAnsiTheme="majorHAnsi" w:cstheme="majorBidi"/>
      <w:color w:val="262626" w:themeColor="text2" w:themeShade="BF"/>
      <w:spacing w:val="5"/>
      <w:kern w:val="28"/>
      <w:sz w:val="52"/>
      <w:szCs w:val="52"/>
    </w:rPr>
  </w:style>
  <w:style w:type="character" w:customStyle="1" w:styleId="TitelZchn">
    <w:name w:val="Titel Zchn"/>
    <w:basedOn w:val="Absatz-Standardschriftart"/>
    <w:link w:val="Titel"/>
    <w:rsid w:val="005338B9"/>
    <w:rPr>
      <w:rFonts w:asciiTheme="majorHAnsi" w:eastAsiaTheme="majorEastAsia" w:hAnsiTheme="majorHAnsi" w:cstheme="majorBidi"/>
      <w:color w:val="262626" w:themeColor="text2" w:themeShade="BF"/>
      <w:spacing w:val="5"/>
      <w:kern w:val="28"/>
      <w:sz w:val="52"/>
      <w:szCs w:val="52"/>
    </w:rPr>
  </w:style>
  <w:style w:type="character" w:customStyle="1" w:styleId="berschrift2Zchn">
    <w:name w:val="Überschrift 2 Zchn"/>
    <w:basedOn w:val="Absatz-Standardschriftart"/>
    <w:link w:val="berschrift2"/>
    <w:semiHidden/>
    <w:rsid w:val="005338B9"/>
    <w:rPr>
      <w:rFonts w:asciiTheme="majorHAnsi" w:eastAsiaTheme="majorEastAsia" w:hAnsiTheme="majorHAnsi" w:cstheme="majorBidi"/>
      <w:b/>
      <w:bCs/>
      <w:color w:val="006AD4" w:themeColor="accent1"/>
      <w:sz w:val="26"/>
      <w:szCs w:val="26"/>
    </w:rPr>
  </w:style>
  <w:style w:type="character" w:customStyle="1" w:styleId="berschrift3Zchn">
    <w:name w:val="Überschrift 3 Zchn"/>
    <w:basedOn w:val="Absatz-Standardschriftart"/>
    <w:link w:val="berschrift3"/>
    <w:semiHidden/>
    <w:rsid w:val="005338B9"/>
    <w:rPr>
      <w:rFonts w:asciiTheme="majorHAnsi" w:eastAsiaTheme="majorEastAsia" w:hAnsiTheme="majorHAnsi" w:cstheme="majorBidi"/>
      <w:b/>
      <w:bCs/>
      <w:color w:val="006AD4" w:themeColor="accent1"/>
      <w:sz w:val="22"/>
      <w:szCs w:val="22"/>
    </w:rPr>
  </w:style>
  <w:style w:type="character" w:customStyle="1" w:styleId="berschrift5Zchn">
    <w:name w:val="Überschrift 5 Zchn"/>
    <w:basedOn w:val="Absatz-Standardschriftart"/>
    <w:link w:val="berschrift5"/>
    <w:semiHidden/>
    <w:rsid w:val="005338B9"/>
    <w:rPr>
      <w:rFonts w:asciiTheme="majorHAnsi" w:eastAsiaTheme="majorEastAsia" w:hAnsiTheme="majorHAnsi" w:cstheme="majorBidi"/>
      <w:color w:val="003469" w:themeColor="accent1" w:themeShade="7F"/>
      <w:sz w:val="22"/>
      <w:szCs w:val="22"/>
    </w:rPr>
  </w:style>
  <w:style w:type="character" w:customStyle="1" w:styleId="berschrift6Zchn">
    <w:name w:val="Überschrift 6 Zchn"/>
    <w:basedOn w:val="Absatz-Standardschriftart"/>
    <w:link w:val="berschrift6"/>
    <w:semiHidden/>
    <w:rsid w:val="005338B9"/>
    <w:rPr>
      <w:rFonts w:asciiTheme="majorHAnsi" w:eastAsiaTheme="majorEastAsia" w:hAnsiTheme="majorHAnsi" w:cstheme="majorBidi"/>
      <w:i/>
      <w:iCs/>
      <w:color w:val="003469" w:themeColor="accent1" w:themeShade="7F"/>
      <w:sz w:val="22"/>
      <w:szCs w:val="22"/>
    </w:rPr>
  </w:style>
  <w:style w:type="character" w:customStyle="1" w:styleId="berschrift7Zchn">
    <w:name w:val="Überschrift 7 Zchn"/>
    <w:basedOn w:val="Absatz-Standardschriftart"/>
    <w:link w:val="berschrift7"/>
    <w:semiHidden/>
    <w:rsid w:val="005338B9"/>
    <w:rPr>
      <w:rFonts w:asciiTheme="majorHAnsi" w:eastAsiaTheme="majorEastAsia" w:hAnsiTheme="majorHAnsi" w:cstheme="majorBidi"/>
      <w:i/>
      <w:iCs/>
      <w:color w:val="404040" w:themeColor="text1" w:themeTint="BF"/>
      <w:sz w:val="22"/>
      <w:szCs w:val="22"/>
    </w:rPr>
  </w:style>
  <w:style w:type="character" w:customStyle="1" w:styleId="berschrift8Zchn">
    <w:name w:val="Überschrift 8 Zchn"/>
    <w:basedOn w:val="Absatz-Standardschriftart"/>
    <w:link w:val="berschrift8"/>
    <w:semiHidden/>
    <w:rsid w:val="005338B9"/>
    <w:rPr>
      <w:rFonts w:asciiTheme="majorHAnsi" w:eastAsiaTheme="majorEastAsia" w:hAnsiTheme="majorHAnsi" w:cstheme="majorBidi"/>
      <w:color w:val="404040" w:themeColor="text1" w:themeTint="BF"/>
    </w:rPr>
  </w:style>
  <w:style w:type="character" w:customStyle="1" w:styleId="berschrift9Zchn">
    <w:name w:val="Überschrift 9 Zchn"/>
    <w:basedOn w:val="Absatz-Standardschriftart"/>
    <w:link w:val="berschrift9"/>
    <w:semiHidden/>
    <w:rsid w:val="005338B9"/>
    <w:rPr>
      <w:rFonts w:asciiTheme="majorHAnsi" w:eastAsiaTheme="majorEastAsia" w:hAnsiTheme="majorHAnsi" w:cstheme="majorBidi"/>
      <w:i/>
      <w:iCs/>
      <w:color w:val="404040" w:themeColor="text1" w:themeTint="BF"/>
    </w:rPr>
  </w:style>
  <w:style w:type="paragraph" w:styleId="Umschlagabsenderadresse">
    <w:name w:val="envelope return"/>
    <w:basedOn w:val="Standard"/>
    <w:rsid w:val="005338B9"/>
    <w:pPr>
      <w:spacing w:before="0"/>
    </w:pPr>
    <w:rPr>
      <w:rFonts w:asciiTheme="majorHAnsi" w:eastAsiaTheme="majorEastAsia" w:hAnsiTheme="majorHAnsi" w:cstheme="majorBidi"/>
      <w:sz w:val="20"/>
      <w:szCs w:val="20"/>
    </w:rPr>
  </w:style>
  <w:style w:type="paragraph" w:styleId="Umschlagadresse">
    <w:name w:val="envelope address"/>
    <w:basedOn w:val="Standard"/>
    <w:rsid w:val="005338B9"/>
    <w:pPr>
      <w:framePr w:w="4320" w:h="2160" w:hRule="exact" w:hSpace="141" w:wrap="auto" w:hAnchor="page" w:xAlign="center" w:yAlign="bottom"/>
      <w:spacing w:before="0"/>
      <w:ind w:left="1"/>
    </w:pPr>
    <w:rPr>
      <w:rFonts w:asciiTheme="majorHAnsi" w:eastAsiaTheme="majorEastAsia" w:hAnsiTheme="majorHAnsi" w:cstheme="majorBidi"/>
      <w:sz w:val="24"/>
      <w:szCs w:val="24"/>
    </w:rPr>
  </w:style>
  <w:style w:type="paragraph" w:styleId="Unterschrift">
    <w:name w:val="Signature"/>
    <w:basedOn w:val="Standard"/>
    <w:link w:val="UnterschriftZchn"/>
    <w:rsid w:val="005338B9"/>
    <w:pPr>
      <w:spacing w:before="0"/>
      <w:ind w:left="4252"/>
    </w:pPr>
  </w:style>
  <w:style w:type="character" w:customStyle="1" w:styleId="UnterschriftZchn">
    <w:name w:val="Unterschrift Zchn"/>
    <w:basedOn w:val="Absatz-Standardschriftart"/>
    <w:link w:val="Unterschrift"/>
    <w:rsid w:val="005338B9"/>
    <w:rPr>
      <w:rFonts w:ascii="Arial" w:hAnsi="Arial"/>
      <w:sz w:val="22"/>
      <w:szCs w:val="22"/>
    </w:rPr>
  </w:style>
  <w:style w:type="paragraph" w:styleId="Untertitel">
    <w:name w:val="Subtitle"/>
    <w:basedOn w:val="Standard"/>
    <w:next w:val="Standard"/>
    <w:link w:val="UntertitelZchn"/>
    <w:rsid w:val="005338B9"/>
    <w:pPr>
      <w:numPr>
        <w:ilvl w:val="1"/>
      </w:numPr>
    </w:pPr>
    <w:rPr>
      <w:rFonts w:asciiTheme="majorHAnsi" w:eastAsiaTheme="majorEastAsia" w:hAnsiTheme="majorHAnsi" w:cstheme="majorBidi"/>
      <w:i/>
      <w:iCs/>
      <w:color w:val="006AD4" w:themeColor="accent1"/>
      <w:spacing w:val="15"/>
      <w:sz w:val="24"/>
      <w:szCs w:val="24"/>
    </w:rPr>
  </w:style>
  <w:style w:type="character" w:customStyle="1" w:styleId="UntertitelZchn">
    <w:name w:val="Untertitel Zchn"/>
    <w:basedOn w:val="Absatz-Standardschriftart"/>
    <w:link w:val="Untertitel"/>
    <w:rsid w:val="005338B9"/>
    <w:rPr>
      <w:rFonts w:asciiTheme="majorHAnsi" w:eastAsiaTheme="majorEastAsia" w:hAnsiTheme="majorHAnsi" w:cstheme="majorBidi"/>
      <w:i/>
      <w:iCs/>
      <w:color w:val="006AD4" w:themeColor="accent1"/>
      <w:spacing w:val="15"/>
      <w:sz w:val="24"/>
      <w:szCs w:val="24"/>
    </w:rPr>
  </w:style>
  <w:style w:type="paragraph" w:styleId="Verzeichnis7">
    <w:name w:val="toc 7"/>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after="100"/>
      <w:ind w:left="1320"/>
    </w:pPr>
  </w:style>
  <w:style w:type="paragraph" w:styleId="Verzeichnis8">
    <w:name w:val="toc 8"/>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after="100"/>
      <w:ind w:left="1540"/>
    </w:pPr>
  </w:style>
  <w:style w:type="paragraph" w:styleId="Verzeichnis9">
    <w:name w:val="toc 9"/>
    <w:basedOn w:val="Standard"/>
    <w:next w:val="Standard"/>
    <w:autoRedefine/>
    <w:rsid w:val="005338B9"/>
    <w:pPr>
      <w:tabs>
        <w:tab w:val="clear" w:pos="397"/>
        <w:tab w:val="clear" w:pos="794"/>
        <w:tab w:val="clear" w:pos="1191"/>
        <w:tab w:val="clear" w:pos="4479"/>
        <w:tab w:val="clear" w:pos="4876"/>
        <w:tab w:val="clear" w:pos="5273"/>
        <w:tab w:val="clear" w:pos="5670"/>
        <w:tab w:val="clear" w:pos="6067"/>
        <w:tab w:val="clear" w:pos="7938"/>
      </w:tabs>
      <w:spacing w:after="100"/>
      <w:ind w:left="1760"/>
    </w:pPr>
  </w:style>
  <w:style w:type="character" w:styleId="Zeilennummer">
    <w:name w:val="line number"/>
    <w:basedOn w:val="Absatz-Standardschriftart"/>
    <w:rsid w:val="005338B9"/>
  </w:style>
  <w:style w:type="paragraph" w:customStyle="1" w:styleId="7015Zeilenabstand">
    <w:name w:val="70 1.5 Zeilenabstand"/>
    <w:basedOn w:val="00Vorgabetext"/>
    <w:rsid w:val="009854E9"/>
    <w:pPr>
      <w:spacing w:line="360" w:lineRule="auto"/>
    </w:pPr>
  </w:style>
  <w:style w:type="character" w:customStyle="1" w:styleId="00VorgabetextZchn">
    <w:name w:val="00 Vorgabetext Zchn"/>
    <w:basedOn w:val="Absatz-Standardschriftart"/>
    <w:link w:val="00Vorgabetext"/>
    <w:rsid w:val="009854E9"/>
    <w:rPr>
      <w:rFonts w:ascii="Arial" w:hAnsi="Arial"/>
      <w:sz w:val="22"/>
      <w:szCs w:val="22"/>
    </w:rPr>
  </w:style>
  <w:style w:type="paragraph" w:customStyle="1" w:styleId="Default">
    <w:name w:val="Default"/>
    <w:rsid w:val="009854E9"/>
    <w:pPr>
      <w:autoSpaceDE w:val="0"/>
      <w:autoSpaceDN w:val="0"/>
      <w:adjustRightInd w:val="0"/>
    </w:pPr>
    <w:rPr>
      <w:rFonts w:ascii="BAILL A+ Times Ten" w:hAnsi="BAILL A+ Times Ten" w:cs="BAILL A+ Times Ten"/>
      <w:color w:val="000000"/>
      <w:sz w:val="24"/>
      <w:szCs w:val="24"/>
    </w:rPr>
  </w:style>
  <w:style w:type="paragraph" w:customStyle="1" w:styleId="SP102407">
    <w:name w:val="SP102407"/>
    <w:basedOn w:val="Default"/>
    <w:next w:val="Default"/>
    <w:uiPriority w:val="99"/>
    <w:rsid w:val="009854E9"/>
    <w:rPr>
      <w:rFonts w:cs="Times New Roman"/>
      <w:color w:val="auto"/>
    </w:rPr>
  </w:style>
  <w:style w:type="character" w:customStyle="1" w:styleId="SC2632">
    <w:name w:val="SC2632"/>
    <w:uiPriority w:val="99"/>
    <w:rsid w:val="009854E9"/>
    <w:rPr>
      <w:rFonts w:cs="BAILL A+ Times Ten"/>
      <w:b/>
      <w:bCs/>
      <w:color w:val="000000"/>
    </w:rPr>
  </w:style>
  <w:style w:type="character" w:customStyle="1" w:styleId="SC2655">
    <w:name w:val="SC2655"/>
    <w:uiPriority w:val="99"/>
    <w:rsid w:val="009854E9"/>
    <w:rPr>
      <w:rFonts w:ascii="BAILK A+ Times Ten" w:hAnsi="BAILK A+ Times Ten" w:cs="BAILK A+ Times Ten"/>
      <w:color w:val="000000"/>
      <w:sz w:val="18"/>
      <w:szCs w:val="18"/>
    </w:rPr>
  </w:style>
  <w:style w:type="paragraph" w:customStyle="1" w:styleId="SP90141">
    <w:name w:val="SP90141"/>
    <w:basedOn w:val="Default"/>
    <w:next w:val="Default"/>
    <w:uiPriority w:val="99"/>
    <w:rsid w:val="009854E9"/>
    <w:rPr>
      <w:rFonts w:ascii="GKGHA A+ Times Ten" w:hAnsi="GKGHA A+ Times Ten" w:cs="Times New Roman"/>
      <w:color w:val="auto"/>
    </w:rPr>
  </w:style>
  <w:style w:type="character" w:customStyle="1" w:styleId="SC2643">
    <w:name w:val="SC2643"/>
    <w:uiPriority w:val="99"/>
    <w:rsid w:val="009854E9"/>
    <w:rPr>
      <w:rFonts w:cs="GKGHA A+ Times Ten"/>
      <w:color w:val="000000"/>
      <w:sz w:val="18"/>
      <w:szCs w:val="18"/>
    </w:rPr>
  </w:style>
  <w:style w:type="character" w:customStyle="1" w:styleId="SC2644">
    <w:name w:val="SC2644"/>
    <w:uiPriority w:val="99"/>
    <w:rsid w:val="009854E9"/>
    <w:rPr>
      <w:rFonts w:cs="GKGHA A+ Times Ten"/>
      <w:color w:val="000000"/>
      <w:sz w:val="11"/>
      <w:szCs w:val="11"/>
    </w:rPr>
  </w:style>
  <w:style w:type="character" w:customStyle="1" w:styleId="SC2646">
    <w:name w:val="SC2646"/>
    <w:uiPriority w:val="99"/>
    <w:rsid w:val="009854E9"/>
    <w:rPr>
      <w:rFonts w:cs="GKGHA A+ Times Ten"/>
      <w:color w:val="000000"/>
      <w:sz w:val="15"/>
      <w:szCs w:val="15"/>
    </w:rPr>
  </w:style>
  <w:style w:type="character" w:customStyle="1" w:styleId="SC2659">
    <w:name w:val="SC2659"/>
    <w:uiPriority w:val="99"/>
    <w:rsid w:val="009854E9"/>
    <w:rPr>
      <w:rFonts w:cs="GJJPK I+ Times Ten"/>
      <w:color w:val="000000"/>
      <w:sz w:val="15"/>
      <w:szCs w:val="15"/>
    </w:rPr>
  </w:style>
  <w:style w:type="paragraph" w:styleId="berarbeitung">
    <w:name w:val="Revision"/>
    <w:hidden/>
    <w:uiPriority w:val="99"/>
    <w:semiHidden/>
    <w:rsid w:val="00456D21"/>
    <w:rPr>
      <w:rFonts w:ascii="Arial" w:hAnsi="Arial"/>
      <w:sz w:val="22"/>
      <w:szCs w:val="22"/>
    </w:rPr>
  </w:style>
</w:styles>
</file>

<file path=word/webSettings.xml><?xml version="1.0" encoding="utf-8"?>
<w:webSettings xmlns:r="http://schemas.openxmlformats.org/officeDocument/2006/relationships" xmlns:w="http://schemas.openxmlformats.org/wordprocessingml/2006/main">
  <w:divs>
    <w:div w:id="111201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JI\SETS\WORD\FORMS\10000001.dotx" TargetMode="External"/></Relationships>
</file>

<file path=word/theme/theme1.xml><?xml version="1.0" encoding="utf-8"?>
<a:theme xmlns:a="http://schemas.openxmlformats.org/drawingml/2006/main" name="DJI">
  <a:themeElements>
    <a:clrScheme name="DJI">
      <a:dk1>
        <a:srgbClr val="000000"/>
      </a:dk1>
      <a:lt1>
        <a:srgbClr val="FFFFFF"/>
      </a:lt1>
      <a:dk2>
        <a:srgbClr val="333333"/>
      </a:dk2>
      <a:lt2>
        <a:srgbClr val="EAEAEA"/>
      </a:lt2>
      <a:accent1>
        <a:srgbClr val="006AD4"/>
      </a:accent1>
      <a:accent2>
        <a:srgbClr val="00ADEE"/>
      </a:accent2>
      <a:accent3>
        <a:srgbClr val="004B96"/>
      </a:accent3>
      <a:accent4>
        <a:srgbClr val="9DCEFF"/>
      </a:accent4>
      <a:accent5>
        <a:srgbClr val="92001C"/>
      </a:accent5>
      <a:accent6>
        <a:srgbClr val="E2AC00"/>
      </a:accent6>
      <a:hlink>
        <a:srgbClr val="006AD4"/>
      </a:hlink>
      <a:folHlink>
        <a:srgbClr val="006AD4"/>
      </a:folHlink>
    </a:clrScheme>
    <a:fontScheme name="DJI">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E96350-0C5D-4B0A-89B3-C18736088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10000001.dotx</Template>
  <TotalTime>0</TotalTime>
  <Pages>12</Pages>
  <Words>4613</Words>
  <Characters>30067</Characters>
  <Application>Microsoft Office Word</Application>
  <DocSecurity>0</DocSecurity>
  <PresentationFormat/>
  <Lines>250</Lines>
  <Paragraphs>69</Paragraphs>
  <ScaleCrop>false</ScaleCrop>
  <HeadingPairs>
    <vt:vector size="2" baseType="variant">
      <vt:variant>
        <vt:lpstr>Titel</vt:lpstr>
      </vt:variant>
      <vt:variant>
        <vt:i4>1</vt:i4>
      </vt:variant>
    </vt:vector>
  </HeadingPairs>
  <TitlesOfParts>
    <vt:vector size="1" baseType="lpstr">
      <vt:lpstr>Logo hoch</vt:lpstr>
    </vt:vector>
  </TitlesOfParts>
  <Company>DJI</Company>
  <LinksUpToDate>false</LinksUpToDate>
  <CharactersWithSpaces>34611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hoch</dc:title>
  <dc:creator>b260pev</dc:creator>
  <cp:lastModifiedBy>b260pev</cp:lastModifiedBy>
  <cp:revision>8</cp:revision>
  <cp:lastPrinted>2013-02-04T11:16:00Z</cp:lastPrinted>
  <dcterms:created xsi:type="dcterms:W3CDTF">2013-01-22T08:03:00Z</dcterms:created>
  <dcterms:modified xsi:type="dcterms:W3CDTF">2013-02-04T11:16:00Z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t_Vorlage">
    <vt:lpwstr>Brief.DOT</vt:lpwstr>
  </property>
  <property fmtid="{D5CDD505-2E9C-101B-9397-08002B2CF9AE}" pid="3" name="Dot_Vers">
    <vt:lpwstr>1.0</vt:lpwstr>
  </property>
  <property fmtid="{D5CDD505-2E9C-101B-9397-08002B2CF9AE}" pid="4" name="FV_Vorlage">
    <vt:lpwstr>Erweitert</vt:lpwstr>
  </property>
</Properties>
</file>