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EEC" w:rsidRDefault="00DA0EEC" w:rsidP="00DA0EEC">
      <w:pPr>
        <w:jc w:val="both"/>
        <w:rPr>
          <w:rFonts w:ascii="Arial" w:hAnsi="Arial" w:cs="Arial"/>
          <w:b/>
          <w:color w:val="1A1A1A"/>
          <w:sz w:val="2"/>
          <w:szCs w:val="2"/>
        </w:rPr>
      </w:pPr>
    </w:p>
    <w:p w:rsidR="00DA0EEC" w:rsidRPr="004D3581" w:rsidRDefault="00DA0EEC" w:rsidP="00DA0EEC">
      <w:pPr>
        <w:spacing w:after="120"/>
        <w:rPr>
          <w:rFonts w:ascii="Arial" w:hAnsi="Arial" w:cs="Arial"/>
          <w:b/>
          <w:bCs/>
          <w:sz w:val="23"/>
          <w:szCs w:val="23"/>
        </w:rPr>
      </w:pPr>
      <w:r w:rsidRPr="004D3581">
        <w:rPr>
          <w:rFonts w:ascii="Arial" w:hAnsi="Arial" w:cs="Arial"/>
          <w:b/>
          <w:bCs/>
          <w:sz w:val="23"/>
          <w:szCs w:val="23"/>
        </w:rPr>
        <w:t>MOZIONE</w:t>
      </w:r>
    </w:p>
    <w:p w:rsidR="00DA0EEC" w:rsidRPr="004D3581" w:rsidRDefault="00DA0EEC" w:rsidP="00DA0EEC">
      <w:pPr>
        <w:spacing w:after="0"/>
        <w:rPr>
          <w:rFonts w:ascii="Arial" w:hAnsi="Arial" w:cs="Arial"/>
          <w:b/>
          <w:bCs/>
          <w:sz w:val="23"/>
          <w:szCs w:val="23"/>
        </w:rPr>
      </w:pPr>
    </w:p>
    <w:p w:rsidR="00DA0EEC" w:rsidRPr="004D3581" w:rsidRDefault="00DA0EEC" w:rsidP="00DA0EEC">
      <w:pPr>
        <w:spacing w:after="120"/>
        <w:rPr>
          <w:rFonts w:ascii="Arial" w:hAnsi="Arial" w:cs="Arial"/>
          <w:b/>
          <w:bCs/>
          <w:sz w:val="23"/>
          <w:szCs w:val="23"/>
          <w:u w:val="single"/>
        </w:rPr>
      </w:pPr>
      <w:r w:rsidRPr="004D3581">
        <w:rPr>
          <w:rFonts w:ascii="Arial" w:hAnsi="Arial" w:cs="Arial"/>
          <w:b/>
          <w:bCs/>
          <w:sz w:val="23"/>
          <w:szCs w:val="23"/>
          <w:u w:val="single"/>
        </w:rPr>
        <w:t>Istituzione di un organo responsabile per lo sviluppo sostenibile</w:t>
      </w:r>
    </w:p>
    <w:p w:rsidR="00DA0EEC" w:rsidRPr="004D3581" w:rsidRDefault="00DA0EEC" w:rsidP="00DA0EEC">
      <w:pPr>
        <w:spacing w:after="0"/>
        <w:rPr>
          <w:rFonts w:ascii="Arial" w:hAnsi="Arial" w:cs="Arial"/>
          <w:sz w:val="23"/>
          <w:szCs w:val="23"/>
        </w:rPr>
      </w:pPr>
    </w:p>
    <w:p w:rsidR="00DA0EEC" w:rsidRDefault="00DA0EEC" w:rsidP="00DA0EEC">
      <w:pPr>
        <w:spacing w:after="0"/>
        <w:rPr>
          <w:rFonts w:ascii="Arial" w:hAnsi="Arial" w:cs="Arial"/>
          <w:sz w:val="23"/>
          <w:szCs w:val="23"/>
        </w:rPr>
      </w:pPr>
      <w:r w:rsidRPr="004D3581">
        <w:rPr>
          <w:rFonts w:ascii="Arial" w:hAnsi="Arial" w:cs="Arial"/>
          <w:sz w:val="23"/>
          <w:szCs w:val="23"/>
        </w:rPr>
        <w:t>del 17 febbraio 2020</w:t>
      </w:r>
    </w:p>
    <w:p w:rsidR="00DA0EEC" w:rsidRPr="004D3581" w:rsidRDefault="00DA0EEC" w:rsidP="00DA0EEC">
      <w:pPr>
        <w:spacing w:after="0"/>
        <w:rPr>
          <w:rFonts w:ascii="Arial" w:hAnsi="Arial" w:cs="Arial"/>
          <w:sz w:val="23"/>
          <w:szCs w:val="23"/>
          <w:u w:val="single"/>
        </w:rPr>
      </w:pPr>
    </w:p>
    <w:p w:rsidR="00DA0EEC" w:rsidRPr="004D3581" w:rsidRDefault="00DA0EEC" w:rsidP="00DA0EEC">
      <w:pPr>
        <w:spacing w:after="0"/>
        <w:jc w:val="both"/>
        <w:rPr>
          <w:rFonts w:ascii="Arial" w:hAnsi="Arial" w:cs="Arial"/>
          <w:sz w:val="23"/>
          <w:szCs w:val="23"/>
        </w:rPr>
      </w:pPr>
    </w:p>
    <w:p w:rsidR="00DA0EEC" w:rsidRPr="004D3581" w:rsidRDefault="00DA0EEC" w:rsidP="00DA0EEC">
      <w:pPr>
        <w:spacing w:after="120" w:line="240" w:lineRule="auto"/>
        <w:jc w:val="both"/>
        <w:rPr>
          <w:rFonts w:ascii="Arial" w:hAnsi="Arial" w:cs="Arial"/>
          <w:sz w:val="23"/>
          <w:szCs w:val="23"/>
        </w:rPr>
      </w:pPr>
      <w:r w:rsidRPr="004D3581">
        <w:rPr>
          <w:rFonts w:ascii="Arial" w:hAnsi="Arial" w:cs="Arial"/>
          <w:sz w:val="23"/>
          <w:szCs w:val="23"/>
        </w:rPr>
        <w:t>Recentemente il Consiglio di Stato ha pubblicato il programma per la nuova legislatura 2019-2023 intitolato “Innovazione, sostenibilità, equità”; un programma ambizioso che vuole fondare le basi per una politica del futuro all’insegna della sostenibilità. Il programma si orienta infatti agli obiettivi fissati dall’Agenda 2030 dell’ONU per lo sviluppo sostenibile, già recepita a livello federale ed ora da applicare anche a livello cantonale e comunale.</w:t>
      </w:r>
    </w:p>
    <w:p w:rsidR="00DA0EEC" w:rsidRPr="004D3581" w:rsidRDefault="00DA0EEC" w:rsidP="00DA0EEC">
      <w:pPr>
        <w:spacing w:after="120" w:line="240" w:lineRule="auto"/>
        <w:jc w:val="both"/>
        <w:rPr>
          <w:rFonts w:ascii="Arial" w:hAnsi="Arial" w:cs="Arial"/>
          <w:sz w:val="23"/>
          <w:szCs w:val="23"/>
        </w:rPr>
      </w:pPr>
      <w:r w:rsidRPr="004D3581">
        <w:rPr>
          <w:rFonts w:ascii="Arial" w:hAnsi="Arial" w:cs="Arial"/>
          <w:sz w:val="23"/>
          <w:szCs w:val="23"/>
        </w:rPr>
        <w:t xml:space="preserve">È quindi fuori di dubbio che il Consiglio di Stato stia prestando maggior attenzione al tema della sostenibilità. Oltre al già citato programma di legislatura con un approccio maggiormente inter- e trans-dipartimentale, ne è testimonianza anche il fatto che in alcune leggi settoriali (ad es. Legge sull’innovazione) il concetto di “sostenibilità” sia stato introdotto e che in sempre più rendiconti di enti parastatali compare il bilancio sociale e ambientale accanto a quello finanziario. </w:t>
      </w:r>
    </w:p>
    <w:p w:rsidR="00DA0EEC" w:rsidRPr="004D3581" w:rsidRDefault="00DA0EEC" w:rsidP="00DA0EEC">
      <w:pPr>
        <w:spacing w:after="120" w:line="240" w:lineRule="auto"/>
        <w:jc w:val="both"/>
        <w:rPr>
          <w:rFonts w:ascii="Arial" w:hAnsi="Arial" w:cs="Arial"/>
          <w:sz w:val="23"/>
          <w:szCs w:val="23"/>
        </w:rPr>
      </w:pPr>
      <w:r w:rsidRPr="004D3581">
        <w:rPr>
          <w:rFonts w:ascii="Arial" w:hAnsi="Arial" w:cs="Arial"/>
          <w:sz w:val="23"/>
          <w:szCs w:val="23"/>
        </w:rPr>
        <w:t xml:space="preserve">Il concetto di sostenibilità contempla la ricerca di un equilibrio tra 3 dimensioni strettamente interconnesse tra di loro, ossia ambiente, società ed economia. Tale equilibrio è da collocare sia nello spazio geografico (diverse società contemporanee in diversi posti del territorio locale e globale), sia nel tempo (diverse società o generazioni in diverse epoche). </w:t>
      </w:r>
    </w:p>
    <w:p w:rsidR="00DA0EEC" w:rsidRDefault="00DA0EEC" w:rsidP="00DA0EEC">
      <w:pPr>
        <w:spacing w:after="0" w:line="240" w:lineRule="auto"/>
        <w:jc w:val="both"/>
        <w:rPr>
          <w:rFonts w:ascii="Arial" w:hAnsi="Arial" w:cs="Arial"/>
          <w:sz w:val="23"/>
          <w:szCs w:val="23"/>
        </w:rPr>
      </w:pPr>
      <w:r w:rsidRPr="004D3581">
        <w:rPr>
          <w:rFonts w:ascii="Arial" w:hAnsi="Arial" w:cs="Arial"/>
          <w:sz w:val="23"/>
          <w:szCs w:val="23"/>
        </w:rPr>
        <w:t xml:space="preserve">Vi sono diversi modelli che tentano di illustrare l’interdipendenza tra queste tre sfere: il più conosciuto è sicuramente il diagramma che rappresenta i tre ambiti come tre anelli di dimensioni uguali che si sovrappongono simmetricamente (Figura 1 a sinistra). </w:t>
      </w:r>
    </w:p>
    <w:p w:rsidR="00DA0EEC" w:rsidRPr="004D3581" w:rsidRDefault="00DA0EEC" w:rsidP="00DA0EEC">
      <w:pPr>
        <w:jc w:val="both"/>
        <w:rPr>
          <w:rFonts w:ascii="Arial" w:hAnsi="Arial" w:cs="Arial"/>
          <w:sz w:val="23"/>
          <w:szCs w:val="23"/>
        </w:rPr>
      </w:pPr>
    </w:p>
    <w:tbl>
      <w:tblPr>
        <w:tblStyle w:val="Grigliatabella"/>
        <w:tblW w:w="0" w:type="auto"/>
        <w:tblLook w:val="04A0" w:firstRow="1" w:lastRow="0" w:firstColumn="1" w:lastColumn="0" w:noHBand="0" w:noVBand="1"/>
      </w:tblPr>
      <w:tblGrid>
        <w:gridCol w:w="4814"/>
        <w:gridCol w:w="4814"/>
      </w:tblGrid>
      <w:tr w:rsidR="00DA0EEC" w:rsidRPr="00BE503E" w:rsidTr="00781BBB">
        <w:tc>
          <w:tcPr>
            <w:tcW w:w="4814" w:type="dxa"/>
          </w:tcPr>
          <w:p w:rsidR="00DA0EEC" w:rsidRDefault="00DA0EEC" w:rsidP="00781BBB">
            <w:pPr>
              <w:rPr>
                <w:rFonts w:ascii="Arial" w:hAnsi="Arial" w:cs="Arial"/>
                <w:sz w:val="24"/>
                <w:szCs w:val="24"/>
              </w:rPr>
            </w:pPr>
            <w:r>
              <w:rPr>
                <w:noProof/>
                <w:lang w:eastAsia="it-CH"/>
              </w:rPr>
              <w:drawing>
                <wp:anchor distT="0" distB="0" distL="114300" distR="114300" simplePos="0" relativeHeight="251659264" behindDoc="0" locked="0" layoutInCell="1" allowOverlap="1" wp14:anchorId="4DE78296" wp14:editId="45899E4A">
                  <wp:simplePos x="0" y="0"/>
                  <wp:positionH relativeFrom="column">
                    <wp:posOffset>88433</wp:posOffset>
                  </wp:positionH>
                  <wp:positionV relativeFrom="paragraph">
                    <wp:posOffset>76871</wp:posOffset>
                  </wp:positionV>
                  <wp:extent cx="2745122" cy="2385676"/>
                  <wp:effectExtent l="0" t="0" r="0" b="0"/>
                  <wp:wrapTopAndBottom/>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5122" cy="2385676"/>
                          </a:xfrm>
                          <a:prstGeom prst="rect">
                            <a:avLst/>
                          </a:prstGeom>
                        </pic:spPr>
                      </pic:pic>
                    </a:graphicData>
                  </a:graphic>
                  <wp14:sizeRelH relativeFrom="margin">
                    <wp14:pctWidth>0</wp14:pctWidth>
                  </wp14:sizeRelH>
                  <wp14:sizeRelV relativeFrom="margin">
                    <wp14:pctHeight>0</wp14:pctHeight>
                  </wp14:sizeRelV>
                </wp:anchor>
              </w:drawing>
            </w:r>
          </w:p>
        </w:tc>
        <w:tc>
          <w:tcPr>
            <w:tcW w:w="4814" w:type="dxa"/>
          </w:tcPr>
          <w:p w:rsidR="00DA0EEC" w:rsidRDefault="00DA0EEC" w:rsidP="00781BBB">
            <w:pPr>
              <w:rPr>
                <w:rFonts w:ascii="Arial" w:hAnsi="Arial" w:cs="Arial"/>
                <w:sz w:val="24"/>
                <w:szCs w:val="24"/>
              </w:rPr>
            </w:pPr>
            <w:r>
              <w:rPr>
                <w:noProof/>
                <w:lang w:eastAsia="it-CH"/>
              </w:rPr>
              <w:drawing>
                <wp:anchor distT="0" distB="0" distL="114300" distR="114300" simplePos="0" relativeHeight="251660288" behindDoc="0" locked="0" layoutInCell="1" allowOverlap="1" wp14:anchorId="4B8A6901" wp14:editId="17EB2953">
                  <wp:simplePos x="0" y="0"/>
                  <wp:positionH relativeFrom="column">
                    <wp:posOffset>183515</wp:posOffset>
                  </wp:positionH>
                  <wp:positionV relativeFrom="paragraph">
                    <wp:posOffset>139700</wp:posOffset>
                  </wp:positionV>
                  <wp:extent cx="2600325" cy="2404745"/>
                  <wp:effectExtent l="0" t="0" r="0" b="0"/>
                  <wp:wrapTopAndBottom/>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3404"/>
                          <a:stretch/>
                        </pic:blipFill>
                        <pic:spPr bwMode="auto">
                          <a:xfrm>
                            <a:off x="0" y="0"/>
                            <a:ext cx="2600325" cy="2404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A0EEC" w:rsidRPr="00BE503E" w:rsidTr="00781BBB">
        <w:tc>
          <w:tcPr>
            <w:tcW w:w="9628" w:type="dxa"/>
            <w:gridSpan w:val="2"/>
          </w:tcPr>
          <w:p w:rsidR="00DA0EEC" w:rsidRDefault="00DA0EEC" w:rsidP="00781BBB">
            <w:pPr>
              <w:jc w:val="center"/>
              <w:rPr>
                <w:rFonts w:ascii="Arial" w:hAnsi="Arial" w:cs="Arial"/>
                <w:sz w:val="24"/>
                <w:szCs w:val="24"/>
              </w:rPr>
            </w:pPr>
            <w:r>
              <w:rPr>
                <w:rFonts w:ascii="Arial" w:hAnsi="Arial" w:cs="Arial"/>
                <w:sz w:val="24"/>
                <w:szCs w:val="24"/>
              </w:rPr>
              <w:t>Figura 1: due modelli di sostenibilità (1).</w:t>
            </w:r>
          </w:p>
        </w:tc>
      </w:tr>
    </w:tbl>
    <w:p w:rsidR="00DA0EEC" w:rsidRDefault="00DA0EEC" w:rsidP="00DA0EEC">
      <w:pPr>
        <w:spacing w:after="0" w:line="240" w:lineRule="auto"/>
        <w:jc w:val="both"/>
        <w:rPr>
          <w:rFonts w:ascii="Arial" w:hAnsi="Arial" w:cs="Arial"/>
          <w:sz w:val="23"/>
          <w:szCs w:val="23"/>
        </w:rPr>
      </w:pPr>
    </w:p>
    <w:p w:rsidR="00DA0EEC" w:rsidRDefault="00DA0EEC" w:rsidP="00DA0EEC">
      <w:pPr>
        <w:spacing w:after="0" w:line="240" w:lineRule="auto"/>
        <w:jc w:val="both"/>
        <w:rPr>
          <w:rFonts w:ascii="Arial" w:hAnsi="Arial" w:cs="Arial"/>
          <w:sz w:val="23"/>
          <w:szCs w:val="23"/>
        </w:rPr>
      </w:pPr>
    </w:p>
    <w:p w:rsidR="00DA0EEC" w:rsidRPr="004D3581" w:rsidRDefault="00DA0EEC" w:rsidP="00DA0EEC">
      <w:pPr>
        <w:spacing w:after="120" w:line="240" w:lineRule="auto"/>
        <w:jc w:val="both"/>
        <w:rPr>
          <w:rFonts w:ascii="Arial" w:hAnsi="Arial" w:cs="Arial"/>
          <w:sz w:val="23"/>
          <w:szCs w:val="23"/>
        </w:rPr>
      </w:pPr>
      <w:r w:rsidRPr="004D3581">
        <w:rPr>
          <w:rFonts w:ascii="Arial" w:hAnsi="Arial" w:cs="Arial"/>
          <w:sz w:val="23"/>
          <w:szCs w:val="23"/>
        </w:rPr>
        <w:t xml:space="preserve">Benché molto popolare, tale modello è però fuorviante, siccome implica che economia e società possano sussistere anche in mancanza del terzo anello, ossia l’ambiente. Ciò è inaccurato, perché se venissero a mancare le basi della vita, assicurate da un ambiente sano, né società né economia sarebbero in grado di esistere. Un modello più realistico in questo senso è quello illustrato nella parte destra della Figura 1. L’anello esterno rappresenta l’ambiente, entro i cui limiti può svilupparsi la società, che pone a sua volta le basi per lo sviluppo dell’economia. Il fatto che la sfera dell’economia sia presentata al centro non vuol dire che essa sia il fulcro della sostenibilità, ma anzi il contrario: essa è l’ultimo ambito di azione, dipendente dal buon funzionamento dei due cerchi esterni. Questa visione olistica, che permette di contestualizzare l’economia all’interno dei confini della società e dell’ambiente e quindi di implementare azioni inter e trans-settoriali per assicurare l’equilibrio tra i diversi ambiti è la chiave della sostenibilità (1). </w:t>
      </w:r>
    </w:p>
    <w:p w:rsidR="00DA0EEC" w:rsidRPr="004D3581" w:rsidRDefault="00DA0EEC" w:rsidP="00DA0EEC">
      <w:pPr>
        <w:spacing w:before="120" w:line="240" w:lineRule="auto"/>
        <w:jc w:val="both"/>
        <w:rPr>
          <w:rFonts w:ascii="Arial" w:hAnsi="Arial" w:cs="Arial"/>
          <w:sz w:val="23"/>
          <w:szCs w:val="23"/>
        </w:rPr>
      </w:pPr>
      <w:r w:rsidRPr="004D3581">
        <w:rPr>
          <w:rFonts w:ascii="Arial" w:hAnsi="Arial" w:cs="Arial"/>
          <w:sz w:val="23"/>
          <w:szCs w:val="23"/>
        </w:rPr>
        <w:t>La politica cantonale mostra però come quando si parla di sostenibilità le azioni siano ancora molto puntuali e settoriali. È inoltre palese come la dimensione economica goda a differenza di quella sociale ed in particolare di quella ecologica di molte attenzioni, apparendo come la dimensione regina. Non è dunque un caso che in Ticino compaia</w:t>
      </w:r>
      <w:r>
        <w:rPr>
          <w:rFonts w:ascii="Arial" w:hAnsi="Arial" w:cs="Arial"/>
          <w:sz w:val="23"/>
          <w:szCs w:val="23"/>
        </w:rPr>
        <w:t>no</w:t>
      </w:r>
      <w:r w:rsidRPr="004D3581">
        <w:rPr>
          <w:rFonts w:ascii="Arial" w:hAnsi="Arial" w:cs="Arial"/>
          <w:sz w:val="23"/>
          <w:szCs w:val="23"/>
        </w:rPr>
        <w:t xml:space="preserve"> un tavolo di lavoro e delle giornate sull’economia, ma non vi sia ancora un corrispettivo per la socialità (su questa dimensione sono pendenti ad esempio mozioni come quella di </w:t>
      </w:r>
      <w:r>
        <w:rPr>
          <w:rFonts w:ascii="Arial" w:hAnsi="Arial" w:cs="Arial"/>
          <w:sz w:val="23"/>
          <w:szCs w:val="23"/>
        </w:rPr>
        <w:t xml:space="preserve">Pelin </w:t>
      </w:r>
      <w:r w:rsidRPr="004D3581">
        <w:rPr>
          <w:rFonts w:ascii="Arial" w:hAnsi="Arial" w:cs="Arial"/>
          <w:sz w:val="23"/>
          <w:szCs w:val="23"/>
        </w:rPr>
        <w:t xml:space="preserve">Kandemir Bordoli </w:t>
      </w:r>
      <w:r w:rsidRPr="004D3581">
        <w:rPr>
          <w:rFonts w:ascii="Arial" w:hAnsi="Arial" w:cs="Arial"/>
          <w:i/>
          <w:iCs/>
          <w:sz w:val="23"/>
          <w:szCs w:val="23"/>
        </w:rPr>
        <w:t>Lotta alla povertà</w:t>
      </w:r>
      <w:r w:rsidRPr="004D3581">
        <w:rPr>
          <w:rFonts w:ascii="Arial" w:hAnsi="Arial" w:cs="Arial"/>
          <w:sz w:val="23"/>
          <w:szCs w:val="23"/>
        </w:rPr>
        <w:t xml:space="preserve"> del 23.10.2007 oppure quella di </w:t>
      </w:r>
      <w:r>
        <w:rPr>
          <w:rFonts w:ascii="Arial" w:hAnsi="Arial" w:cs="Arial"/>
          <w:sz w:val="23"/>
          <w:szCs w:val="23"/>
        </w:rPr>
        <w:t xml:space="preserve">Sergio </w:t>
      </w:r>
      <w:r w:rsidRPr="004D3581">
        <w:rPr>
          <w:rFonts w:ascii="Arial" w:hAnsi="Arial" w:cs="Arial"/>
          <w:sz w:val="23"/>
          <w:szCs w:val="23"/>
        </w:rPr>
        <w:t xml:space="preserve">Morisoli </w:t>
      </w:r>
      <w:r w:rsidRPr="004D3581">
        <w:rPr>
          <w:rFonts w:ascii="Arial" w:hAnsi="Arial" w:cs="Arial"/>
          <w:i/>
          <w:iCs/>
          <w:sz w:val="23"/>
          <w:szCs w:val="23"/>
        </w:rPr>
        <w:t>Benessere e malessere sociale: riformare il “Welfare state” (stato sociale)</w:t>
      </w:r>
      <w:r w:rsidRPr="004D3581">
        <w:rPr>
          <w:rFonts w:ascii="Arial" w:hAnsi="Arial" w:cs="Arial"/>
          <w:sz w:val="23"/>
          <w:szCs w:val="23"/>
        </w:rPr>
        <w:t xml:space="preserve"> del 20.01.2020) e per l’ambiente (su quest’ultimo è in voto proprio in questi giorni la mozione di </w:t>
      </w:r>
      <w:r>
        <w:rPr>
          <w:rFonts w:ascii="Arial" w:hAnsi="Arial" w:cs="Arial"/>
          <w:sz w:val="23"/>
          <w:szCs w:val="23"/>
        </w:rPr>
        <w:t xml:space="preserve">Nicola </w:t>
      </w:r>
      <w:r w:rsidRPr="004D3581">
        <w:rPr>
          <w:rFonts w:ascii="Arial" w:hAnsi="Arial" w:cs="Arial"/>
          <w:sz w:val="23"/>
          <w:szCs w:val="23"/>
        </w:rPr>
        <w:t xml:space="preserve">Pini </w:t>
      </w:r>
      <w:r w:rsidRPr="004D3581">
        <w:rPr>
          <w:rFonts w:ascii="Arial" w:hAnsi="Arial" w:cs="Arial"/>
          <w:i/>
          <w:iCs/>
          <w:sz w:val="23"/>
          <w:szCs w:val="23"/>
        </w:rPr>
        <w:t>Consideriamo l’impatto amb</w:t>
      </w:r>
      <w:r>
        <w:rPr>
          <w:rFonts w:ascii="Arial" w:hAnsi="Arial" w:cs="Arial"/>
          <w:i/>
          <w:iCs/>
          <w:sz w:val="23"/>
          <w:szCs w:val="23"/>
        </w:rPr>
        <w:t xml:space="preserve">ientale delle nostre decisioni </w:t>
      </w:r>
      <w:r w:rsidRPr="004D3581">
        <w:rPr>
          <w:rFonts w:ascii="Arial" w:hAnsi="Arial" w:cs="Arial"/>
          <w:sz w:val="23"/>
          <w:szCs w:val="23"/>
        </w:rPr>
        <w:t>del 18</w:t>
      </w:r>
      <w:r>
        <w:rPr>
          <w:rFonts w:ascii="Arial" w:hAnsi="Arial" w:cs="Arial"/>
          <w:sz w:val="23"/>
          <w:szCs w:val="23"/>
        </w:rPr>
        <w:t>.02.</w:t>
      </w:r>
      <w:r w:rsidRPr="004D3581">
        <w:rPr>
          <w:rFonts w:ascii="Arial" w:hAnsi="Arial" w:cs="Arial"/>
          <w:sz w:val="23"/>
          <w:szCs w:val="23"/>
        </w:rPr>
        <w:t xml:space="preserve">2019). Tutto ciò impedisce di andare ad esplorare e misurare le interazioni tra le singole dimensioni, ovvero come ad esempio l’azione su una determinata dimensione retro-agisce sulle altre e quanto questa azione incida sulla sostenibilità. </w:t>
      </w:r>
    </w:p>
    <w:p w:rsidR="00DA0EEC" w:rsidRPr="004D3581" w:rsidRDefault="00DA0EEC" w:rsidP="00DA0EEC">
      <w:pPr>
        <w:spacing w:after="120" w:line="240" w:lineRule="auto"/>
        <w:jc w:val="both"/>
        <w:rPr>
          <w:rFonts w:ascii="Arial" w:hAnsi="Arial" w:cs="Arial"/>
          <w:sz w:val="23"/>
          <w:szCs w:val="23"/>
        </w:rPr>
      </w:pPr>
      <w:r w:rsidRPr="004D3581">
        <w:rPr>
          <w:rFonts w:ascii="Arial" w:hAnsi="Arial" w:cs="Arial"/>
          <w:sz w:val="23"/>
          <w:szCs w:val="23"/>
        </w:rPr>
        <w:t xml:space="preserve">E dire che il Canton Ticino è stato all’avanguardia in questo ambito, poiché già nel 2002, anticipando in un certo senso le indicazioni della Confederazione, aveva istituito all’interno del Dipartimento del territorio (poi era stato spostato sotto la Cancelleria) un “Gruppo sullo sviluppo sostenibile” (GrussTi) che per poco meno di un decennio aveva avviato questo discorso con interessanti progetti che coinvolgevano più dipartimenti. Inspiegabilmente però questo Gruppo ha cessato la sua attività nel 2010 ed ora se ne sono perse le tracce. </w:t>
      </w:r>
    </w:p>
    <w:p w:rsidR="00DA0EEC" w:rsidRPr="004D3581" w:rsidRDefault="00DA0EEC" w:rsidP="00DA0EEC">
      <w:pPr>
        <w:spacing w:after="120" w:line="240" w:lineRule="auto"/>
        <w:jc w:val="both"/>
        <w:rPr>
          <w:rFonts w:ascii="Arial" w:hAnsi="Arial" w:cs="Arial"/>
          <w:i/>
          <w:iCs/>
          <w:sz w:val="23"/>
          <w:szCs w:val="23"/>
        </w:rPr>
      </w:pPr>
      <w:r w:rsidRPr="004D3581">
        <w:rPr>
          <w:rFonts w:ascii="Arial" w:hAnsi="Arial" w:cs="Arial"/>
          <w:sz w:val="23"/>
          <w:szCs w:val="23"/>
        </w:rPr>
        <w:t>Ciò è tanto</w:t>
      </w:r>
      <w:r>
        <w:rPr>
          <w:rFonts w:ascii="Arial" w:hAnsi="Arial" w:cs="Arial"/>
          <w:sz w:val="23"/>
          <w:szCs w:val="23"/>
        </w:rPr>
        <w:t xml:space="preserve"> </w:t>
      </w:r>
      <w:r w:rsidRPr="004D3581">
        <w:rPr>
          <w:rFonts w:ascii="Arial" w:hAnsi="Arial" w:cs="Arial"/>
          <w:sz w:val="23"/>
          <w:szCs w:val="23"/>
        </w:rPr>
        <w:t>più inspiegabil</w:t>
      </w:r>
      <w:r>
        <w:rPr>
          <w:rFonts w:ascii="Arial" w:hAnsi="Arial" w:cs="Arial"/>
          <w:sz w:val="23"/>
          <w:szCs w:val="23"/>
        </w:rPr>
        <w:t>e</w:t>
      </w:r>
      <w:r w:rsidRPr="004D3581">
        <w:rPr>
          <w:rFonts w:ascii="Arial" w:hAnsi="Arial" w:cs="Arial"/>
          <w:sz w:val="23"/>
          <w:szCs w:val="23"/>
        </w:rPr>
        <w:t xml:space="preserve">, proprio perché la Confederazione dà delle indicazioni precise affinché i Cantoni possano trovare soluzioni che portino alla transizione verso la sostenibilità. Nella Guida per lo Sviluppo sostenibile (2) si afferma infatti che: </w:t>
      </w:r>
      <w:r w:rsidRPr="004D3581">
        <w:rPr>
          <w:rFonts w:ascii="Arial" w:hAnsi="Arial" w:cs="Arial"/>
          <w:i/>
          <w:iCs/>
          <w:sz w:val="23"/>
          <w:szCs w:val="23"/>
        </w:rPr>
        <w:t xml:space="preserve">“Ogni Cantone designa un </w:t>
      </w:r>
      <w:r w:rsidRPr="004D3581">
        <w:rPr>
          <w:rFonts w:ascii="Arial" w:hAnsi="Arial" w:cs="Arial"/>
          <w:b/>
          <w:bCs/>
          <w:i/>
          <w:iCs/>
          <w:sz w:val="23"/>
          <w:szCs w:val="23"/>
        </w:rPr>
        <w:t>organo responsabile</w:t>
      </w:r>
      <w:r w:rsidRPr="004D3581">
        <w:rPr>
          <w:rFonts w:ascii="Arial" w:hAnsi="Arial" w:cs="Arial"/>
          <w:i/>
          <w:iCs/>
          <w:sz w:val="23"/>
          <w:szCs w:val="23"/>
        </w:rPr>
        <w:t xml:space="preserve"> dello sviluppo sostenibile. (…) Gli strumenti e i processi a livello cantonale sono:</w:t>
      </w:r>
    </w:p>
    <w:p w:rsidR="00DA0EEC" w:rsidRPr="004D3581" w:rsidRDefault="00DA0EEC" w:rsidP="00DA0EEC">
      <w:pPr>
        <w:spacing w:after="120" w:line="240" w:lineRule="auto"/>
        <w:ind w:left="142" w:hanging="142"/>
        <w:jc w:val="both"/>
        <w:rPr>
          <w:rFonts w:ascii="Arial" w:hAnsi="Arial" w:cs="Arial"/>
          <w:i/>
          <w:iCs/>
          <w:sz w:val="23"/>
          <w:szCs w:val="23"/>
        </w:rPr>
      </w:pPr>
      <w:r w:rsidRPr="004D3581">
        <w:rPr>
          <w:rFonts w:ascii="Arial" w:hAnsi="Arial" w:cs="Arial"/>
          <w:i/>
          <w:iCs/>
          <w:sz w:val="23"/>
          <w:szCs w:val="23"/>
        </w:rPr>
        <w:t>– integrazione del concetto di sviluppo sostenibile nella costituzione cantonale o nelle leggi cantonali;</w:t>
      </w:r>
    </w:p>
    <w:p w:rsidR="00DA0EEC" w:rsidRPr="004D3581" w:rsidRDefault="00DA0EEC" w:rsidP="00DA0EEC">
      <w:pPr>
        <w:autoSpaceDE w:val="0"/>
        <w:autoSpaceDN w:val="0"/>
        <w:adjustRightInd w:val="0"/>
        <w:spacing w:after="120" w:line="240" w:lineRule="auto"/>
        <w:ind w:left="142" w:hanging="142"/>
        <w:rPr>
          <w:rFonts w:ascii="Arial" w:hAnsi="Arial" w:cs="Arial"/>
          <w:i/>
          <w:iCs/>
          <w:sz w:val="23"/>
          <w:szCs w:val="23"/>
        </w:rPr>
      </w:pPr>
      <w:r w:rsidRPr="004D3581">
        <w:rPr>
          <w:rFonts w:ascii="Arial" w:hAnsi="Arial" w:cs="Arial"/>
          <w:i/>
          <w:iCs/>
          <w:sz w:val="23"/>
          <w:szCs w:val="23"/>
        </w:rPr>
        <w:t>– integrazione dello sviluppo sostenibile nel Piano direttore cantonale;</w:t>
      </w:r>
    </w:p>
    <w:p w:rsidR="00DA0EEC" w:rsidRPr="004D3581" w:rsidRDefault="00DA0EEC" w:rsidP="00DA0EEC">
      <w:pPr>
        <w:autoSpaceDE w:val="0"/>
        <w:autoSpaceDN w:val="0"/>
        <w:adjustRightInd w:val="0"/>
        <w:spacing w:after="120" w:line="240" w:lineRule="auto"/>
        <w:ind w:left="142" w:hanging="142"/>
        <w:rPr>
          <w:rFonts w:ascii="Arial" w:hAnsi="Arial" w:cs="Arial"/>
          <w:i/>
          <w:iCs/>
          <w:sz w:val="23"/>
          <w:szCs w:val="23"/>
        </w:rPr>
      </w:pPr>
      <w:r w:rsidRPr="004D3581">
        <w:rPr>
          <w:rFonts w:ascii="Arial" w:hAnsi="Arial" w:cs="Arial"/>
          <w:i/>
          <w:iCs/>
          <w:sz w:val="23"/>
          <w:szCs w:val="23"/>
        </w:rPr>
        <w:t>– prioritizzazione dello sviluppo sostenibile nelle linee direttive del governo;</w:t>
      </w:r>
    </w:p>
    <w:p w:rsidR="00DA0EEC" w:rsidRPr="004D3581" w:rsidRDefault="00DA0EEC" w:rsidP="00DA0EEC">
      <w:pPr>
        <w:autoSpaceDE w:val="0"/>
        <w:autoSpaceDN w:val="0"/>
        <w:adjustRightInd w:val="0"/>
        <w:spacing w:after="120" w:line="240" w:lineRule="auto"/>
        <w:ind w:left="142" w:hanging="142"/>
        <w:rPr>
          <w:rFonts w:ascii="Arial" w:hAnsi="Arial" w:cs="Arial"/>
          <w:i/>
          <w:iCs/>
          <w:sz w:val="23"/>
          <w:szCs w:val="23"/>
        </w:rPr>
      </w:pPr>
      <w:r w:rsidRPr="004D3581">
        <w:rPr>
          <w:rFonts w:ascii="Arial" w:hAnsi="Arial" w:cs="Arial"/>
          <w:i/>
          <w:iCs/>
          <w:sz w:val="23"/>
          <w:szCs w:val="23"/>
        </w:rPr>
        <w:t>– strategia cantonale per uno sviluppo sostenibile oppure Agenda 21 come programma d’azione;</w:t>
      </w:r>
    </w:p>
    <w:p w:rsidR="00DA0EEC" w:rsidRPr="004D3581" w:rsidRDefault="00DA0EEC" w:rsidP="00DA0EEC">
      <w:pPr>
        <w:autoSpaceDE w:val="0"/>
        <w:autoSpaceDN w:val="0"/>
        <w:adjustRightInd w:val="0"/>
        <w:spacing w:after="120" w:line="240" w:lineRule="auto"/>
        <w:ind w:left="142" w:hanging="142"/>
        <w:rPr>
          <w:rFonts w:ascii="Arial" w:hAnsi="Arial" w:cs="Arial"/>
          <w:i/>
          <w:iCs/>
          <w:sz w:val="23"/>
          <w:szCs w:val="23"/>
        </w:rPr>
      </w:pPr>
      <w:r w:rsidRPr="004D3581">
        <w:rPr>
          <w:rFonts w:ascii="Arial" w:hAnsi="Arial" w:cs="Arial"/>
          <w:i/>
          <w:iCs/>
          <w:sz w:val="23"/>
          <w:szCs w:val="23"/>
        </w:rPr>
        <w:t>– integrazione dello sviluppo sostenibile nella gestione delle politiche;</w:t>
      </w:r>
    </w:p>
    <w:p w:rsidR="00DA0EEC" w:rsidRPr="004D3581" w:rsidRDefault="00DA0EEC" w:rsidP="00DA0EEC">
      <w:pPr>
        <w:autoSpaceDE w:val="0"/>
        <w:autoSpaceDN w:val="0"/>
        <w:adjustRightInd w:val="0"/>
        <w:spacing w:after="120" w:line="240" w:lineRule="auto"/>
        <w:ind w:left="142" w:hanging="142"/>
        <w:rPr>
          <w:rFonts w:ascii="Arial" w:hAnsi="Arial" w:cs="Arial"/>
          <w:i/>
          <w:iCs/>
          <w:sz w:val="23"/>
          <w:szCs w:val="23"/>
        </w:rPr>
      </w:pPr>
      <w:r w:rsidRPr="004D3581">
        <w:rPr>
          <w:rFonts w:ascii="Arial" w:hAnsi="Arial" w:cs="Arial"/>
          <w:i/>
          <w:iCs/>
          <w:sz w:val="23"/>
          <w:szCs w:val="23"/>
        </w:rPr>
        <w:t>– sostegno allo sviluppo sostenibile a livello dei Comuni;</w:t>
      </w:r>
    </w:p>
    <w:p w:rsidR="00DA0EEC" w:rsidRPr="004D3581" w:rsidRDefault="00DA0EEC" w:rsidP="00DA0EEC">
      <w:pPr>
        <w:autoSpaceDE w:val="0"/>
        <w:autoSpaceDN w:val="0"/>
        <w:adjustRightInd w:val="0"/>
        <w:spacing w:after="0" w:line="240" w:lineRule="auto"/>
        <w:ind w:left="142" w:hanging="142"/>
        <w:rPr>
          <w:rFonts w:ascii="Arial" w:hAnsi="Arial" w:cs="Arial"/>
          <w:i/>
          <w:iCs/>
          <w:sz w:val="23"/>
          <w:szCs w:val="23"/>
        </w:rPr>
      </w:pPr>
      <w:r w:rsidRPr="004D3581">
        <w:rPr>
          <w:rFonts w:ascii="Arial" w:hAnsi="Arial" w:cs="Arial"/>
          <w:i/>
          <w:iCs/>
          <w:sz w:val="23"/>
          <w:szCs w:val="23"/>
        </w:rPr>
        <w:t>– impiego e potenziamento degli strumenti per la valutazione dello sviluppo sostenibile in seno all’amministrazione cantonale.”</w:t>
      </w:r>
    </w:p>
    <w:p w:rsidR="00DA0EEC" w:rsidRPr="004D3581" w:rsidRDefault="00DA0EEC" w:rsidP="00DA0EEC">
      <w:pPr>
        <w:spacing w:after="0" w:line="240" w:lineRule="auto"/>
        <w:rPr>
          <w:rFonts w:ascii="Arial" w:hAnsi="Arial" w:cs="Arial"/>
          <w:sz w:val="23"/>
          <w:szCs w:val="23"/>
        </w:rPr>
      </w:pPr>
    </w:p>
    <w:p w:rsidR="00DA0EEC" w:rsidRDefault="00DA0EEC" w:rsidP="00DA0EEC">
      <w:pPr>
        <w:spacing w:after="0" w:line="240" w:lineRule="auto"/>
        <w:jc w:val="both"/>
        <w:rPr>
          <w:rFonts w:ascii="Arial" w:hAnsi="Arial" w:cs="Arial"/>
          <w:sz w:val="23"/>
          <w:szCs w:val="23"/>
        </w:rPr>
      </w:pPr>
      <w:r w:rsidRPr="004D3581">
        <w:rPr>
          <w:rFonts w:ascii="Arial" w:hAnsi="Arial" w:cs="Arial"/>
          <w:sz w:val="23"/>
          <w:szCs w:val="23"/>
        </w:rPr>
        <w:t xml:space="preserve">Certamente alcuni punti sono ormai superati, poiché come precedentemente detto il concetto di sostenibilità è stato inserito nella Costituzione cantonale e recepito da alcune leggi. Tuttavia ora si tratta di affrontare il lavoro difficile, ovvero quello di sostanziare e misurare la sostenibilità a livello globale e a livello locale (settoriale). </w:t>
      </w:r>
    </w:p>
    <w:p w:rsidR="00DA0EEC" w:rsidRPr="004D3581" w:rsidRDefault="00DA0EEC" w:rsidP="00DA0EEC">
      <w:pPr>
        <w:spacing w:after="0" w:line="240" w:lineRule="auto"/>
        <w:jc w:val="both"/>
        <w:rPr>
          <w:rFonts w:ascii="Arial" w:hAnsi="Arial" w:cs="Arial"/>
          <w:sz w:val="23"/>
          <w:szCs w:val="23"/>
        </w:rPr>
      </w:pPr>
    </w:p>
    <w:p w:rsidR="00DA0EEC" w:rsidRPr="004D3581" w:rsidRDefault="00DA0EEC" w:rsidP="00DA0EEC">
      <w:pPr>
        <w:spacing w:after="120" w:line="240" w:lineRule="auto"/>
        <w:rPr>
          <w:rFonts w:ascii="Arial" w:hAnsi="Arial" w:cs="Arial"/>
          <w:sz w:val="23"/>
          <w:szCs w:val="23"/>
        </w:rPr>
      </w:pPr>
      <w:r w:rsidRPr="004D3581">
        <w:rPr>
          <w:rFonts w:ascii="Arial" w:hAnsi="Arial" w:cs="Arial"/>
          <w:sz w:val="23"/>
          <w:szCs w:val="23"/>
        </w:rPr>
        <w:t xml:space="preserve">I tal senso i mozionanti chiedono al Consiglio di Stato di riattivare un </w:t>
      </w:r>
      <w:r w:rsidRPr="004D3581">
        <w:rPr>
          <w:rFonts w:ascii="Arial" w:hAnsi="Arial" w:cs="Arial"/>
          <w:sz w:val="23"/>
          <w:szCs w:val="23"/>
          <w:u w:val="single"/>
        </w:rPr>
        <w:t>organo responsabile</w:t>
      </w:r>
      <w:r w:rsidRPr="004D3581">
        <w:rPr>
          <w:rFonts w:ascii="Arial" w:hAnsi="Arial" w:cs="Arial"/>
          <w:sz w:val="23"/>
          <w:szCs w:val="23"/>
        </w:rPr>
        <w:t xml:space="preserve"> per lo sviluppo sostenibile che:</w:t>
      </w:r>
    </w:p>
    <w:p w:rsidR="00DA0EEC" w:rsidRPr="004D3581" w:rsidRDefault="00DA0EEC" w:rsidP="00DA0EEC">
      <w:pPr>
        <w:pStyle w:val="Paragrafoelenco"/>
        <w:numPr>
          <w:ilvl w:val="0"/>
          <w:numId w:val="20"/>
        </w:numPr>
        <w:suppressAutoHyphens w:val="0"/>
        <w:spacing w:before="120" w:after="0" w:line="240" w:lineRule="auto"/>
        <w:ind w:left="284" w:hanging="284"/>
        <w:jc w:val="both"/>
        <w:rPr>
          <w:rFonts w:ascii="Arial" w:hAnsi="Arial" w:cs="Arial"/>
          <w:bCs/>
          <w:sz w:val="23"/>
          <w:szCs w:val="23"/>
        </w:rPr>
      </w:pPr>
      <w:r w:rsidRPr="004D3581">
        <w:rPr>
          <w:rFonts w:ascii="Arial" w:hAnsi="Arial" w:cs="Arial"/>
          <w:bCs/>
          <w:sz w:val="23"/>
          <w:szCs w:val="23"/>
        </w:rPr>
        <w:t>si occupi di selezionare e impiegare strumenti certificati che permettano di monitorare, misurare e valutare le politiche cantonali di sviluppo sostenibile e la loro evoluzione nel tempo, indicando laddove necessario possibili correttivi;</w:t>
      </w:r>
    </w:p>
    <w:p w:rsidR="00DA0EEC" w:rsidRPr="004D3581" w:rsidRDefault="00DA0EEC" w:rsidP="00DA0EEC">
      <w:pPr>
        <w:pStyle w:val="Paragrafoelenco"/>
        <w:numPr>
          <w:ilvl w:val="0"/>
          <w:numId w:val="20"/>
        </w:numPr>
        <w:suppressAutoHyphens w:val="0"/>
        <w:spacing w:before="120" w:after="0" w:line="240" w:lineRule="auto"/>
        <w:ind w:left="284" w:hanging="284"/>
        <w:jc w:val="both"/>
        <w:rPr>
          <w:rFonts w:ascii="Arial" w:hAnsi="Arial" w:cs="Arial"/>
          <w:bCs/>
          <w:sz w:val="23"/>
          <w:szCs w:val="23"/>
        </w:rPr>
      </w:pPr>
      <w:r w:rsidRPr="004D3581">
        <w:rPr>
          <w:rFonts w:ascii="Arial" w:hAnsi="Arial" w:cs="Arial"/>
          <w:bCs/>
          <w:sz w:val="23"/>
          <w:szCs w:val="23"/>
        </w:rPr>
        <w:t>si occupi di supervisionare e integrare ove necessario la sostenibilità nelle diverse politiche settoriali dei vari dipartimenti;</w:t>
      </w:r>
    </w:p>
    <w:p w:rsidR="00DA0EEC" w:rsidRPr="004D3581" w:rsidRDefault="00DA0EEC" w:rsidP="00DA0EEC">
      <w:pPr>
        <w:pStyle w:val="Paragrafoelenco"/>
        <w:numPr>
          <w:ilvl w:val="0"/>
          <w:numId w:val="20"/>
        </w:numPr>
        <w:suppressAutoHyphens w:val="0"/>
        <w:spacing w:before="120" w:after="0" w:line="240" w:lineRule="auto"/>
        <w:ind w:left="284" w:hanging="284"/>
        <w:jc w:val="both"/>
        <w:rPr>
          <w:rFonts w:ascii="Arial" w:hAnsi="Arial" w:cs="Arial"/>
          <w:bCs/>
          <w:sz w:val="23"/>
          <w:szCs w:val="23"/>
        </w:rPr>
      </w:pPr>
      <w:r w:rsidRPr="004D3581">
        <w:rPr>
          <w:rFonts w:ascii="Arial" w:hAnsi="Arial" w:cs="Arial"/>
          <w:bCs/>
          <w:sz w:val="23"/>
          <w:szCs w:val="23"/>
        </w:rPr>
        <w:t>fornisca supporto tecnico ai Comuni per l’implementazione anche a quel livello di una politica sostenibile (ad esempio attraverso bilanci di sostenibilità);</w:t>
      </w:r>
    </w:p>
    <w:p w:rsidR="00DA0EEC" w:rsidRPr="004D3581" w:rsidRDefault="00DA0EEC" w:rsidP="00DA0EEC">
      <w:pPr>
        <w:pStyle w:val="Paragrafoelenco"/>
        <w:numPr>
          <w:ilvl w:val="0"/>
          <w:numId w:val="20"/>
        </w:numPr>
        <w:suppressAutoHyphens w:val="0"/>
        <w:spacing w:before="120" w:after="0" w:line="240" w:lineRule="auto"/>
        <w:ind w:left="284" w:hanging="284"/>
        <w:jc w:val="both"/>
        <w:rPr>
          <w:rFonts w:ascii="Arial" w:hAnsi="Arial" w:cs="Arial"/>
          <w:bCs/>
          <w:sz w:val="23"/>
          <w:szCs w:val="23"/>
        </w:rPr>
      </w:pPr>
      <w:r w:rsidRPr="004D3581">
        <w:rPr>
          <w:rFonts w:ascii="Arial" w:hAnsi="Arial" w:cs="Arial"/>
          <w:bCs/>
          <w:sz w:val="23"/>
          <w:szCs w:val="23"/>
        </w:rPr>
        <w:t>sia inter- e trans-dipartimentale, abbia una sua autonomia (budget proprio) e si avvalga di esperti esterni (ad es. SUPSI, USI o altri) che ne garantisca</w:t>
      </w:r>
      <w:r>
        <w:rPr>
          <w:rFonts w:ascii="Arial" w:hAnsi="Arial" w:cs="Arial"/>
          <w:bCs/>
          <w:sz w:val="23"/>
          <w:szCs w:val="23"/>
        </w:rPr>
        <w:t>no</w:t>
      </w:r>
      <w:r w:rsidRPr="004D3581">
        <w:rPr>
          <w:rFonts w:ascii="Arial" w:hAnsi="Arial" w:cs="Arial"/>
          <w:bCs/>
          <w:sz w:val="23"/>
          <w:szCs w:val="23"/>
        </w:rPr>
        <w:t xml:space="preserve"> supporto e assurance esterna;</w:t>
      </w:r>
    </w:p>
    <w:p w:rsidR="00DA0EEC" w:rsidRPr="004D3581" w:rsidRDefault="00DA0EEC" w:rsidP="00DA0EEC">
      <w:pPr>
        <w:pStyle w:val="Paragrafoelenco"/>
        <w:numPr>
          <w:ilvl w:val="0"/>
          <w:numId w:val="20"/>
        </w:numPr>
        <w:suppressAutoHyphens w:val="0"/>
        <w:spacing w:before="120" w:after="0" w:line="240" w:lineRule="auto"/>
        <w:ind w:left="284" w:hanging="284"/>
        <w:jc w:val="both"/>
        <w:rPr>
          <w:rFonts w:ascii="Arial" w:hAnsi="Arial" w:cs="Arial"/>
          <w:bCs/>
          <w:sz w:val="23"/>
          <w:szCs w:val="23"/>
        </w:rPr>
      </w:pPr>
      <w:r w:rsidRPr="004D3581">
        <w:rPr>
          <w:rFonts w:ascii="Arial" w:hAnsi="Arial" w:cs="Arial"/>
          <w:bCs/>
          <w:sz w:val="23"/>
          <w:szCs w:val="23"/>
        </w:rPr>
        <w:t>si faccia promotore dell’istituzione di un tavolo e di giornate di lavoro sulla sostenibilità mettendo in dialogo ambiente, società e</w:t>
      </w:r>
      <w:r>
        <w:rPr>
          <w:rFonts w:ascii="Arial" w:hAnsi="Arial" w:cs="Arial"/>
          <w:bCs/>
          <w:sz w:val="23"/>
          <w:szCs w:val="23"/>
        </w:rPr>
        <w:t>d</w:t>
      </w:r>
      <w:r w:rsidRPr="004D3581">
        <w:rPr>
          <w:rFonts w:ascii="Arial" w:hAnsi="Arial" w:cs="Arial"/>
          <w:bCs/>
          <w:sz w:val="23"/>
          <w:szCs w:val="23"/>
        </w:rPr>
        <w:t xml:space="preserve"> economia;</w:t>
      </w:r>
    </w:p>
    <w:p w:rsidR="00DA0EEC" w:rsidRPr="004D3581" w:rsidRDefault="00DA0EEC" w:rsidP="00DA0EEC">
      <w:pPr>
        <w:pStyle w:val="Paragrafoelenco"/>
        <w:numPr>
          <w:ilvl w:val="0"/>
          <w:numId w:val="20"/>
        </w:numPr>
        <w:suppressAutoHyphens w:val="0"/>
        <w:spacing w:before="120" w:after="0" w:line="240" w:lineRule="auto"/>
        <w:ind w:left="284" w:hanging="284"/>
        <w:jc w:val="both"/>
        <w:rPr>
          <w:rFonts w:ascii="Arial" w:hAnsi="Arial" w:cs="Arial"/>
          <w:bCs/>
          <w:sz w:val="23"/>
          <w:szCs w:val="23"/>
        </w:rPr>
      </w:pPr>
      <w:r w:rsidRPr="004D3581">
        <w:rPr>
          <w:rFonts w:ascii="Arial" w:hAnsi="Arial" w:cs="Arial"/>
          <w:bCs/>
          <w:sz w:val="23"/>
          <w:szCs w:val="23"/>
        </w:rPr>
        <w:t>renda conto a Consiglio di Stato e Gran Consiglio delle proprie attività e dello stato dei lavori verso la sostenibilità.</w:t>
      </w:r>
    </w:p>
    <w:p w:rsidR="00DA0EEC" w:rsidRPr="004D3581" w:rsidRDefault="00DA0EEC" w:rsidP="00DA0EEC">
      <w:pPr>
        <w:spacing w:after="0" w:line="240" w:lineRule="auto"/>
        <w:rPr>
          <w:rFonts w:ascii="Arial" w:hAnsi="Arial" w:cs="Arial"/>
          <w:sz w:val="23"/>
          <w:szCs w:val="23"/>
        </w:rPr>
      </w:pPr>
    </w:p>
    <w:p w:rsidR="00DA0EEC" w:rsidRPr="004D3581" w:rsidRDefault="00DA0EEC" w:rsidP="00DA0EEC">
      <w:pPr>
        <w:spacing w:after="0" w:line="240" w:lineRule="auto"/>
        <w:rPr>
          <w:rFonts w:ascii="Arial" w:hAnsi="Arial" w:cs="Arial"/>
          <w:sz w:val="23"/>
          <w:szCs w:val="23"/>
        </w:rPr>
      </w:pPr>
    </w:p>
    <w:p w:rsidR="00DA0EEC" w:rsidRPr="004D3581" w:rsidRDefault="00DA0EEC" w:rsidP="00DA0EEC">
      <w:pPr>
        <w:spacing w:after="0" w:line="240" w:lineRule="auto"/>
        <w:rPr>
          <w:rFonts w:ascii="Arial" w:hAnsi="Arial" w:cs="Arial"/>
          <w:sz w:val="23"/>
          <w:szCs w:val="23"/>
        </w:rPr>
      </w:pPr>
      <w:r w:rsidRPr="004D3581">
        <w:rPr>
          <w:rFonts w:ascii="Arial" w:hAnsi="Arial" w:cs="Arial"/>
          <w:sz w:val="23"/>
          <w:szCs w:val="23"/>
        </w:rPr>
        <w:t>Per i</w:t>
      </w:r>
      <w:r>
        <w:rPr>
          <w:rFonts w:ascii="Arial" w:hAnsi="Arial" w:cs="Arial"/>
          <w:sz w:val="23"/>
          <w:szCs w:val="23"/>
        </w:rPr>
        <w:t>l Gruppo I</w:t>
      </w:r>
      <w:r w:rsidRPr="004D3581">
        <w:rPr>
          <w:rFonts w:ascii="Arial" w:hAnsi="Arial" w:cs="Arial"/>
          <w:sz w:val="23"/>
          <w:szCs w:val="23"/>
        </w:rPr>
        <w:t xml:space="preserve"> Verdi del Ticino </w:t>
      </w:r>
    </w:p>
    <w:p w:rsidR="00DA0EEC" w:rsidRPr="004D3581" w:rsidRDefault="00DA0EEC" w:rsidP="00DA0EEC">
      <w:pPr>
        <w:spacing w:after="0" w:line="240" w:lineRule="auto"/>
        <w:rPr>
          <w:rFonts w:ascii="Arial" w:hAnsi="Arial" w:cs="Arial"/>
          <w:sz w:val="23"/>
          <w:szCs w:val="23"/>
        </w:rPr>
      </w:pPr>
      <w:r w:rsidRPr="004D3581">
        <w:rPr>
          <w:rFonts w:ascii="Arial" w:hAnsi="Arial" w:cs="Arial"/>
          <w:sz w:val="23"/>
          <w:szCs w:val="23"/>
        </w:rPr>
        <w:t>Marco Noi</w:t>
      </w:r>
    </w:p>
    <w:p w:rsidR="00DA0EEC" w:rsidRPr="004D3581" w:rsidRDefault="00DA0EEC" w:rsidP="00DA0EEC">
      <w:pPr>
        <w:spacing w:after="0" w:line="240" w:lineRule="auto"/>
        <w:rPr>
          <w:rFonts w:ascii="Arial" w:hAnsi="Arial" w:cs="Arial"/>
          <w:sz w:val="23"/>
          <w:szCs w:val="23"/>
        </w:rPr>
      </w:pPr>
      <w:r w:rsidRPr="004D3581">
        <w:rPr>
          <w:rFonts w:ascii="Arial" w:hAnsi="Arial" w:cs="Arial"/>
          <w:sz w:val="23"/>
          <w:szCs w:val="23"/>
        </w:rPr>
        <w:t xml:space="preserve">Crivelli Barella - Bourgoin - Gardenghi - </w:t>
      </w:r>
    </w:p>
    <w:p w:rsidR="00DA0EEC" w:rsidRPr="004D3581" w:rsidRDefault="00DA0EEC" w:rsidP="00DA0EEC">
      <w:pPr>
        <w:spacing w:after="0" w:line="240" w:lineRule="auto"/>
        <w:rPr>
          <w:rFonts w:ascii="Arial" w:hAnsi="Arial" w:cs="Arial"/>
          <w:sz w:val="23"/>
          <w:szCs w:val="23"/>
        </w:rPr>
      </w:pPr>
      <w:r w:rsidRPr="004D3581">
        <w:rPr>
          <w:rFonts w:ascii="Arial" w:hAnsi="Arial" w:cs="Arial"/>
          <w:sz w:val="23"/>
          <w:szCs w:val="23"/>
        </w:rPr>
        <w:t>Schoenenberger - Stephani</w:t>
      </w:r>
    </w:p>
    <w:p w:rsidR="00DA0EEC" w:rsidRPr="006A5EE7" w:rsidRDefault="00DA0EEC" w:rsidP="00DA0EEC">
      <w:pPr>
        <w:spacing w:after="0" w:line="240" w:lineRule="auto"/>
        <w:rPr>
          <w:rFonts w:ascii="Arial" w:hAnsi="Arial" w:cs="Arial"/>
          <w:sz w:val="23"/>
          <w:szCs w:val="23"/>
        </w:rPr>
      </w:pPr>
    </w:p>
    <w:p w:rsidR="00DA0EEC" w:rsidRPr="006A5EE7" w:rsidRDefault="00DA0EEC" w:rsidP="00DA0EEC">
      <w:pPr>
        <w:spacing w:after="0" w:line="240" w:lineRule="auto"/>
        <w:rPr>
          <w:rFonts w:ascii="Arial" w:hAnsi="Arial" w:cs="Arial"/>
          <w:sz w:val="23"/>
          <w:szCs w:val="23"/>
        </w:rPr>
      </w:pPr>
    </w:p>
    <w:p w:rsidR="00DA0EEC" w:rsidRPr="006A5EE7"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3"/>
          <w:szCs w:val="23"/>
        </w:rPr>
      </w:pPr>
    </w:p>
    <w:p w:rsidR="00DA0EEC" w:rsidRPr="006A5EE7" w:rsidRDefault="00DA0EEC" w:rsidP="00DA0EEC">
      <w:pPr>
        <w:spacing w:after="0" w:line="240" w:lineRule="auto"/>
        <w:rPr>
          <w:rFonts w:ascii="Arial" w:hAnsi="Arial" w:cs="Arial"/>
          <w:sz w:val="23"/>
          <w:szCs w:val="23"/>
        </w:rPr>
      </w:pPr>
    </w:p>
    <w:p w:rsidR="00DA0EEC" w:rsidRPr="006A5EE7" w:rsidRDefault="00DA0EEC" w:rsidP="00DA0EEC">
      <w:pPr>
        <w:spacing w:after="0" w:line="240" w:lineRule="auto"/>
        <w:rPr>
          <w:rFonts w:ascii="Arial" w:hAnsi="Arial" w:cs="Arial"/>
          <w:sz w:val="23"/>
          <w:szCs w:val="23"/>
        </w:rPr>
      </w:pPr>
    </w:p>
    <w:p w:rsidR="00DA0EEC" w:rsidRPr="006A5EE7" w:rsidRDefault="00DA0EEC" w:rsidP="00DA0EEC">
      <w:pPr>
        <w:spacing w:after="0" w:line="240" w:lineRule="auto"/>
        <w:rPr>
          <w:rFonts w:ascii="Arial" w:hAnsi="Arial" w:cs="Arial"/>
          <w:sz w:val="23"/>
          <w:szCs w:val="23"/>
        </w:rPr>
      </w:pPr>
    </w:p>
    <w:p w:rsidR="00DA0EEC" w:rsidRDefault="00DA0EEC" w:rsidP="00DA0EEC">
      <w:pPr>
        <w:spacing w:after="0" w:line="240" w:lineRule="auto"/>
        <w:rPr>
          <w:rFonts w:ascii="Arial" w:hAnsi="Arial" w:cs="Arial"/>
          <w:sz w:val="24"/>
          <w:szCs w:val="24"/>
        </w:rPr>
      </w:pPr>
      <w:r>
        <w:rPr>
          <w:rFonts w:ascii="Arial" w:hAnsi="Arial" w:cs="Arial"/>
          <w:sz w:val="24"/>
          <w:szCs w:val="24"/>
        </w:rPr>
        <w:t>Bibliografia:</w:t>
      </w:r>
    </w:p>
    <w:p w:rsidR="00DA0EEC" w:rsidRDefault="00DA0EEC" w:rsidP="00DA0EEC">
      <w:pPr>
        <w:spacing w:after="0" w:line="240" w:lineRule="auto"/>
        <w:rPr>
          <w:rFonts w:ascii="Arial" w:hAnsi="Arial" w:cs="Arial"/>
          <w:sz w:val="24"/>
          <w:szCs w:val="24"/>
        </w:rPr>
      </w:pPr>
    </w:p>
    <w:p w:rsidR="00DA0EEC" w:rsidRPr="004D3581" w:rsidRDefault="00DA0EEC" w:rsidP="00DA0EEC">
      <w:pPr>
        <w:pStyle w:val="Paragrafoelenco"/>
        <w:numPr>
          <w:ilvl w:val="0"/>
          <w:numId w:val="19"/>
        </w:numPr>
        <w:suppressAutoHyphens w:val="0"/>
        <w:spacing w:after="0" w:line="240" w:lineRule="auto"/>
        <w:ind w:left="567" w:hanging="567"/>
        <w:contextualSpacing/>
        <w:jc w:val="both"/>
        <w:rPr>
          <w:rFonts w:ascii="Arial" w:hAnsi="Arial" w:cs="Arial"/>
          <w:lang w:val="en-GB"/>
        </w:rPr>
      </w:pPr>
      <w:r w:rsidRPr="004D3581">
        <w:rPr>
          <w:rFonts w:ascii="Arial" w:hAnsi="Arial" w:cs="Arial"/>
          <w:i/>
          <w:iCs/>
          <w:lang w:val="en-GB"/>
        </w:rPr>
        <w:t>“Environment, economy and society: fitting them together into sustainable development</w:t>
      </w:r>
      <w:r w:rsidRPr="004D3581">
        <w:rPr>
          <w:rFonts w:ascii="Arial" w:hAnsi="Arial" w:cs="Arial"/>
          <w:lang w:val="en-GB"/>
        </w:rPr>
        <w:t>”, Bob Giddings, Bill Hopwood, Geoff O’Brien, Wiley InterScience, 2002</w:t>
      </w:r>
    </w:p>
    <w:p w:rsidR="00DA0EEC" w:rsidRPr="004D3581" w:rsidRDefault="00DA0EEC" w:rsidP="00DA0EEC">
      <w:pPr>
        <w:pStyle w:val="Paragrafoelenco"/>
        <w:numPr>
          <w:ilvl w:val="0"/>
          <w:numId w:val="19"/>
        </w:numPr>
        <w:suppressAutoHyphens w:val="0"/>
        <w:spacing w:after="0" w:line="240" w:lineRule="auto"/>
        <w:ind w:left="567" w:hanging="567"/>
        <w:contextualSpacing/>
        <w:jc w:val="both"/>
        <w:rPr>
          <w:rFonts w:ascii="Arial" w:hAnsi="Arial" w:cs="Arial"/>
        </w:rPr>
      </w:pPr>
      <w:r w:rsidRPr="004D3581">
        <w:rPr>
          <w:rFonts w:ascii="Arial" w:hAnsi="Arial" w:cs="Arial"/>
          <w:i/>
          <w:iCs/>
        </w:rPr>
        <w:t xml:space="preserve">“Sviluppo sostenibile in Svizzera – Una guida”, </w:t>
      </w:r>
      <w:r w:rsidRPr="004D3581">
        <w:rPr>
          <w:rFonts w:ascii="Arial" w:hAnsi="Arial" w:cs="Arial"/>
        </w:rPr>
        <w:t xml:space="preserve">Ufficio Federale per lo Sviluppo Territoriale ARE, 2012; pp 35-36; </w:t>
      </w:r>
      <w:hyperlink r:id="rId9" w:history="1">
        <w:r w:rsidRPr="004D3581">
          <w:rPr>
            <w:rStyle w:val="Collegamentoipertestuale"/>
            <w:rFonts w:ascii="Arial" w:hAnsi="Arial" w:cs="Arial"/>
          </w:rPr>
          <w:t>https://www.are.admin.ch/are/it/home/media-e-pubblicazioni/</w:t>
        </w:r>
        <w:r>
          <w:rPr>
            <w:rStyle w:val="Collegamentoipertestuale"/>
            <w:rFonts w:ascii="Arial" w:hAnsi="Arial" w:cs="Arial"/>
          </w:rPr>
          <w:t xml:space="preserve"> </w:t>
        </w:r>
        <w:r w:rsidRPr="004D3581">
          <w:rPr>
            <w:rStyle w:val="Collegamentoipertestuale"/>
            <w:rFonts w:ascii="Arial" w:hAnsi="Arial" w:cs="Arial"/>
          </w:rPr>
          <w:t>pubblicazioni/sviluppo-sostenibile/nachhaltige-entwicklung-in-der-schweiz-ein-wegweiser.html</w:t>
        </w:r>
      </w:hyperlink>
      <w:bookmarkStart w:id="0" w:name="_GoBack"/>
      <w:bookmarkEnd w:id="0"/>
    </w:p>
    <w:sectPr w:rsidR="00DA0EEC" w:rsidRPr="004D3581" w:rsidSect="0052362F">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3B2F" w:rsidRDefault="00903B2F" w:rsidP="00EF15F6">
      <w:pPr>
        <w:spacing w:after="0" w:line="240" w:lineRule="auto"/>
      </w:pPr>
      <w:r>
        <w:separator/>
      </w:r>
    </w:p>
  </w:endnote>
  <w:endnote w:type="continuationSeparator" w:id="0">
    <w:p w:rsidR="00903B2F" w:rsidRDefault="00903B2F" w:rsidP="00EF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ont296">
    <w:altName w:val="Calibri"/>
    <w:charset w:val="01"/>
    <w:family w:val="auto"/>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3B2F" w:rsidRDefault="00903B2F" w:rsidP="00EF15F6">
      <w:pPr>
        <w:spacing w:after="0" w:line="240" w:lineRule="auto"/>
      </w:pPr>
      <w:r>
        <w:separator/>
      </w:r>
    </w:p>
  </w:footnote>
  <w:footnote w:type="continuationSeparator" w:id="0">
    <w:p w:rsidR="00903B2F" w:rsidRDefault="00903B2F" w:rsidP="00EF1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396DED"/>
    <w:multiLevelType w:val="hybridMultilevel"/>
    <w:tmpl w:val="8F38CBF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E3E1CBC"/>
    <w:multiLevelType w:val="hybridMultilevel"/>
    <w:tmpl w:val="25E07B14"/>
    <w:lvl w:ilvl="0" w:tplc="532C2C5C">
      <w:start w:val="1"/>
      <w:numFmt w:val="decimal"/>
      <w:lvlText w:val="%1."/>
      <w:lvlJc w:val="left"/>
      <w:pPr>
        <w:ind w:left="780" w:hanging="4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10D57F52"/>
    <w:multiLevelType w:val="hybridMultilevel"/>
    <w:tmpl w:val="5E6A6E60"/>
    <w:lvl w:ilvl="0" w:tplc="0810000B">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 w15:restartNumberingAfterBreak="0">
    <w:nsid w:val="11D95932"/>
    <w:multiLevelType w:val="hybridMultilevel"/>
    <w:tmpl w:val="1EC0081A"/>
    <w:lvl w:ilvl="0" w:tplc="0810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12FB60D6"/>
    <w:multiLevelType w:val="hybridMultilevel"/>
    <w:tmpl w:val="B1CEACE0"/>
    <w:lvl w:ilvl="0" w:tplc="E9C6193E">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7A66EAD"/>
    <w:multiLevelType w:val="hybridMultilevel"/>
    <w:tmpl w:val="5912A4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1E5B4307"/>
    <w:multiLevelType w:val="hybridMultilevel"/>
    <w:tmpl w:val="4D0AD060"/>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8" w15:restartNumberingAfterBreak="0">
    <w:nsid w:val="22611F03"/>
    <w:multiLevelType w:val="hybridMultilevel"/>
    <w:tmpl w:val="B9E8A5C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711445"/>
    <w:multiLevelType w:val="hybridMultilevel"/>
    <w:tmpl w:val="E814D18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CA91D4B"/>
    <w:multiLevelType w:val="hybridMultilevel"/>
    <w:tmpl w:val="D250D808"/>
    <w:lvl w:ilvl="0" w:tplc="66FE7A34">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2E9539BD"/>
    <w:multiLevelType w:val="hybridMultilevel"/>
    <w:tmpl w:val="7C1CC6A0"/>
    <w:lvl w:ilvl="0" w:tplc="715C4B48">
      <w:start w:val="1"/>
      <w:numFmt w:val="lowerLetter"/>
      <w:lvlText w:val="%1."/>
      <w:lvlJc w:val="left"/>
      <w:pPr>
        <w:ind w:left="644" w:hanging="360"/>
      </w:pPr>
      <w:rPr>
        <w:rFonts w:eastAsia="Arial"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2" w15:restartNumberingAfterBreak="0">
    <w:nsid w:val="37476AF5"/>
    <w:multiLevelType w:val="hybridMultilevel"/>
    <w:tmpl w:val="A7C49D6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428C4A17"/>
    <w:multiLevelType w:val="hybridMultilevel"/>
    <w:tmpl w:val="9EA0F4F6"/>
    <w:lvl w:ilvl="0" w:tplc="179ABA9A">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484079B9"/>
    <w:multiLevelType w:val="hybridMultilevel"/>
    <w:tmpl w:val="AE242DE6"/>
    <w:lvl w:ilvl="0" w:tplc="0810000F">
      <w:start w:val="1"/>
      <w:numFmt w:val="decimal"/>
      <w:lvlText w:val="%1."/>
      <w:lvlJc w:val="left"/>
      <w:pPr>
        <w:ind w:left="720" w:hanging="360"/>
      </w:pPr>
    </w:lvl>
    <w:lvl w:ilvl="1" w:tplc="08100001">
      <w:start w:val="1"/>
      <w:numFmt w:val="bullet"/>
      <w:lvlText w:val=""/>
      <w:lvlJc w:val="left"/>
      <w:pPr>
        <w:ind w:left="1440" w:hanging="360"/>
      </w:pPr>
      <w:rPr>
        <w:rFonts w:ascii="Symbol" w:hAnsi="Symbo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4C772C3C"/>
    <w:multiLevelType w:val="hybridMultilevel"/>
    <w:tmpl w:val="3584939C"/>
    <w:lvl w:ilvl="0" w:tplc="8F60F4F6">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5CE22212"/>
    <w:multiLevelType w:val="hybridMultilevel"/>
    <w:tmpl w:val="52805D8A"/>
    <w:lvl w:ilvl="0" w:tplc="68727DFA">
      <w:start w:val="1"/>
      <w:numFmt w:val="lowerLetter"/>
      <w:lvlText w:val="%1)"/>
      <w:lvlJc w:val="left"/>
      <w:pPr>
        <w:ind w:left="720" w:hanging="360"/>
      </w:pPr>
      <w:rPr>
        <w:rFonts w:hint="default"/>
        <w:b/>
        <w:sz w:val="23"/>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5FE1061D"/>
    <w:multiLevelType w:val="hybridMultilevel"/>
    <w:tmpl w:val="7F044814"/>
    <w:lvl w:ilvl="0" w:tplc="143EE9F8">
      <w:start w:val="6"/>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8" w15:restartNumberingAfterBreak="0">
    <w:nsid w:val="652B5F1D"/>
    <w:multiLevelType w:val="hybridMultilevel"/>
    <w:tmpl w:val="740A2A2C"/>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6C7D56D5"/>
    <w:multiLevelType w:val="hybridMultilevel"/>
    <w:tmpl w:val="F9C801E0"/>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711E5AD1"/>
    <w:multiLevelType w:val="hybridMultilevel"/>
    <w:tmpl w:val="8BFEF2C4"/>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1" w15:restartNumberingAfterBreak="0">
    <w:nsid w:val="72B0281F"/>
    <w:multiLevelType w:val="hybridMultilevel"/>
    <w:tmpl w:val="C10EE47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7D2F46B6"/>
    <w:multiLevelType w:val="hybridMultilevel"/>
    <w:tmpl w:val="EF4CE9A2"/>
    <w:lvl w:ilvl="0" w:tplc="5106DAD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9"/>
  </w:num>
  <w:num w:numId="4">
    <w:abstractNumId w:val="18"/>
  </w:num>
  <w:num w:numId="5">
    <w:abstractNumId w:val="12"/>
  </w:num>
  <w:num w:numId="6">
    <w:abstractNumId w:val="5"/>
  </w:num>
  <w:num w:numId="7">
    <w:abstractNumId w:val="1"/>
  </w:num>
  <w:num w:numId="8">
    <w:abstractNumId w:val="13"/>
  </w:num>
  <w:num w:numId="9">
    <w:abstractNumId w:val="20"/>
  </w:num>
  <w:num w:numId="10">
    <w:abstractNumId w:val="17"/>
  </w:num>
  <w:num w:numId="11">
    <w:abstractNumId w:val="6"/>
  </w:num>
  <w:num w:numId="12">
    <w:abstractNumId w:val="10"/>
  </w:num>
  <w:num w:numId="13">
    <w:abstractNumId w:val="11"/>
  </w:num>
  <w:num w:numId="14">
    <w:abstractNumId w:val="16"/>
  </w:num>
  <w:num w:numId="15">
    <w:abstractNumId w:val="14"/>
  </w:num>
  <w:num w:numId="16">
    <w:abstractNumId w:val="7"/>
  </w:num>
  <w:num w:numId="17">
    <w:abstractNumId w:val="3"/>
  </w:num>
  <w:num w:numId="18">
    <w:abstractNumId w:val="21"/>
  </w:num>
  <w:num w:numId="19">
    <w:abstractNumId w:val="15"/>
  </w:num>
  <w:num w:numId="20">
    <w:abstractNumId w:val="4"/>
  </w:num>
  <w:num w:numId="21">
    <w:abstractNumId w:val="2"/>
  </w:num>
  <w:num w:numId="22">
    <w:abstractNumId w:val="9"/>
  </w:num>
  <w:num w:numId="23">
    <w:abstractNumId w:val="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5F6"/>
    <w:rsid w:val="000414EA"/>
    <w:rsid w:val="00055CFE"/>
    <w:rsid w:val="000616B6"/>
    <w:rsid w:val="00080804"/>
    <w:rsid w:val="000D6878"/>
    <w:rsid w:val="00116172"/>
    <w:rsid w:val="001A56E4"/>
    <w:rsid w:val="001F4AD8"/>
    <w:rsid w:val="00224C44"/>
    <w:rsid w:val="00266806"/>
    <w:rsid w:val="002928A5"/>
    <w:rsid w:val="002C5BAE"/>
    <w:rsid w:val="002D7629"/>
    <w:rsid w:val="002E2846"/>
    <w:rsid w:val="00372733"/>
    <w:rsid w:val="003D3C8B"/>
    <w:rsid w:val="0040011C"/>
    <w:rsid w:val="00402EB4"/>
    <w:rsid w:val="004344DE"/>
    <w:rsid w:val="00462B55"/>
    <w:rsid w:val="0047479F"/>
    <w:rsid w:val="00480358"/>
    <w:rsid w:val="004C29ED"/>
    <w:rsid w:val="004E55EB"/>
    <w:rsid w:val="0052362F"/>
    <w:rsid w:val="0057047E"/>
    <w:rsid w:val="00577853"/>
    <w:rsid w:val="00592863"/>
    <w:rsid w:val="00597E26"/>
    <w:rsid w:val="005C60A4"/>
    <w:rsid w:val="006441ED"/>
    <w:rsid w:val="00684C5F"/>
    <w:rsid w:val="00687BB4"/>
    <w:rsid w:val="006905C4"/>
    <w:rsid w:val="006A5EE7"/>
    <w:rsid w:val="006B4EE1"/>
    <w:rsid w:val="006C7D6C"/>
    <w:rsid w:val="0070169D"/>
    <w:rsid w:val="007156B4"/>
    <w:rsid w:val="007365BE"/>
    <w:rsid w:val="00760765"/>
    <w:rsid w:val="00760CF0"/>
    <w:rsid w:val="007C47DB"/>
    <w:rsid w:val="007C75F7"/>
    <w:rsid w:val="007D3D8C"/>
    <w:rsid w:val="008139CF"/>
    <w:rsid w:val="00815090"/>
    <w:rsid w:val="00861817"/>
    <w:rsid w:val="0088072C"/>
    <w:rsid w:val="00883450"/>
    <w:rsid w:val="008B1B45"/>
    <w:rsid w:val="008B1F79"/>
    <w:rsid w:val="008C0E8A"/>
    <w:rsid w:val="008D584F"/>
    <w:rsid w:val="00903B2F"/>
    <w:rsid w:val="0091062E"/>
    <w:rsid w:val="0092599B"/>
    <w:rsid w:val="00982B8E"/>
    <w:rsid w:val="0099349F"/>
    <w:rsid w:val="009A6B46"/>
    <w:rsid w:val="009C056F"/>
    <w:rsid w:val="009F59DF"/>
    <w:rsid w:val="00A36FB3"/>
    <w:rsid w:val="00AA1BC6"/>
    <w:rsid w:val="00B23EDE"/>
    <w:rsid w:val="00B42103"/>
    <w:rsid w:val="00BA1C71"/>
    <w:rsid w:val="00BD507C"/>
    <w:rsid w:val="00BE6E70"/>
    <w:rsid w:val="00C42301"/>
    <w:rsid w:val="00D07728"/>
    <w:rsid w:val="00DA0EEC"/>
    <w:rsid w:val="00DD6105"/>
    <w:rsid w:val="00DD716B"/>
    <w:rsid w:val="00DE234B"/>
    <w:rsid w:val="00E45EA5"/>
    <w:rsid w:val="00E55699"/>
    <w:rsid w:val="00EC6C37"/>
    <w:rsid w:val="00EF15F6"/>
    <w:rsid w:val="00F50845"/>
    <w:rsid w:val="00F613F1"/>
    <w:rsid w:val="00FC312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E6F134-57D1-4067-AF26-8AD1FDF3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it-CH"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60CF0"/>
    <w:pPr>
      <w:suppressAutoHyphens/>
      <w:spacing w:after="200" w:line="276" w:lineRule="auto"/>
    </w:pPr>
    <w:rPr>
      <w:rFonts w:ascii="Calibri" w:eastAsia="SimSun" w:hAnsi="Calibri" w:cs="font303"/>
      <w:sz w:val="22"/>
      <w:szCs w:val="22"/>
      <w:lang w:eastAsia="ar-SA"/>
    </w:rPr>
  </w:style>
  <w:style w:type="paragraph" w:styleId="Titolo1">
    <w:name w:val="heading 1"/>
    <w:basedOn w:val="Normale"/>
    <w:next w:val="Normale"/>
    <w:link w:val="Titolo1Carattere"/>
    <w:uiPriority w:val="1"/>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unhideWhenUsed/>
    <w:qFormat/>
    <w:rsid w:val="00AA1BC6"/>
    <w:pPr>
      <w:keepNext/>
      <w:spacing w:before="240" w:after="60"/>
      <w:outlineLvl w:val="1"/>
    </w:pPr>
    <w:rPr>
      <w:rFonts w:asciiTheme="majorHAnsi" w:eastAsiaTheme="majorEastAsia" w:hAnsiTheme="majorHAnsi" w:cstheme="majorBidi"/>
      <w:b/>
      <w:bCs/>
      <w:i/>
      <w:iCs/>
      <w:sz w:val="28"/>
      <w:szCs w:val="28"/>
    </w:rPr>
  </w:style>
  <w:style w:type="paragraph" w:styleId="Titolo4">
    <w:name w:val="heading 4"/>
    <w:basedOn w:val="Normale"/>
    <w:next w:val="Normale"/>
    <w:link w:val="Titolo4Carattere"/>
    <w:qFormat/>
    <w:rsid w:val="0052362F"/>
    <w:pPr>
      <w:keepNext/>
      <w:suppressAutoHyphens w:val="0"/>
      <w:spacing w:after="0" w:line="240" w:lineRule="auto"/>
      <w:jc w:val="both"/>
      <w:outlineLvl w:val="3"/>
    </w:pPr>
    <w:rPr>
      <w:rFonts w:ascii="Arial" w:eastAsia="Times New Roman" w:hAnsi="Arial" w:cs="Times New Roman"/>
      <w:b/>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1"/>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rsid w:val="00AA1BC6"/>
    <w:rPr>
      <w:rFonts w:asciiTheme="majorHAnsi" w:eastAsiaTheme="majorEastAsia" w:hAnsiTheme="majorHAnsi" w:cstheme="majorBidi"/>
      <w:b/>
      <w:bCs/>
      <w:i/>
      <w:iCs/>
      <w:sz w:val="28"/>
      <w:szCs w:val="28"/>
      <w:lang w:eastAsia="ar-SA"/>
    </w:rPr>
  </w:style>
  <w:style w:type="paragraph" w:styleId="Nessunaspaziatura">
    <w:name w:val="No Spacing"/>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qFormat/>
    <w:rsid w:val="00E45EA5"/>
  </w:style>
  <w:style w:type="paragraph" w:styleId="Corpotesto">
    <w:name w:val="Body Text"/>
    <w:basedOn w:val="Normale"/>
    <w:link w:val="CorpotestoCarattere"/>
    <w:uiPriority w:val="99"/>
    <w:rsid w:val="00E45EA5"/>
    <w:pPr>
      <w:ind w:left="114"/>
    </w:pPr>
    <w:rPr>
      <w:lang w:eastAsia="en-US"/>
    </w:rPr>
  </w:style>
  <w:style w:type="character" w:customStyle="1" w:styleId="CorpotestoCarattere">
    <w:name w:val="Corpo testo Carattere"/>
    <w:link w:val="Corpotesto"/>
    <w:uiPriority w:val="99"/>
    <w:rsid w:val="00E45EA5"/>
    <w:rPr>
      <w:rFonts w:ascii="Times New Roman" w:hAnsi="Times New Roman"/>
      <w:sz w:val="24"/>
      <w:szCs w:val="24"/>
    </w:rPr>
  </w:style>
  <w:style w:type="paragraph" w:styleId="Testonotaapidipagina">
    <w:name w:val="footnote text"/>
    <w:basedOn w:val="Normale"/>
    <w:link w:val="TestonotaapidipaginaCarattere"/>
    <w:uiPriority w:val="99"/>
    <w:unhideWhenUsed/>
    <w:rsid w:val="00EF15F6"/>
    <w:pPr>
      <w:suppressAutoHyphens w:val="0"/>
      <w:spacing w:after="0" w:line="240" w:lineRule="auto"/>
    </w:pPr>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rsid w:val="00EF15F6"/>
    <w:rPr>
      <w:rFonts w:asciiTheme="minorHAnsi" w:hAnsiTheme="minorHAnsi" w:cstheme="minorBidi"/>
    </w:rPr>
  </w:style>
  <w:style w:type="character" w:styleId="Rimandonotaapidipagina">
    <w:name w:val="footnote reference"/>
    <w:basedOn w:val="Carpredefinitoparagrafo"/>
    <w:uiPriority w:val="99"/>
    <w:unhideWhenUsed/>
    <w:rsid w:val="00EF15F6"/>
    <w:rPr>
      <w:vertAlign w:val="superscript"/>
    </w:rPr>
  </w:style>
  <w:style w:type="paragraph" w:styleId="Intestazione">
    <w:name w:val="header"/>
    <w:basedOn w:val="Normale"/>
    <w:link w:val="Intestazione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IntestazioneCarattere">
    <w:name w:val="Intestazione Carattere"/>
    <w:basedOn w:val="Carpredefinitoparagrafo"/>
    <w:link w:val="Intestazione"/>
    <w:uiPriority w:val="99"/>
    <w:rsid w:val="00EF15F6"/>
    <w:rPr>
      <w:rFonts w:ascii="Calibri" w:eastAsia="Calibri" w:hAnsi="Calibri" w:cs="font296"/>
      <w:sz w:val="22"/>
      <w:szCs w:val="22"/>
    </w:rPr>
  </w:style>
  <w:style w:type="paragraph" w:styleId="Pidipagina">
    <w:name w:val="footer"/>
    <w:basedOn w:val="Normale"/>
    <w:link w:val="Pidipagina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PidipaginaCarattere">
    <w:name w:val="Piè di pagina Carattere"/>
    <w:basedOn w:val="Carpredefinitoparagrafo"/>
    <w:link w:val="Pidipagina"/>
    <w:uiPriority w:val="99"/>
    <w:rsid w:val="00EF15F6"/>
    <w:rPr>
      <w:rFonts w:ascii="Calibri" w:eastAsia="Calibri" w:hAnsi="Calibri" w:cs="font296"/>
      <w:sz w:val="22"/>
      <w:szCs w:val="22"/>
    </w:rPr>
  </w:style>
  <w:style w:type="character" w:styleId="Collegamentoipertestuale">
    <w:name w:val="Hyperlink"/>
    <w:basedOn w:val="Carpredefinitoparagrafo"/>
    <w:uiPriority w:val="99"/>
    <w:unhideWhenUsed/>
    <w:rsid w:val="00EF15F6"/>
    <w:rPr>
      <w:color w:val="0000FF"/>
      <w:u w:val="single"/>
    </w:rPr>
  </w:style>
  <w:style w:type="paragraph" w:styleId="NormaleWeb">
    <w:name w:val="Normal (Web)"/>
    <w:basedOn w:val="Normale"/>
    <w:uiPriority w:val="99"/>
    <w:rsid w:val="00EF15F6"/>
    <w:pPr>
      <w:suppressAutoHyphens w:val="0"/>
      <w:spacing w:before="100" w:beforeAutospacing="1" w:after="100" w:afterAutospacing="1" w:line="240" w:lineRule="auto"/>
    </w:pPr>
    <w:rPr>
      <w:rFonts w:ascii="Times New Roman" w:eastAsia="Times New Roman" w:hAnsi="Times New Roman" w:cs="Times New Roman"/>
      <w:sz w:val="24"/>
      <w:szCs w:val="24"/>
      <w:lang w:val="it-IT" w:eastAsia="it-IT"/>
    </w:rPr>
  </w:style>
  <w:style w:type="paragraph" w:styleId="Testofumetto">
    <w:name w:val="Balloon Text"/>
    <w:basedOn w:val="Normale"/>
    <w:link w:val="TestofumettoCarattere"/>
    <w:uiPriority w:val="99"/>
    <w:semiHidden/>
    <w:unhideWhenUsed/>
    <w:rsid w:val="00EF15F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F15F6"/>
    <w:rPr>
      <w:rFonts w:ascii="Segoe UI" w:eastAsia="SimSun" w:hAnsi="Segoe UI" w:cs="Segoe UI"/>
      <w:sz w:val="18"/>
      <w:szCs w:val="18"/>
      <w:lang w:eastAsia="ar-SA"/>
    </w:rPr>
  </w:style>
  <w:style w:type="character" w:styleId="Collegamentovisitato">
    <w:name w:val="FollowedHyperlink"/>
    <w:basedOn w:val="Carpredefinitoparagrafo"/>
    <w:uiPriority w:val="99"/>
    <w:semiHidden/>
    <w:unhideWhenUsed/>
    <w:rsid w:val="00080804"/>
    <w:rPr>
      <w:color w:val="800080" w:themeColor="followedHyperlink"/>
      <w:u w:val="single"/>
    </w:rPr>
  </w:style>
  <w:style w:type="paragraph" w:customStyle="1" w:styleId="Standard">
    <w:name w:val="Standard"/>
    <w:rsid w:val="00402EB4"/>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Caratterinotaapidipagina">
    <w:name w:val="Caratteri nota a piè di pagina"/>
    <w:rsid w:val="009A6B46"/>
  </w:style>
  <w:style w:type="character" w:customStyle="1" w:styleId="Titolo4Carattere">
    <w:name w:val="Titolo 4 Carattere"/>
    <w:basedOn w:val="Carpredefinitoparagrafo"/>
    <w:link w:val="Titolo4"/>
    <w:rsid w:val="0052362F"/>
    <w:rPr>
      <w:rFonts w:ascii="Arial" w:eastAsia="Times New Roman" w:hAnsi="Arial"/>
      <w:b/>
      <w:sz w:val="22"/>
      <w:lang w:val="it-IT" w:eastAsia="it-IT"/>
    </w:rPr>
  </w:style>
  <w:style w:type="table" w:styleId="Grigliatabella">
    <w:name w:val="Table Grid"/>
    <w:basedOn w:val="Tabellanormale"/>
    <w:uiPriority w:val="39"/>
    <w:rsid w:val="00684C5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re.admin.ch/are/it/home/media-e-pubblicazioni/pubblicazioni/sviluppo-sostenibile/nachhaltige-entwicklung-in-der-schweiz-ein-wegweiser.html" TargetMode="External"/><Relationship Id="rId14" Type="http://schemas.openxmlformats.org/officeDocument/2006/relationships/header" Target="head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1142</Words>
  <Characters>6512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Morandi Marisa</dc:creator>
  <cp:keywords/>
  <dc:description/>
  <cp:lastModifiedBy>Righetti Paolo</cp:lastModifiedBy>
  <cp:revision>2</cp:revision>
  <cp:lastPrinted>2020-02-20T15:28:00Z</cp:lastPrinted>
  <dcterms:created xsi:type="dcterms:W3CDTF">2020-02-20T15:30:00Z</dcterms:created>
  <dcterms:modified xsi:type="dcterms:W3CDTF">2020-02-20T15:30:00Z</dcterms:modified>
</cp:coreProperties>
</file>