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2942A2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26 settembre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173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2942A2" w:rsidRPr="002942A2" w:rsidRDefault="002942A2" w:rsidP="002942A2">
      <w:pPr>
        <w:rPr>
          <w:rFonts w:ascii="Arial" w:hAnsi="Arial" w:cs="Arial"/>
          <w:b/>
          <w:sz w:val="28"/>
          <w:szCs w:val="28"/>
        </w:rPr>
      </w:pPr>
      <w:r w:rsidRPr="002942A2">
        <w:rPr>
          <w:rFonts w:ascii="Arial" w:hAnsi="Arial" w:cs="Arial"/>
          <w:b/>
          <w:sz w:val="28"/>
          <w:szCs w:val="28"/>
        </w:rPr>
        <w:t xml:space="preserve">Funzionaria condannata </w:t>
      </w:r>
      <w:r>
        <w:rPr>
          <w:rFonts w:ascii="Arial" w:hAnsi="Arial" w:cs="Arial"/>
          <w:b/>
          <w:sz w:val="28"/>
          <w:szCs w:val="28"/>
        </w:rPr>
        <w:t xml:space="preserve">trasferita </w:t>
      </w:r>
      <w:r w:rsidRPr="002942A2">
        <w:rPr>
          <w:rFonts w:ascii="Arial" w:hAnsi="Arial" w:cs="Arial"/>
          <w:b/>
          <w:sz w:val="28"/>
          <w:szCs w:val="28"/>
        </w:rPr>
        <w:t>dal DI al DSS: quali spiegazioni?</w:t>
      </w:r>
    </w:p>
    <w:p w:rsidR="002942A2" w:rsidRPr="002942A2" w:rsidRDefault="002942A2" w:rsidP="002942A2">
      <w:pPr>
        <w:rPr>
          <w:rFonts w:ascii="Arial" w:hAnsi="Arial" w:cs="Arial"/>
        </w:rPr>
      </w:pPr>
    </w:p>
    <w:p w:rsidR="002942A2" w:rsidRPr="002942A2" w:rsidRDefault="002942A2" w:rsidP="002942A2">
      <w:pPr>
        <w:rPr>
          <w:rFonts w:ascii="Arial" w:hAnsi="Arial" w:cs="Arial"/>
        </w:rPr>
      </w:pPr>
    </w:p>
    <w:p w:rsidR="002942A2" w:rsidRPr="002942A2" w:rsidRDefault="002942A2" w:rsidP="002942A2">
      <w:pPr>
        <w:rPr>
          <w:rFonts w:ascii="Arial" w:hAnsi="Arial" w:cs="Arial"/>
        </w:rPr>
      </w:pPr>
      <w:r w:rsidRPr="002942A2">
        <w:rPr>
          <w:rFonts w:ascii="Arial" w:hAnsi="Arial" w:cs="Arial"/>
        </w:rPr>
        <w:t>Nelle scorse settimane è passata un po’ in sordina una notizia, a nostro avviso preoccupante, sulla gestione del personale all’interno dell’Amministrazione cantonale.</w:t>
      </w:r>
    </w:p>
    <w:p w:rsidR="002942A2" w:rsidRPr="002942A2" w:rsidRDefault="002942A2" w:rsidP="002942A2">
      <w:pPr>
        <w:spacing w:before="120"/>
        <w:rPr>
          <w:rFonts w:ascii="Arial" w:hAnsi="Arial" w:cs="Arial"/>
        </w:rPr>
      </w:pPr>
      <w:r w:rsidRPr="002942A2">
        <w:rPr>
          <w:rFonts w:ascii="Arial" w:hAnsi="Arial" w:cs="Arial"/>
        </w:rPr>
        <w:t>A marzo, il procuratore Antonio Perugini ha firmato un decreto d’accusa contro l’ormai ex-segretaria aggiunta all’Ufficio migrazione di Bellinzona, accusandola di avere trasmesso informazioni riservate sui permessi a un conoscente.</w:t>
      </w:r>
    </w:p>
    <w:p w:rsidR="002942A2" w:rsidRPr="002942A2" w:rsidRDefault="002942A2" w:rsidP="002942A2">
      <w:pPr>
        <w:spacing w:before="120"/>
        <w:rPr>
          <w:rFonts w:ascii="Arial" w:hAnsi="Arial" w:cs="Arial"/>
        </w:rPr>
      </w:pPr>
      <w:r w:rsidRPr="002942A2">
        <w:rPr>
          <w:rFonts w:ascii="Arial" w:hAnsi="Arial" w:cs="Arial"/>
        </w:rPr>
        <w:t xml:space="preserve">L’11.09.2017 (il 12 sulla stampa) apprendiamo che la suddetta, tra il 17 novembre 2016 e il </w:t>
      </w:r>
      <w:r>
        <w:rPr>
          <w:rFonts w:ascii="Arial" w:hAnsi="Arial" w:cs="Arial"/>
        </w:rPr>
        <w:br/>
      </w:r>
      <w:r w:rsidRPr="002942A2">
        <w:rPr>
          <w:rFonts w:ascii="Arial" w:hAnsi="Arial" w:cs="Arial"/>
        </w:rPr>
        <w:t>1</w:t>
      </w:r>
      <w:r>
        <w:rPr>
          <w:rFonts w:ascii="Arial" w:hAnsi="Arial" w:cs="Arial"/>
        </w:rPr>
        <w:t>°</w:t>
      </w:r>
      <w:r w:rsidRPr="002942A2">
        <w:rPr>
          <w:rFonts w:ascii="Arial" w:hAnsi="Arial" w:cs="Arial"/>
        </w:rPr>
        <w:t xml:space="preserve"> febbraio 2017, fornì a un architetto indicazioni sullo stato delle pratiche di 3 persone che avevano richiesto il permesso di soggiorno grazie al programma interno all’Amministrazione cantonale.</w:t>
      </w:r>
    </w:p>
    <w:p w:rsidR="002942A2" w:rsidRPr="002942A2" w:rsidRDefault="002942A2" w:rsidP="002942A2">
      <w:pPr>
        <w:spacing w:before="120"/>
        <w:rPr>
          <w:rFonts w:ascii="Arial" w:hAnsi="Arial" w:cs="Arial"/>
        </w:rPr>
      </w:pPr>
      <w:r w:rsidRPr="002942A2">
        <w:rPr>
          <w:rFonts w:ascii="Arial" w:hAnsi="Arial" w:cs="Arial"/>
        </w:rPr>
        <w:t xml:space="preserve">Dalla stampa altresì apprendiamo che, malgrado la condanna, non sia stata né licenziata, né sanzionata, ma addirittura che, dopo aver valutato attentamente (!) il suo caso, si è provveduto semplicemente a spostarla di </w:t>
      </w:r>
      <w:r w:rsidR="00E47E41">
        <w:rPr>
          <w:rFonts w:ascii="Arial" w:hAnsi="Arial" w:cs="Arial"/>
        </w:rPr>
        <w:t>D</w:t>
      </w:r>
      <w:r w:rsidRPr="002942A2">
        <w:rPr>
          <w:rFonts w:ascii="Arial" w:hAnsi="Arial" w:cs="Arial"/>
        </w:rPr>
        <w:t>ipartimento dal DI al DSS.</w:t>
      </w:r>
    </w:p>
    <w:p w:rsidR="002942A2" w:rsidRPr="002942A2" w:rsidRDefault="002942A2" w:rsidP="002942A2">
      <w:pPr>
        <w:spacing w:before="120"/>
        <w:rPr>
          <w:rFonts w:ascii="Arial" w:hAnsi="Arial" w:cs="Arial"/>
        </w:rPr>
      </w:pPr>
      <w:r w:rsidRPr="002942A2">
        <w:rPr>
          <w:rFonts w:ascii="Arial" w:hAnsi="Arial" w:cs="Arial"/>
        </w:rPr>
        <w:t>Questo agire, o meglio, le informazioni fatte trapelare al pubblico ci appaiono assai superficiali e non degne</w:t>
      </w:r>
      <w:r w:rsidR="00E47E41">
        <w:rPr>
          <w:rFonts w:ascii="Arial" w:hAnsi="Arial" w:cs="Arial"/>
        </w:rPr>
        <w:t>,</w:t>
      </w:r>
      <w:bookmarkStart w:id="0" w:name="_GoBack"/>
      <w:bookmarkEnd w:id="0"/>
      <w:r w:rsidRPr="002942A2">
        <w:rPr>
          <w:rFonts w:ascii="Arial" w:hAnsi="Arial" w:cs="Arial"/>
        </w:rPr>
        <w:t xml:space="preserve"> non solo verso i cittadini, bensì anche nei riguardi di funzionari che, anche di fronte a una futura diminuzione delle classi salariali, hanno sempre ottemperato i loro doveri nel rispetto della legge.</w:t>
      </w:r>
    </w:p>
    <w:p w:rsidR="002942A2" w:rsidRPr="002942A2" w:rsidRDefault="002942A2" w:rsidP="002942A2">
      <w:pPr>
        <w:rPr>
          <w:rFonts w:ascii="Arial" w:hAnsi="Arial" w:cs="Arial"/>
        </w:rPr>
      </w:pPr>
    </w:p>
    <w:p w:rsidR="002942A2" w:rsidRPr="002942A2" w:rsidRDefault="002942A2" w:rsidP="002942A2">
      <w:pPr>
        <w:rPr>
          <w:rFonts w:ascii="Arial" w:hAnsi="Arial" w:cs="Arial"/>
        </w:rPr>
      </w:pPr>
      <w:r w:rsidRPr="002942A2">
        <w:rPr>
          <w:rFonts w:ascii="Arial" w:hAnsi="Arial" w:cs="Arial"/>
        </w:rPr>
        <w:t>Ci permettiamo dunque di chiedere le seguenti delucidazioni al</w:t>
      </w:r>
      <w:r>
        <w:rPr>
          <w:rFonts w:ascii="Arial" w:hAnsi="Arial" w:cs="Arial"/>
        </w:rPr>
        <w:t xml:space="preserve"> </w:t>
      </w:r>
      <w:r w:rsidRPr="002942A2">
        <w:rPr>
          <w:rFonts w:ascii="Arial" w:hAnsi="Arial" w:cs="Arial"/>
        </w:rPr>
        <w:t>Consiglio di Stato:</w:t>
      </w:r>
    </w:p>
    <w:p w:rsidR="002942A2" w:rsidRPr="002942A2" w:rsidRDefault="002942A2" w:rsidP="002942A2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2942A2">
        <w:rPr>
          <w:rFonts w:ascii="Arial" w:hAnsi="Arial" w:cs="Arial"/>
        </w:rPr>
        <w:t>A fronte della condanna per trasmissione di informazioni riservate di terzi a terzi, per quali motivazioni si è ritenuto che non dovesse essere licenziata?</w:t>
      </w:r>
    </w:p>
    <w:p w:rsidR="002942A2" w:rsidRPr="002942A2" w:rsidRDefault="002942A2" w:rsidP="002942A2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2942A2">
        <w:rPr>
          <w:rFonts w:ascii="Arial" w:hAnsi="Arial" w:cs="Arial"/>
        </w:rPr>
        <w:t>Sul trasferimento dal DI al DSS tutto il Consiglio di Stato era d’accord</w:t>
      </w:r>
      <w:r>
        <w:rPr>
          <w:rFonts w:ascii="Arial" w:hAnsi="Arial" w:cs="Arial"/>
        </w:rPr>
        <w:t>o o qualche C</w:t>
      </w:r>
      <w:r w:rsidRPr="002942A2">
        <w:rPr>
          <w:rFonts w:ascii="Arial" w:hAnsi="Arial" w:cs="Arial"/>
        </w:rPr>
        <w:t>onsigliere di Stato riteneva la condanna un fatto abbastanza grave (visto anche la sensibilità del tema) da procedere al suo licenziamento?</w:t>
      </w:r>
    </w:p>
    <w:p w:rsidR="002942A2" w:rsidRPr="002942A2" w:rsidRDefault="002942A2" w:rsidP="002942A2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2942A2">
        <w:rPr>
          <w:rFonts w:ascii="Arial" w:hAnsi="Arial" w:cs="Arial"/>
        </w:rPr>
        <w:t xml:space="preserve">Nel trasferimento si è tenuto conto di tale condanna, spostandola in un ufficio dove ha a che fare con dati sensibili tali da essere utilizzati in maniera impropria? </w:t>
      </w:r>
    </w:p>
    <w:p w:rsidR="002942A2" w:rsidRPr="002942A2" w:rsidRDefault="002942A2" w:rsidP="002942A2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2942A2">
        <w:rPr>
          <w:rFonts w:ascii="Arial" w:hAnsi="Arial" w:cs="Arial"/>
        </w:rPr>
        <w:t>Le è stata concessa la stessa scala salariale o le è stata diminuita? A quale corrisponde?</w:t>
      </w:r>
    </w:p>
    <w:p w:rsidR="002942A2" w:rsidRPr="002942A2" w:rsidRDefault="002942A2" w:rsidP="002942A2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2942A2">
        <w:rPr>
          <w:rFonts w:ascii="Arial" w:hAnsi="Arial" w:cs="Arial"/>
        </w:rPr>
        <w:t>A fronte della riorganizzazione del personale, s’intende anche introdurre una scala di sanzioni verso i dipendenti che non ottemperano i termini di lavoro?</w:t>
      </w:r>
    </w:p>
    <w:p w:rsidR="002942A2" w:rsidRPr="002942A2" w:rsidRDefault="002942A2" w:rsidP="002942A2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2942A2">
        <w:rPr>
          <w:rFonts w:ascii="Arial" w:hAnsi="Arial" w:cs="Arial"/>
        </w:rPr>
        <w:t>In tale ambito tutti i dipendenti hanno potuto (o potranno) mantenere le attuali condizioni salariali? In caso di risposta negativa, non si ravvede una disparità di trattamento fra dipendenti retrocessi (quanti?) senza colpa e il caso concreto sopra descritto?</w:t>
      </w:r>
    </w:p>
    <w:p w:rsidR="002942A2" w:rsidRDefault="002942A2" w:rsidP="002942A2">
      <w:pPr>
        <w:rPr>
          <w:rFonts w:ascii="Arial" w:hAnsi="Arial" w:cs="Arial"/>
        </w:rPr>
      </w:pPr>
    </w:p>
    <w:p w:rsidR="002942A2" w:rsidRPr="002942A2" w:rsidRDefault="002942A2" w:rsidP="002942A2">
      <w:pPr>
        <w:rPr>
          <w:rFonts w:ascii="Arial" w:hAnsi="Arial" w:cs="Arial"/>
        </w:rPr>
      </w:pPr>
    </w:p>
    <w:p w:rsidR="002942A2" w:rsidRPr="002942A2" w:rsidRDefault="002942A2" w:rsidP="002942A2">
      <w:pPr>
        <w:rPr>
          <w:rFonts w:ascii="Arial" w:hAnsi="Arial" w:cs="Arial"/>
        </w:rPr>
      </w:pPr>
      <w:r>
        <w:rPr>
          <w:rFonts w:ascii="Arial" w:hAnsi="Arial" w:cs="Arial"/>
        </w:rPr>
        <w:t>Lara Filippini</w:t>
      </w:r>
    </w:p>
    <w:p w:rsidR="002942A2" w:rsidRPr="002942A2" w:rsidRDefault="002942A2" w:rsidP="002942A2">
      <w:pPr>
        <w:rPr>
          <w:rFonts w:ascii="Arial" w:hAnsi="Arial" w:cs="Arial"/>
        </w:rPr>
      </w:pPr>
      <w:r w:rsidRPr="002942A2">
        <w:rPr>
          <w:rFonts w:ascii="Arial" w:hAnsi="Arial" w:cs="Arial"/>
        </w:rPr>
        <w:t xml:space="preserve">Galeazzi </w:t>
      </w:r>
      <w:r>
        <w:rPr>
          <w:rFonts w:ascii="Arial" w:hAnsi="Arial" w:cs="Arial"/>
        </w:rPr>
        <w:t xml:space="preserve">- </w:t>
      </w:r>
      <w:r w:rsidRPr="002942A2">
        <w:rPr>
          <w:rFonts w:ascii="Arial" w:hAnsi="Arial" w:cs="Arial"/>
        </w:rPr>
        <w:t>Morisoli</w:t>
      </w:r>
      <w:r>
        <w:rPr>
          <w:rFonts w:ascii="Arial" w:hAnsi="Arial" w:cs="Arial"/>
        </w:rPr>
        <w:t xml:space="preserve"> - Pamini -</w:t>
      </w:r>
      <w:r w:rsidRPr="002942A2">
        <w:rPr>
          <w:rFonts w:ascii="Arial" w:hAnsi="Arial" w:cs="Arial"/>
        </w:rPr>
        <w:t xml:space="preserve"> Pinoja </w:t>
      </w:r>
    </w:p>
    <w:p w:rsidR="005138FD" w:rsidRPr="002942A2" w:rsidRDefault="005138FD" w:rsidP="002942A2">
      <w:pPr>
        <w:rPr>
          <w:rFonts w:ascii="Arial" w:hAnsi="Arial" w:cs="Arial"/>
        </w:rPr>
      </w:pPr>
    </w:p>
    <w:sectPr w:rsidR="005138FD" w:rsidRPr="002942A2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296E4C"/>
    <w:multiLevelType w:val="hybridMultilevel"/>
    <w:tmpl w:val="30FEE7FE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942A2"/>
    <w:rsid w:val="002E5E40"/>
    <w:rsid w:val="00417666"/>
    <w:rsid w:val="0048100C"/>
    <w:rsid w:val="005138FD"/>
    <w:rsid w:val="0052425A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  <w:rsid w:val="00E4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42A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942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42A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942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2017-09-26T08:36:00Z</cp:lastPrinted>
  <dcterms:created xsi:type="dcterms:W3CDTF">2017-09-26T08:36:00Z</dcterms:created>
  <dcterms:modified xsi:type="dcterms:W3CDTF">2017-09-26T08:46:00Z</dcterms:modified>
</cp:coreProperties>
</file>