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F5A" w:rsidRDefault="009B4F5A" w:rsidP="009B4F5A">
      <w:pPr>
        <w:rPr>
          <w:rFonts w:ascii="Gill Sans MT" w:hAnsi="Gill Sans MT"/>
          <w:b/>
          <w:sz w:val="56"/>
          <w:szCs w:val="56"/>
        </w:rPr>
      </w:pPr>
      <w:r>
        <w:rPr>
          <w:rFonts w:ascii="Gill Sans MT" w:hAnsi="Gill Sans MT"/>
          <w:b/>
          <w:sz w:val="56"/>
          <w:szCs w:val="56"/>
        </w:rPr>
        <w:t>Messaggio</w:t>
      </w:r>
    </w:p>
    <w:p w:rsidR="009B4F5A" w:rsidRDefault="009B4F5A" w:rsidP="009B4F5A">
      <w:pPr>
        <w:tabs>
          <w:tab w:val="left" w:pos="426"/>
        </w:tabs>
        <w:rPr>
          <w:sz w:val="20"/>
        </w:rPr>
      </w:pPr>
    </w:p>
    <w:p w:rsidR="009B4F5A" w:rsidRDefault="009B4F5A" w:rsidP="009B4F5A">
      <w:pPr>
        <w:tabs>
          <w:tab w:val="left" w:pos="426"/>
        </w:tabs>
        <w:rPr>
          <w:sz w:val="20"/>
        </w:rPr>
      </w:pPr>
    </w:p>
    <w:p w:rsidR="009B4F5A" w:rsidRDefault="009B4F5A" w:rsidP="009B4F5A">
      <w:pPr>
        <w:tabs>
          <w:tab w:val="left" w:pos="426"/>
        </w:tabs>
        <w:rPr>
          <w:sz w:val="20"/>
        </w:rPr>
      </w:pPr>
    </w:p>
    <w:p w:rsidR="00BF3FC3" w:rsidRDefault="003A56AE">
      <w:pPr>
        <w:tabs>
          <w:tab w:val="left" w:pos="2098"/>
          <w:tab w:val="left" w:pos="4933"/>
        </w:tabs>
      </w:pPr>
      <w:bookmarkStart w:id="0" w:name="_GoBack"/>
      <w:bookmarkEnd w:id="0"/>
      <w:r w:rsidRPr="003A56AE">
        <w:rPr>
          <w:b/>
          <w:sz w:val="32"/>
        </w:rPr>
        <w:t>805</w:t>
      </w:r>
      <w:r w:rsidR="00A60F57">
        <w:rPr>
          <w:b/>
          <w:sz w:val="32"/>
        </w:rPr>
        <w:t>8</w:t>
      </w:r>
      <w:r w:rsidR="00BF3FC3" w:rsidRPr="003A56AE">
        <w:rPr>
          <w:sz w:val="28"/>
        </w:rPr>
        <w:tab/>
      </w:r>
      <w:r w:rsidR="00A60F57">
        <w:rPr>
          <w:sz w:val="28"/>
        </w:rPr>
        <w:t xml:space="preserve">15 </w:t>
      </w:r>
      <w:r w:rsidRPr="003A56AE">
        <w:rPr>
          <w:sz w:val="28"/>
        </w:rPr>
        <w:t>settembre 2021</w:t>
      </w:r>
      <w:r w:rsidR="00BF3FC3" w:rsidRPr="003A56AE">
        <w:rPr>
          <w:sz w:val="28"/>
        </w:rPr>
        <w:tab/>
      </w:r>
      <w:r>
        <w:rPr>
          <w:sz w:val="28"/>
        </w:rPr>
        <w:t>ISTITUZIONI</w:t>
      </w:r>
      <w:r w:rsidR="00B61658">
        <w:rPr>
          <w:sz w:val="28"/>
        </w:rPr>
        <w:t xml:space="preserve"> </w:t>
      </w:r>
    </w:p>
    <w:p w:rsidR="00BF3FC3" w:rsidRDefault="00BF3FC3"/>
    <w:p w:rsidR="00FD5A47" w:rsidRDefault="00FD5A47"/>
    <w:p w:rsidR="00BF3FC3" w:rsidRDefault="00BF3FC3"/>
    <w:p w:rsidR="00A60F57" w:rsidRPr="00A60F57" w:rsidRDefault="00A60F57" w:rsidP="00A60F57">
      <w:pPr>
        <w:pStyle w:val="StandardRisoluzionedelConsigliodiStato"/>
        <w:ind w:right="-1"/>
        <w:rPr>
          <w:b/>
          <w:sz w:val="28"/>
          <w:szCs w:val="28"/>
        </w:rPr>
      </w:pPr>
      <w:r w:rsidRPr="00A60F57">
        <w:rPr>
          <w:b/>
          <w:sz w:val="28"/>
          <w:szCs w:val="28"/>
        </w:rPr>
        <w:t>Rapporto del Consiglio di Stato sulla mozione 23 novembre 2020 presentata da Matteo Quadranti</w:t>
      </w:r>
      <w:r w:rsidR="00DE60F3">
        <w:rPr>
          <w:b/>
          <w:sz w:val="28"/>
          <w:szCs w:val="28"/>
        </w:rPr>
        <w:t xml:space="preserve"> e cofirmatari</w:t>
      </w:r>
      <w:r w:rsidRPr="00A60F57">
        <w:rPr>
          <w:b/>
          <w:sz w:val="28"/>
          <w:szCs w:val="28"/>
        </w:rPr>
        <w:t xml:space="preserve"> “Pubblicazione, e quindi trasparenza delle direttive del procuratore g</w:t>
      </w:r>
      <w:r w:rsidR="00DE60F3">
        <w:rPr>
          <w:b/>
          <w:sz w:val="28"/>
          <w:szCs w:val="28"/>
        </w:rPr>
        <w:t>enerale del Ministero pubblico”</w:t>
      </w:r>
    </w:p>
    <w:p w:rsidR="00A60F57" w:rsidRDefault="00A60F57" w:rsidP="00A60F57">
      <w:pPr>
        <w:pStyle w:val="StandardRisoluzionedelConsigliodiStato"/>
        <w:ind w:right="-1"/>
      </w:pPr>
    </w:p>
    <w:p w:rsidR="00DE60F3" w:rsidRPr="00DE60F3" w:rsidRDefault="00DE60F3" w:rsidP="00A60F57">
      <w:pPr>
        <w:pStyle w:val="StandardRisoluzionedelConsigliodiStato"/>
        <w:ind w:right="-1"/>
      </w:pPr>
    </w:p>
    <w:p w:rsidR="00A60F57" w:rsidRPr="00DE60F3" w:rsidRDefault="00A60F57" w:rsidP="00A60F57">
      <w:pPr>
        <w:pStyle w:val="StandardRisoluzionedelConsigliodiStato"/>
        <w:ind w:right="-1"/>
      </w:pPr>
    </w:p>
    <w:p w:rsidR="00A60F57" w:rsidRPr="00785ACF" w:rsidRDefault="00A60F57" w:rsidP="00A60F57">
      <w:pPr>
        <w:pStyle w:val="StandardRisoluzionedelConsigliodiStato"/>
        <w:ind w:right="-1"/>
        <w:rPr>
          <w:lang w:val="it-IT"/>
        </w:rPr>
      </w:pPr>
      <w:r w:rsidRPr="00785ACF">
        <w:rPr>
          <w:lang w:val="it-IT"/>
        </w:rPr>
        <w:t>Signor Presidente,</w:t>
      </w:r>
    </w:p>
    <w:p w:rsidR="00A60F57" w:rsidRPr="00785ACF" w:rsidRDefault="00A60F57" w:rsidP="00A60F57">
      <w:pPr>
        <w:pStyle w:val="StandardRisoluzionedelConsigliodiStato"/>
        <w:ind w:right="-1"/>
        <w:rPr>
          <w:lang w:val="it-IT"/>
        </w:rPr>
      </w:pPr>
      <w:r w:rsidRPr="00785ACF">
        <w:rPr>
          <w:lang w:val="it-IT"/>
        </w:rPr>
        <w:t>signore e signori deputati,</w:t>
      </w:r>
    </w:p>
    <w:p w:rsidR="00A60F57" w:rsidRPr="00785ACF" w:rsidRDefault="00A60F57" w:rsidP="00A60F57">
      <w:pPr>
        <w:pStyle w:val="StandardRisoluzionedelConsigliodiStato"/>
        <w:ind w:right="-1"/>
        <w:rPr>
          <w:lang w:val="it-IT"/>
        </w:rPr>
      </w:pPr>
    </w:p>
    <w:p w:rsidR="00A60F57" w:rsidRPr="00785ACF" w:rsidRDefault="00A60F57" w:rsidP="00A60F57">
      <w:pPr>
        <w:pStyle w:val="StandardRisoluzionedelConsigliodiStato"/>
        <w:ind w:right="-1"/>
      </w:pPr>
      <w:r w:rsidRPr="00785ACF">
        <w:t>i deputati Matteo Quadranti, Natalia Ferrara, Giorgio Galu</w:t>
      </w:r>
      <w:r>
        <w:t>sero, Cristina Maderni,</w:t>
      </w:r>
      <w:r>
        <w:br/>
        <w:t>Paolo Or</w:t>
      </w:r>
      <w:r w:rsidRPr="00785ACF">
        <w:t>telli e Roberta Passardi hanno presentato la summenzionata mozione, con la quale si chiede al Consiglio di Stato di rendere accessibili al pubblico – nello spirito anche della Legge sull’informazione e sulla trasparenza dello Stato (LIT) – le direttive relative all’organizzazione interna o su determinate tematiche emanate dal Procuratore generale o più in g</w:t>
      </w:r>
      <w:r>
        <w:t>enerale dal Ministero pubblico.</w:t>
      </w:r>
      <w:r w:rsidRPr="00785ACF">
        <w:t xml:space="preserve"> I </w:t>
      </w:r>
      <w:proofErr w:type="spellStart"/>
      <w:r w:rsidRPr="00785ACF">
        <w:t>mozionanti</w:t>
      </w:r>
      <w:proofErr w:type="spellEnd"/>
      <w:r w:rsidRPr="00785ACF">
        <w:t xml:space="preserve"> chiedono in sostanza che analogamente a quanto fatto in altri Cantoni queste direttive siano pubblicate nel</w:t>
      </w:r>
      <w:r>
        <w:t>la raccolta delle leggi o nel sito</w:t>
      </w:r>
      <w:r w:rsidRPr="00785ACF">
        <w:t xml:space="preserve"> internet del Cantone.</w:t>
      </w:r>
    </w:p>
    <w:p w:rsidR="00DE60F3" w:rsidRPr="00785ACF" w:rsidRDefault="00DE60F3" w:rsidP="00A60F57">
      <w:pPr>
        <w:pStyle w:val="StandardRisoluzionedelConsigliodiStato"/>
        <w:ind w:right="-1"/>
      </w:pPr>
    </w:p>
    <w:p w:rsidR="00A60F57" w:rsidRPr="00785ACF" w:rsidRDefault="00A60F57" w:rsidP="00A60F57">
      <w:pPr>
        <w:pStyle w:val="StandardRisoluzionedelConsigliodiStato"/>
        <w:ind w:right="-1"/>
      </w:pPr>
    </w:p>
    <w:p w:rsidR="00A60F57" w:rsidRPr="00785ACF" w:rsidRDefault="00A60F57" w:rsidP="00DE60F3">
      <w:pPr>
        <w:pStyle w:val="StandardRisoluzionedelConsigliodiStato"/>
        <w:numPr>
          <w:ilvl w:val="0"/>
          <w:numId w:val="36"/>
        </w:numPr>
        <w:spacing w:after="120"/>
        <w:ind w:left="567" w:hanging="425"/>
        <w:rPr>
          <w:rFonts w:eastAsia="Calibri" w:cs="Arial"/>
          <w:b/>
          <w:caps/>
          <w:szCs w:val="24"/>
        </w:rPr>
      </w:pPr>
      <w:r>
        <w:rPr>
          <w:rFonts w:eastAsia="Calibri" w:cs="Arial"/>
          <w:b/>
          <w:caps/>
          <w:szCs w:val="24"/>
        </w:rPr>
        <w:t>LEGISLAZIONE in essere</w:t>
      </w:r>
    </w:p>
    <w:p w:rsidR="00A60F57" w:rsidRPr="00785ACF" w:rsidRDefault="00A60F57" w:rsidP="00DE60F3">
      <w:pPr>
        <w:pStyle w:val="StandardRisoluzionedelConsigliodiStato"/>
        <w:numPr>
          <w:ilvl w:val="1"/>
          <w:numId w:val="35"/>
        </w:numPr>
        <w:spacing w:after="120"/>
        <w:ind w:left="567" w:hanging="567"/>
        <w:rPr>
          <w:b/>
        </w:rPr>
      </w:pPr>
      <w:r>
        <w:rPr>
          <w:b/>
        </w:rPr>
        <w:t>In generale</w:t>
      </w:r>
    </w:p>
    <w:p w:rsidR="00A60F57" w:rsidRDefault="00A60F57" w:rsidP="00A60F57">
      <w:pPr>
        <w:pStyle w:val="StandardRisoluzionedelConsigliodiStato"/>
        <w:ind w:right="-1"/>
      </w:pPr>
      <w:r w:rsidRPr="00785ACF">
        <w:t>Le direttive o</w:t>
      </w:r>
      <w:r>
        <w:t>d</w:t>
      </w:r>
      <w:r w:rsidRPr="00785ACF">
        <w:t xml:space="preserve"> ordinanze amministrative (direttive, istruzioni, regolamenti di servizio, circolari, linee direttive, ecc</w:t>
      </w:r>
      <w:r w:rsidR="00DE60F3">
        <w:t>.</w:t>
      </w:r>
      <w:r w:rsidRPr="00785ACF">
        <w:t xml:space="preserve">) sono atti che in generale emanano dal Governo o da Autorità amministrative all’attenzione degli organi subordinati (cfr. Adelio Scolari, Diritto Amministrativo, parte </w:t>
      </w:r>
      <w:r>
        <w:t>generale, 2. ed., n.</w:t>
      </w:r>
      <w:r w:rsidRPr="00785ACF">
        <w:t xml:space="preserve"> 127 segg., p</w:t>
      </w:r>
      <w:r w:rsidR="00DE60F3">
        <w:t>a</w:t>
      </w:r>
      <w:r w:rsidRPr="00785ACF">
        <w:t>g. 64).</w:t>
      </w:r>
      <w:r>
        <w:t xml:space="preserve"> </w:t>
      </w:r>
      <w:r w:rsidRPr="00785ACF">
        <w:t xml:space="preserve">Conformemente alla concezione classica difesa dalla giurisprudenza e dalla maggioranza della dottrina, le ordinanze amministrative non appartengono alla categoria degli atti normativi e pertanto una loro pubblicazione in una raccolta di leggi non è obbligatoria e comunque lasciata alla discrezione dell’autorità dalla quale emanano (cfr. </w:t>
      </w:r>
      <w:proofErr w:type="spellStart"/>
      <w:r w:rsidRPr="00785ACF">
        <w:t>Aurélie</w:t>
      </w:r>
      <w:proofErr w:type="spellEnd"/>
      <w:r w:rsidRPr="00785ACF">
        <w:t xml:space="preserve"> </w:t>
      </w:r>
      <w:proofErr w:type="spellStart"/>
      <w:r w:rsidRPr="00785ACF">
        <w:t>Gavillet</w:t>
      </w:r>
      <w:proofErr w:type="spellEnd"/>
      <w:r w:rsidRPr="00785ACF">
        <w:t xml:space="preserve">, La </w:t>
      </w:r>
      <w:proofErr w:type="spellStart"/>
      <w:r w:rsidRPr="00785ACF">
        <w:t>pratique</w:t>
      </w:r>
      <w:proofErr w:type="spellEnd"/>
      <w:r w:rsidRPr="00785ACF">
        <w:t xml:space="preserve"> </w:t>
      </w:r>
      <w:proofErr w:type="spellStart"/>
      <w:r w:rsidRPr="00785ACF">
        <w:t>administrative</w:t>
      </w:r>
      <w:proofErr w:type="spellEnd"/>
      <w:r w:rsidRPr="00785ACF">
        <w:t xml:space="preserve"> </w:t>
      </w:r>
      <w:proofErr w:type="spellStart"/>
      <w:r w:rsidRPr="00785ACF">
        <w:t>dans</w:t>
      </w:r>
      <w:proofErr w:type="spellEnd"/>
      <w:r w:rsidRPr="00785ACF">
        <w:t xml:space="preserve"> l’</w:t>
      </w:r>
      <w:proofErr w:type="spellStart"/>
      <w:r w:rsidRPr="00785ACF">
        <w:t>ordre</w:t>
      </w:r>
      <w:proofErr w:type="spellEnd"/>
      <w:r w:rsidRPr="00785ACF">
        <w:t xml:space="preserve"> </w:t>
      </w:r>
      <w:proofErr w:type="spellStart"/>
      <w:r w:rsidRPr="00785ACF">
        <w:t>juridique</w:t>
      </w:r>
      <w:proofErr w:type="spellEnd"/>
      <w:r w:rsidRPr="00785ACF">
        <w:t xml:space="preserve"> </w:t>
      </w:r>
      <w:proofErr w:type="spellStart"/>
      <w:r>
        <w:t>suisse</w:t>
      </w:r>
      <w:proofErr w:type="spellEnd"/>
      <w:r>
        <w:t xml:space="preserve">, 2018, </w:t>
      </w:r>
      <w:proofErr w:type="spellStart"/>
      <w:r>
        <w:t>Stämpfli</w:t>
      </w:r>
      <w:proofErr w:type="spellEnd"/>
      <w:r>
        <w:t xml:space="preserve"> </w:t>
      </w:r>
      <w:proofErr w:type="spellStart"/>
      <w:r>
        <w:t>Verlag</w:t>
      </w:r>
      <w:proofErr w:type="spellEnd"/>
      <w:r>
        <w:t xml:space="preserve"> AG</w:t>
      </w:r>
      <w:r w:rsidRPr="00785ACF">
        <w:t>). In</w:t>
      </w:r>
      <w:r>
        <w:t xml:space="preserve"> </w:t>
      </w:r>
      <w:proofErr w:type="spellStart"/>
      <w:r>
        <w:t>Tici</w:t>
      </w:r>
      <w:r w:rsidRPr="00785ACF">
        <w:t>o</w:t>
      </w:r>
      <w:proofErr w:type="spellEnd"/>
      <w:r w:rsidRPr="00785ACF">
        <w:t>, la Legge sulle pubblicazioni ufficiali (LPU</w:t>
      </w:r>
      <w:r>
        <w:t>) del 22 settembre 2014 al suo a</w:t>
      </w:r>
      <w:r w:rsidRPr="00785ACF">
        <w:t>rt. 3 non prevede la pubblicazione delle ordinanze amministrative nel bollettino ufficiale delle leggi.</w:t>
      </w:r>
      <w:r>
        <w:t xml:space="preserve"> </w:t>
      </w:r>
      <w:r w:rsidRPr="00785ACF">
        <w:t>Il principio che prevale pertanto, in assenza di una base legale espressa, è quello che l’eventuale pubblicazione della direttiva rimane a discrezion</w:t>
      </w:r>
      <w:r>
        <w:t>e dell’autorità (cfr. op cit., n.</w:t>
      </w:r>
      <w:r w:rsidRPr="00785ACF">
        <w:t xml:space="preserve"> 893)</w:t>
      </w:r>
      <w:r>
        <w:t xml:space="preserve">. </w:t>
      </w:r>
      <w:r w:rsidRPr="00785ACF">
        <w:t>L’Autorità che ha emanato una direttiva dovrebbe, prima di una sua eventuale pubblicazione, procedere a una ponderazione d</w:t>
      </w:r>
      <w:r>
        <w:t xml:space="preserve">egli interessi pro o contro. In </w:t>
      </w:r>
      <w:r w:rsidRPr="00785ACF">
        <w:t>questo contesto quando le conseguenze della direttiva sulla situazione di diritto o di fatto degli amministrati</w:t>
      </w:r>
      <w:r>
        <w:t xml:space="preserve"> sono importanti, l’interesse a</w:t>
      </w:r>
      <w:r w:rsidRPr="00785ACF">
        <w:t xml:space="preserve"> una sua pubblicazione può risultare preponderante. Quando invece la direttiva tocca leggermente gli interessi degli amminis</w:t>
      </w:r>
      <w:r>
        <w:t>trati l’interesse generale va scemando.</w:t>
      </w:r>
    </w:p>
    <w:p w:rsidR="00A60F57" w:rsidRDefault="00A60F57" w:rsidP="00A60F57">
      <w:pPr>
        <w:pStyle w:val="StandardRisoluzionedelConsigliodiStato"/>
        <w:ind w:right="-1"/>
      </w:pPr>
      <w:r>
        <w:lastRenderedPageBreak/>
        <w:t>Quando, in</w:t>
      </w:r>
      <w:r w:rsidRPr="00785ACF">
        <w:t>fine, la direttiva deve rimanere segreta per permettere all’autorità di compiere efficacemente i propri compiti, l’interesse alla non pubblicazione è sicuramente più importante e di peso. Se invece vi sono degli interessi privati che si oppongono alla pubblicazione (protezione della personalità o di segreti d’affari) l’autorità deve se</w:t>
      </w:r>
      <w:r>
        <w:t>mpre chiedersi se un’</w:t>
      </w:r>
      <w:proofErr w:type="spellStart"/>
      <w:r>
        <w:t>anonimizza</w:t>
      </w:r>
      <w:r w:rsidRPr="00785ACF">
        <w:t>zione</w:t>
      </w:r>
      <w:proofErr w:type="spellEnd"/>
      <w:r w:rsidRPr="00785ACF">
        <w:t xml:space="preserve"> della Direttiva non sia la</w:t>
      </w:r>
      <w:r>
        <w:t xml:space="preserve"> soluzione migliore (cfr. op. cit., </w:t>
      </w:r>
      <w:r w:rsidR="00DE60F3">
        <w:br/>
      </w:r>
      <w:r>
        <w:t>n.</w:t>
      </w:r>
      <w:r w:rsidRPr="00785ACF">
        <w:t xml:space="preserve"> 929).</w:t>
      </w:r>
    </w:p>
    <w:p w:rsidR="00DE60F3" w:rsidRDefault="00DE60F3" w:rsidP="00A60F57">
      <w:pPr>
        <w:pStyle w:val="StandardRisoluzionedelConsigliodiStato"/>
        <w:ind w:right="-1"/>
      </w:pPr>
    </w:p>
    <w:p w:rsidR="00DE60F3" w:rsidRPr="00785ACF" w:rsidRDefault="00DE60F3" w:rsidP="00A60F57">
      <w:pPr>
        <w:pStyle w:val="StandardRisoluzionedelConsigliodiStato"/>
        <w:ind w:right="-1"/>
      </w:pPr>
    </w:p>
    <w:p w:rsidR="00A60F57" w:rsidRPr="00785ACF" w:rsidRDefault="00A60F57" w:rsidP="00DE60F3">
      <w:pPr>
        <w:pStyle w:val="StandardRisoluzionedelConsigliodiStato"/>
        <w:numPr>
          <w:ilvl w:val="1"/>
          <w:numId w:val="35"/>
        </w:numPr>
        <w:spacing w:after="120"/>
        <w:ind w:left="567" w:hanging="567"/>
        <w:rPr>
          <w:b/>
        </w:rPr>
      </w:pPr>
      <w:r>
        <w:rPr>
          <w:b/>
        </w:rPr>
        <w:t>La L</w:t>
      </w:r>
      <w:r w:rsidRPr="00785ACF">
        <w:rPr>
          <w:b/>
        </w:rPr>
        <w:t xml:space="preserve">egge </w:t>
      </w:r>
      <w:r>
        <w:rPr>
          <w:b/>
        </w:rPr>
        <w:t>cantonale</w:t>
      </w:r>
      <w:r w:rsidRPr="00785ACF">
        <w:rPr>
          <w:b/>
        </w:rPr>
        <w:t xml:space="preserve"> sull’informazione e la trasparenza dello Stato</w:t>
      </w:r>
    </w:p>
    <w:p w:rsidR="00DE60F3" w:rsidRDefault="00A60F57" w:rsidP="00A60F57">
      <w:pPr>
        <w:pStyle w:val="StandardRisoluzionedelConsigliodiStato"/>
        <w:ind w:right="-1"/>
      </w:pPr>
      <w:r w:rsidRPr="00785ACF">
        <w:t xml:space="preserve">La </w:t>
      </w:r>
      <w:r>
        <w:t xml:space="preserve">Legge sull’informazione e </w:t>
      </w:r>
      <w:r w:rsidRPr="00785ACF">
        <w:t xml:space="preserve">sulla trasparenza </w:t>
      </w:r>
      <w:r>
        <w:t xml:space="preserve">dello Stato (LIT, RL 162.100) si applica </w:t>
      </w:r>
      <w:r w:rsidRPr="00785ACF">
        <w:t>anche alle autorità giudiziarie</w:t>
      </w:r>
      <w:r>
        <w:t xml:space="preserve"> – compreso quindi anche al Ministero p</w:t>
      </w:r>
      <w:r w:rsidRPr="00785ACF">
        <w:t>ubblico</w:t>
      </w:r>
      <w:r w:rsidRPr="00F52EF9">
        <w:t xml:space="preserve"> – limitatamente all’informazione attiva e alle loro attività amministrative e di vigilanza</w:t>
      </w:r>
      <w:r>
        <w:t xml:space="preserve"> (cfr.</w:t>
      </w:r>
      <w:r w:rsidR="00DE60F3">
        <w:t xml:space="preserve"> </w:t>
      </w:r>
      <w:r>
        <w:t xml:space="preserve"> art. 2 cpv. 1 </w:t>
      </w:r>
    </w:p>
    <w:p w:rsidR="00A60F57" w:rsidRDefault="00A60F57" w:rsidP="00A60F57">
      <w:pPr>
        <w:pStyle w:val="StandardRisoluzionedelConsigliodiStato"/>
        <w:ind w:right="-1"/>
      </w:pPr>
      <w:r>
        <w:t>lett. c LIT)</w:t>
      </w:r>
      <w:r w:rsidRPr="00785ACF">
        <w:t xml:space="preserve">. </w:t>
      </w:r>
      <w:r>
        <w:t>In base alla LIT, l’</w:t>
      </w:r>
      <w:r w:rsidRPr="00F52EF9">
        <w:t>accesso a documenti ufficiali che riguardano procedimenti in corso è retto dalle rispettive leggi di procedura e dalle leggi speciali</w:t>
      </w:r>
      <w:r w:rsidR="00DE60F3">
        <w:t xml:space="preserve"> (cfr.</w:t>
      </w:r>
      <w:r>
        <w:t xml:space="preserve"> art. 3 cpv. 1); per il Ministero pubblico, il Codice di procedura penale in particolare.</w:t>
      </w:r>
      <w:r w:rsidRPr="001A4E46">
        <w:t xml:space="preserve"> La LIT</w:t>
      </w:r>
      <w:r w:rsidRPr="00785ACF">
        <w:t xml:space="preserve"> </w:t>
      </w:r>
      <w:r>
        <w:t xml:space="preserve">è pertanto </w:t>
      </w:r>
      <w:r w:rsidRPr="00785ACF">
        <w:t>applicabile nei confronti</w:t>
      </w:r>
      <w:r>
        <w:t xml:space="preserve"> delle autorità giudiziarie</w:t>
      </w:r>
      <w:r w:rsidRPr="00785ACF">
        <w:t xml:space="preserve"> senza riserve soltanto quando assolvono attività amministrative o mansioni di vigilanza: questa soluzione, che esclude</w:t>
      </w:r>
      <w:r>
        <w:t>, come visto,</w:t>
      </w:r>
      <w:r w:rsidRPr="00785ACF">
        <w:t xml:space="preserve"> il diritto di accesso agli atti di procedura e alle sentenze delle autorità giudiziarie, corrisponde peraltro a quella prevista dalla legislazione fed</w:t>
      </w:r>
      <w:r>
        <w:t>erale e dalle leggi di diversi C</w:t>
      </w:r>
      <w:r w:rsidRPr="00785ACF">
        <w:t xml:space="preserve">antoni </w:t>
      </w:r>
      <w:r w:rsidR="00DE60F3">
        <w:br/>
      </w:r>
      <w:r w:rsidRPr="00785ACF">
        <w:t>(cfr. rapporto del Consig</w:t>
      </w:r>
      <w:r>
        <w:t>lio di Stato del 10 novembre 20</w:t>
      </w:r>
      <w:r w:rsidRPr="00785ACF">
        <w:t xml:space="preserve">09 sull’iniziativa popolare generica 17 settembre 2007 “Per una legge sulla trasparenza dello stato” e sull’iniziativa parlamentare 6 dicembre 1993 presentata nella forma </w:t>
      </w:r>
      <w:r>
        <w:t>generica dall’allora</w:t>
      </w:r>
      <w:r w:rsidR="00DE60F3">
        <w:t xml:space="preserve"> </w:t>
      </w:r>
      <w:r>
        <w:t>deputata Chiara.</w:t>
      </w:r>
      <w:r w:rsidR="00DE60F3">
        <w:t xml:space="preserve"> </w:t>
      </w:r>
      <w:proofErr w:type="spellStart"/>
      <w:r w:rsidR="00DE60F3">
        <w:t>Simoneschi</w:t>
      </w:r>
      <w:proofErr w:type="spellEnd"/>
      <w:r w:rsidR="00DE60F3">
        <w:t>-</w:t>
      </w:r>
      <w:r w:rsidRPr="00785ACF">
        <w:t xml:space="preserve">Cortesi e cofirmatari “Per </w:t>
      </w:r>
      <w:r>
        <w:t>una legge sull’informazione”, p</w:t>
      </w:r>
      <w:r w:rsidRPr="00785ACF">
        <w:t>. 11).</w:t>
      </w:r>
      <w:r>
        <w:t xml:space="preserve"> </w:t>
      </w:r>
      <w:r w:rsidRPr="00785ACF">
        <w:t>L’art.</w:t>
      </w:r>
      <w:r>
        <w:t xml:space="preserve"> 5 LIT</w:t>
      </w:r>
      <w:r w:rsidRPr="00785ACF">
        <w:t xml:space="preserve">, </w:t>
      </w:r>
      <w:r>
        <w:t xml:space="preserve">sub </w:t>
      </w:r>
      <w:r w:rsidRPr="00785ACF">
        <w:t xml:space="preserve">capitolo informazione del pubblico, </w:t>
      </w:r>
      <w:r>
        <w:t>sottolinea come le a</w:t>
      </w:r>
      <w:r w:rsidRPr="00785ACF">
        <w:t xml:space="preserve">utorità informano la popolazione sulle loro attività ove sussista un interesse generale e non vi si opponga un interesse pubblico o privato preponderante. </w:t>
      </w:r>
      <w:r w:rsidRPr="00E16C69">
        <w:t>Il</w:t>
      </w:r>
      <w:r w:rsidR="00DE60F3">
        <w:t xml:space="preserve"> </w:t>
      </w:r>
      <w:r w:rsidRPr="00E16C69">
        <w:t>Regolamento</w:t>
      </w:r>
      <w:r>
        <w:t xml:space="preserve"> </w:t>
      </w:r>
      <w:r w:rsidRPr="00E16C69">
        <w:t>della legge sull’informazione</w:t>
      </w:r>
      <w:r>
        <w:t xml:space="preserve"> </w:t>
      </w:r>
      <w:r w:rsidRPr="00E16C69">
        <w:t>e sulla trasparenza dello Stato</w:t>
      </w:r>
      <w:r>
        <w:t xml:space="preserve"> </w:t>
      </w:r>
      <w:r w:rsidRPr="00E16C69">
        <w:t>(RLIT</w:t>
      </w:r>
      <w:r>
        <w:t>, RL</w:t>
      </w:r>
      <w:r w:rsidR="00DE60F3">
        <w:t xml:space="preserve"> </w:t>
      </w:r>
      <w:r>
        <w:t>162.110</w:t>
      </w:r>
      <w:r w:rsidRPr="00E16C69">
        <w:t>)</w:t>
      </w:r>
      <w:r w:rsidRPr="00785ACF">
        <w:t>, dal canto suo</w:t>
      </w:r>
      <w:r>
        <w:t>,</w:t>
      </w:r>
      <w:r w:rsidRPr="00785ACF">
        <w:t xml:space="preserve"> specifica che l’autorità competente pubblica i documenti ufficiali d’interesse generale o ritenuti importanti</w:t>
      </w:r>
      <w:r>
        <w:t>, sempre che questo non comporti un dispendio sproporzionato e ossequi le disposizioni legali in essere (art. 4 RLIT)</w:t>
      </w:r>
      <w:r w:rsidRPr="00785ACF">
        <w:t xml:space="preserve">. </w:t>
      </w:r>
    </w:p>
    <w:p w:rsidR="00A60F57" w:rsidRDefault="00A60F57" w:rsidP="00A60F57">
      <w:pPr>
        <w:pStyle w:val="StandardRisoluzionedelConsigliodiStato"/>
        <w:ind w:right="-1"/>
      </w:pPr>
    </w:p>
    <w:p w:rsidR="00DE60F3" w:rsidRPr="00785ACF" w:rsidRDefault="00DE60F3" w:rsidP="00A60F57">
      <w:pPr>
        <w:pStyle w:val="StandardRisoluzionedelConsigliodiStato"/>
        <w:ind w:right="-1"/>
      </w:pPr>
    </w:p>
    <w:p w:rsidR="00A60F57" w:rsidRPr="00785ACF" w:rsidRDefault="00A60F57" w:rsidP="00DE60F3">
      <w:pPr>
        <w:pStyle w:val="StandardRisoluzionedelConsigliodiStato"/>
        <w:numPr>
          <w:ilvl w:val="1"/>
          <w:numId w:val="35"/>
        </w:numPr>
        <w:spacing w:after="120"/>
        <w:ind w:left="567" w:hanging="567"/>
        <w:rPr>
          <w:b/>
        </w:rPr>
      </w:pPr>
      <w:r>
        <w:rPr>
          <w:b/>
        </w:rPr>
        <w:t>La posizione del Tribunale f</w:t>
      </w:r>
      <w:r w:rsidRPr="00785ACF">
        <w:rPr>
          <w:b/>
        </w:rPr>
        <w:t>ederale</w:t>
      </w:r>
    </w:p>
    <w:p w:rsidR="00A60F57" w:rsidRDefault="00A60F57" w:rsidP="00A60F57">
      <w:pPr>
        <w:pStyle w:val="StandardRisoluzionedelConsigliodiStato"/>
        <w:ind w:right="-1"/>
      </w:pPr>
      <w:r>
        <w:t xml:space="preserve">Il Tribunale federale si è pronunciato </w:t>
      </w:r>
      <w:r w:rsidRPr="00785ACF">
        <w:t>in</w:t>
      </w:r>
      <w:r>
        <w:t xml:space="preserve"> merito al rifiuto di accesso a</w:t>
      </w:r>
      <w:r w:rsidRPr="00785ACF">
        <w:t xml:space="preserve"> una dir</w:t>
      </w:r>
      <w:r>
        <w:t>ettiva emanata dal Procuratore g</w:t>
      </w:r>
      <w:r w:rsidRPr="00785ACF">
        <w:t xml:space="preserve">enerale del Cantone di Ginevra </w:t>
      </w:r>
      <w:r>
        <w:t>nelle decisioni</w:t>
      </w:r>
      <w:r w:rsidRPr="00785ACF">
        <w:t xml:space="preserve"> DTF 1C_604/20</w:t>
      </w:r>
      <w:r>
        <w:t>15 e 1C_606/2015</w:t>
      </w:r>
      <w:r w:rsidRPr="00785ACF">
        <w:t xml:space="preserve">. </w:t>
      </w:r>
      <w:r>
        <w:t>A mente dell’Alta Corte, l</w:t>
      </w:r>
      <w:r w:rsidRPr="00785ACF">
        <w:t>a direttiva in questione non faceva parte di u</w:t>
      </w:r>
      <w:r>
        <w:t>n incarto penale in essere, trattandosi</w:t>
      </w:r>
      <w:r w:rsidRPr="00785ACF">
        <w:t xml:space="preserve"> di un documento generale relativo alla politica criminale</w:t>
      </w:r>
      <w:r>
        <w:t xml:space="preserve"> cantonale. Essa</w:t>
      </w:r>
      <w:r w:rsidRPr="00785ACF">
        <w:t xml:space="preserve"> non rientrava</w:t>
      </w:r>
      <w:r>
        <w:t xml:space="preserve"> quindi</w:t>
      </w:r>
      <w:r w:rsidRPr="00785ACF">
        <w:t xml:space="preserve"> nel processo decisionale propriamente detto ma si avvicinava piuttosto alle disposizioni della legge penale o della giurisprudenza, sulle quali i procuratori </w:t>
      </w:r>
      <w:r>
        <w:t>si fondano</w:t>
      </w:r>
      <w:r w:rsidRPr="00785ACF">
        <w:t xml:space="preserve"> per prendere le loro decisioni.</w:t>
      </w:r>
      <w:r>
        <w:t xml:space="preserve"> Nell’ottica della concretizzazione del principio della legalità della pena (art. 1 CP), del principio della pubblicità, dell’accesso e della prevedibilità delle norme penali in un contesto repressivo, s’impone tuttavia, in ossequio al principio della sicurezza del diritto, che la persona oggetto del procedimento possa prendere conoscenza delle conseguenze prevedibili del proprio comportamento </w:t>
      </w:r>
      <w:r w:rsidRPr="009B34C8">
        <w:t>(</w:t>
      </w:r>
      <w:r>
        <w:t xml:space="preserve">cfr. le predette decisioni, nonché </w:t>
      </w:r>
      <w:r w:rsidRPr="009B34C8">
        <w:t>DTF</w:t>
      </w:r>
      <w:hyperlink r:id="rId7" w:anchor="page35" w:history="1">
        <w:r w:rsidRPr="009B34C8">
          <w:t xml:space="preserve"> 125 IV 35</w:t>
        </w:r>
      </w:hyperlink>
      <w:r>
        <w:t xml:space="preserve"> </w:t>
      </w:r>
      <w:proofErr w:type="spellStart"/>
      <w:r w:rsidRPr="009B34C8">
        <w:t>consid</w:t>
      </w:r>
      <w:proofErr w:type="spellEnd"/>
      <w:r w:rsidRPr="009B34C8">
        <w:t xml:space="preserve">. </w:t>
      </w:r>
      <w:r>
        <w:t>1ss.</w:t>
      </w:r>
      <w:r w:rsidRPr="007876FA">
        <w:t xml:space="preserve"> e riferimenti ivi citati). </w:t>
      </w:r>
      <w:r w:rsidRPr="00A43383">
        <w:t xml:space="preserve">Per tale motivo, s’impone che simili direttive debbano essere </w:t>
      </w:r>
      <w:r>
        <w:t xml:space="preserve">rese </w:t>
      </w:r>
      <w:r w:rsidRPr="00A43383">
        <w:t>accessibili al pubblico.</w:t>
      </w:r>
    </w:p>
    <w:p w:rsidR="00A60F57" w:rsidRDefault="00A60F57" w:rsidP="00A60F57">
      <w:pPr>
        <w:pStyle w:val="StandardRisoluzionedelConsigliodiStato"/>
        <w:ind w:right="-1"/>
      </w:pPr>
    </w:p>
    <w:p w:rsidR="00A60F57" w:rsidRDefault="00A60F57" w:rsidP="00A60F57">
      <w:pPr>
        <w:pStyle w:val="StandardRisoluzionedelConsigliodiStato"/>
        <w:ind w:right="-1"/>
      </w:pPr>
    </w:p>
    <w:p w:rsidR="00A60F57" w:rsidRDefault="00A60F57" w:rsidP="00DE60F3">
      <w:pPr>
        <w:pStyle w:val="StandardRisoluzionedelConsigliodiStato"/>
        <w:spacing w:after="120"/>
        <w:rPr>
          <w:rFonts w:eastAsia="Calibri" w:cs="Arial"/>
          <w:b/>
          <w:caps/>
          <w:szCs w:val="24"/>
        </w:rPr>
      </w:pPr>
      <w:r>
        <w:rPr>
          <w:rFonts w:eastAsia="Calibri" w:cs="Arial"/>
          <w:b/>
          <w:caps/>
          <w:szCs w:val="24"/>
        </w:rPr>
        <w:t>II.</w:t>
      </w:r>
      <w:r>
        <w:rPr>
          <w:rFonts w:eastAsia="Calibri" w:cs="Arial"/>
          <w:b/>
          <w:caps/>
          <w:szCs w:val="24"/>
        </w:rPr>
        <w:tab/>
        <w:t>LA POSIZIONE DEL MINISTERO PUBBLICO DEL CANTON TICINO</w:t>
      </w:r>
    </w:p>
    <w:p w:rsidR="00A60F57" w:rsidRDefault="00A60F57" w:rsidP="00A60F57">
      <w:pPr>
        <w:pStyle w:val="StandardRisoluzionedelConsigliodiStato"/>
        <w:ind w:right="-1"/>
      </w:pPr>
      <w:r>
        <w:t xml:space="preserve">La Direzione del Ministero pubblico, per il tramite del Procuratore generale, di principio si è espressa in favore di una pubblicazione delle Direttive emanate da Ministero pubblico, in </w:t>
      </w:r>
      <w:r>
        <w:lastRenderedPageBreak/>
        <w:t xml:space="preserve">ossequio a quanto disposto dalla LIT. </w:t>
      </w:r>
      <w:r w:rsidRPr="00785ACF">
        <w:t>La pubblicazione</w:t>
      </w:r>
      <w:r>
        <w:t xml:space="preserve"> delle Direttive del Ministero p</w:t>
      </w:r>
      <w:r w:rsidRPr="00785ACF">
        <w:t xml:space="preserve">ubblico </w:t>
      </w:r>
      <w:r>
        <w:t>sul sito internet di riferimento dell’Autorità penale sarà quindi</w:t>
      </w:r>
      <w:r w:rsidRPr="00785ACF">
        <w:t xml:space="preserve"> valutata con particolare riferimento al contenuto delle medesime</w:t>
      </w:r>
      <w:r>
        <w:t xml:space="preserve">, ponderando gli interessi pubblici e privati, in base alla competenza discrezionale della Direzione del Ministero pubblico, in ossequio a quanto disposto dalla LIT e ritenendo altresì la giurisprudenza in essere. </w:t>
      </w:r>
    </w:p>
    <w:p w:rsidR="00A60F57" w:rsidRDefault="00A60F57" w:rsidP="00A60F57">
      <w:pPr>
        <w:pStyle w:val="StandardRisoluzionedelConsigliodiStato"/>
        <w:ind w:right="-1"/>
      </w:pPr>
    </w:p>
    <w:p w:rsidR="00DE60F3" w:rsidRDefault="00DE60F3" w:rsidP="00A60F57">
      <w:pPr>
        <w:pStyle w:val="StandardRisoluzionedelConsigliodiStato"/>
        <w:ind w:right="-1"/>
      </w:pPr>
    </w:p>
    <w:p w:rsidR="00A60F57" w:rsidRPr="00773E66" w:rsidRDefault="00A60F57" w:rsidP="00DE60F3">
      <w:pPr>
        <w:pStyle w:val="StandardRisoluzionedelConsigliodiStato"/>
        <w:spacing w:after="120"/>
      </w:pPr>
      <w:r w:rsidRPr="00773E66">
        <w:rPr>
          <w:b/>
        </w:rPr>
        <w:t>III.</w:t>
      </w:r>
      <w:r w:rsidRPr="00773E66">
        <w:rPr>
          <w:b/>
        </w:rPr>
        <w:tab/>
      </w:r>
      <w:r w:rsidRPr="00773E66">
        <w:rPr>
          <w:rFonts w:eastAsia="Calibri" w:cs="Arial"/>
          <w:b/>
          <w:caps/>
          <w:szCs w:val="24"/>
        </w:rPr>
        <w:t>Parere del Consiglio di Stato</w:t>
      </w:r>
    </w:p>
    <w:p w:rsidR="00A60F57" w:rsidRDefault="00A60F57" w:rsidP="00A60F57">
      <w:pPr>
        <w:pStyle w:val="StandardRisoluzionedelConsigliodiStato"/>
        <w:ind w:right="-1"/>
      </w:pPr>
      <w:r>
        <w:t>Lo scrivente Consiglio, in ossequio al principio della separazione dei poteri e dell’indipendenza della Magistratura e preso atto della legislazione in essere nonché della posizione del Ministero pubblico, non può che salutare positivamente la prossima pubblicazione nel rispetto della LIT delle Direttive dell’Autorità cantonale del perseguimento penale.</w:t>
      </w:r>
    </w:p>
    <w:p w:rsidR="00A60F57" w:rsidRDefault="00A60F57" w:rsidP="00A60F57">
      <w:pPr>
        <w:pStyle w:val="StandardRisoluzionedelConsigliodiStato"/>
        <w:ind w:right="-1"/>
      </w:pPr>
    </w:p>
    <w:p w:rsidR="00A60F57" w:rsidRDefault="00A60F57" w:rsidP="00A60F57">
      <w:pPr>
        <w:pStyle w:val="StandardRisoluzionedelConsigliodiStato"/>
        <w:ind w:right="-1"/>
      </w:pPr>
    </w:p>
    <w:p w:rsidR="00A60F57" w:rsidRPr="006E29FA" w:rsidRDefault="00A60F57" w:rsidP="00DE60F3">
      <w:pPr>
        <w:pStyle w:val="StandardRisoluzionedelConsigliodiStato"/>
        <w:spacing w:after="120"/>
      </w:pPr>
      <w:r w:rsidRPr="006E29FA">
        <w:rPr>
          <w:b/>
        </w:rPr>
        <w:t>IV.</w:t>
      </w:r>
      <w:r w:rsidRPr="006E29FA">
        <w:rPr>
          <w:b/>
        </w:rPr>
        <w:tab/>
      </w:r>
      <w:r w:rsidRPr="00426AB7">
        <w:rPr>
          <w:rFonts w:eastAsia="Calibri" w:cs="Arial"/>
          <w:b/>
          <w:caps/>
          <w:szCs w:val="24"/>
        </w:rPr>
        <w:t>Conclusione</w:t>
      </w:r>
    </w:p>
    <w:p w:rsidR="00A60F57" w:rsidRPr="00785ACF" w:rsidRDefault="00A60F57" w:rsidP="00A60F57">
      <w:pPr>
        <w:pStyle w:val="StandardRisoluzionedelConsigliodiStato"/>
        <w:ind w:right="-1"/>
      </w:pPr>
      <w:r w:rsidRPr="00785ACF">
        <w:t xml:space="preserve">Per i motivi suindicati invitiamo il </w:t>
      </w:r>
      <w:r>
        <w:t xml:space="preserve">Parlamento </w:t>
      </w:r>
      <w:r w:rsidRPr="00785ACF">
        <w:t xml:space="preserve">a considerare la mozione evasa ai sensi dei </w:t>
      </w:r>
      <w:proofErr w:type="spellStart"/>
      <w:r w:rsidRPr="00785ACF">
        <w:t>considerandi</w:t>
      </w:r>
      <w:proofErr w:type="spellEnd"/>
      <w:r w:rsidRPr="00785ACF">
        <w:t>.</w:t>
      </w:r>
    </w:p>
    <w:p w:rsidR="00A60F57" w:rsidRDefault="00A60F57" w:rsidP="00A60F57">
      <w:pPr>
        <w:pStyle w:val="StandardRisoluzionedelConsigliodiStato"/>
        <w:ind w:right="-1"/>
      </w:pPr>
    </w:p>
    <w:p w:rsidR="00DE60F3" w:rsidRPr="00785ACF" w:rsidRDefault="00DE60F3" w:rsidP="00A60F57">
      <w:pPr>
        <w:pStyle w:val="StandardRisoluzionedelConsigliodiStato"/>
        <w:ind w:right="-1"/>
      </w:pPr>
    </w:p>
    <w:p w:rsidR="00A60F57" w:rsidRPr="00AF2C99" w:rsidRDefault="00A60F57" w:rsidP="00A60F57">
      <w:pPr>
        <w:contextualSpacing/>
        <w:rPr>
          <w:rFonts w:cs="Arial"/>
          <w:szCs w:val="24"/>
        </w:rPr>
      </w:pPr>
      <w:r w:rsidRPr="003A56AE">
        <w:rPr>
          <w:rFonts w:eastAsia="Arial"/>
          <w:szCs w:val="24"/>
          <w:lang w:eastAsia="en-US"/>
        </w:rPr>
        <w:t>Vogliate gradire, signor Presidente, signore e signori deputati, l'espressione della nostra massima stima.</w:t>
      </w:r>
    </w:p>
    <w:p w:rsidR="00A60F57" w:rsidRDefault="00A60F57" w:rsidP="00A60F57">
      <w:pPr>
        <w:pStyle w:val="StandardRisoluzionedelConsigliodiStato"/>
        <w:ind w:right="-1"/>
      </w:pPr>
    </w:p>
    <w:p w:rsidR="00A60F57" w:rsidRDefault="00A60F57" w:rsidP="00A60F57">
      <w:pPr>
        <w:pStyle w:val="StandardRisoluzionedelConsigliodiStato"/>
        <w:ind w:right="-1"/>
      </w:pPr>
    </w:p>
    <w:p w:rsidR="00A60F57" w:rsidRPr="00785ACF" w:rsidRDefault="00A60F57" w:rsidP="00A60F57">
      <w:pPr>
        <w:pStyle w:val="StandardRisoluzionedelConsigliodiStato"/>
        <w:ind w:right="-1"/>
      </w:pPr>
    </w:p>
    <w:p w:rsidR="00A60F57" w:rsidRPr="00B4412F" w:rsidRDefault="00A60F57" w:rsidP="00A60F57">
      <w:pPr>
        <w:spacing w:after="120" w:line="0" w:lineRule="atLeast"/>
        <w:rPr>
          <w:rFonts w:cs="Arial"/>
        </w:rPr>
      </w:pPr>
      <w:r w:rsidRPr="00B4412F">
        <w:rPr>
          <w:rFonts w:cs="Arial"/>
        </w:rPr>
        <w:t>Per il Consiglio di Stato:</w:t>
      </w:r>
    </w:p>
    <w:p w:rsidR="00A60F57" w:rsidRPr="00B4412F" w:rsidRDefault="00A60F57" w:rsidP="00A60F57">
      <w:pPr>
        <w:spacing w:line="23" w:lineRule="atLeast"/>
        <w:rPr>
          <w:rFonts w:cs="Arial"/>
        </w:rPr>
      </w:pPr>
      <w:r>
        <w:rPr>
          <w:rFonts w:cs="Arial"/>
        </w:rPr>
        <w:t>Il Presidente, Manuele Bertoli</w:t>
      </w:r>
    </w:p>
    <w:p w:rsidR="00A60F57" w:rsidRPr="00B4412F" w:rsidRDefault="00A60F57" w:rsidP="00A60F57">
      <w:pPr>
        <w:spacing w:line="23" w:lineRule="atLeast"/>
        <w:rPr>
          <w:rFonts w:cs="Arial"/>
        </w:rPr>
      </w:pPr>
      <w:r w:rsidRPr="00B4412F">
        <w:rPr>
          <w:rFonts w:cs="Arial"/>
        </w:rPr>
        <w:t>Il Cancelliere, Arnoldo Coduri</w:t>
      </w:r>
    </w:p>
    <w:p w:rsidR="00A60F57" w:rsidRDefault="00A60F57" w:rsidP="00A60F57">
      <w:pPr>
        <w:pStyle w:val="StandardRisoluzionedelConsigliodiStato"/>
        <w:ind w:right="-1"/>
      </w:pPr>
    </w:p>
    <w:p w:rsidR="00A60F57" w:rsidRDefault="00A60F57" w:rsidP="00A60F57">
      <w:pPr>
        <w:pStyle w:val="StandardRisoluzionedelConsigliodiStato"/>
        <w:ind w:right="-1"/>
      </w:pPr>
    </w:p>
    <w:p w:rsidR="00A60F57" w:rsidRDefault="00A60F57" w:rsidP="00A60F57">
      <w:pPr>
        <w:pStyle w:val="StandardRisoluzionedelConsigliodiStato"/>
        <w:ind w:right="-1"/>
      </w:pPr>
    </w:p>
    <w:p w:rsidR="00DE60F3" w:rsidRDefault="00DE60F3" w:rsidP="00A60F57">
      <w:pPr>
        <w:pStyle w:val="StandardRisoluzionedelConsigliodiStato"/>
        <w:ind w:right="-1"/>
      </w:pPr>
    </w:p>
    <w:p w:rsidR="00DE60F3" w:rsidRDefault="00DE60F3" w:rsidP="00A60F57">
      <w:pPr>
        <w:pStyle w:val="StandardRisoluzionedelConsigliodiStato"/>
        <w:ind w:right="-1"/>
      </w:pPr>
    </w:p>
    <w:p w:rsidR="00DE60F3" w:rsidRDefault="00DE60F3" w:rsidP="00A60F57">
      <w:pPr>
        <w:pStyle w:val="StandardRisoluzionedelConsigliodiStato"/>
        <w:ind w:right="-1"/>
      </w:pPr>
    </w:p>
    <w:p w:rsidR="00DE60F3" w:rsidRDefault="00DE60F3" w:rsidP="00A60F57">
      <w:pPr>
        <w:pStyle w:val="StandardRisoluzionedelConsigliodiStato"/>
        <w:ind w:right="-1"/>
      </w:pPr>
    </w:p>
    <w:p w:rsidR="00DE60F3" w:rsidRDefault="00DE60F3" w:rsidP="00A60F57">
      <w:pPr>
        <w:pStyle w:val="StandardRisoluzionedelConsigliodiStato"/>
        <w:ind w:right="-1"/>
      </w:pPr>
    </w:p>
    <w:p w:rsidR="00DE60F3" w:rsidRDefault="00DE60F3" w:rsidP="00A60F57">
      <w:pPr>
        <w:pStyle w:val="StandardRisoluzionedelConsigliodiStato"/>
        <w:ind w:right="-1"/>
      </w:pPr>
    </w:p>
    <w:p w:rsidR="00DE60F3" w:rsidRDefault="00DE60F3" w:rsidP="00A60F57">
      <w:pPr>
        <w:pStyle w:val="StandardRisoluzionedelConsigliodiStato"/>
        <w:ind w:right="-1"/>
      </w:pPr>
    </w:p>
    <w:p w:rsidR="00DE60F3" w:rsidRDefault="00DE60F3" w:rsidP="00A60F57">
      <w:pPr>
        <w:pStyle w:val="StandardRisoluzionedelConsigliodiStato"/>
        <w:ind w:right="-1"/>
      </w:pPr>
    </w:p>
    <w:p w:rsidR="00DE60F3" w:rsidRDefault="00DE60F3" w:rsidP="00A60F57">
      <w:pPr>
        <w:pStyle w:val="StandardRisoluzionedelConsigliodiStato"/>
        <w:ind w:right="-1"/>
      </w:pPr>
    </w:p>
    <w:p w:rsidR="00DE60F3" w:rsidRDefault="00DE60F3" w:rsidP="00A60F57">
      <w:pPr>
        <w:pStyle w:val="StandardRisoluzionedelConsigliodiStato"/>
        <w:ind w:right="-1"/>
      </w:pPr>
    </w:p>
    <w:p w:rsidR="00DE60F3" w:rsidRDefault="00DE60F3" w:rsidP="00A60F57">
      <w:pPr>
        <w:pStyle w:val="StandardRisoluzionedelConsigliodiStato"/>
        <w:ind w:right="-1"/>
      </w:pPr>
    </w:p>
    <w:p w:rsidR="00DE60F3" w:rsidRDefault="00DE60F3" w:rsidP="00A60F57">
      <w:pPr>
        <w:pStyle w:val="StandardRisoluzionedelConsigliodiStato"/>
        <w:ind w:right="-1"/>
      </w:pPr>
    </w:p>
    <w:p w:rsidR="00DE60F3" w:rsidRDefault="00DE60F3" w:rsidP="00A60F57">
      <w:pPr>
        <w:pStyle w:val="StandardRisoluzionedelConsigliodiStato"/>
        <w:ind w:right="-1"/>
      </w:pPr>
    </w:p>
    <w:p w:rsidR="00DE60F3" w:rsidRDefault="00DE60F3" w:rsidP="00A60F57">
      <w:pPr>
        <w:pStyle w:val="StandardRisoluzionedelConsigliodiStato"/>
        <w:ind w:right="-1"/>
      </w:pPr>
    </w:p>
    <w:p w:rsidR="00DE60F3" w:rsidRDefault="00DE60F3" w:rsidP="00A60F57">
      <w:pPr>
        <w:pStyle w:val="StandardRisoluzionedelConsigliodiStato"/>
        <w:ind w:right="-1"/>
      </w:pPr>
    </w:p>
    <w:p w:rsidR="00DE60F3" w:rsidRDefault="00DE60F3" w:rsidP="00A60F57">
      <w:pPr>
        <w:pStyle w:val="StandardRisoluzionedelConsigliodiStato"/>
        <w:ind w:right="-1"/>
      </w:pPr>
    </w:p>
    <w:p w:rsidR="00DE60F3" w:rsidRDefault="00DE60F3" w:rsidP="00A60F57">
      <w:pPr>
        <w:pStyle w:val="StandardRisoluzionedelConsigliodiStato"/>
        <w:ind w:right="-1"/>
      </w:pPr>
    </w:p>
    <w:p w:rsidR="00DE60F3" w:rsidRDefault="00DE60F3" w:rsidP="00A60F57">
      <w:pPr>
        <w:pStyle w:val="StandardRisoluzionedelConsigliodiStato"/>
        <w:ind w:right="-1"/>
      </w:pPr>
    </w:p>
    <w:p w:rsidR="00DE60F3" w:rsidRDefault="00DE60F3" w:rsidP="00102E4F">
      <w:pPr>
        <w:pStyle w:val="StandardRisoluzionedelConsigliodiStato"/>
        <w:spacing w:after="120"/>
      </w:pPr>
    </w:p>
    <w:p w:rsidR="00DE60F3" w:rsidRPr="00DE60F3" w:rsidRDefault="00A60F57" w:rsidP="00DE60F3">
      <w:pPr>
        <w:pStyle w:val="StandardRisoluzionedelConsigliodiStato"/>
        <w:spacing w:after="120"/>
        <w:rPr>
          <w:rFonts w:cs="Arial"/>
          <w:b/>
          <w:bCs/>
          <w:sz w:val="22"/>
        </w:rPr>
      </w:pPr>
      <w:r>
        <w:t>A</w:t>
      </w:r>
      <w:r w:rsidR="00DE60F3">
        <w:t>nnessa</w:t>
      </w:r>
      <w:r>
        <w:t xml:space="preserve">: </w:t>
      </w:r>
      <w:r w:rsidR="00DE60F3">
        <w:t>Mozione 23 novembre 2020</w:t>
      </w:r>
      <w:r w:rsidR="003A56AE" w:rsidRPr="003A56AE">
        <w:rPr>
          <w:rFonts w:eastAsia="Arial"/>
          <w:szCs w:val="24"/>
        </w:rPr>
        <w:br w:type="page"/>
      </w:r>
      <w:r w:rsidR="00DE60F3" w:rsidRPr="00DE60F3">
        <w:rPr>
          <w:rFonts w:cs="Arial"/>
          <w:b/>
          <w:bCs/>
          <w:sz w:val="22"/>
        </w:rPr>
        <w:lastRenderedPageBreak/>
        <w:t>MOZIONE</w:t>
      </w:r>
    </w:p>
    <w:p w:rsidR="00DE60F3" w:rsidRPr="00DE60F3" w:rsidRDefault="00DE60F3" w:rsidP="00DE60F3">
      <w:pPr>
        <w:rPr>
          <w:rFonts w:cs="Arial"/>
          <w:bCs/>
          <w:sz w:val="22"/>
          <w:szCs w:val="22"/>
        </w:rPr>
      </w:pPr>
    </w:p>
    <w:p w:rsidR="00DE60F3" w:rsidRPr="00DE60F3" w:rsidRDefault="00DE60F3" w:rsidP="00DE60F3">
      <w:pPr>
        <w:spacing w:after="120"/>
        <w:rPr>
          <w:rFonts w:cs="Arial"/>
          <w:b/>
          <w:bCs/>
          <w:sz w:val="22"/>
          <w:szCs w:val="22"/>
          <w:u w:val="single"/>
        </w:rPr>
      </w:pPr>
      <w:r w:rsidRPr="00DE60F3">
        <w:rPr>
          <w:rFonts w:cs="Arial"/>
          <w:b/>
          <w:bCs/>
          <w:sz w:val="22"/>
          <w:szCs w:val="22"/>
          <w:u w:val="single"/>
        </w:rPr>
        <w:t>Pubblicazione, e quindi trasparenza, delle direttive del procuratore generale del Ministero pubblico</w:t>
      </w:r>
    </w:p>
    <w:p w:rsidR="00DE60F3" w:rsidRPr="00DE60F3" w:rsidRDefault="00DE60F3" w:rsidP="00DE60F3">
      <w:pPr>
        <w:rPr>
          <w:rFonts w:cs="Arial"/>
          <w:sz w:val="22"/>
          <w:szCs w:val="22"/>
        </w:rPr>
      </w:pPr>
    </w:p>
    <w:p w:rsidR="00DE60F3" w:rsidRPr="00DE60F3" w:rsidRDefault="00DE60F3" w:rsidP="00DE60F3">
      <w:pPr>
        <w:rPr>
          <w:rFonts w:cs="Arial"/>
          <w:sz w:val="22"/>
          <w:szCs w:val="22"/>
        </w:rPr>
      </w:pPr>
      <w:r w:rsidRPr="00DE60F3">
        <w:rPr>
          <w:rFonts w:cs="Arial"/>
          <w:sz w:val="22"/>
          <w:szCs w:val="22"/>
        </w:rPr>
        <w:t>del 23 novembre 2020</w:t>
      </w:r>
    </w:p>
    <w:p w:rsidR="00DE60F3" w:rsidRPr="00DE60F3" w:rsidRDefault="00DE60F3" w:rsidP="00DE60F3">
      <w:pPr>
        <w:rPr>
          <w:rFonts w:cs="Arial"/>
          <w:sz w:val="22"/>
          <w:szCs w:val="22"/>
        </w:rPr>
      </w:pPr>
    </w:p>
    <w:p w:rsidR="00DE60F3" w:rsidRPr="00DE60F3" w:rsidRDefault="00DE60F3" w:rsidP="00DE60F3">
      <w:pPr>
        <w:rPr>
          <w:rFonts w:cs="Arial"/>
          <w:sz w:val="22"/>
          <w:szCs w:val="22"/>
        </w:rPr>
      </w:pPr>
    </w:p>
    <w:p w:rsidR="00DE60F3" w:rsidRPr="00DE60F3" w:rsidRDefault="00DE60F3" w:rsidP="00DE60F3">
      <w:pPr>
        <w:spacing w:after="120"/>
        <w:rPr>
          <w:rFonts w:cs="Arial"/>
          <w:sz w:val="22"/>
          <w:szCs w:val="22"/>
        </w:rPr>
      </w:pPr>
      <w:r w:rsidRPr="00DE60F3">
        <w:rPr>
          <w:rFonts w:cs="Arial"/>
          <w:sz w:val="22"/>
          <w:szCs w:val="22"/>
        </w:rPr>
        <w:t>Nel nostro Cantone, a differenza di altri (cfr. link esemplificativi sotto ripresi), le direttive relative all’organizzazione interna o su determinate tematiche emanate dal Procuratore generale cantonale o più in generale dal Ministero pubblico non sono pubblicate né nella raccolta delle leggi né sul sito del Cantone o su un sito apposito del Ministero pubblico (siti ad hoc che ad esempio esistono in altri Cantoni).</w:t>
      </w:r>
    </w:p>
    <w:p w:rsidR="00DE60F3" w:rsidRPr="00DE60F3" w:rsidRDefault="009B4F5A" w:rsidP="00DE60F3">
      <w:pPr>
        <w:spacing w:after="60"/>
        <w:rPr>
          <w:rFonts w:cs="Arial"/>
          <w:sz w:val="22"/>
          <w:szCs w:val="22"/>
        </w:rPr>
      </w:pPr>
      <w:hyperlink r:id="rId8" w:history="1">
        <w:r w:rsidR="00DE60F3" w:rsidRPr="00DE60F3">
          <w:rPr>
            <w:rStyle w:val="Collegamentoipertestuale"/>
            <w:rFonts w:cs="Arial"/>
            <w:sz w:val="22"/>
            <w:szCs w:val="22"/>
          </w:rPr>
          <w:t>http://ge.ch/justice/directives-du-procureur-general</w:t>
        </w:r>
      </w:hyperlink>
      <w:r w:rsidR="00DE60F3" w:rsidRPr="00DE60F3">
        <w:rPr>
          <w:rFonts w:cs="Arial"/>
          <w:sz w:val="22"/>
          <w:szCs w:val="22"/>
        </w:rPr>
        <w:t xml:space="preserve"> </w:t>
      </w:r>
    </w:p>
    <w:p w:rsidR="00DE60F3" w:rsidRPr="00DE60F3" w:rsidRDefault="009B4F5A" w:rsidP="00DE60F3">
      <w:pPr>
        <w:spacing w:after="60"/>
        <w:rPr>
          <w:rFonts w:cs="Arial"/>
          <w:sz w:val="22"/>
          <w:szCs w:val="22"/>
        </w:rPr>
      </w:pPr>
      <w:hyperlink r:id="rId9" w:history="1">
        <w:r w:rsidR="00DE60F3" w:rsidRPr="00DE60F3">
          <w:rPr>
            <w:rStyle w:val="Collegamentoipertestuale"/>
            <w:rFonts w:cs="Arial"/>
            <w:sz w:val="22"/>
            <w:szCs w:val="22"/>
          </w:rPr>
          <w:t>https://www.vd.ch/toutes-les-autorites/ministere-public/bases-legales/</w:t>
        </w:r>
      </w:hyperlink>
      <w:r w:rsidR="00DE60F3" w:rsidRPr="00DE60F3">
        <w:rPr>
          <w:rFonts w:cs="Arial"/>
          <w:sz w:val="22"/>
          <w:szCs w:val="22"/>
        </w:rPr>
        <w:t xml:space="preserve"> </w:t>
      </w:r>
    </w:p>
    <w:p w:rsidR="00DE60F3" w:rsidRPr="00DE60F3" w:rsidRDefault="009B4F5A" w:rsidP="00DE60F3">
      <w:pPr>
        <w:spacing w:after="60"/>
        <w:rPr>
          <w:rFonts w:cs="Arial"/>
          <w:sz w:val="22"/>
          <w:szCs w:val="22"/>
        </w:rPr>
      </w:pPr>
      <w:hyperlink r:id="rId10" w:history="1">
        <w:r w:rsidR="00DE60F3" w:rsidRPr="00DE60F3">
          <w:rPr>
            <w:rStyle w:val="Collegamentoipertestuale"/>
            <w:rFonts w:cs="Arial"/>
            <w:sz w:val="22"/>
            <w:szCs w:val="22"/>
          </w:rPr>
          <w:t>http://rsn.ne.ch/DATA/program/books/20202/htm/32200.htm</w:t>
        </w:r>
      </w:hyperlink>
      <w:r w:rsidR="00DE60F3" w:rsidRPr="00DE60F3">
        <w:rPr>
          <w:rFonts w:cs="Arial"/>
          <w:sz w:val="22"/>
          <w:szCs w:val="22"/>
        </w:rPr>
        <w:t xml:space="preserve"> </w:t>
      </w:r>
    </w:p>
    <w:p w:rsidR="00DE60F3" w:rsidRPr="00DE60F3" w:rsidRDefault="009B4F5A" w:rsidP="00DE60F3">
      <w:pPr>
        <w:spacing w:after="60"/>
        <w:rPr>
          <w:rFonts w:cs="Arial"/>
          <w:sz w:val="22"/>
          <w:szCs w:val="22"/>
        </w:rPr>
      </w:pPr>
      <w:hyperlink r:id="rId11" w:history="1">
        <w:r w:rsidR="00DE60F3" w:rsidRPr="00DE60F3">
          <w:rPr>
            <w:rStyle w:val="Collegamentoipertestuale"/>
            <w:rFonts w:cs="Arial"/>
            <w:sz w:val="22"/>
            <w:szCs w:val="22"/>
          </w:rPr>
          <w:t>https://www.justice.be.ch/justice/de/index/justiz/organisation/staatsanwaltschaft/downloads_publikationen/weisungen_und_richtlinien.html</w:t>
        </w:r>
      </w:hyperlink>
      <w:r w:rsidR="00DE60F3" w:rsidRPr="00DE60F3">
        <w:rPr>
          <w:rFonts w:cs="Arial"/>
          <w:sz w:val="22"/>
          <w:szCs w:val="22"/>
        </w:rPr>
        <w:t xml:space="preserve"> </w:t>
      </w:r>
    </w:p>
    <w:p w:rsidR="00DE60F3" w:rsidRPr="00DE60F3" w:rsidRDefault="009B4F5A" w:rsidP="00DE60F3">
      <w:pPr>
        <w:spacing w:after="60"/>
        <w:rPr>
          <w:rFonts w:cs="Arial"/>
          <w:sz w:val="22"/>
          <w:szCs w:val="22"/>
        </w:rPr>
      </w:pPr>
      <w:hyperlink r:id="rId12" w:history="1">
        <w:r w:rsidR="00DE60F3" w:rsidRPr="00DE60F3">
          <w:rPr>
            <w:rStyle w:val="Collegamentoipertestuale"/>
            <w:rFonts w:cs="Arial"/>
            <w:sz w:val="22"/>
            <w:szCs w:val="22"/>
          </w:rPr>
          <w:t>https://www.zh.ch/content/dam/zhweb/bilder-dokumente/themen/sicherheit-justiz/strafverfahren/wosta_01.07.2020.pdf</w:t>
        </w:r>
      </w:hyperlink>
      <w:r w:rsidR="00DE60F3" w:rsidRPr="00DE60F3">
        <w:rPr>
          <w:rFonts w:cs="Arial"/>
          <w:sz w:val="22"/>
          <w:szCs w:val="22"/>
        </w:rPr>
        <w:t xml:space="preserve"> </w:t>
      </w:r>
    </w:p>
    <w:p w:rsidR="00DE60F3" w:rsidRPr="00DE60F3" w:rsidRDefault="009B4F5A" w:rsidP="00DE60F3">
      <w:pPr>
        <w:rPr>
          <w:rFonts w:cs="Arial"/>
          <w:sz w:val="22"/>
          <w:szCs w:val="22"/>
        </w:rPr>
      </w:pPr>
      <w:hyperlink r:id="rId13" w:history="1">
        <w:r w:rsidR="00DE60F3" w:rsidRPr="00DE60F3">
          <w:rPr>
            <w:rStyle w:val="Collegamentoipertestuale"/>
            <w:rFonts w:cs="Arial"/>
            <w:sz w:val="22"/>
            <w:szCs w:val="22"/>
          </w:rPr>
          <w:t>https://staatsanwaltschaft.lu.ch/Download</w:t>
        </w:r>
      </w:hyperlink>
      <w:r w:rsidR="00DE60F3" w:rsidRPr="00DE60F3">
        <w:rPr>
          <w:rFonts w:cs="Arial"/>
          <w:sz w:val="22"/>
          <w:szCs w:val="22"/>
        </w:rPr>
        <w:t xml:space="preserve"> </w:t>
      </w:r>
    </w:p>
    <w:p w:rsidR="00DE60F3" w:rsidRPr="00DE60F3" w:rsidRDefault="00DE60F3" w:rsidP="00DE60F3">
      <w:pPr>
        <w:rPr>
          <w:rFonts w:cs="Arial"/>
          <w:sz w:val="22"/>
          <w:szCs w:val="22"/>
        </w:rPr>
      </w:pPr>
    </w:p>
    <w:p w:rsidR="00DE60F3" w:rsidRPr="00DE60F3" w:rsidRDefault="00DE60F3" w:rsidP="00DE60F3">
      <w:pPr>
        <w:rPr>
          <w:rFonts w:cs="Arial"/>
          <w:sz w:val="22"/>
          <w:szCs w:val="22"/>
        </w:rPr>
      </w:pPr>
      <w:r w:rsidRPr="00DE60F3">
        <w:rPr>
          <w:rFonts w:cs="Arial"/>
          <w:sz w:val="22"/>
          <w:szCs w:val="22"/>
        </w:rPr>
        <w:t>La Confederazione ha un Regolamento sull’organizzazione e l’amministrazione del Ministero pubblico della Confederazione regolarmente pubblicato nella raccolta sistematica del diritto federale (RS 173.712.22).</w:t>
      </w:r>
    </w:p>
    <w:p w:rsidR="00DE60F3" w:rsidRPr="00DE60F3" w:rsidRDefault="00DE60F3" w:rsidP="00DE60F3">
      <w:pPr>
        <w:rPr>
          <w:rFonts w:cs="Arial"/>
          <w:sz w:val="22"/>
          <w:szCs w:val="22"/>
        </w:rPr>
      </w:pPr>
    </w:p>
    <w:p w:rsidR="00DE60F3" w:rsidRPr="00DE60F3" w:rsidRDefault="00DE60F3" w:rsidP="00DE60F3">
      <w:pPr>
        <w:rPr>
          <w:rFonts w:cs="Arial"/>
          <w:sz w:val="22"/>
          <w:szCs w:val="22"/>
        </w:rPr>
      </w:pPr>
      <w:r w:rsidRPr="00DE60F3">
        <w:rPr>
          <w:rFonts w:cs="Arial"/>
          <w:sz w:val="22"/>
          <w:szCs w:val="22"/>
        </w:rPr>
        <w:t xml:space="preserve">Con la presente </w:t>
      </w:r>
      <w:r w:rsidRPr="00DE60F3">
        <w:rPr>
          <w:rFonts w:cs="Arial"/>
          <w:bCs/>
          <w:sz w:val="22"/>
          <w:szCs w:val="22"/>
        </w:rPr>
        <w:t>mozione</w:t>
      </w:r>
      <w:r w:rsidRPr="00DE60F3">
        <w:rPr>
          <w:rFonts w:cs="Arial"/>
          <w:sz w:val="22"/>
          <w:szCs w:val="22"/>
        </w:rPr>
        <w:t xml:space="preserve"> si chiede, non intravvedendo ragioni che giustifichino una diversa prassi da quella di altri Cantoni, che anche in Ticino tali disposizioni vengano rese accessibili al pubblico nello spirito anche della LIT - Legge sull’informazione e sulla trasparenza dello Stato che già prevede la sua applicabilità alle autorità giudiziarie (art. 2 cpv. 1 lett. c), se del caso precisando quest’ultima norma.</w:t>
      </w:r>
    </w:p>
    <w:p w:rsidR="00DE60F3" w:rsidRPr="00DE60F3" w:rsidRDefault="00DE60F3" w:rsidP="00DE60F3">
      <w:pPr>
        <w:rPr>
          <w:rFonts w:cs="Arial"/>
          <w:sz w:val="22"/>
          <w:szCs w:val="22"/>
        </w:rPr>
      </w:pPr>
    </w:p>
    <w:p w:rsidR="00DE60F3" w:rsidRPr="00DE60F3" w:rsidRDefault="00DE60F3" w:rsidP="00DE60F3">
      <w:pPr>
        <w:rPr>
          <w:rFonts w:cs="Arial"/>
          <w:sz w:val="22"/>
          <w:szCs w:val="22"/>
        </w:rPr>
      </w:pPr>
    </w:p>
    <w:p w:rsidR="00DE60F3" w:rsidRPr="00DE60F3" w:rsidRDefault="00DE60F3" w:rsidP="00DE60F3">
      <w:pPr>
        <w:rPr>
          <w:rFonts w:cs="Arial"/>
          <w:bCs/>
          <w:sz w:val="22"/>
          <w:szCs w:val="22"/>
        </w:rPr>
      </w:pPr>
      <w:r w:rsidRPr="00DE60F3">
        <w:rPr>
          <w:rFonts w:cs="Arial"/>
          <w:bCs/>
          <w:sz w:val="22"/>
          <w:szCs w:val="22"/>
        </w:rPr>
        <w:t>Matteo Quadranti</w:t>
      </w:r>
    </w:p>
    <w:p w:rsidR="00DE60F3" w:rsidRPr="00DE60F3" w:rsidRDefault="00DE60F3" w:rsidP="00DE60F3">
      <w:pPr>
        <w:rPr>
          <w:rFonts w:cs="Arial"/>
          <w:sz w:val="22"/>
          <w:szCs w:val="22"/>
        </w:rPr>
      </w:pPr>
      <w:r w:rsidRPr="00DE60F3">
        <w:rPr>
          <w:rFonts w:cs="Arial"/>
          <w:sz w:val="22"/>
          <w:szCs w:val="22"/>
        </w:rPr>
        <w:t>Ferrara - Galusero - Maderni</w:t>
      </w:r>
    </w:p>
    <w:p w:rsidR="00DE60F3" w:rsidRPr="00DE60F3" w:rsidRDefault="00DE60F3" w:rsidP="00DE60F3">
      <w:pPr>
        <w:rPr>
          <w:rFonts w:cs="Arial"/>
          <w:sz w:val="22"/>
          <w:szCs w:val="22"/>
        </w:rPr>
      </w:pPr>
      <w:r w:rsidRPr="00DE60F3">
        <w:rPr>
          <w:rFonts w:cs="Arial"/>
          <w:sz w:val="22"/>
          <w:szCs w:val="22"/>
        </w:rPr>
        <w:t>Ortelli P. - Passardi</w:t>
      </w:r>
    </w:p>
    <w:p w:rsidR="003A56AE" w:rsidRDefault="003A56AE" w:rsidP="003A56AE">
      <w:pPr>
        <w:suppressAutoHyphens/>
        <w:rPr>
          <w:rFonts w:eastAsia="Arial"/>
          <w:sz w:val="22"/>
          <w:szCs w:val="22"/>
          <w:lang w:eastAsia="en-US"/>
        </w:rPr>
      </w:pPr>
    </w:p>
    <w:sectPr w:rsidR="003A56AE" w:rsidSect="00DF434B">
      <w:footerReference w:type="default" r:id="rId14"/>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56AE" w:rsidRDefault="003A56AE">
      <w:r>
        <w:separator/>
      </w:r>
    </w:p>
  </w:endnote>
  <w:endnote w:type="continuationSeparator" w:id="0">
    <w:p w:rsidR="003A56AE" w:rsidRDefault="003A5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9B4F5A">
      <w:rPr>
        <w:rStyle w:val="Numeropagina"/>
        <w:noProof/>
        <w:sz w:val="20"/>
      </w:rPr>
      <w:t>4</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56AE" w:rsidRDefault="003A56AE">
      <w:r>
        <w:separator/>
      </w:r>
    </w:p>
  </w:footnote>
  <w:footnote w:type="continuationSeparator" w:id="0">
    <w:p w:rsidR="003A56AE" w:rsidRDefault="003A56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576256E"/>
    <w:multiLevelType w:val="hybridMultilevel"/>
    <w:tmpl w:val="4C40A152"/>
    <w:lvl w:ilvl="0" w:tplc="6B4A6604">
      <w:start w:val="2"/>
      <w:numFmt w:val="lowerLetter"/>
      <w:lvlText w:val="%1)"/>
      <w:lvlJc w:val="left"/>
      <w:pPr>
        <w:tabs>
          <w:tab w:val="num" w:pos="717"/>
        </w:tabs>
        <w:ind w:left="717" w:hanging="357"/>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15:restartNumberingAfterBreak="0">
    <w:nsid w:val="063437E9"/>
    <w:multiLevelType w:val="hybridMultilevel"/>
    <w:tmpl w:val="4D6A6322"/>
    <w:lvl w:ilvl="0" w:tplc="08100013">
      <w:start w:val="1"/>
      <w:numFmt w:val="upperRoman"/>
      <w:lvlText w:val="%1."/>
      <w:lvlJc w:val="right"/>
      <w:pPr>
        <w:ind w:left="862" w:hanging="360"/>
      </w:pPr>
    </w:lvl>
    <w:lvl w:ilvl="1" w:tplc="08100019" w:tentative="1">
      <w:start w:val="1"/>
      <w:numFmt w:val="lowerLetter"/>
      <w:lvlText w:val="%2."/>
      <w:lvlJc w:val="left"/>
      <w:pPr>
        <w:ind w:left="1582" w:hanging="360"/>
      </w:pPr>
    </w:lvl>
    <w:lvl w:ilvl="2" w:tplc="0810001B" w:tentative="1">
      <w:start w:val="1"/>
      <w:numFmt w:val="lowerRoman"/>
      <w:lvlText w:val="%3."/>
      <w:lvlJc w:val="right"/>
      <w:pPr>
        <w:ind w:left="2302" w:hanging="180"/>
      </w:pPr>
    </w:lvl>
    <w:lvl w:ilvl="3" w:tplc="0810000F" w:tentative="1">
      <w:start w:val="1"/>
      <w:numFmt w:val="decimal"/>
      <w:lvlText w:val="%4."/>
      <w:lvlJc w:val="left"/>
      <w:pPr>
        <w:ind w:left="3022" w:hanging="360"/>
      </w:pPr>
    </w:lvl>
    <w:lvl w:ilvl="4" w:tplc="08100019" w:tentative="1">
      <w:start w:val="1"/>
      <w:numFmt w:val="lowerLetter"/>
      <w:lvlText w:val="%5."/>
      <w:lvlJc w:val="left"/>
      <w:pPr>
        <w:ind w:left="3742" w:hanging="360"/>
      </w:pPr>
    </w:lvl>
    <w:lvl w:ilvl="5" w:tplc="0810001B" w:tentative="1">
      <w:start w:val="1"/>
      <w:numFmt w:val="lowerRoman"/>
      <w:lvlText w:val="%6."/>
      <w:lvlJc w:val="right"/>
      <w:pPr>
        <w:ind w:left="4462" w:hanging="180"/>
      </w:pPr>
    </w:lvl>
    <w:lvl w:ilvl="6" w:tplc="0810000F" w:tentative="1">
      <w:start w:val="1"/>
      <w:numFmt w:val="decimal"/>
      <w:lvlText w:val="%7."/>
      <w:lvlJc w:val="left"/>
      <w:pPr>
        <w:ind w:left="5182" w:hanging="360"/>
      </w:pPr>
    </w:lvl>
    <w:lvl w:ilvl="7" w:tplc="08100019" w:tentative="1">
      <w:start w:val="1"/>
      <w:numFmt w:val="lowerLetter"/>
      <w:lvlText w:val="%8."/>
      <w:lvlJc w:val="left"/>
      <w:pPr>
        <w:ind w:left="5902" w:hanging="360"/>
      </w:pPr>
    </w:lvl>
    <w:lvl w:ilvl="8" w:tplc="0810001B" w:tentative="1">
      <w:start w:val="1"/>
      <w:numFmt w:val="lowerRoman"/>
      <w:lvlText w:val="%9."/>
      <w:lvlJc w:val="right"/>
      <w:pPr>
        <w:ind w:left="6622" w:hanging="180"/>
      </w:pPr>
    </w:lvl>
  </w:abstractNum>
  <w:abstractNum w:abstractNumId="3"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4" w15:restartNumberingAfterBreak="0">
    <w:nsid w:val="0F863EED"/>
    <w:multiLevelType w:val="hybridMultilevel"/>
    <w:tmpl w:val="7E6C618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7"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790D1D"/>
    <w:multiLevelType w:val="hybridMultilevel"/>
    <w:tmpl w:val="C32E3C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1" w15:restartNumberingAfterBreak="0">
    <w:nsid w:val="27701EE4"/>
    <w:multiLevelType w:val="hybridMultilevel"/>
    <w:tmpl w:val="5AC82328"/>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28D8271A"/>
    <w:multiLevelType w:val="hybridMultilevel"/>
    <w:tmpl w:val="E2A68636"/>
    <w:lvl w:ilvl="0" w:tplc="DED633C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01C687C"/>
    <w:multiLevelType w:val="hybridMultilevel"/>
    <w:tmpl w:val="6C88FD22"/>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7"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15:restartNumberingAfterBreak="0">
    <w:nsid w:val="473576D8"/>
    <w:multiLevelType w:val="hybridMultilevel"/>
    <w:tmpl w:val="53DEEF6C"/>
    <w:lvl w:ilvl="0" w:tplc="278A1BAE">
      <w:start w:val="1"/>
      <w:numFmt w:val="lowerRoman"/>
      <w:lvlText w:val="(%1)"/>
      <w:lvlJc w:val="left"/>
      <w:pPr>
        <w:ind w:left="1425" w:hanging="720"/>
      </w:pPr>
      <w:rPr>
        <w:rFonts w:hint="default"/>
      </w:rPr>
    </w:lvl>
    <w:lvl w:ilvl="1" w:tplc="08100019" w:tentative="1">
      <w:start w:val="1"/>
      <w:numFmt w:val="lowerLetter"/>
      <w:lvlText w:val="%2."/>
      <w:lvlJc w:val="left"/>
      <w:pPr>
        <w:ind w:left="1785" w:hanging="360"/>
      </w:pPr>
    </w:lvl>
    <w:lvl w:ilvl="2" w:tplc="0810001B" w:tentative="1">
      <w:start w:val="1"/>
      <w:numFmt w:val="lowerRoman"/>
      <w:lvlText w:val="%3."/>
      <w:lvlJc w:val="right"/>
      <w:pPr>
        <w:ind w:left="2505" w:hanging="180"/>
      </w:pPr>
    </w:lvl>
    <w:lvl w:ilvl="3" w:tplc="0810000F" w:tentative="1">
      <w:start w:val="1"/>
      <w:numFmt w:val="decimal"/>
      <w:lvlText w:val="%4."/>
      <w:lvlJc w:val="left"/>
      <w:pPr>
        <w:ind w:left="3225" w:hanging="360"/>
      </w:pPr>
    </w:lvl>
    <w:lvl w:ilvl="4" w:tplc="08100019" w:tentative="1">
      <w:start w:val="1"/>
      <w:numFmt w:val="lowerLetter"/>
      <w:lvlText w:val="%5."/>
      <w:lvlJc w:val="left"/>
      <w:pPr>
        <w:ind w:left="3945" w:hanging="360"/>
      </w:pPr>
    </w:lvl>
    <w:lvl w:ilvl="5" w:tplc="0810001B" w:tentative="1">
      <w:start w:val="1"/>
      <w:numFmt w:val="lowerRoman"/>
      <w:lvlText w:val="%6."/>
      <w:lvlJc w:val="right"/>
      <w:pPr>
        <w:ind w:left="4665" w:hanging="180"/>
      </w:pPr>
    </w:lvl>
    <w:lvl w:ilvl="6" w:tplc="0810000F" w:tentative="1">
      <w:start w:val="1"/>
      <w:numFmt w:val="decimal"/>
      <w:lvlText w:val="%7."/>
      <w:lvlJc w:val="left"/>
      <w:pPr>
        <w:ind w:left="5385" w:hanging="360"/>
      </w:pPr>
    </w:lvl>
    <w:lvl w:ilvl="7" w:tplc="08100019" w:tentative="1">
      <w:start w:val="1"/>
      <w:numFmt w:val="lowerLetter"/>
      <w:lvlText w:val="%8."/>
      <w:lvlJc w:val="left"/>
      <w:pPr>
        <w:ind w:left="6105" w:hanging="360"/>
      </w:pPr>
    </w:lvl>
    <w:lvl w:ilvl="8" w:tplc="0810001B" w:tentative="1">
      <w:start w:val="1"/>
      <w:numFmt w:val="lowerRoman"/>
      <w:lvlText w:val="%9."/>
      <w:lvlJc w:val="right"/>
      <w:pPr>
        <w:ind w:left="6825" w:hanging="180"/>
      </w:pPr>
    </w:lvl>
  </w:abstractNum>
  <w:abstractNum w:abstractNumId="19"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BEB2BD4"/>
    <w:multiLevelType w:val="hybridMultilevel"/>
    <w:tmpl w:val="55BCA64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2" w15:restartNumberingAfterBreak="0">
    <w:nsid w:val="57564384"/>
    <w:multiLevelType w:val="hybridMultilevel"/>
    <w:tmpl w:val="D010794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3"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F70748"/>
    <w:multiLevelType w:val="hybridMultilevel"/>
    <w:tmpl w:val="FF809E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6" w15:restartNumberingAfterBreak="0">
    <w:nsid w:val="6D104F51"/>
    <w:multiLevelType w:val="hybridMultilevel"/>
    <w:tmpl w:val="165E589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7"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8" w15:restartNumberingAfterBreak="0">
    <w:nsid w:val="6FA90076"/>
    <w:multiLevelType w:val="hybridMultilevel"/>
    <w:tmpl w:val="AD94BB9E"/>
    <w:lvl w:ilvl="0" w:tplc="ED28A456">
      <w:start w:val="1"/>
      <w:numFmt w:val="bullet"/>
      <w:lvlText w:val="̶"/>
      <w:lvlJc w:val="left"/>
      <w:pPr>
        <w:ind w:left="721"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32" w15:restartNumberingAfterBreak="0">
    <w:nsid w:val="7B5D77F7"/>
    <w:multiLevelType w:val="multilevel"/>
    <w:tmpl w:val="08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C174201"/>
    <w:multiLevelType w:val="hybridMultilevel"/>
    <w:tmpl w:val="981CD988"/>
    <w:lvl w:ilvl="0" w:tplc="C2B41160">
      <w:start w:val="1"/>
      <w:numFmt w:val="lowerLetter"/>
      <w:lvlText w:val="%1)"/>
      <w:lvlJc w:val="left"/>
      <w:pPr>
        <w:ind w:left="1068" w:hanging="360"/>
      </w:pPr>
      <w:rPr>
        <w:rFonts w:ascii="Arial" w:hAnsi="Arial" w:cs="Arial" w:hint="default"/>
      </w:rPr>
    </w:lvl>
    <w:lvl w:ilvl="1" w:tplc="08100019">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34"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4"/>
  </w:num>
  <w:num w:numId="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9"/>
  </w:num>
  <w:num w:numId="5">
    <w:abstractNumId w:val="13"/>
  </w:num>
  <w:num w:numId="6">
    <w:abstractNumId w:val="7"/>
  </w:num>
  <w:num w:numId="7">
    <w:abstractNumId w:val="23"/>
  </w:num>
  <w:num w:numId="8">
    <w:abstractNumId w:val="29"/>
  </w:num>
  <w:num w:numId="9">
    <w:abstractNumId w:val="21"/>
  </w:num>
  <w:num w:numId="1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27"/>
  </w:num>
  <w:num w:numId="13">
    <w:abstractNumId w:val="16"/>
  </w:num>
  <w:num w:numId="14">
    <w:abstractNumId w:val="10"/>
  </w:num>
  <w:num w:numId="15">
    <w:abstractNumId w:val="31"/>
  </w:num>
  <w:num w:numId="16">
    <w:abstractNumId w:val="25"/>
  </w:num>
  <w:num w:numId="17">
    <w:abstractNumId w:val="5"/>
  </w:num>
  <w:num w:numId="18">
    <w:abstractNumId w:val="3"/>
  </w:num>
  <w:num w:numId="19">
    <w:abstractNumId w:val="0"/>
  </w:num>
  <w:num w:numId="20">
    <w:abstractNumId w:val="28"/>
  </w:num>
  <w:num w:numId="21">
    <w:abstractNumId w:val="9"/>
  </w:num>
  <w:num w:numId="22">
    <w:abstractNumId w:val="33"/>
  </w:num>
  <w:num w:numId="23">
    <w:abstractNumId w:val="20"/>
  </w:num>
  <w:num w:numId="24">
    <w:abstractNumId w:val="12"/>
  </w:num>
  <w:num w:numId="25">
    <w:abstractNumId w:val="26"/>
  </w:num>
  <w:num w:numId="26">
    <w:abstractNumId w:val="24"/>
  </w:num>
  <w:num w:numId="27">
    <w:abstractNumId w:val="4"/>
  </w:num>
  <w:num w:numId="28">
    <w:abstractNumId w:val="34"/>
  </w:num>
  <w:num w:numId="29">
    <w:abstractNumId w:val="6"/>
  </w:num>
  <w:num w:numId="30">
    <w:abstractNumId w:val="11"/>
  </w:num>
  <w:num w:numId="31">
    <w:abstractNumId w:val="18"/>
  </w:num>
  <w:num w:numId="32">
    <w:abstractNumId w:val="1"/>
  </w:num>
  <w:num w:numId="33">
    <w:abstractNumId w:val="22"/>
  </w:num>
  <w:num w:numId="34">
    <w:abstractNumId w:val="15"/>
  </w:num>
  <w:num w:numId="35">
    <w:abstractNumId w:val="32"/>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6AE"/>
    <w:rsid w:val="000065B9"/>
    <w:rsid w:val="00056425"/>
    <w:rsid w:val="00062C16"/>
    <w:rsid w:val="00073FD4"/>
    <w:rsid w:val="00082EB0"/>
    <w:rsid w:val="0009445D"/>
    <w:rsid w:val="000D6EDD"/>
    <w:rsid w:val="00102E4F"/>
    <w:rsid w:val="00107C86"/>
    <w:rsid w:val="00114781"/>
    <w:rsid w:val="00152187"/>
    <w:rsid w:val="0017107D"/>
    <w:rsid w:val="0017133E"/>
    <w:rsid w:val="00180F3B"/>
    <w:rsid w:val="00283216"/>
    <w:rsid w:val="00296F84"/>
    <w:rsid w:val="002B3873"/>
    <w:rsid w:val="002B698B"/>
    <w:rsid w:val="002C0D3F"/>
    <w:rsid w:val="002F4A1C"/>
    <w:rsid w:val="0030432D"/>
    <w:rsid w:val="0032692E"/>
    <w:rsid w:val="003362B4"/>
    <w:rsid w:val="00341CED"/>
    <w:rsid w:val="003453D1"/>
    <w:rsid w:val="00346B6F"/>
    <w:rsid w:val="00346C2D"/>
    <w:rsid w:val="0036544B"/>
    <w:rsid w:val="00381A93"/>
    <w:rsid w:val="0039601B"/>
    <w:rsid w:val="003A53C6"/>
    <w:rsid w:val="003A56AE"/>
    <w:rsid w:val="003B4DEE"/>
    <w:rsid w:val="003C16EA"/>
    <w:rsid w:val="003F3768"/>
    <w:rsid w:val="00432073"/>
    <w:rsid w:val="00435BA3"/>
    <w:rsid w:val="00452A7E"/>
    <w:rsid w:val="00483B1C"/>
    <w:rsid w:val="004B6B6F"/>
    <w:rsid w:val="004C5003"/>
    <w:rsid w:val="004E176C"/>
    <w:rsid w:val="00522EC0"/>
    <w:rsid w:val="0053660F"/>
    <w:rsid w:val="00564B38"/>
    <w:rsid w:val="00571AE0"/>
    <w:rsid w:val="005720BE"/>
    <w:rsid w:val="00577B4B"/>
    <w:rsid w:val="005824C4"/>
    <w:rsid w:val="0059602E"/>
    <w:rsid w:val="005B03BF"/>
    <w:rsid w:val="005F0022"/>
    <w:rsid w:val="0062210D"/>
    <w:rsid w:val="006372F1"/>
    <w:rsid w:val="006470C0"/>
    <w:rsid w:val="00674450"/>
    <w:rsid w:val="006A6B1C"/>
    <w:rsid w:val="006B149D"/>
    <w:rsid w:val="006E1E7D"/>
    <w:rsid w:val="00723E71"/>
    <w:rsid w:val="0073572C"/>
    <w:rsid w:val="00741BE9"/>
    <w:rsid w:val="00747C39"/>
    <w:rsid w:val="007957FF"/>
    <w:rsid w:val="0079646F"/>
    <w:rsid w:val="0082115E"/>
    <w:rsid w:val="0089464E"/>
    <w:rsid w:val="008B2EE9"/>
    <w:rsid w:val="008B4BE0"/>
    <w:rsid w:val="008F31DF"/>
    <w:rsid w:val="00900737"/>
    <w:rsid w:val="009129CD"/>
    <w:rsid w:val="00942AAE"/>
    <w:rsid w:val="0096184C"/>
    <w:rsid w:val="00963F36"/>
    <w:rsid w:val="009832AD"/>
    <w:rsid w:val="00983B5B"/>
    <w:rsid w:val="00995265"/>
    <w:rsid w:val="009B4F5A"/>
    <w:rsid w:val="009F0022"/>
    <w:rsid w:val="009F7F96"/>
    <w:rsid w:val="00A05B99"/>
    <w:rsid w:val="00A133CF"/>
    <w:rsid w:val="00A60F57"/>
    <w:rsid w:val="00A8611B"/>
    <w:rsid w:val="00A9424E"/>
    <w:rsid w:val="00A96698"/>
    <w:rsid w:val="00AA4118"/>
    <w:rsid w:val="00AA68D5"/>
    <w:rsid w:val="00AA779C"/>
    <w:rsid w:val="00AD146D"/>
    <w:rsid w:val="00AE4EA9"/>
    <w:rsid w:val="00AE6F3D"/>
    <w:rsid w:val="00AF5992"/>
    <w:rsid w:val="00B01474"/>
    <w:rsid w:val="00B364FB"/>
    <w:rsid w:val="00B378FB"/>
    <w:rsid w:val="00B56C78"/>
    <w:rsid w:val="00B61658"/>
    <w:rsid w:val="00B8495A"/>
    <w:rsid w:val="00B93BA2"/>
    <w:rsid w:val="00BA3A62"/>
    <w:rsid w:val="00BB3B75"/>
    <w:rsid w:val="00BF3FC3"/>
    <w:rsid w:val="00C106C2"/>
    <w:rsid w:val="00C35133"/>
    <w:rsid w:val="00C35AC3"/>
    <w:rsid w:val="00C37B12"/>
    <w:rsid w:val="00C92A1A"/>
    <w:rsid w:val="00C946E4"/>
    <w:rsid w:val="00C969B4"/>
    <w:rsid w:val="00CE008E"/>
    <w:rsid w:val="00D17403"/>
    <w:rsid w:val="00D54A9E"/>
    <w:rsid w:val="00D76075"/>
    <w:rsid w:val="00DE60F3"/>
    <w:rsid w:val="00DF434B"/>
    <w:rsid w:val="00E15EE0"/>
    <w:rsid w:val="00E2192F"/>
    <w:rsid w:val="00E762E7"/>
    <w:rsid w:val="00EA22D9"/>
    <w:rsid w:val="00EA7B41"/>
    <w:rsid w:val="00F22EEA"/>
    <w:rsid w:val="00F87618"/>
    <w:rsid w:val="00FB782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4804F51-8BFF-4B44-93B2-0E56DF4C1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26"/>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 w:type="paragraph" w:customStyle="1" w:styleId="StandardRisoluzionedelConsigliodiStato">
    <w:name w:val="StandardRisoluzionedelConsigliodiStato"/>
    <w:basedOn w:val="Normale"/>
    <w:qFormat/>
    <w:rsid w:val="00A60F57"/>
    <w:pPr>
      <w:suppressAutoHyphens/>
    </w:pPr>
    <w:rPr>
      <w:rFonts w:eastAsiaTheme="minorHAnsi" w:cstheme="minorBidi"/>
      <w:szCs w:val="22"/>
      <w:lang w:val="it-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ge.ch/justice/directives-du-procureur-general" TargetMode="External"/><Relationship Id="rId13" Type="http://schemas.openxmlformats.org/officeDocument/2006/relationships/hyperlink" Target="https://staatsanwaltschaft.lu.ch/Download" TargetMode="External"/><Relationship Id="rId3" Type="http://schemas.openxmlformats.org/officeDocument/2006/relationships/settings" Target="settings.xml"/><Relationship Id="rId7" Type="http://schemas.openxmlformats.org/officeDocument/2006/relationships/hyperlink" Target="https://www.bger.ch/ext/eurospider/live/de/php/aza/http/index.php?lang=de&amp;type=highlight_simple_query&amp;page=1&amp;from_date=&amp;to_date=&amp;sort=relevance&amp;insertion_date=&amp;top_subcollection_aza=all&amp;query_words=+1C_604%2F2015+&amp;rank=0&amp;azaclir=aza&amp;highlight_docid=atf%3A%2F%2F125-IV-35%3Ade&amp;number_of_ranks=0" TargetMode="External"/><Relationship Id="rId12" Type="http://schemas.openxmlformats.org/officeDocument/2006/relationships/hyperlink" Target="https://www.zh.ch/content/dam/zhweb/bilder-dokumente/themen/sicherheit-justiz/strafverfahren/wosta_01.07.2020.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ustice.be.ch/justice/de/index/justiz/organisation/staatsanwaltschaft/downloads_publikationen/weisungen_und_richtlinien.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rsn.ne.ch/DATA/program/books/20202/htm/32200.htm" TargetMode="External"/><Relationship Id="rId4" Type="http://schemas.openxmlformats.org/officeDocument/2006/relationships/webSettings" Target="webSettings.xml"/><Relationship Id="rId9" Type="http://schemas.openxmlformats.org/officeDocument/2006/relationships/hyperlink" Target="https://www.vd.ch/toutes-les-autorites/ministere-public/bases-legales/" TargetMode="Externa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1256</Words>
  <Characters>9034</Characters>
  <Application>Microsoft Office Word</Application>
  <DocSecurity>0</DocSecurity>
  <Lines>75</Lines>
  <Paragraphs>20</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Venturi Luca</cp:lastModifiedBy>
  <cp:revision>9</cp:revision>
  <cp:lastPrinted>2021-09-16T08:01:00Z</cp:lastPrinted>
  <dcterms:created xsi:type="dcterms:W3CDTF">2021-09-15T13:11:00Z</dcterms:created>
  <dcterms:modified xsi:type="dcterms:W3CDTF">2021-09-16T12:14:00Z</dcterms:modified>
</cp:coreProperties>
</file>