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7BD83" w14:textId="77777777" w:rsidR="00E171A0" w:rsidRPr="004E2CEF" w:rsidRDefault="00FF492A" w:rsidP="008D317C">
      <w:pPr>
        <w:pStyle w:val="StandardRisoluzionedelConsigliodiStato"/>
        <w:ind w:right="-1"/>
        <w:rPr>
          <w:b/>
          <w:sz w:val="28"/>
          <w:szCs w:val="28"/>
        </w:rPr>
      </w:pPr>
      <w:r w:rsidRPr="004E2CEF">
        <w:rPr>
          <w:b/>
          <w:sz w:val="28"/>
          <w:szCs w:val="28"/>
        </w:rPr>
        <w:t>Modifica</w:t>
      </w:r>
      <w:r w:rsidR="00E171A0" w:rsidRPr="004E2CEF">
        <w:rPr>
          <w:b/>
          <w:sz w:val="28"/>
          <w:szCs w:val="28"/>
        </w:rPr>
        <w:t xml:space="preserve"> della Legge tributaria del 21 giugno 1994 (LT)</w:t>
      </w:r>
      <w:r w:rsidRPr="004E2CEF">
        <w:rPr>
          <w:b/>
          <w:sz w:val="28"/>
          <w:szCs w:val="28"/>
        </w:rPr>
        <w:t xml:space="preserve"> – Aggiornamento della fiscalità delle persone fisiche </w:t>
      </w:r>
    </w:p>
    <w:p w14:paraId="3274827B" w14:textId="77777777" w:rsidR="00255F9D" w:rsidRPr="004E2CEF" w:rsidRDefault="00255F9D" w:rsidP="008D317C">
      <w:pPr>
        <w:pStyle w:val="StandardRisoluzionedelConsigliodiStato"/>
        <w:ind w:right="-1"/>
      </w:pPr>
    </w:p>
    <w:p w14:paraId="0BD5A2DF" w14:textId="77777777" w:rsidR="00E171A0" w:rsidRPr="004E2CEF" w:rsidRDefault="00E171A0" w:rsidP="008D317C">
      <w:pPr>
        <w:pStyle w:val="StandardRisoluzionedelConsigliodiStato"/>
        <w:ind w:right="-1"/>
      </w:pPr>
    </w:p>
    <w:p w14:paraId="1F536072" w14:textId="5599204D" w:rsidR="00EA5096" w:rsidRDefault="00700391">
      <w:pPr>
        <w:pStyle w:val="Sommario1"/>
        <w:rPr>
          <w:rFonts w:asciiTheme="minorHAnsi" w:eastAsiaTheme="minorEastAsia" w:hAnsiTheme="minorHAnsi"/>
          <w:b w:val="0"/>
          <w:noProof/>
          <w:lang w:eastAsia="it-CH"/>
        </w:rPr>
      </w:pPr>
      <w:r>
        <w:fldChar w:fldCharType="begin"/>
      </w:r>
      <w:r>
        <w:instrText xml:space="preserve"> TOC \h \z \t "TITOLO;1;CAPITOLO 1;2;CAPITOLO 2;3;CAPITOLO 3;4;ALLEGATI;5;TABELLE;6" </w:instrText>
      </w:r>
      <w:r>
        <w:fldChar w:fldCharType="separate"/>
      </w:r>
      <w:hyperlink w:anchor="_Toc139991867" w:history="1">
        <w:r w:rsidR="00EA5096" w:rsidRPr="00682D84">
          <w:rPr>
            <w:rStyle w:val="Collegamentoipertestuale"/>
            <w:noProof/>
          </w:rPr>
          <w:t>I.</w:t>
        </w:r>
        <w:r w:rsidR="00EA5096">
          <w:rPr>
            <w:rFonts w:asciiTheme="minorHAnsi" w:eastAsiaTheme="minorEastAsia" w:hAnsiTheme="minorHAnsi"/>
            <w:b w:val="0"/>
            <w:noProof/>
            <w:lang w:eastAsia="it-CH"/>
          </w:rPr>
          <w:tab/>
        </w:r>
        <w:r w:rsidR="00EA5096" w:rsidRPr="00682D84">
          <w:rPr>
            <w:rStyle w:val="Collegamentoipertestuale"/>
            <w:noProof/>
          </w:rPr>
          <w:t>INTRODUZIONE</w:t>
        </w:r>
        <w:r w:rsidR="00EA5096">
          <w:rPr>
            <w:noProof/>
            <w:webHidden/>
          </w:rPr>
          <w:tab/>
        </w:r>
        <w:r w:rsidR="00EA5096">
          <w:rPr>
            <w:noProof/>
            <w:webHidden/>
          </w:rPr>
          <w:fldChar w:fldCharType="begin"/>
        </w:r>
        <w:r w:rsidR="00EA5096">
          <w:rPr>
            <w:noProof/>
            <w:webHidden/>
          </w:rPr>
          <w:instrText xml:space="preserve"> PAGEREF _Toc139991867 \h </w:instrText>
        </w:r>
        <w:r w:rsidR="00EA5096">
          <w:rPr>
            <w:noProof/>
            <w:webHidden/>
          </w:rPr>
        </w:r>
        <w:r w:rsidR="00EA5096">
          <w:rPr>
            <w:noProof/>
            <w:webHidden/>
          </w:rPr>
          <w:fldChar w:fldCharType="separate"/>
        </w:r>
        <w:r w:rsidR="00EA5096">
          <w:rPr>
            <w:noProof/>
            <w:webHidden/>
          </w:rPr>
          <w:t>4</w:t>
        </w:r>
        <w:r w:rsidR="00EA5096">
          <w:rPr>
            <w:noProof/>
            <w:webHidden/>
          </w:rPr>
          <w:fldChar w:fldCharType="end"/>
        </w:r>
      </w:hyperlink>
    </w:p>
    <w:p w14:paraId="5CA7B4BA" w14:textId="3013AE14" w:rsidR="00EA5096" w:rsidRDefault="00B8096C">
      <w:pPr>
        <w:pStyle w:val="Sommario2"/>
        <w:rPr>
          <w:rFonts w:asciiTheme="minorHAnsi" w:eastAsiaTheme="minorEastAsia" w:hAnsiTheme="minorHAnsi"/>
          <w:noProof/>
          <w:lang w:eastAsia="it-CH"/>
        </w:rPr>
      </w:pPr>
      <w:hyperlink w:anchor="_Toc139991868" w:history="1">
        <w:r w:rsidR="00EA5096" w:rsidRPr="00682D84">
          <w:rPr>
            <w:rStyle w:val="Collegamentoipertestuale"/>
            <w:noProof/>
            <w14:scene3d>
              <w14:camera w14:prst="orthographicFront"/>
              <w14:lightRig w14:rig="threePt" w14:dir="t">
                <w14:rot w14:lat="0" w14:lon="0" w14:rev="0"/>
              </w14:lightRig>
            </w14:scene3d>
          </w:rPr>
          <w:t>1.</w:t>
        </w:r>
        <w:r w:rsidR="00EA5096">
          <w:rPr>
            <w:rFonts w:asciiTheme="minorHAnsi" w:eastAsiaTheme="minorEastAsia" w:hAnsiTheme="minorHAnsi"/>
            <w:noProof/>
            <w:lang w:eastAsia="it-CH"/>
          </w:rPr>
          <w:tab/>
        </w:r>
        <w:r w:rsidR="00EA5096" w:rsidRPr="00682D84">
          <w:rPr>
            <w:rStyle w:val="Collegamentoipertestuale"/>
            <w:noProof/>
          </w:rPr>
          <w:t>Mandato parlamentare e margine di manovra finanziario</w:t>
        </w:r>
        <w:r w:rsidR="00EA5096">
          <w:rPr>
            <w:noProof/>
            <w:webHidden/>
          </w:rPr>
          <w:tab/>
        </w:r>
        <w:r w:rsidR="00EA5096">
          <w:rPr>
            <w:noProof/>
            <w:webHidden/>
          </w:rPr>
          <w:fldChar w:fldCharType="begin"/>
        </w:r>
        <w:r w:rsidR="00EA5096">
          <w:rPr>
            <w:noProof/>
            <w:webHidden/>
          </w:rPr>
          <w:instrText xml:space="preserve"> PAGEREF _Toc139991868 \h </w:instrText>
        </w:r>
        <w:r w:rsidR="00EA5096">
          <w:rPr>
            <w:noProof/>
            <w:webHidden/>
          </w:rPr>
        </w:r>
        <w:r w:rsidR="00EA5096">
          <w:rPr>
            <w:noProof/>
            <w:webHidden/>
          </w:rPr>
          <w:fldChar w:fldCharType="separate"/>
        </w:r>
        <w:r w:rsidR="00EA5096">
          <w:rPr>
            <w:noProof/>
            <w:webHidden/>
          </w:rPr>
          <w:t>4</w:t>
        </w:r>
        <w:r w:rsidR="00EA5096">
          <w:rPr>
            <w:noProof/>
            <w:webHidden/>
          </w:rPr>
          <w:fldChar w:fldCharType="end"/>
        </w:r>
      </w:hyperlink>
    </w:p>
    <w:p w14:paraId="28CD3011" w14:textId="62E9B0DE" w:rsidR="00EA5096" w:rsidRDefault="00B8096C">
      <w:pPr>
        <w:pStyle w:val="Sommario2"/>
        <w:rPr>
          <w:rFonts w:asciiTheme="minorHAnsi" w:eastAsiaTheme="minorEastAsia" w:hAnsiTheme="minorHAnsi"/>
          <w:noProof/>
          <w:lang w:eastAsia="it-CH"/>
        </w:rPr>
      </w:pPr>
      <w:hyperlink w:anchor="_Toc139991869" w:history="1">
        <w:r w:rsidR="00EA5096" w:rsidRPr="00682D84">
          <w:rPr>
            <w:rStyle w:val="Collegamentoipertestuale"/>
            <w:noProof/>
            <w14:scene3d>
              <w14:camera w14:prst="orthographicFront"/>
              <w14:lightRig w14:rig="threePt" w14:dir="t">
                <w14:rot w14:lat="0" w14:lon="0" w14:rev="0"/>
              </w14:lightRig>
            </w14:scene3d>
          </w:rPr>
          <w:t>2.</w:t>
        </w:r>
        <w:r w:rsidR="00EA5096">
          <w:rPr>
            <w:rFonts w:asciiTheme="minorHAnsi" w:eastAsiaTheme="minorEastAsia" w:hAnsiTheme="minorHAnsi"/>
            <w:noProof/>
            <w:lang w:eastAsia="it-CH"/>
          </w:rPr>
          <w:tab/>
        </w:r>
        <w:r w:rsidR="00EA5096" w:rsidRPr="00682D84">
          <w:rPr>
            <w:rStyle w:val="Collegamentoipertestuale"/>
            <w:noProof/>
          </w:rPr>
          <w:t>Sviluppi legislativi recenti</w:t>
        </w:r>
        <w:r w:rsidR="00EA5096">
          <w:rPr>
            <w:noProof/>
            <w:webHidden/>
          </w:rPr>
          <w:tab/>
        </w:r>
        <w:r w:rsidR="00EA5096">
          <w:rPr>
            <w:noProof/>
            <w:webHidden/>
          </w:rPr>
          <w:fldChar w:fldCharType="begin"/>
        </w:r>
        <w:r w:rsidR="00EA5096">
          <w:rPr>
            <w:noProof/>
            <w:webHidden/>
          </w:rPr>
          <w:instrText xml:space="preserve"> PAGEREF _Toc139991869 \h </w:instrText>
        </w:r>
        <w:r w:rsidR="00EA5096">
          <w:rPr>
            <w:noProof/>
            <w:webHidden/>
          </w:rPr>
        </w:r>
        <w:r w:rsidR="00EA5096">
          <w:rPr>
            <w:noProof/>
            <w:webHidden/>
          </w:rPr>
          <w:fldChar w:fldCharType="separate"/>
        </w:r>
        <w:r w:rsidR="00EA5096">
          <w:rPr>
            <w:noProof/>
            <w:webHidden/>
          </w:rPr>
          <w:t>6</w:t>
        </w:r>
        <w:r w:rsidR="00EA5096">
          <w:rPr>
            <w:noProof/>
            <w:webHidden/>
          </w:rPr>
          <w:fldChar w:fldCharType="end"/>
        </w:r>
      </w:hyperlink>
    </w:p>
    <w:p w14:paraId="62B9D69D" w14:textId="558B8E64" w:rsidR="00EA5096" w:rsidRDefault="00B8096C">
      <w:pPr>
        <w:pStyle w:val="Sommario1"/>
        <w:rPr>
          <w:rFonts w:asciiTheme="minorHAnsi" w:eastAsiaTheme="minorEastAsia" w:hAnsiTheme="minorHAnsi"/>
          <w:b w:val="0"/>
          <w:noProof/>
          <w:lang w:eastAsia="it-CH"/>
        </w:rPr>
      </w:pPr>
      <w:hyperlink w:anchor="_Toc139991870" w:history="1">
        <w:r w:rsidR="00EA5096" w:rsidRPr="00682D84">
          <w:rPr>
            <w:rStyle w:val="Collegamentoipertestuale"/>
            <w:noProof/>
          </w:rPr>
          <w:t>II.</w:t>
        </w:r>
        <w:r w:rsidR="00EA5096">
          <w:rPr>
            <w:rFonts w:asciiTheme="minorHAnsi" w:eastAsiaTheme="minorEastAsia" w:hAnsiTheme="minorHAnsi"/>
            <w:b w:val="0"/>
            <w:noProof/>
            <w:lang w:eastAsia="it-CH"/>
          </w:rPr>
          <w:tab/>
        </w:r>
        <w:r w:rsidR="00EA5096" w:rsidRPr="00682D84">
          <w:rPr>
            <w:rStyle w:val="Collegamentoipertestuale"/>
            <w:noProof/>
          </w:rPr>
          <w:t>LE MISURE FISCALI PROPOSTE</w:t>
        </w:r>
        <w:r w:rsidR="00EA5096">
          <w:rPr>
            <w:noProof/>
            <w:webHidden/>
          </w:rPr>
          <w:tab/>
        </w:r>
        <w:r w:rsidR="00EA5096">
          <w:rPr>
            <w:noProof/>
            <w:webHidden/>
          </w:rPr>
          <w:fldChar w:fldCharType="begin"/>
        </w:r>
        <w:r w:rsidR="00EA5096">
          <w:rPr>
            <w:noProof/>
            <w:webHidden/>
          </w:rPr>
          <w:instrText xml:space="preserve"> PAGEREF _Toc139991870 \h </w:instrText>
        </w:r>
        <w:r w:rsidR="00EA5096">
          <w:rPr>
            <w:noProof/>
            <w:webHidden/>
          </w:rPr>
        </w:r>
        <w:r w:rsidR="00EA5096">
          <w:rPr>
            <w:noProof/>
            <w:webHidden/>
          </w:rPr>
          <w:fldChar w:fldCharType="separate"/>
        </w:r>
        <w:r w:rsidR="00EA5096">
          <w:rPr>
            <w:noProof/>
            <w:webHidden/>
          </w:rPr>
          <w:t>6</w:t>
        </w:r>
        <w:r w:rsidR="00EA5096">
          <w:rPr>
            <w:noProof/>
            <w:webHidden/>
          </w:rPr>
          <w:fldChar w:fldCharType="end"/>
        </w:r>
      </w:hyperlink>
    </w:p>
    <w:p w14:paraId="0E6B2818" w14:textId="39374C7C" w:rsidR="00EA5096" w:rsidRDefault="00B8096C">
      <w:pPr>
        <w:pStyle w:val="Sommario2"/>
        <w:rPr>
          <w:rFonts w:asciiTheme="minorHAnsi" w:eastAsiaTheme="minorEastAsia" w:hAnsiTheme="minorHAnsi"/>
          <w:noProof/>
          <w:lang w:eastAsia="it-CH"/>
        </w:rPr>
      </w:pPr>
      <w:hyperlink w:anchor="_Toc139991871" w:history="1">
        <w:r w:rsidR="00EA5096" w:rsidRPr="00682D84">
          <w:rPr>
            <w:rStyle w:val="Collegamentoipertestuale"/>
            <w:noProof/>
            <w14:scene3d>
              <w14:camera w14:prst="orthographicFront"/>
              <w14:lightRig w14:rig="threePt" w14:dir="t">
                <w14:rot w14:lat="0" w14:lon="0" w14:rev="0"/>
              </w14:lightRig>
            </w14:scene3d>
          </w:rPr>
          <w:t>1.</w:t>
        </w:r>
        <w:r w:rsidR="00EA5096">
          <w:rPr>
            <w:rFonts w:asciiTheme="minorHAnsi" w:eastAsiaTheme="minorEastAsia" w:hAnsiTheme="minorHAnsi"/>
            <w:noProof/>
            <w:lang w:eastAsia="it-CH"/>
          </w:rPr>
          <w:tab/>
        </w:r>
        <w:r w:rsidR="00EA5096" w:rsidRPr="00682D84">
          <w:rPr>
            <w:rStyle w:val="Collegamentoipertestuale"/>
            <w:noProof/>
          </w:rPr>
          <w:t>Aumento della deduzione forfettaria per le altre spese professionali</w:t>
        </w:r>
        <w:r w:rsidR="00EA5096">
          <w:rPr>
            <w:noProof/>
            <w:webHidden/>
          </w:rPr>
          <w:tab/>
        </w:r>
        <w:r w:rsidR="00EA5096">
          <w:rPr>
            <w:noProof/>
            <w:webHidden/>
          </w:rPr>
          <w:fldChar w:fldCharType="begin"/>
        </w:r>
        <w:r w:rsidR="00EA5096">
          <w:rPr>
            <w:noProof/>
            <w:webHidden/>
          </w:rPr>
          <w:instrText xml:space="preserve"> PAGEREF _Toc139991871 \h </w:instrText>
        </w:r>
        <w:r w:rsidR="00EA5096">
          <w:rPr>
            <w:noProof/>
            <w:webHidden/>
          </w:rPr>
        </w:r>
        <w:r w:rsidR="00EA5096">
          <w:rPr>
            <w:noProof/>
            <w:webHidden/>
          </w:rPr>
          <w:fldChar w:fldCharType="separate"/>
        </w:r>
        <w:r w:rsidR="00EA5096">
          <w:rPr>
            <w:noProof/>
            <w:webHidden/>
          </w:rPr>
          <w:t>7</w:t>
        </w:r>
        <w:r w:rsidR="00EA5096">
          <w:rPr>
            <w:noProof/>
            <w:webHidden/>
          </w:rPr>
          <w:fldChar w:fldCharType="end"/>
        </w:r>
      </w:hyperlink>
    </w:p>
    <w:p w14:paraId="3FEDD924" w14:textId="1323FBC3" w:rsidR="00EA5096" w:rsidRDefault="00B8096C">
      <w:pPr>
        <w:pStyle w:val="Sommario3"/>
        <w:rPr>
          <w:rFonts w:asciiTheme="minorHAnsi" w:eastAsiaTheme="minorEastAsia" w:hAnsiTheme="minorHAnsi"/>
          <w:noProof/>
          <w:lang w:eastAsia="it-CH"/>
        </w:rPr>
      </w:pPr>
      <w:hyperlink w:anchor="_Toc139991872" w:history="1">
        <w:r w:rsidR="00EA5096" w:rsidRPr="00682D84">
          <w:rPr>
            <w:rStyle w:val="Collegamentoipertestuale"/>
            <w:noProof/>
          </w:rPr>
          <w:t>1.1.</w:t>
        </w:r>
        <w:r w:rsidR="00EA5096">
          <w:rPr>
            <w:rFonts w:asciiTheme="minorHAnsi" w:eastAsiaTheme="minorEastAsia" w:hAnsiTheme="minorHAnsi"/>
            <w:noProof/>
            <w:lang w:eastAsia="it-CH"/>
          </w:rPr>
          <w:tab/>
        </w:r>
        <w:r w:rsidR="00EA5096" w:rsidRPr="00682D84">
          <w:rPr>
            <w:rStyle w:val="Collegamentoipertestuale"/>
            <w:noProof/>
          </w:rPr>
          <w:t>Situazione attuale e scelte legislative</w:t>
        </w:r>
        <w:r w:rsidR="00EA5096">
          <w:rPr>
            <w:noProof/>
            <w:webHidden/>
          </w:rPr>
          <w:tab/>
        </w:r>
        <w:r w:rsidR="00EA5096">
          <w:rPr>
            <w:noProof/>
            <w:webHidden/>
          </w:rPr>
          <w:fldChar w:fldCharType="begin"/>
        </w:r>
        <w:r w:rsidR="00EA5096">
          <w:rPr>
            <w:noProof/>
            <w:webHidden/>
          </w:rPr>
          <w:instrText xml:space="preserve"> PAGEREF _Toc139991872 \h </w:instrText>
        </w:r>
        <w:r w:rsidR="00EA5096">
          <w:rPr>
            <w:noProof/>
            <w:webHidden/>
          </w:rPr>
        </w:r>
        <w:r w:rsidR="00EA5096">
          <w:rPr>
            <w:noProof/>
            <w:webHidden/>
          </w:rPr>
          <w:fldChar w:fldCharType="separate"/>
        </w:r>
        <w:r w:rsidR="00EA5096">
          <w:rPr>
            <w:noProof/>
            <w:webHidden/>
          </w:rPr>
          <w:t>7</w:t>
        </w:r>
        <w:r w:rsidR="00EA5096">
          <w:rPr>
            <w:noProof/>
            <w:webHidden/>
          </w:rPr>
          <w:fldChar w:fldCharType="end"/>
        </w:r>
      </w:hyperlink>
    </w:p>
    <w:p w14:paraId="22B00B4D" w14:textId="0EE5045C" w:rsidR="00EA5096" w:rsidRDefault="00B8096C">
      <w:pPr>
        <w:pStyle w:val="Sommario3"/>
        <w:rPr>
          <w:rFonts w:asciiTheme="minorHAnsi" w:eastAsiaTheme="minorEastAsia" w:hAnsiTheme="minorHAnsi"/>
          <w:noProof/>
          <w:lang w:eastAsia="it-CH"/>
        </w:rPr>
      </w:pPr>
      <w:hyperlink w:anchor="_Toc139991873" w:history="1">
        <w:r w:rsidR="00EA5096" w:rsidRPr="00682D84">
          <w:rPr>
            <w:rStyle w:val="Collegamentoipertestuale"/>
            <w:noProof/>
          </w:rPr>
          <w:t>1.2.</w:t>
        </w:r>
        <w:r w:rsidR="00EA5096">
          <w:rPr>
            <w:rFonts w:asciiTheme="minorHAnsi" w:eastAsiaTheme="minorEastAsia" w:hAnsiTheme="minorHAnsi"/>
            <w:noProof/>
            <w:lang w:eastAsia="it-CH"/>
          </w:rPr>
          <w:tab/>
        </w:r>
        <w:r w:rsidR="00EA5096" w:rsidRPr="00682D84">
          <w:rPr>
            <w:rStyle w:val="Collegamentoipertestuale"/>
            <w:noProof/>
          </w:rPr>
          <w:t>Ripercussioni finanziarie</w:t>
        </w:r>
        <w:r w:rsidR="00EA5096">
          <w:rPr>
            <w:noProof/>
            <w:webHidden/>
          </w:rPr>
          <w:tab/>
        </w:r>
        <w:r w:rsidR="00EA5096">
          <w:rPr>
            <w:noProof/>
            <w:webHidden/>
          </w:rPr>
          <w:fldChar w:fldCharType="begin"/>
        </w:r>
        <w:r w:rsidR="00EA5096">
          <w:rPr>
            <w:noProof/>
            <w:webHidden/>
          </w:rPr>
          <w:instrText xml:space="preserve"> PAGEREF _Toc139991873 \h </w:instrText>
        </w:r>
        <w:r w:rsidR="00EA5096">
          <w:rPr>
            <w:noProof/>
            <w:webHidden/>
          </w:rPr>
        </w:r>
        <w:r w:rsidR="00EA5096">
          <w:rPr>
            <w:noProof/>
            <w:webHidden/>
          </w:rPr>
          <w:fldChar w:fldCharType="separate"/>
        </w:r>
        <w:r w:rsidR="00EA5096">
          <w:rPr>
            <w:noProof/>
            <w:webHidden/>
          </w:rPr>
          <w:t>9</w:t>
        </w:r>
        <w:r w:rsidR="00EA5096">
          <w:rPr>
            <w:noProof/>
            <w:webHidden/>
          </w:rPr>
          <w:fldChar w:fldCharType="end"/>
        </w:r>
      </w:hyperlink>
    </w:p>
    <w:p w14:paraId="56AE5EEA" w14:textId="25256BC7" w:rsidR="00EA5096" w:rsidRDefault="00B8096C">
      <w:pPr>
        <w:pStyle w:val="Sommario3"/>
        <w:rPr>
          <w:rFonts w:asciiTheme="minorHAnsi" w:eastAsiaTheme="minorEastAsia" w:hAnsiTheme="minorHAnsi"/>
          <w:noProof/>
          <w:lang w:eastAsia="it-CH"/>
        </w:rPr>
      </w:pPr>
      <w:hyperlink w:anchor="_Toc139991874" w:history="1">
        <w:r w:rsidR="00EA5096" w:rsidRPr="00682D84">
          <w:rPr>
            <w:rStyle w:val="Collegamentoipertestuale"/>
            <w:noProof/>
          </w:rPr>
          <w:t>1.3.</w:t>
        </w:r>
        <w:r w:rsidR="00EA5096">
          <w:rPr>
            <w:rFonts w:asciiTheme="minorHAnsi" w:eastAsiaTheme="minorEastAsia" w:hAnsiTheme="minorHAnsi"/>
            <w:noProof/>
            <w:lang w:eastAsia="it-CH"/>
          </w:rPr>
          <w:tab/>
        </w:r>
        <w:r w:rsidR="00EA5096" w:rsidRPr="00682D84">
          <w:rPr>
            <w:rStyle w:val="Collegamentoipertestuale"/>
            <w:noProof/>
          </w:rPr>
          <w:t>Entrata in vigore</w:t>
        </w:r>
        <w:r w:rsidR="00EA5096">
          <w:rPr>
            <w:noProof/>
            <w:webHidden/>
          </w:rPr>
          <w:tab/>
        </w:r>
        <w:r w:rsidR="00EA5096">
          <w:rPr>
            <w:noProof/>
            <w:webHidden/>
          </w:rPr>
          <w:fldChar w:fldCharType="begin"/>
        </w:r>
        <w:r w:rsidR="00EA5096">
          <w:rPr>
            <w:noProof/>
            <w:webHidden/>
          </w:rPr>
          <w:instrText xml:space="preserve"> PAGEREF _Toc139991874 \h </w:instrText>
        </w:r>
        <w:r w:rsidR="00EA5096">
          <w:rPr>
            <w:noProof/>
            <w:webHidden/>
          </w:rPr>
        </w:r>
        <w:r w:rsidR="00EA5096">
          <w:rPr>
            <w:noProof/>
            <w:webHidden/>
          </w:rPr>
          <w:fldChar w:fldCharType="separate"/>
        </w:r>
        <w:r w:rsidR="00EA5096">
          <w:rPr>
            <w:noProof/>
            <w:webHidden/>
          </w:rPr>
          <w:t>9</w:t>
        </w:r>
        <w:r w:rsidR="00EA5096">
          <w:rPr>
            <w:noProof/>
            <w:webHidden/>
          </w:rPr>
          <w:fldChar w:fldCharType="end"/>
        </w:r>
      </w:hyperlink>
    </w:p>
    <w:p w14:paraId="7A7C1DF5" w14:textId="6D6C4C2E" w:rsidR="00EA5096" w:rsidRDefault="00B8096C">
      <w:pPr>
        <w:pStyle w:val="Sommario2"/>
        <w:rPr>
          <w:rFonts w:asciiTheme="minorHAnsi" w:eastAsiaTheme="minorEastAsia" w:hAnsiTheme="minorHAnsi"/>
          <w:noProof/>
          <w:lang w:eastAsia="it-CH"/>
        </w:rPr>
      </w:pPr>
      <w:hyperlink w:anchor="_Toc139991875" w:history="1">
        <w:r w:rsidR="00EA5096" w:rsidRPr="00682D84">
          <w:rPr>
            <w:rStyle w:val="Collegamentoipertestuale"/>
            <w:noProof/>
            <w14:scene3d>
              <w14:camera w14:prst="orthographicFront"/>
              <w14:lightRig w14:rig="threePt" w14:dir="t">
                <w14:rot w14:lat="0" w14:lon="0" w14:rev="0"/>
              </w14:lightRig>
            </w14:scene3d>
          </w:rPr>
          <w:t>2.</w:t>
        </w:r>
        <w:r w:rsidR="00EA5096">
          <w:rPr>
            <w:rFonts w:asciiTheme="minorHAnsi" w:eastAsiaTheme="minorEastAsia" w:hAnsiTheme="minorHAnsi"/>
            <w:noProof/>
            <w:lang w:eastAsia="it-CH"/>
          </w:rPr>
          <w:tab/>
        </w:r>
        <w:r w:rsidR="00EA5096" w:rsidRPr="00682D84">
          <w:rPr>
            <w:rStyle w:val="Collegamentoipertestuale"/>
            <w:noProof/>
          </w:rPr>
          <w:t>Riforma dell’imposta sulle successioni e donazioni</w:t>
        </w:r>
        <w:r w:rsidR="00EA5096">
          <w:rPr>
            <w:noProof/>
            <w:webHidden/>
          </w:rPr>
          <w:tab/>
        </w:r>
        <w:r w:rsidR="00EA5096">
          <w:rPr>
            <w:noProof/>
            <w:webHidden/>
          </w:rPr>
          <w:fldChar w:fldCharType="begin"/>
        </w:r>
        <w:r w:rsidR="00EA5096">
          <w:rPr>
            <w:noProof/>
            <w:webHidden/>
          </w:rPr>
          <w:instrText xml:space="preserve"> PAGEREF _Toc139991875 \h </w:instrText>
        </w:r>
        <w:r w:rsidR="00EA5096">
          <w:rPr>
            <w:noProof/>
            <w:webHidden/>
          </w:rPr>
        </w:r>
        <w:r w:rsidR="00EA5096">
          <w:rPr>
            <w:noProof/>
            <w:webHidden/>
          </w:rPr>
          <w:fldChar w:fldCharType="separate"/>
        </w:r>
        <w:r w:rsidR="00EA5096">
          <w:rPr>
            <w:noProof/>
            <w:webHidden/>
          </w:rPr>
          <w:t>9</w:t>
        </w:r>
        <w:r w:rsidR="00EA5096">
          <w:rPr>
            <w:noProof/>
            <w:webHidden/>
          </w:rPr>
          <w:fldChar w:fldCharType="end"/>
        </w:r>
      </w:hyperlink>
    </w:p>
    <w:p w14:paraId="06962FE0" w14:textId="76880CC9" w:rsidR="00EA5096" w:rsidRDefault="00B8096C">
      <w:pPr>
        <w:pStyle w:val="Sommario3"/>
        <w:rPr>
          <w:rFonts w:asciiTheme="minorHAnsi" w:eastAsiaTheme="minorEastAsia" w:hAnsiTheme="minorHAnsi"/>
          <w:noProof/>
          <w:lang w:eastAsia="it-CH"/>
        </w:rPr>
      </w:pPr>
      <w:hyperlink w:anchor="_Toc139991876" w:history="1">
        <w:r w:rsidR="00EA5096" w:rsidRPr="00682D84">
          <w:rPr>
            <w:rStyle w:val="Collegamentoipertestuale"/>
            <w:noProof/>
          </w:rPr>
          <w:t>2.1.</w:t>
        </w:r>
        <w:r w:rsidR="00EA5096">
          <w:rPr>
            <w:rFonts w:asciiTheme="minorHAnsi" w:eastAsiaTheme="minorEastAsia" w:hAnsiTheme="minorHAnsi"/>
            <w:noProof/>
            <w:lang w:eastAsia="it-CH"/>
          </w:rPr>
          <w:tab/>
        </w:r>
        <w:r w:rsidR="00EA5096" w:rsidRPr="00682D84">
          <w:rPr>
            <w:rStyle w:val="Collegamentoipertestuale"/>
            <w:noProof/>
          </w:rPr>
          <w:t>Situazione attuale e scelte legislative</w:t>
        </w:r>
        <w:r w:rsidR="00EA5096">
          <w:rPr>
            <w:noProof/>
            <w:webHidden/>
          </w:rPr>
          <w:tab/>
        </w:r>
        <w:r w:rsidR="00EA5096">
          <w:rPr>
            <w:noProof/>
            <w:webHidden/>
          </w:rPr>
          <w:fldChar w:fldCharType="begin"/>
        </w:r>
        <w:r w:rsidR="00EA5096">
          <w:rPr>
            <w:noProof/>
            <w:webHidden/>
          </w:rPr>
          <w:instrText xml:space="preserve"> PAGEREF _Toc139991876 \h </w:instrText>
        </w:r>
        <w:r w:rsidR="00EA5096">
          <w:rPr>
            <w:noProof/>
            <w:webHidden/>
          </w:rPr>
        </w:r>
        <w:r w:rsidR="00EA5096">
          <w:rPr>
            <w:noProof/>
            <w:webHidden/>
          </w:rPr>
          <w:fldChar w:fldCharType="separate"/>
        </w:r>
        <w:r w:rsidR="00EA5096">
          <w:rPr>
            <w:noProof/>
            <w:webHidden/>
          </w:rPr>
          <w:t>9</w:t>
        </w:r>
        <w:r w:rsidR="00EA5096">
          <w:rPr>
            <w:noProof/>
            <w:webHidden/>
          </w:rPr>
          <w:fldChar w:fldCharType="end"/>
        </w:r>
      </w:hyperlink>
    </w:p>
    <w:p w14:paraId="4AB75F32" w14:textId="53DF2449" w:rsidR="00EA5096" w:rsidRDefault="00B8096C">
      <w:pPr>
        <w:pStyle w:val="Sommario4"/>
        <w:rPr>
          <w:rFonts w:asciiTheme="minorHAnsi" w:eastAsiaTheme="minorEastAsia" w:hAnsiTheme="minorHAnsi"/>
          <w:noProof/>
          <w:lang w:eastAsia="it-CH"/>
        </w:rPr>
      </w:pPr>
      <w:hyperlink w:anchor="_Toc139991877" w:history="1">
        <w:r w:rsidR="00EA5096" w:rsidRPr="00682D84">
          <w:rPr>
            <w:rStyle w:val="Collegamentoipertestuale"/>
            <w:noProof/>
          </w:rPr>
          <w:t>2.1.1.</w:t>
        </w:r>
        <w:r w:rsidR="00EA5096">
          <w:rPr>
            <w:rFonts w:asciiTheme="minorHAnsi" w:eastAsiaTheme="minorEastAsia" w:hAnsiTheme="minorHAnsi"/>
            <w:noProof/>
            <w:lang w:eastAsia="it-CH"/>
          </w:rPr>
          <w:tab/>
        </w:r>
        <w:r w:rsidR="00EA5096" w:rsidRPr="00682D84">
          <w:rPr>
            <w:rStyle w:val="Collegamentoipertestuale"/>
            <w:noProof/>
          </w:rPr>
          <w:t>Evoluzione della situazione socio-demografica in Svizzera</w:t>
        </w:r>
        <w:r w:rsidR="00EA5096">
          <w:rPr>
            <w:noProof/>
            <w:webHidden/>
          </w:rPr>
          <w:tab/>
        </w:r>
        <w:r w:rsidR="00EA5096">
          <w:rPr>
            <w:noProof/>
            <w:webHidden/>
          </w:rPr>
          <w:fldChar w:fldCharType="begin"/>
        </w:r>
        <w:r w:rsidR="00EA5096">
          <w:rPr>
            <w:noProof/>
            <w:webHidden/>
          </w:rPr>
          <w:instrText xml:space="preserve"> PAGEREF _Toc139991877 \h </w:instrText>
        </w:r>
        <w:r w:rsidR="00EA5096">
          <w:rPr>
            <w:noProof/>
            <w:webHidden/>
          </w:rPr>
        </w:r>
        <w:r w:rsidR="00EA5096">
          <w:rPr>
            <w:noProof/>
            <w:webHidden/>
          </w:rPr>
          <w:fldChar w:fldCharType="separate"/>
        </w:r>
        <w:r w:rsidR="00EA5096">
          <w:rPr>
            <w:noProof/>
            <w:webHidden/>
          </w:rPr>
          <w:t>9</w:t>
        </w:r>
        <w:r w:rsidR="00EA5096">
          <w:rPr>
            <w:noProof/>
            <w:webHidden/>
          </w:rPr>
          <w:fldChar w:fldCharType="end"/>
        </w:r>
      </w:hyperlink>
    </w:p>
    <w:p w14:paraId="77CBCB31" w14:textId="6D546EAC" w:rsidR="00EA5096" w:rsidRDefault="00B8096C">
      <w:pPr>
        <w:pStyle w:val="Sommario4"/>
        <w:rPr>
          <w:rFonts w:asciiTheme="minorHAnsi" w:eastAsiaTheme="minorEastAsia" w:hAnsiTheme="minorHAnsi"/>
          <w:noProof/>
          <w:lang w:eastAsia="it-CH"/>
        </w:rPr>
      </w:pPr>
      <w:hyperlink w:anchor="_Toc139991878" w:history="1">
        <w:r w:rsidR="00EA5096" w:rsidRPr="00682D84">
          <w:rPr>
            <w:rStyle w:val="Collegamentoipertestuale"/>
            <w:noProof/>
          </w:rPr>
          <w:t>2.1.2.</w:t>
        </w:r>
        <w:r w:rsidR="00EA5096">
          <w:rPr>
            <w:rFonts w:asciiTheme="minorHAnsi" w:eastAsiaTheme="minorEastAsia" w:hAnsiTheme="minorHAnsi"/>
            <w:noProof/>
            <w:lang w:eastAsia="it-CH"/>
          </w:rPr>
          <w:tab/>
        </w:r>
        <w:r w:rsidR="00EA5096" w:rsidRPr="00682D84">
          <w:rPr>
            <w:rStyle w:val="Collegamentoipertestuale"/>
            <w:noProof/>
          </w:rPr>
          <w:t>Primo pacchetto di riforma del diritto civile successorio</w:t>
        </w:r>
        <w:r w:rsidR="00EA5096">
          <w:rPr>
            <w:noProof/>
            <w:webHidden/>
          </w:rPr>
          <w:tab/>
        </w:r>
        <w:r w:rsidR="00EA5096">
          <w:rPr>
            <w:noProof/>
            <w:webHidden/>
          </w:rPr>
          <w:fldChar w:fldCharType="begin"/>
        </w:r>
        <w:r w:rsidR="00EA5096">
          <w:rPr>
            <w:noProof/>
            <w:webHidden/>
          </w:rPr>
          <w:instrText xml:space="preserve"> PAGEREF _Toc139991878 \h </w:instrText>
        </w:r>
        <w:r w:rsidR="00EA5096">
          <w:rPr>
            <w:noProof/>
            <w:webHidden/>
          </w:rPr>
        </w:r>
        <w:r w:rsidR="00EA5096">
          <w:rPr>
            <w:noProof/>
            <w:webHidden/>
          </w:rPr>
          <w:fldChar w:fldCharType="separate"/>
        </w:r>
        <w:r w:rsidR="00EA5096">
          <w:rPr>
            <w:noProof/>
            <w:webHidden/>
          </w:rPr>
          <w:t>10</w:t>
        </w:r>
        <w:r w:rsidR="00EA5096">
          <w:rPr>
            <w:noProof/>
            <w:webHidden/>
          </w:rPr>
          <w:fldChar w:fldCharType="end"/>
        </w:r>
      </w:hyperlink>
    </w:p>
    <w:p w14:paraId="603F0252" w14:textId="73EB8E1B" w:rsidR="00EA5096" w:rsidRDefault="00B8096C">
      <w:pPr>
        <w:pStyle w:val="Sommario4"/>
        <w:rPr>
          <w:rFonts w:asciiTheme="minorHAnsi" w:eastAsiaTheme="minorEastAsia" w:hAnsiTheme="minorHAnsi"/>
          <w:noProof/>
          <w:lang w:eastAsia="it-CH"/>
        </w:rPr>
      </w:pPr>
      <w:hyperlink w:anchor="_Toc139991879" w:history="1">
        <w:r w:rsidR="00EA5096" w:rsidRPr="00682D84">
          <w:rPr>
            <w:rStyle w:val="Collegamentoipertestuale"/>
            <w:noProof/>
          </w:rPr>
          <w:t>2.1.3.</w:t>
        </w:r>
        <w:r w:rsidR="00EA5096">
          <w:rPr>
            <w:rFonts w:asciiTheme="minorHAnsi" w:eastAsiaTheme="minorEastAsia" w:hAnsiTheme="minorHAnsi"/>
            <w:noProof/>
            <w:lang w:eastAsia="it-CH"/>
          </w:rPr>
          <w:tab/>
        </w:r>
        <w:r w:rsidR="00EA5096" w:rsidRPr="00682D84">
          <w:rPr>
            <w:rStyle w:val="Collegamentoipertestuale"/>
            <w:noProof/>
          </w:rPr>
          <w:t>Secondo pacchetto di riforma del diritto civile successorio (successione di imprese)</w:t>
        </w:r>
        <w:r w:rsidR="00EA5096">
          <w:rPr>
            <w:noProof/>
            <w:webHidden/>
          </w:rPr>
          <w:tab/>
        </w:r>
        <w:r w:rsidR="00EA5096">
          <w:rPr>
            <w:noProof/>
            <w:webHidden/>
          </w:rPr>
          <w:fldChar w:fldCharType="begin"/>
        </w:r>
        <w:r w:rsidR="00EA5096">
          <w:rPr>
            <w:noProof/>
            <w:webHidden/>
          </w:rPr>
          <w:instrText xml:space="preserve"> PAGEREF _Toc139991879 \h </w:instrText>
        </w:r>
        <w:r w:rsidR="00EA5096">
          <w:rPr>
            <w:noProof/>
            <w:webHidden/>
          </w:rPr>
        </w:r>
        <w:r w:rsidR="00EA5096">
          <w:rPr>
            <w:noProof/>
            <w:webHidden/>
          </w:rPr>
          <w:fldChar w:fldCharType="separate"/>
        </w:r>
        <w:r w:rsidR="00EA5096">
          <w:rPr>
            <w:noProof/>
            <w:webHidden/>
          </w:rPr>
          <w:t>11</w:t>
        </w:r>
        <w:r w:rsidR="00EA5096">
          <w:rPr>
            <w:noProof/>
            <w:webHidden/>
          </w:rPr>
          <w:fldChar w:fldCharType="end"/>
        </w:r>
      </w:hyperlink>
    </w:p>
    <w:p w14:paraId="6C48F6CD" w14:textId="519EEF26" w:rsidR="00EA5096" w:rsidRDefault="00B8096C">
      <w:pPr>
        <w:pStyle w:val="Sommario4"/>
        <w:rPr>
          <w:rFonts w:asciiTheme="minorHAnsi" w:eastAsiaTheme="minorEastAsia" w:hAnsiTheme="minorHAnsi"/>
          <w:noProof/>
          <w:lang w:eastAsia="it-CH"/>
        </w:rPr>
      </w:pPr>
      <w:hyperlink w:anchor="_Toc139991880" w:history="1">
        <w:r w:rsidR="00EA5096" w:rsidRPr="00682D84">
          <w:rPr>
            <w:rStyle w:val="Collegamentoipertestuale"/>
            <w:noProof/>
          </w:rPr>
          <w:t>2.1.4.</w:t>
        </w:r>
        <w:r w:rsidR="00EA5096">
          <w:rPr>
            <w:rFonts w:asciiTheme="minorHAnsi" w:eastAsiaTheme="minorEastAsia" w:hAnsiTheme="minorHAnsi"/>
            <w:noProof/>
            <w:lang w:eastAsia="it-CH"/>
          </w:rPr>
          <w:tab/>
        </w:r>
        <w:r w:rsidR="00EA5096" w:rsidRPr="00682D84">
          <w:rPr>
            <w:rStyle w:val="Collegamentoipertestuale"/>
            <w:noProof/>
          </w:rPr>
          <w:t>Situazione ad oggi</w:t>
        </w:r>
        <w:r w:rsidR="00EA5096">
          <w:rPr>
            <w:noProof/>
            <w:webHidden/>
          </w:rPr>
          <w:tab/>
        </w:r>
        <w:r w:rsidR="00EA5096">
          <w:rPr>
            <w:noProof/>
            <w:webHidden/>
          </w:rPr>
          <w:fldChar w:fldCharType="begin"/>
        </w:r>
        <w:r w:rsidR="00EA5096">
          <w:rPr>
            <w:noProof/>
            <w:webHidden/>
          </w:rPr>
          <w:instrText xml:space="preserve"> PAGEREF _Toc139991880 \h </w:instrText>
        </w:r>
        <w:r w:rsidR="00EA5096">
          <w:rPr>
            <w:noProof/>
            <w:webHidden/>
          </w:rPr>
        </w:r>
        <w:r w:rsidR="00EA5096">
          <w:rPr>
            <w:noProof/>
            <w:webHidden/>
          </w:rPr>
          <w:fldChar w:fldCharType="separate"/>
        </w:r>
        <w:r w:rsidR="00EA5096">
          <w:rPr>
            <w:noProof/>
            <w:webHidden/>
          </w:rPr>
          <w:t>12</w:t>
        </w:r>
        <w:r w:rsidR="00EA5096">
          <w:rPr>
            <w:noProof/>
            <w:webHidden/>
          </w:rPr>
          <w:fldChar w:fldCharType="end"/>
        </w:r>
      </w:hyperlink>
    </w:p>
    <w:p w14:paraId="46310FB5" w14:textId="712AB5CE" w:rsidR="00EA5096" w:rsidRDefault="00B8096C">
      <w:pPr>
        <w:pStyle w:val="Sommario4"/>
        <w:rPr>
          <w:rFonts w:asciiTheme="minorHAnsi" w:eastAsiaTheme="minorEastAsia" w:hAnsiTheme="minorHAnsi"/>
          <w:noProof/>
          <w:lang w:eastAsia="it-CH"/>
        </w:rPr>
      </w:pPr>
      <w:hyperlink w:anchor="_Toc139991881" w:history="1">
        <w:r w:rsidR="00EA5096" w:rsidRPr="00682D84">
          <w:rPr>
            <w:rStyle w:val="Collegamentoipertestuale"/>
            <w:noProof/>
          </w:rPr>
          <w:t>2.1.5.</w:t>
        </w:r>
        <w:r w:rsidR="00EA5096">
          <w:rPr>
            <w:rFonts w:asciiTheme="minorHAnsi" w:eastAsiaTheme="minorEastAsia" w:hAnsiTheme="minorHAnsi"/>
            <w:noProof/>
            <w:lang w:eastAsia="it-CH"/>
          </w:rPr>
          <w:tab/>
        </w:r>
        <w:r w:rsidR="00EA5096" w:rsidRPr="00682D84">
          <w:rPr>
            <w:rStyle w:val="Collegamentoipertestuale"/>
            <w:noProof/>
          </w:rPr>
          <w:t>Raffronto delle aliquote con la media svizzera</w:t>
        </w:r>
        <w:r w:rsidR="00EA5096">
          <w:rPr>
            <w:noProof/>
            <w:webHidden/>
          </w:rPr>
          <w:tab/>
        </w:r>
        <w:r w:rsidR="00EA5096">
          <w:rPr>
            <w:noProof/>
            <w:webHidden/>
          </w:rPr>
          <w:fldChar w:fldCharType="begin"/>
        </w:r>
        <w:r w:rsidR="00EA5096">
          <w:rPr>
            <w:noProof/>
            <w:webHidden/>
          </w:rPr>
          <w:instrText xml:space="preserve"> PAGEREF _Toc139991881 \h </w:instrText>
        </w:r>
        <w:r w:rsidR="00EA5096">
          <w:rPr>
            <w:noProof/>
            <w:webHidden/>
          </w:rPr>
        </w:r>
        <w:r w:rsidR="00EA5096">
          <w:rPr>
            <w:noProof/>
            <w:webHidden/>
          </w:rPr>
          <w:fldChar w:fldCharType="separate"/>
        </w:r>
        <w:r w:rsidR="00EA5096">
          <w:rPr>
            <w:noProof/>
            <w:webHidden/>
          </w:rPr>
          <w:t>13</w:t>
        </w:r>
        <w:r w:rsidR="00EA5096">
          <w:rPr>
            <w:noProof/>
            <w:webHidden/>
          </w:rPr>
          <w:fldChar w:fldCharType="end"/>
        </w:r>
      </w:hyperlink>
    </w:p>
    <w:p w14:paraId="633468B2" w14:textId="69A3586A" w:rsidR="00EA5096" w:rsidRDefault="00B8096C">
      <w:pPr>
        <w:pStyle w:val="Sommario4"/>
        <w:rPr>
          <w:rFonts w:asciiTheme="minorHAnsi" w:eastAsiaTheme="minorEastAsia" w:hAnsiTheme="minorHAnsi"/>
          <w:noProof/>
          <w:lang w:eastAsia="it-CH"/>
        </w:rPr>
      </w:pPr>
      <w:hyperlink w:anchor="_Toc139991882" w:history="1">
        <w:r w:rsidR="00EA5096" w:rsidRPr="00682D84">
          <w:rPr>
            <w:rStyle w:val="Collegamentoipertestuale"/>
            <w:noProof/>
          </w:rPr>
          <w:t>2.1.6.</w:t>
        </w:r>
        <w:r w:rsidR="00EA5096">
          <w:rPr>
            <w:rFonts w:asciiTheme="minorHAnsi" w:eastAsiaTheme="minorEastAsia" w:hAnsiTheme="minorHAnsi"/>
            <w:noProof/>
            <w:lang w:eastAsia="it-CH"/>
          </w:rPr>
          <w:tab/>
        </w:r>
        <w:r w:rsidR="00EA5096" w:rsidRPr="00682D84">
          <w:rPr>
            <w:rStyle w:val="Collegamentoipertestuale"/>
            <w:noProof/>
          </w:rPr>
          <w:t>Raffronto intercantonale</w:t>
        </w:r>
        <w:r w:rsidR="00EA5096">
          <w:rPr>
            <w:noProof/>
            <w:webHidden/>
          </w:rPr>
          <w:tab/>
        </w:r>
        <w:r w:rsidR="00EA5096">
          <w:rPr>
            <w:noProof/>
            <w:webHidden/>
          </w:rPr>
          <w:fldChar w:fldCharType="begin"/>
        </w:r>
        <w:r w:rsidR="00EA5096">
          <w:rPr>
            <w:noProof/>
            <w:webHidden/>
          </w:rPr>
          <w:instrText xml:space="preserve"> PAGEREF _Toc139991882 \h </w:instrText>
        </w:r>
        <w:r w:rsidR="00EA5096">
          <w:rPr>
            <w:noProof/>
            <w:webHidden/>
          </w:rPr>
        </w:r>
        <w:r w:rsidR="00EA5096">
          <w:rPr>
            <w:noProof/>
            <w:webHidden/>
          </w:rPr>
          <w:fldChar w:fldCharType="separate"/>
        </w:r>
        <w:r w:rsidR="00EA5096">
          <w:rPr>
            <w:noProof/>
            <w:webHidden/>
          </w:rPr>
          <w:t>14</w:t>
        </w:r>
        <w:r w:rsidR="00EA5096">
          <w:rPr>
            <w:noProof/>
            <w:webHidden/>
          </w:rPr>
          <w:fldChar w:fldCharType="end"/>
        </w:r>
      </w:hyperlink>
    </w:p>
    <w:p w14:paraId="6CA15B9D" w14:textId="6ED1F0A4" w:rsidR="00EA5096" w:rsidRDefault="00B8096C">
      <w:pPr>
        <w:pStyle w:val="Sommario3"/>
        <w:rPr>
          <w:rFonts w:asciiTheme="minorHAnsi" w:eastAsiaTheme="minorEastAsia" w:hAnsiTheme="minorHAnsi"/>
          <w:noProof/>
          <w:lang w:eastAsia="it-CH"/>
        </w:rPr>
      </w:pPr>
      <w:hyperlink w:anchor="_Toc139991883" w:history="1">
        <w:r w:rsidR="00EA5096" w:rsidRPr="00682D84">
          <w:rPr>
            <w:rStyle w:val="Collegamentoipertestuale"/>
            <w:noProof/>
          </w:rPr>
          <w:t>2.2.</w:t>
        </w:r>
        <w:r w:rsidR="00EA5096">
          <w:rPr>
            <w:rFonts w:asciiTheme="minorHAnsi" w:eastAsiaTheme="minorEastAsia" w:hAnsiTheme="minorHAnsi"/>
            <w:noProof/>
            <w:lang w:eastAsia="it-CH"/>
          </w:rPr>
          <w:tab/>
        </w:r>
        <w:r w:rsidR="00EA5096" w:rsidRPr="00682D84">
          <w:rPr>
            <w:rStyle w:val="Collegamentoipertestuale"/>
            <w:noProof/>
          </w:rPr>
          <w:t>Nuovi paradigmi e disposizioni in ambito di imposte di successione e donazione</w:t>
        </w:r>
        <w:r w:rsidR="00EA5096">
          <w:rPr>
            <w:noProof/>
            <w:webHidden/>
          </w:rPr>
          <w:tab/>
        </w:r>
        <w:r w:rsidR="00EA5096">
          <w:rPr>
            <w:noProof/>
            <w:webHidden/>
          </w:rPr>
          <w:fldChar w:fldCharType="begin"/>
        </w:r>
        <w:r w:rsidR="00EA5096">
          <w:rPr>
            <w:noProof/>
            <w:webHidden/>
          </w:rPr>
          <w:instrText xml:space="preserve"> PAGEREF _Toc139991883 \h </w:instrText>
        </w:r>
        <w:r w:rsidR="00EA5096">
          <w:rPr>
            <w:noProof/>
            <w:webHidden/>
          </w:rPr>
        </w:r>
        <w:r w:rsidR="00EA5096">
          <w:rPr>
            <w:noProof/>
            <w:webHidden/>
          </w:rPr>
          <w:fldChar w:fldCharType="separate"/>
        </w:r>
        <w:r w:rsidR="00EA5096">
          <w:rPr>
            <w:noProof/>
            <w:webHidden/>
          </w:rPr>
          <w:t>15</w:t>
        </w:r>
        <w:r w:rsidR="00EA5096">
          <w:rPr>
            <w:noProof/>
            <w:webHidden/>
          </w:rPr>
          <w:fldChar w:fldCharType="end"/>
        </w:r>
      </w:hyperlink>
    </w:p>
    <w:p w14:paraId="054485E8" w14:textId="1AD41669" w:rsidR="00EA5096" w:rsidRDefault="00B8096C">
      <w:pPr>
        <w:pStyle w:val="Sommario4"/>
        <w:rPr>
          <w:rFonts w:asciiTheme="minorHAnsi" w:eastAsiaTheme="minorEastAsia" w:hAnsiTheme="minorHAnsi"/>
          <w:noProof/>
          <w:lang w:eastAsia="it-CH"/>
        </w:rPr>
      </w:pPr>
      <w:hyperlink w:anchor="_Toc139991884" w:history="1">
        <w:r w:rsidR="00EA5096" w:rsidRPr="00682D84">
          <w:rPr>
            <w:rStyle w:val="Collegamentoipertestuale"/>
            <w:noProof/>
          </w:rPr>
          <w:t>2.2.1.</w:t>
        </w:r>
        <w:r w:rsidR="00EA5096">
          <w:rPr>
            <w:rFonts w:asciiTheme="minorHAnsi" w:eastAsiaTheme="minorEastAsia" w:hAnsiTheme="minorHAnsi"/>
            <w:noProof/>
            <w:lang w:eastAsia="it-CH"/>
          </w:rPr>
          <w:tab/>
        </w:r>
        <w:r w:rsidR="00EA5096" w:rsidRPr="00682D84">
          <w:rPr>
            <w:rStyle w:val="Collegamentoipertestuale"/>
            <w:noProof/>
          </w:rPr>
          <w:t>Categorie di contribuenti</w:t>
        </w:r>
        <w:r w:rsidR="00EA5096">
          <w:rPr>
            <w:noProof/>
            <w:webHidden/>
          </w:rPr>
          <w:tab/>
        </w:r>
        <w:r w:rsidR="00EA5096">
          <w:rPr>
            <w:noProof/>
            <w:webHidden/>
          </w:rPr>
          <w:fldChar w:fldCharType="begin"/>
        </w:r>
        <w:r w:rsidR="00EA5096">
          <w:rPr>
            <w:noProof/>
            <w:webHidden/>
          </w:rPr>
          <w:instrText xml:space="preserve"> PAGEREF _Toc139991884 \h </w:instrText>
        </w:r>
        <w:r w:rsidR="00EA5096">
          <w:rPr>
            <w:noProof/>
            <w:webHidden/>
          </w:rPr>
        </w:r>
        <w:r w:rsidR="00EA5096">
          <w:rPr>
            <w:noProof/>
            <w:webHidden/>
          </w:rPr>
          <w:fldChar w:fldCharType="separate"/>
        </w:r>
        <w:r w:rsidR="00EA5096">
          <w:rPr>
            <w:noProof/>
            <w:webHidden/>
          </w:rPr>
          <w:t>15</w:t>
        </w:r>
        <w:r w:rsidR="00EA5096">
          <w:rPr>
            <w:noProof/>
            <w:webHidden/>
          </w:rPr>
          <w:fldChar w:fldCharType="end"/>
        </w:r>
      </w:hyperlink>
    </w:p>
    <w:p w14:paraId="30D1D01A" w14:textId="3E933D75" w:rsidR="00EA5096" w:rsidRDefault="00B8096C">
      <w:pPr>
        <w:pStyle w:val="Sommario4"/>
        <w:rPr>
          <w:rFonts w:asciiTheme="minorHAnsi" w:eastAsiaTheme="minorEastAsia" w:hAnsiTheme="minorHAnsi"/>
          <w:noProof/>
          <w:lang w:eastAsia="it-CH"/>
        </w:rPr>
      </w:pPr>
      <w:hyperlink w:anchor="_Toc139991885" w:history="1">
        <w:r w:rsidR="00EA5096" w:rsidRPr="00682D84">
          <w:rPr>
            <w:rStyle w:val="Collegamentoipertestuale"/>
            <w:noProof/>
          </w:rPr>
          <w:t>2.2.2.</w:t>
        </w:r>
        <w:r w:rsidR="00EA5096">
          <w:rPr>
            <w:rFonts w:asciiTheme="minorHAnsi" w:eastAsiaTheme="minorEastAsia" w:hAnsiTheme="minorHAnsi"/>
            <w:noProof/>
            <w:lang w:eastAsia="it-CH"/>
          </w:rPr>
          <w:tab/>
        </w:r>
        <w:r w:rsidR="00EA5096" w:rsidRPr="00682D84">
          <w:rPr>
            <w:rStyle w:val="Collegamentoipertestuale"/>
            <w:noProof/>
          </w:rPr>
          <w:t>Aliquote d’imposta</w:t>
        </w:r>
        <w:r w:rsidR="00EA5096">
          <w:rPr>
            <w:noProof/>
            <w:webHidden/>
          </w:rPr>
          <w:tab/>
        </w:r>
        <w:r w:rsidR="00EA5096">
          <w:rPr>
            <w:noProof/>
            <w:webHidden/>
          </w:rPr>
          <w:fldChar w:fldCharType="begin"/>
        </w:r>
        <w:r w:rsidR="00EA5096">
          <w:rPr>
            <w:noProof/>
            <w:webHidden/>
          </w:rPr>
          <w:instrText xml:space="preserve"> PAGEREF _Toc139991885 \h </w:instrText>
        </w:r>
        <w:r w:rsidR="00EA5096">
          <w:rPr>
            <w:noProof/>
            <w:webHidden/>
          </w:rPr>
        </w:r>
        <w:r w:rsidR="00EA5096">
          <w:rPr>
            <w:noProof/>
            <w:webHidden/>
          </w:rPr>
          <w:fldChar w:fldCharType="separate"/>
        </w:r>
        <w:r w:rsidR="00EA5096">
          <w:rPr>
            <w:noProof/>
            <w:webHidden/>
          </w:rPr>
          <w:t>17</w:t>
        </w:r>
        <w:r w:rsidR="00EA5096">
          <w:rPr>
            <w:noProof/>
            <w:webHidden/>
          </w:rPr>
          <w:fldChar w:fldCharType="end"/>
        </w:r>
      </w:hyperlink>
    </w:p>
    <w:p w14:paraId="7C293F79" w14:textId="4E007B69" w:rsidR="00EA5096" w:rsidRDefault="00B8096C">
      <w:pPr>
        <w:pStyle w:val="Sommario4"/>
        <w:rPr>
          <w:rFonts w:asciiTheme="minorHAnsi" w:eastAsiaTheme="minorEastAsia" w:hAnsiTheme="minorHAnsi"/>
          <w:noProof/>
          <w:lang w:eastAsia="it-CH"/>
        </w:rPr>
      </w:pPr>
      <w:hyperlink w:anchor="_Toc139991886" w:history="1">
        <w:r w:rsidR="00EA5096" w:rsidRPr="00682D84">
          <w:rPr>
            <w:rStyle w:val="Collegamentoipertestuale"/>
            <w:noProof/>
          </w:rPr>
          <w:t>2.2.3.</w:t>
        </w:r>
        <w:r w:rsidR="00EA5096">
          <w:rPr>
            <w:rFonts w:asciiTheme="minorHAnsi" w:eastAsiaTheme="minorEastAsia" w:hAnsiTheme="minorHAnsi"/>
            <w:noProof/>
            <w:lang w:eastAsia="it-CH"/>
          </w:rPr>
          <w:tab/>
        </w:r>
        <w:r w:rsidR="00EA5096" w:rsidRPr="00682D84">
          <w:rPr>
            <w:rStyle w:val="Collegamentoipertestuale"/>
            <w:noProof/>
          </w:rPr>
          <w:t>Casi particolari di esenzione</w:t>
        </w:r>
        <w:r w:rsidR="00EA5096">
          <w:rPr>
            <w:noProof/>
            <w:webHidden/>
          </w:rPr>
          <w:tab/>
        </w:r>
        <w:r w:rsidR="00EA5096">
          <w:rPr>
            <w:noProof/>
            <w:webHidden/>
          </w:rPr>
          <w:fldChar w:fldCharType="begin"/>
        </w:r>
        <w:r w:rsidR="00EA5096">
          <w:rPr>
            <w:noProof/>
            <w:webHidden/>
          </w:rPr>
          <w:instrText xml:space="preserve"> PAGEREF _Toc139991886 \h </w:instrText>
        </w:r>
        <w:r w:rsidR="00EA5096">
          <w:rPr>
            <w:noProof/>
            <w:webHidden/>
          </w:rPr>
        </w:r>
        <w:r w:rsidR="00EA5096">
          <w:rPr>
            <w:noProof/>
            <w:webHidden/>
          </w:rPr>
          <w:fldChar w:fldCharType="separate"/>
        </w:r>
        <w:r w:rsidR="00EA5096">
          <w:rPr>
            <w:noProof/>
            <w:webHidden/>
          </w:rPr>
          <w:t>18</w:t>
        </w:r>
        <w:r w:rsidR="00EA5096">
          <w:rPr>
            <w:noProof/>
            <w:webHidden/>
          </w:rPr>
          <w:fldChar w:fldCharType="end"/>
        </w:r>
      </w:hyperlink>
    </w:p>
    <w:p w14:paraId="5574F07A" w14:textId="122CDA59" w:rsidR="00EA5096" w:rsidRDefault="00B8096C">
      <w:pPr>
        <w:pStyle w:val="Sommario4"/>
        <w:rPr>
          <w:rFonts w:asciiTheme="minorHAnsi" w:eastAsiaTheme="minorEastAsia" w:hAnsiTheme="minorHAnsi"/>
          <w:noProof/>
          <w:lang w:eastAsia="it-CH"/>
        </w:rPr>
      </w:pPr>
      <w:hyperlink w:anchor="_Toc139991887" w:history="1">
        <w:r w:rsidR="00EA5096" w:rsidRPr="00682D84">
          <w:rPr>
            <w:rStyle w:val="Collegamentoipertestuale"/>
            <w:noProof/>
          </w:rPr>
          <w:t>2.2.4.</w:t>
        </w:r>
        <w:r w:rsidR="00EA5096">
          <w:rPr>
            <w:rFonts w:asciiTheme="minorHAnsi" w:eastAsiaTheme="minorEastAsia" w:hAnsiTheme="minorHAnsi"/>
            <w:noProof/>
            <w:lang w:eastAsia="it-CH"/>
          </w:rPr>
          <w:tab/>
        </w:r>
        <w:r w:rsidR="00EA5096" w:rsidRPr="00682D84">
          <w:rPr>
            <w:rStyle w:val="Collegamentoipertestuale"/>
            <w:noProof/>
          </w:rPr>
          <w:t>Agevolazioni in caso di successione aziendale</w:t>
        </w:r>
        <w:r w:rsidR="00EA5096">
          <w:rPr>
            <w:noProof/>
            <w:webHidden/>
          </w:rPr>
          <w:tab/>
        </w:r>
        <w:r w:rsidR="00EA5096">
          <w:rPr>
            <w:noProof/>
            <w:webHidden/>
          </w:rPr>
          <w:fldChar w:fldCharType="begin"/>
        </w:r>
        <w:r w:rsidR="00EA5096">
          <w:rPr>
            <w:noProof/>
            <w:webHidden/>
          </w:rPr>
          <w:instrText xml:space="preserve"> PAGEREF _Toc139991887 \h </w:instrText>
        </w:r>
        <w:r w:rsidR="00EA5096">
          <w:rPr>
            <w:noProof/>
            <w:webHidden/>
          </w:rPr>
        </w:r>
        <w:r w:rsidR="00EA5096">
          <w:rPr>
            <w:noProof/>
            <w:webHidden/>
          </w:rPr>
          <w:fldChar w:fldCharType="separate"/>
        </w:r>
        <w:r w:rsidR="00EA5096">
          <w:rPr>
            <w:noProof/>
            <w:webHidden/>
          </w:rPr>
          <w:t>20</w:t>
        </w:r>
        <w:r w:rsidR="00EA5096">
          <w:rPr>
            <w:noProof/>
            <w:webHidden/>
          </w:rPr>
          <w:fldChar w:fldCharType="end"/>
        </w:r>
      </w:hyperlink>
    </w:p>
    <w:p w14:paraId="023A6B57" w14:textId="5CC67BD7" w:rsidR="00EA5096" w:rsidRDefault="00B8096C">
      <w:pPr>
        <w:pStyle w:val="Sommario4"/>
        <w:rPr>
          <w:rFonts w:asciiTheme="minorHAnsi" w:eastAsiaTheme="minorEastAsia" w:hAnsiTheme="minorHAnsi"/>
          <w:noProof/>
          <w:lang w:eastAsia="it-CH"/>
        </w:rPr>
      </w:pPr>
      <w:hyperlink w:anchor="_Toc139991888" w:history="1">
        <w:r w:rsidR="00EA5096" w:rsidRPr="00682D84">
          <w:rPr>
            <w:rStyle w:val="Collegamentoipertestuale"/>
            <w:noProof/>
          </w:rPr>
          <w:t>2.2.5.</w:t>
        </w:r>
        <w:r w:rsidR="00EA5096">
          <w:rPr>
            <w:rFonts w:asciiTheme="minorHAnsi" w:eastAsiaTheme="minorEastAsia" w:hAnsiTheme="minorHAnsi"/>
            <w:noProof/>
            <w:lang w:eastAsia="it-CH"/>
          </w:rPr>
          <w:tab/>
        </w:r>
        <w:r w:rsidR="00EA5096" w:rsidRPr="00682D84">
          <w:rPr>
            <w:rStyle w:val="Collegamentoipertestuale"/>
            <w:noProof/>
          </w:rPr>
          <w:t>Altri adeguamenti legislativi</w:t>
        </w:r>
        <w:r w:rsidR="00EA5096">
          <w:rPr>
            <w:noProof/>
            <w:webHidden/>
          </w:rPr>
          <w:tab/>
        </w:r>
        <w:r w:rsidR="00EA5096">
          <w:rPr>
            <w:noProof/>
            <w:webHidden/>
          </w:rPr>
          <w:fldChar w:fldCharType="begin"/>
        </w:r>
        <w:r w:rsidR="00EA5096">
          <w:rPr>
            <w:noProof/>
            <w:webHidden/>
          </w:rPr>
          <w:instrText xml:space="preserve"> PAGEREF _Toc139991888 \h </w:instrText>
        </w:r>
        <w:r w:rsidR="00EA5096">
          <w:rPr>
            <w:noProof/>
            <w:webHidden/>
          </w:rPr>
        </w:r>
        <w:r w:rsidR="00EA5096">
          <w:rPr>
            <w:noProof/>
            <w:webHidden/>
          </w:rPr>
          <w:fldChar w:fldCharType="separate"/>
        </w:r>
        <w:r w:rsidR="00EA5096">
          <w:rPr>
            <w:noProof/>
            <w:webHidden/>
          </w:rPr>
          <w:t>22</w:t>
        </w:r>
        <w:r w:rsidR="00EA5096">
          <w:rPr>
            <w:noProof/>
            <w:webHidden/>
          </w:rPr>
          <w:fldChar w:fldCharType="end"/>
        </w:r>
      </w:hyperlink>
    </w:p>
    <w:p w14:paraId="1634951E" w14:textId="512BF08B" w:rsidR="00EA5096" w:rsidRDefault="00B8096C">
      <w:pPr>
        <w:pStyle w:val="Sommario3"/>
        <w:rPr>
          <w:rFonts w:asciiTheme="minorHAnsi" w:eastAsiaTheme="minorEastAsia" w:hAnsiTheme="minorHAnsi"/>
          <w:noProof/>
          <w:lang w:eastAsia="it-CH"/>
        </w:rPr>
      </w:pPr>
      <w:hyperlink w:anchor="_Toc139991889" w:history="1">
        <w:r w:rsidR="00EA5096" w:rsidRPr="00682D84">
          <w:rPr>
            <w:rStyle w:val="Collegamentoipertestuale"/>
            <w:noProof/>
          </w:rPr>
          <w:t>2.3.</w:t>
        </w:r>
        <w:r w:rsidR="00EA5096">
          <w:rPr>
            <w:rFonts w:asciiTheme="minorHAnsi" w:eastAsiaTheme="minorEastAsia" w:hAnsiTheme="minorHAnsi"/>
            <w:noProof/>
            <w:lang w:eastAsia="it-CH"/>
          </w:rPr>
          <w:tab/>
        </w:r>
        <w:r w:rsidR="00EA5096" w:rsidRPr="00682D84">
          <w:rPr>
            <w:rStyle w:val="Collegamentoipertestuale"/>
            <w:noProof/>
          </w:rPr>
          <w:t>Ripercussioni finanziarie</w:t>
        </w:r>
        <w:r w:rsidR="00EA5096">
          <w:rPr>
            <w:noProof/>
            <w:webHidden/>
          </w:rPr>
          <w:tab/>
        </w:r>
        <w:r w:rsidR="00EA5096">
          <w:rPr>
            <w:noProof/>
            <w:webHidden/>
          </w:rPr>
          <w:fldChar w:fldCharType="begin"/>
        </w:r>
        <w:r w:rsidR="00EA5096">
          <w:rPr>
            <w:noProof/>
            <w:webHidden/>
          </w:rPr>
          <w:instrText xml:space="preserve"> PAGEREF _Toc139991889 \h </w:instrText>
        </w:r>
        <w:r w:rsidR="00EA5096">
          <w:rPr>
            <w:noProof/>
            <w:webHidden/>
          </w:rPr>
        </w:r>
        <w:r w:rsidR="00EA5096">
          <w:rPr>
            <w:noProof/>
            <w:webHidden/>
          </w:rPr>
          <w:fldChar w:fldCharType="separate"/>
        </w:r>
        <w:r w:rsidR="00EA5096">
          <w:rPr>
            <w:noProof/>
            <w:webHidden/>
          </w:rPr>
          <w:t>23</w:t>
        </w:r>
        <w:r w:rsidR="00EA5096">
          <w:rPr>
            <w:noProof/>
            <w:webHidden/>
          </w:rPr>
          <w:fldChar w:fldCharType="end"/>
        </w:r>
      </w:hyperlink>
    </w:p>
    <w:p w14:paraId="7A494F54" w14:textId="30B1483C" w:rsidR="00EA5096" w:rsidRDefault="00B8096C">
      <w:pPr>
        <w:pStyle w:val="Sommario3"/>
        <w:rPr>
          <w:rFonts w:asciiTheme="minorHAnsi" w:eastAsiaTheme="minorEastAsia" w:hAnsiTheme="minorHAnsi"/>
          <w:noProof/>
          <w:lang w:eastAsia="it-CH"/>
        </w:rPr>
      </w:pPr>
      <w:hyperlink w:anchor="_Toc139991890" w:history="1">
        <w:r w:rsidR="00EA5096" w:rsidRPr="00682D84">
          <w:rPr>
            <w:rStyle w:val="Collegamentoipertestuale"/>
            <w:noProof/>
          </w:rPr>
          <w:t>2.4.</w:t>
        </w:r>
        <w:r w:rsidR="00EA5096">
          <w:rPr>
            <w:rFonts w:asciiTheme="minorHAnsi" w:eastAsiaTheme="minorEastAsia" w:hAnsiTheme="minorHAnsi"/>
            <w:noProof/>
            <w:lang w:eastAsia="it-CH"/>
          </w:rPr>
          <w:tab/>
        </w:r>
        <w:r w:rsidR="00EA5096" w:rsidRPr="00682D84">
          <w:rPr>
            <w:rStyle w:val="Collegamentoipertestuale"/>
            <w:noProof/>
          </w:rPr>
          <w:t>Entrata in vigore e applicazione temporale delle norme</w:t>
        </w:r>
        <w:r w:rsidR="00EA5096">
          <w:rPr>
            <w:noProof/>
            <w:webHidden/>
          </w:rPr>
          <w:tab/>
        </w:r>
        <w:r w:rsidR="00EA5096">
          <w:rPr>
            <w:noProof/>
            <w:webHidden/>
          </w:rPr>
          <w:fldChar w:fldCharType="begin"/>
        </w:r>
        <w:r w:rsidR="00EA5096">
          <w:rPr>
            <w:noProof/>
            <w:webHidden/>
          </w:rPr>
          <w:instrText xml:space="preserve"> PAGEREF _Toc139991890 \h </w:instrText>
        </w:r>
        <w:r w:rsidR="00EA5096">
          <w:rPr>
            <w:noProof/>
            <w:webHidden/>
          </w:rPr>
        </w:r>
        <w:r w:rsidR="00EA5096">
          <w:rPr>
            <w:noProof/>
            <w:webHidden/>
          </w:rPr>
          <w:fldChar w:fldCharType="separate"/>
        </w:r>
        <w:r w:rsidR="00EA5096">
          <w:rPr>
            <w:noProof/>
            <w:webHidden/>
          </w:rPr>
          <w:t>24</w:t>
        </w:r>
        <w:r w:rsidR="00EA5096">
          <w:rPr>
            <w:noProof/>
            <w:webHidden/>
          </w:rPr>
          <w:fldChar w:fldCharType="end"/>
        </w:r>
      </w:hyperlink>
    </w:p>
    <w:p w14:paraId="69753988" w14:textId="05A57E66" w:rsidR="00EA5096" w:rsidRDefault="00B8096C">
      <w:pPr>
        <w:pStyle w:val="Sommario2"/>
        <w:rPr>
          <w:rFonts w:asciiTheme="minorHAnsi" w:eastAsiaTheme="minorEastAsia" w:hAnsiTheme="minorHAnsi"/>
          <w:noProof/>
          <w:lang w:eastAsia="it-CH"/>
        </w:rPr>
      </w:pPr>
      <w:hyperlink w:anchor="_Toc139991891" w:history="1">
        <w:r w:rsidR="00EA5096" w:rsidRPr="00682D84">
          <w:rPr>
            <w:rStyle w:val="Collegamentoipertestuale"/>
            <w:noProof/>
            <w14:scene3d>
              <w14:camera w14:prst="orthographicFront"/>
              <w14:lightRig w14:rig="threePt" w14:dir="t">
                <w14:rot w14:lat="0" w14:lon="0" w14:rev="0"/>
              </w14:lightRig>
            </w14:scene3d>
          </w:rPr>
          <w:t>3.</w:t>
        </w:r>
        <w:r w:rsidR="00EA5096">
          <w:rPr>
            <w:rFonts w:asciiTheme="minorHAnsi" w:eastAsiaTheme="minorEastAsia" w:hAnsiTheme="minorHAnsi"/>
            <w:noProof/>
            <w:lang w:eastAsia="it-CH"/>
          </w:rPr>
          <w:tab/>
        </w:r>
        <w:r w:rsidR="00EA5096" w:rsidRPr="00682D84">
          <w:rPr>
            <w:rStyle w:val="Collegamentoipertestuale"/>
            <w:noProof/>
          </w:rPr>
          <w:t>Adeguamento dell’imposizione delle prestazioni in capitale della previdenza</w:t>
        </w:r>
        <w:r w:rsidR="00EA5096">
          <w:rPr>
            <w:noProof/>
            <w:webHidden/>
          </w:rPr>
          <w:tab/>
        </w:r>
        <w:r w:rsidR="00EA5096">
          <w:rPr>
            <w:noProof/>
            <w:webHidden/>
          </w:rPr>
          <w:fldChar w:fldCharType="begin"/>
        </w:r>
        <w:r w:rsidR="00EA5096">
          <w:rPr>
            <w:noProof/>
            <w:webHidden/>
          </w:rPr>
          <w:instrText xml:space="preserve"> PAGEREF _Toc139991891 \h </w:instrText>
        </w:r>
        <w:r w:rsidR="00EA5096">
          <w:rPr>
            <w:noProof/>
            <w:webHidden/>
          </w:rPr>
        </w:r>
        <w:r w:rsidR="00EA5096">
          <w:rPr>
            <w:noProof/>
            <w:webHidden/>
          </w:rPr>
          <w:fldChar w:fldCharType="separate"/>
        </w:r>
        <w:r w:rsidR="00EA5096">
          <w:rPr>
            <w:noProof/>
            <w:webHidden/>
          </w:rPr>
          <w:t>24</w:t>
        </w:r>
        <w:r w:rsidR="00EA5096">
          <w:rPr>
            <w:noProof/>
            <w:webHidden/>
          </w:rPr>
          <w:fldChar w:fldCharType="end"/>
        </w:r>
      </w:hyperlink>
    </w:p>
    <w:p w14:paraId="512D0586" w14:textId="3B2B0742" w:rsidR="00EA5096" w:rsidRDefault="00B8096C">
      <w:pPr>
        <w:pStyle w:val="Sommario3"/>
        <w:rPr>
          <w:rFonts w:asciiTheme="minorHAnsi" w:eastAsiaTheme="minorEastAsia" w:hAnsiTheme="minorHAnsi"/>
          <w:noProof/>
          <w:lang w:eastAsia="it-CH"/>
        </w:rPr>
      </w:pPr>
      <w:hyperlink w:anchor="_Toc139991892" w:history="1">
        <w:r w:rsidR="00EA5096" w:rsidRPr="00682D84">
          <w:rPr>
            <w:rStyle w:val="Collegamentoipertestuale"/>
            <w:noProof/>
          </w:rPr>
          <w:t>3.1.</w:t>
        </w:r>
        <w:r w:rsidR="00EA5096">
          <w:rPr>
            <w:rFonts w:asciiTheme="minorHAnsi" w:eastAsiaTheme="minorEastAsia" w:hAnsiTheme="minorHAnsi"/>
            <w:noProof/>
            <w:lang w:eastAsia="it-CH"/>
          </w:rPr>
          <w:tab/>
        </w:r>
        <w:r w:rsidR="00EA5096" w:rsidRPr="00682D84">
          <w:rPr>
            <w:rStyle w:val="Collegamentoipertestuale"/>
            <w:noProof/>
          </w:rPr>
          <w:t>Situazione attuale e scelte legislative</w:t>
        </w:r>
        <w:r w:rsidR="00EA5096">
          <w:rPr>
            <w:noProof/>
            <w:webHidden/>
          </w:rPr>
          <w:tab/>
        </w:r>
        <w:r w:rsidR="00EA5096">
          <w:rPr>
            <w:noProof/>
            <w:webHidden/>
          </w:rPr>
          <w:fldChar w:fldCharType="begin"/>
        </w:r>
        <w:r w:rsidR="00EA5096">
          <w:rPr>
            <w:noProof/>
            <w:webHidden/>
          </w:rPr>
          <w:instrText xml:space="preserve"> PAGEREF _Toc139991892 \h </w:instrText>
        </w:r>
        <w:r w:rsidR="00EA5096">
          <w:rPr>
            <w:noProof/>
            <w:webHidden/>
          </w:rPr>
        </w:r>
        <w:r w:rsidR="00EA5096">
          <w:rPr>
            <w:noProof/>
            <w:webHidden/>
          </w:rPr>
          <w:fldChar w:fldCharType="separate"/>
        </w:r>
        <w:r w:rsidR="00EA5096">
          <w:rPr>
            <w:noProof/>
            <w:webHidden/>
          </w:rPr>
          <w:t>24</w:t>
        </w:r>
        <w:r w:rsidR="00EA5096">
          <w:rPr>
            <w:noProof/>
            <w:webHidden/>
          </w:rPr>
          <w:fldChar w:fldCharType="end"/>
        </w:r>
      </w:hyperlink>
    </w:p>
    <w:p w14:paraId="4739CDD4" w14:textId="45536162" w:rsidR="00EA5096" w:rsidRDefault="00B8096C">
      <w:pPr>
        <w:pStyle w:val="Sommario3"/>
        <w:rPr>
          <w:rFonts w:asciiTheme="minorHAnsi" w:eastAsiaTheme="minorEastAsia" w:hAnsiTheme="minorHAnsi"/>
          <w:noProof/>
          <w:lang w:eastAsia="it-CH"/>
        </w:rPr>
      </w:pPr>
      <w:hyperlink w:anchor="_Toc139991893" w:history="1">
        <w:r w:rsidR="00EA5096" w:rsidRPr="00682D84">
          <w:rPr>
            <w:rStyle w:val="Collegamentoipertestuale"/>
            <w:noProof/>
          </w:rPr>
          <w:t>3.2.</w:t>
        </w:r>
        <w:r w:rsidR="00EA5096">
          <w:rPr>
            <w:rFonts w:asciiTheme="minorHAnsi" w:eastAsiaTheme="minorEastAsia" w:hAnsiTheme="minorHAnsi"/>
            <w:noProof/>
            <w:lang w:eastAsia="it-CH"/>
          </w:rPr>
          <w:tab/>
        </w:r>
        <w:r w:rsidR="00EA5096" w:rsidRPr="00682D84">
          <w:rPr>
            <w:rStyle w:val="Collegamentoipertestuale"/>
            <w:noProof/>
          </w:rPr>
          <w:t>Ripercussioni finanziarie</w:t>
        </w:r>
        <w:r w:rsidR="00EA5096">
          <w:rPr>
            <w:noProof/>
            <w:webHidden/>
          </w:rPr>
          <w:tab/>
        </w:r>
        <w:r w:rsidR="00EA5096">
          <w:rPr>
            <w:noProof/>
            <w:webHidden/>
          </w:rPr>
          <w:fldChar w:fldCharType="begin"/>
        </w:r>
        <w:r w:rsidR="00EA5096">
          <w:rPr>
            <w:noProof/>
            <w:webHidden/>
          </w:rPr>
          <w:instrText xml:space="preserve"> PAGEREF _Toc139991893 \h </w:instrText>
        </w:r>
        <w:r w:rsidR="00EA5096">
          <w:rPr>
            <w:noProof/>
            <w:webHidden/>
          </w:rPr>
        </w:r>
        <w:r w:rsidR="00EA5096">
          <w:rPr>
            <w:noProof/>
            <w:webHidden/>
          </w:rPr>
          <w:fldChar w:fldCharType="separate"/>
        </w:r>
        <w:r w:rsidR="00EA5096">
          <w:rPr>
            <w:noProof/>
            <w:webHidden/>
          </w:rPr>
          <w:t>25</w:t>
        </w:r>
        <w:r w:rsidR="00EA5096">
          <w:rPr>
            <w:noProof/>
            <w:webHidden/>
          </w:rPr>
          <w:fldChar w:fldCharType="end"/>
        </w:r>
      </w:hyperlink>
    </w:p>
    <w:p w14:paraId="0F9A2A4A" w14:textId="63AE8F92" w:rsidR="00EA5096" w:rsidRDefault="00B8096C">
      <w:pPr>
        <w:pStyle w:val="Sommario3"/>
        <w:rPr>
          <w:rFonts w:asciiTheme="minorHAnsi" w:eastAsiaTheme="minorEastAsia" w:hAnsiTheme="minorHAnsi"/>
          <w:noProof/>
          <w:lang w:eastAsia="it-CH"/>
        </w:rPr>
      </w:pPr>
      <w:hyperlink w:anchor="_Toc139991894" w:history="1">
        <w:r w:rsidR="00EA5096" w:rsidRPr="00682D84">
          <w:rPr>
            <w:rStyle w:val="Collegamentoipertestuale"/>
            <w:noProof/>
          </w:rPr>
          <w:t>3.3.</w:t>
        </w:r>
        <w:r w:rsidR="00EA5096">
          <w:rPr>
            <w:rFonts w:asciiTheme="minorHAnsi" w:eastAsiaTheme="minorEastAsia" w:hAnsiTheme="minorHAnsi"/>
            <w:noProof/>
            <w:lang w:eastAsia="it-CH"/>
          </w:rPr>
          <w:tab/>
        </w:r>
        <w:r w:rsidR="00EA5096" w:rsidRPr="00682D84">
          <w:rPr>
            <w:rStyle w:val="Collegamentoipertestuale"/>
            <w:noProof/>
          </w:rPr>
          <w:t>Entrata in vigore</w:t>
        </w:r>
        <w:r w:rsidR="00EA5096">
          <w:rPr>
            <w:noProof/>
            <w:webHidden/>
          </w:rPr>
          <w:tab/>
        </w:r>
        <w:r w:rsidR="00EA5096">
          <w:rPr>
            <w:noProof/>
            <w:webHidden/>
          </w:rPr>
          <w:fldChar w:fldCharType="begin"/>
        </w:r>
        <w:r w:rsidR="00EA5096">
          <w:rPr>
            <w:noProof/>
            <w:webHidden/>
          </w:rPr>
          <w:instrText xml:space="preserve"> PAGEREF _Toc139991894 \h </w:instrText>
        </w:r>
        <w:r w:rsidR="00EA5096">
          <w:rPr>
            <w:noProof/>
            <w:webHidden/>
          </w:rPr>
        </w:r>
        <w:r w:rsidR="00EA5096">
          <w:rPr>
            <w:noProof/>
            <w:webHidden/>
          </w:rPr>
          <w:fldChar w:fldCharType="separate"/>
        </w:r>
        <w:r w:rsidR="00EA5096">
          <w:rPr>
            <w:noProof/>
            <w:webHidden/>
          </w:rPr>
          <w:t>25</w:t>
        </w:r>
        <w:r w:rsidR="00EA5096">
          <w:rPr>
            <w:noProof/>
            <w:webHidden/>
          </w:rPr>
          <w:fldChar w:fldCharType="end"/>
        </w:r>
      </w:hyperlink>
    </w:p>
    <w:p w14:paraId="28551E6B" w14:textId="749BD04D" w:rsidR="00EA5096" w:rsidRDefault="00B8096C">
      <w:pPr>
        <w:pStyle w:val="Sommario2"/>
        <w:rPr>
          <w:rFonts w:asciiTheme="minorHAnsi" w:eastAsiaTheme="minorEastAsia" w:hAnsiTheme="minorHAnsi"/>
          <w:noProof/>
          <w:lang w:eastAsia="it-CH"/>
        </w:rPr>
      </w:pPr>
      <w:hyperlink w:anchor="_Toc139991895" w:history="1">
        <w:r w:rsidR="00EA5096" w:rsidRPr="00682D84">
          <w:rPr>
            <w:rStyle w:val="Collegamentoipertestuale"/>
            <w:noProof/>
            <w14:scene3d>
              <w14:camera w14:prst="orthographicFront"/>
              <w14:lightRig w14:rig="threePt" w14:dir="t">
                <w14:rot w14:lat="0" w14:lon="0" w14:rev="0"/>
              </w14:lightRig>
            </w14:scene3d>
          </w:rPr>
          <w:t>4.</w:t>
        </w:r>
        <w:r w:rsidR="00EA5096">
          <w:rPr>
            <w:rFonts w:asciiTheme="minorHAnsi" w:eastAsiaTheme="minorEastAsia" w:hAnsiTheme="minorHAnsi"/>
            <w:noProof/>
            <w:lang w:eastAsia="it-CH"/>
          </w:rPr>
          <w:tab/>
        </w:r>
        <w:r w:rsidR="00EA5096" w:rsidRPr="00682D84">
          <w:rPr>
            <w:rStyle w:val="Collegamentoipertestuale"/>
            <w:noProof/>
          </w:rPr>
          <w:t>Riduzione dell’aliquota massima dell’imposta sul reddito</w:t>
        </w:r>
        <w:r w:rsidR="00EA5096">
          <w:rPr>
            <w:noProof/>
            <w:webHidden/>
          </w:rPr>
          <w:tab/>
        </w:r>
        <w:r w:rsidR="00EA5096">
          <w:rPr>
            <w:noProof/>
            <w:webHidden/>
          </w:rPr>
          <w:fldChar w:fldCharType="begin"/>
        </w:r>
        <w:r w:rsidR="00EA5096">
          <w:rPr>
            <w:noProof/>
            <w:webHidden/>
          </w:rPr>
          <w:instrText xml:space="preserve"> PAGEREF _Toc139991895 \h </w:instrText>
        </w:r>
        <w:r w:rsidR="00EA5096">
          <w:rPr>
            <w:noProof/>
            <w:webHidden/>
          </w:rPr>
        </w:r>
        <w:r w:rsidR="00EA5096">
          <w:rPr>
            <w:noProof/>
            <w:webHidden/>
          </w:rPr>
          <w:fldChar w:fldCharType="separate"/>
        </w:r>
        <w:r w:rsidR="00EA5096">
          <w:rPr>
            <w:noProof/>
            <w:webHidden/>
          </w:rPr>
          <w:t>26</w:t>
        </w:r>
        <w:r w:rsidR="00EA5096">
          <w:rPr>
            <w:noProof/>
            <w:webHidden/>
          </w:rPr>
          <w:fldChar w:fldCharType="end"/>
        </w:r>
      </w:hyperlink>
    </w:p>
    <w:p w14:paraId="647CB7ED" w14:textId="5E154575" w:rsidR="00EA5096" w:rsidRDefault="00B8096C">
      <w:pPr>
        <w:pStyle w:val="Sommario3"/>
        <w:rPr>
          <w:rFonts w:asciiTheme="minorHAnsi" w:eastAsiaTheme="minorEastAsia" w:hAnsiTheme="minorHAnsi"/>
          <w:noProof/>
          <w:lang w:eastAsia="it-CH"/>
        </w:rPr>
      </w:pPr>
      <w:hyperlink w:anchor="_Toc139991896" w:history="1">
        <w:r w:rsidR="00EA5096" w:rsidRPr="00682D84">
          <w:rPr>
            <w:rStyle w:val="Collegamentoipertestuale"/>
            <w:noProof/>
          </w:rPr>
          <w:t>4.1.</w:t>
        </w:r>
        <w:r w:rsidR="00EA5096">
          <w:rPr>
            <w:rFonts w:asciiTheme="minorHAnsi" w:eastAsiaTheme="minorEastAsia" w:hAnsiTheme="minorHAnsi"/>
            <w:noProof/>
            <w:lang w:eastAsia="it-CH"/>
          </w:rPr>
          <w:tab/>
        </w:r>
        <w:r w:rsidR="00EA5096" w:rsidRPr="00682D84">
          <w:rPr>
            <w:rStyle w:val="Collegamentoipertestuale"/>
            <w:noProof/>
          </w:rPr>
          <w:t>Situazione attuale e scelte legislative</w:t>
        </w:r>
        <w:r w:rsidR="00EA5096">
          <w:rPr>
            <w:noProof/>
            <w:webHidden/>
          </w:rPr>
          <w:tab/>
        </w:r>
        <w:r w:rsidR="00EA5096">
          <w:rPr>
            <w:noProof/>
            <w:webHidden/>
          </w:rPr>
          <w:fldChar w:fldCharType="begin"/>
        </w:r>
        <w:r w:rsidR="00EA5096">
          <w:rPr>
            <w:noProof/>
            <w:webHidden/>
          </w:rPr>
          <w:instrText xml:space="preserve"> PAGEREF _Toc139991896 \h </w:instrText>
        </w:r>
        <w:r w:rsidR="00EA5096">
          <w:rPr>
            <w:noProof/>
            <w:webHidden/>
          </w:rPr>
        </w:r>
        <w:r w:rsidR="00EA5096">
          <w:rPr>
            <w:noProof/>
            <w:webHidden/>
          </w:rPr>
          <w:fldChar w:fldCharType="separate"/>
        </w:r>
        <w:r w:rsidR="00EA5096">
          <w:rPr>
            <w:noProof/>
            <w:webHidden/>
          </w:rPr>
          <w:t>26</w:t>
        </w:r>
        <w:r w:rsidR="00EA5096">
          <w:rPr>
            <w:noProof/>
            <w:webHidden/>
          </w:rPr>
          <w:fldChar w:fldCharType="end"/>
        </w:r>
      </w:hyperlink>
    </w:p>
    <w:p w14:paraId="1FA8DCC3" w14:textId="051D2B1A" w:rsidR="00EA5096" w:rsidRDefault="00B8096C">
      <w:pPr>
        <w:pStyle w:val="Sommario3"/>
        <w:rPr>
          <w:rFonts w:asciiTheme="minorHAnsi" w:eastAsiaTheme="minorEastAsia" w:hAnsiTheme="minorHAnsi"/>
          <w:noProof/>
          <w:lang w:eastAsia="it-CH"/>
        </w:rPr>
      </w:pPr>
      <w:hyperlink w:anchor="_Toc139991897" w:history="1">
        <w:r w:rsidR="00EA5096" w:rsidRPr="00682D84">
          <w:rPr>
            <w:rStyle w:val="Collegamentoipertestuale"/>
            <w:noProof/>
          </w:rPr>
          <w:t>4.2.</w:t>
        </w:r>
        <w:r w:rsidR="00EA5096">
          <w:rPr>
            <w:rFonts w:asciiTheme="minorHAnsi" w:eastAsiaTheme="minorEastAsia" w:hAnsiTheme="minorHAnsi"/>
            <w:noProof/>
            <w:lang w:eastAsia="it-CH"/>
          </w:rPr>
          <w:tab/>
        </w:r>
        <w:r w:rsidR="00EA5096" w:rsidRPr="00682D84">
          <w:rPr>
            <w:rStyle w:val="Collegamentoipertestuale"/>
            <w:noProof/>
          </w:rPr>
          <w:t>Ripercussioni finanziarie</w:t>
        </w:r>
        <w:r w:rsidR="00EA5096">
          <w:rPr>
            <w:noProof/>
            <w:webHidden/>
          </w:rPr>
          <w:tab/>
        </w:r>
        <w:r w:rsidR="00EA5096">
          <w:rPr>
            <w:noProof/>
            <w:webHidden/>
          </w:rPr>
          <w:fldChar w:fldCharType="begin"/>
        </w:r>
        <w:r w:rsidR="00EA5096">
          <w:rPr>
            <w:noProof/>
            <w:webHidden/>
          </w:rPr>
          <w:instrText xml:space="preserve"> PAGEREF _Toc139991897 \h </w:instrText>
        </w:r>
        <w:r w:rsidR="00EA5096">
          <w:rPr>
            <w:noProof/>
            <w:webHidden/>
          </w:rPr>
        </w:r>
        <w:r w:rsidR="00EA5096">
          <w:rPr>
            <w:noProof/>
            <w:webHidden/>
          </w:rPr>
          <w:fldChar w:fldCharType="separate"/>
        </w:r>
        <w:r w:rsidR="00EA5096">
          <w:rPr>
            <w:noProof/>
            <w:webHidden/>
          </w:rPr>
          <w:t>29</w:t>
        </w:r>
        <w:r w:rsidR="00EA5096">
          <w:rPr>
            <w:noProof/>
            <w:webHidden/>
          </w:rPr>
          <w:fldChar w:fldCharType="end"/>
        </w:r>
      </w:hyperlink>
    </w:p>
    <w:p w14:paraId="2C29DA44" w14:textId="089B2857" w:rsidR="00EA5096" w:rsidRDefault="00B8096C">
      <w:pPr>
        <w:pStyle w:val="Sommario3"/>
        <w:rPr>
          <w:rFonts w:asciiTheme="minorHAnsi" w:eastAsiaTheme="minorEastAsia" w:hAnsiTheme="minorHAnsi"/>
          <w:noProof/>
          <w:lang w:eastAsia="it-CH"/>
        </w:rPr>
      </w:pPr>
      <w:hyperlink w:anchor="_Toc139991898" w:history="1">
        <w:r w:rsidR="00EA5096" w:rsidRPr="00682D84">
          <w:rPr>
            <w:rStyle w:val="Collegamentoipertestuale"/>
            <w:noProof/>
          </w:rPr>
          <w:t>4.3.</w:t>
        </w:r>
        <w:r w:rsidR="00EA5096">
          <w:rPr>
            <w:rFonts w:asciiTheme="minorHAnsi" w:eastAsiaTheme="minorEastAsia" w:hAnsiTheme="minorHAnsi"/>
            <w:noProof/>
            <w:lang w:eastAsia="it-CH"/>
          </w:rPr>
          <w:tab/>
        </w:r>
        <w:r w:rsidR="00EA5096" w:rsidRPr="00682D84">
          <w:rPr>
            <w:rStyle w:val="Collegamentoipertestuale"/>
            <w:noProof/>
          </w:rPr>
          <w:t>Entrata in vigore</w:t>
        </w:r>
        <w:r w:rsidR="00EA5096">
          <w:rPr>
            <w:noProof/>
            <w:webHidden/>
          </w:rPr>
          <w:tab/>
        </w:r>
        <w:r w:rsidR="00EA5096">
          <w:rPr>
            <w:noProof/>
            <w:webHidden/>
          </w:rPr>
          <w:fldChar w:fldCharType="begin"/>
        </w:r>
        <w:r w:rsidR="00EA5096">
          <w:rPr>
            <w:noProof/>
            <w:webHidden/>
          </w:rPr>
          <w:instrText xml:space="preserve"> PAGEREF _Toc139991898 \h </w:instrText>
        </w:r>
        <w:r w:rsidR="00EA5096">
          <w:rPr>
            <w:noProof/>
            <w:webHidden/>
          </w:rPr>
        </w:r>
        <w:r w:rsidR="00EA5096">
          <w:rPr>
            <w:noProof/>
            <w:webHidden/>
          </w:rPr>
          <w:fldChar w:fldCharType="separate"/>
        </w:r>
        <w:r w:rsidR="00EA5096">
          <w:rPr>
            <w:noProof/>
            <w:webHidden/>
          </w:rPr>
          <w:t>29</w:t>
        </w:r>
        <w:r w:rsidR="00EA5096">
          <w:rPr>
            <w:noProof/>
            <w:webHidden/>
          </w:rPr>
          <w:fldChar w:fldCharType="end"/>
        </w:r>
      </w:hyperlink>
    </w:p>
    <w:p w14:paraId="5CA729BC" w14:textId="6D5EB674" w:rsidR="00EA5096" w:rsidRDefault="00B8096C">
      <w:pPr>
        <w:pStyle w:val="Sommario2"/>
        <w:rPr>
          <w:rFonts w:asciiTheme="minorHAnsi" w:eastAsiaTheme="minorEastAsia" w:hAnsiTheme="minorHAnsi"/>
          <w:noProof/>
          <w:lang w:eastAsia="it-CH"/>
        </w:rPr>
      </w:pPr>
      <w:hyperlink w:anchor="_Toc139991899" w:history="1">
        <w:r w:rsidR="00EA5096" w:rsidRPr="00682D84">
          <w:rPr>
            <w:rStyle w:val="Collegamentoipertestuale"/>
            <w:noProof/>
            <w14:scene3d>
              <w14:camera w14:prst="orthographicFront"/>
              <w14:lightRig w14:rig="threePt" w14:dir="t">
                <w14:rot w14:lat="0" w14:lon="0" w14:rev="0"/>
              </w14:lightRig>
            </w14:scene3d>
          </w:rPr>
          <w:t>5.</w:t>
        </w:r>
        <w:r w:rsidR="00EA5096">
          <w:rPr>
            <w:rFonts w:asciiTheme="minorHAnsi" w:eastAsiaTheme="minorEastAsia" w:hAnsiTheme="minorHAnsi"/>
            <w:noProof/>
            <w:lang w:eastAsia="it-CH"/>
          </w:rPr>
          <w:tab/>
        </w:r>
        <w:r w:rsidR="00EA5096" w:rsidRPr="00682D84">
          <w:rPr>
            <w:rStyle w:val="Collegamentoipertestuale"/>
            <w:noProof/>
          </w:rPr>
          <w:t>Abrogazione della norma transitoria relativa al coefficiente di imposta cantonale</w:t>
        </w:r>
        <w:r w:rsidR="00EA5096">
          <w:rPr>
            <w:noProof/>
            <w:webHidden/>
          </w:rPr>
          <w:tab/>
        </w:r>
        <w:r w:rsidR="00EA5096">
          <w:rPr>
            <w:noProof/>
            <w:webHidden/>
          </w:rPr>
          <w:fldChar w:fldCharType="begin"/>
        </w:r>
        <w:r w:rsidR="00EA5096">
          <w:rPr>
            <w:noProof/>
            <w:webHidden/>
          </w:rPr>
          <w:instrText xml:space="preserve"> PAGEREF _Toc139991899 \h </w:instrText>
        </w:r>
        <w:r w:rsidR="00EA5096">
          <w:rPr>
            <w:noProof/>
            <w:webHidden/>
          </w:rPr>
        </w:r>
        <w:r w:rsidR="00EA5096">
          <w:rPr>
            <w:noProof/>
            <w:webHidden/>
          </w:rPr>
          <w:fldChar w:fldCharType="separate"/>
        </w:r>
        <w:r w:rsidR="00EA5096">
          <w:rPr>
            <w:noProof/>
            <w:webHidden/>
          </w:rPr>
          <w:t>30</w:t>
        </w:r>
        <w:r w:rsidR="00EA5096">
          <w:rPr>
            <w:noProof/>
            <w:webHidden/>
          </w:rPr>
          <w:fldChar w:fldCharType="end"/>
        </w:r>
      </w:hyperlink>
    </w:p>
    <w:p w14:paraId="13F8F2A2" w14:textId="089C3912" w:rsidR="00EA5096" w:rsidRDefault="00B8096C">
      <w:pPr>
        <w:pStyle w:val="Sommario1"/>
        <w:rPr>
          <w:rFonts w:asciiTheme="minorHAnsi" w:eastAsiaTheme="minorEastAsia" w:hAnsiTheme="minorHAnsi"/>
          <w:b w:val="0"/>
          <w:noProof/>
          <w:lang w:eastAsia="it-CH"/>
        </w:rPr>
      </w:pPr>
      <w:hyperlink w:anchor="_Toc139991900" w:history="1">
        <w:r w:rsidR="00EA5096" w:rsidRPr="00682D84">
          <w:rPr>
            <w:rStyle w:val="Collegamentoipertestuale"/>
            <w:noProof/>
          </w:rPr>
          <w:t>III.</w:t>
        </w:r>
        <w:r w:rsidR="00EA5096">
          <w:rPr>
            <w:rFonts w:asciiTheme="minorHAnsi" w:eastAsiaTheme="minorEastAsia" w:hAnsiTheme="minorHAnsi"/>
            <w:b w:val="0"/>
            <w:noProof/>
            <w:lang w:eastAsia="it-CH"/>
          </w:rPr>
          <w:tab/>
        </w:r>
        <w:r w:rsidR="00EA5096" w:rsidRPr="00682D84">
          <w:rPr>
            <w:rStyle w:val="Collegamentoipertestuale"/>
            <w:noProof/>
          </w:rPr>
          <w:t>RIASSUNTO DELLE RIPERCUSSIONI FINANZIARIE</w:t>
        </w:r>
        <w:r w:rsidR="00EA5096">
          <w:rPr>
            <w:noProof/>
            <w:webHidden/>
          </w:rPr>
          <w:tab/>
        </w:r>
        <w:r w:rsidR="00EA5096">
          <w:rPr>
            <w:noProof/>
            <w:webHidden/>
          </w:rPr>
          <w:fldChar w:fldCharType="begin"/>
        </w:r>
        <w:r w:rsidR="00EA5096">
          <w:rPr>
            <w:noProof/>
            <w:webHidden/>
          </w:rPr>
          <w:instrText xml:space="preserve"> PAGEREF _Toc139991900 \h </w:instrText>
        </w:r>
        <w:r w:rsidR="00EA5096">
          <w:rPr>
            <w:noProof/>
            <w:webHidden/>
          </w:rPr>
        </w:r>
        <w:r w:rsidR="00EA5096">
          <w:rPr>
            <w:noProof/>
            <w:webHidden/>
          </w:rPr>
          <w:fldChar w:fldCharType="separate"/>
        </w:r>
        <w:r w:rsidR="00EA5096">
          <w:rPr>
            <w:noProof/>
            <w:webHidden/>
          </w:rPr>
          <w:t>30</w:t>
        </w:r>
        <w:r w:rsidR="00EA5096">
          <w:rPr>
            <w:noProof/>
            <w:webHidden/>
          </w:rPr>
          <w:fldChar w:fldCharType="end"/>
        </w:r>
      </w:hyperlink>
    </w:p>
    <w:p w14:paraId="5080E274" w14:textId="595ED06D" w:rsidR="00EA5096" w:rsidRDefault="00B8096C">
      <w:pPr>
        <w:pStyle w:val="Sommario1"/>
        <w:rPr>
          <w:rFonts w:asciiTheme="minorHAnsi" w:eastAsiaTheme="minorEastAsia" w:hAnsiTheme="minorHAnsi"/>
          <w:b w:val="0"/>
          <w:noProof/>
          <w:lang w:eastAsia="it-CH"/>
        </w:rPr>
      </w:pPr>
      <w:hyperlink w:anchor="_Toc139991901" w:history="1">
        <w:r w:rsidR="00EA5096" w:rsidRPr="00682D84">
          <w:rPr>
            <w:rStyle w:val="Collegamentoipertestuale"/>
            <w:noProof/>
          </w:rPr>
          <w:t>IV.</w:t>
        </w:r>
        <w:r w:rsidR="00EA5096">
          <w:rPr>
            <w:rFonts w:asciiTheme="minorHAnsi" w:eastAsiaTheme="minorEastAsia" w:hAnsiTheme="minorHAnsi"/>
            <w:b w:val="0"/>
            <w:noProof/>
            <w:lang w:eastAsia="it-CH"/>
          </w:rPr>
          <w:tab/>
        </w:r>
        <w:r w:rsidR="00EA5096" w:rsidRPr="00682D84">
          <w:rPr>
            <w:rStyle w:val="Collegamentoipertestuale"/>
            <w:noProof/>
          </w:rPr>
          <w:t>COMMENTO SUI SINGOLI ARTICOLI</w:t>
        </w:r>
        <w:r w:rsidR="00EA5096">
          <w:rPr>
            <w:noProof/>
            <w:webHidden/>
          </w:rPr>
          <w:tab/>
        </w:r>
        <w:r w:rsidR="00EA5096">
          <w:rPr>
            <w:noProof/>
            <w:webHidden/>
          </w:rPr>
          <w:fldChar w:fldCharType="begin"/>
        </w:r>
        <w:r w:rsidR="00EA5096">
          <w:rPr>
            <w:noProof/>
            <w:webHidden/>
          </w:rPr>
          <w:instrText xml:space="preserve"> PAGEREF _Toc139991901 \h </w:instrText>
        </w:r>
        <w:r w:rsidR="00EA5096">
          <w:rPr>
            <w:noProof/>
            <w:webHidden/>
          </w:rPr>
        </w:r>
        <w:r w:rsidR="00EA5096">
          <w:rPr>
            <w:noProof/>
            <w:webHidden/>
          </w:rPr>
          <w:fldChar w:fldCharType="separate"/>
        </w:r>
        <w:r w:rsidR="00EA5096">
          <w:rPr>
            <w:noProof/>
            <w:webHidden/>
          </w:rPr>
          <w:t>31</w:t>
        </w:r>
        <w:r w:rsidR="00EA5096">
          <w:rPr>
            <w:noProof/>
            <w:webHidden/>
          </w:rPr>
          <w:fldChar w:fldCharType="end"/>
        </w:r>
      </w:hyperlink>
    </w:p>
    <w:p w14:paraId="7B7C5F6B" w14:textId="245141C2" w:rsidR="00EA5096" w:rsidRDefault="00B8096C">
      <w:pPr>
        <w:pStyle w:val="Sommario1"/>
        <w:rPr>
          <w:rFonts w:asciiTheme="minorHAnsi" w:eastAsiaTheme="minorEastAsia" w:hAnsiTheme="minorHAnsi"/>
          <w:b w:val="0"/>
          <w:noProof/>
          <w:lang w:eastAsia="it-CH"/>
        </w:rPr>
      </w:pPr>
      <w:hyperlink w:anchor="_Toc139991902" w:history="1">
        <w:r w:rsidR="00EA5096" w:rsidRPr="00682D84">
          <w:rPr>
            <w:rStyle w:val="Collegamentoipertestuale"/>
            <w:noProof/>
          </w:rPr>
          <w:t>V.</w:t>
        </w:r>
        <w:r w:rsidR="00EA5096">
          <w:rPr>
            <w:rFonts w:asciiTheme="minorHAnsi" w:eastAsiaTheme="minorEastAsia" w:hAnsiTheme="minorHAnsi"/>
            <w:b w:val="0"/>
            <w:noProof/>
            <w:lang w:eastAsia="it-CH"/>
          </w:rPr>
          <w:tab/>
        </w:r>
        <w:r w:rsidR="00EA5096" w:rsidRPr="00682D84">
          <w:rPr>
            <w:rStyle w:val="Collegamentoipertestuale"/>
            <w:noProof/>
          </w:rPr>
          <w:t>RELAZIONI CON LE LINEE DIRETTIVE E IL PIANO FINANZIARIO</w:t>
        </w:r>
        <w:r w:rsidR="00EA5096">
          <w:rPr>
            <w:noProof/>
            <w:webHidden/>
          </w:rPr>
          <w:tab/>
        </w:r>
        <w:r w:rsidR="00EA5096">
          <w:rPr>
            <w:noProof/>
            <w:webHidden/>
          </w:rPr>
          <w:fldChar w:fldCharType="begin"/>
        </w:r>
        <w:r w:rsidR="00EA5096">
          <w:rPr>
            <w:noProof/>
            <w:webHidden/>
          </w:rPr>
          <w:instrText xml:space="preserve"> PAGEREF _Toc139991902 \h </w:instrText>
        </w:r>
        <w:r w:rsidR="00EA5096">
          <w:rPr>
            <w:noProof/>
            <w:webHidden/>
          </w:rPr>
        </w:r>
        <w:r w:rsidR="00EA5096">
          <w:rPr>
            <w:noProof/>
            <w:webHidden/>
          </w:rPr>
          <w:fldChar w:fldCharType="separate"/>
        </w:r>
        <w:r w:rsidR="00EA5096">
          <w:rPr>
            <w:noProof/>
            <w:webHidden/>
          </w:rPr>
          <w:t>32</w:t>
        </w:r>
        <w:r w:rsidR="00EA5096">
          <w:rPr>
            <w:noProof/>
            <w:webHidden/>
          </w:rPr>
          <w:fldChar w:fldCharType="end"/>
        </w:r>
      </w:hyperlink>
    </w:p>
    <w:p w14:paraId="6D657F8F" w14:textId="3013D1E5" w:rsidR="00EA5096" w:rsidRDefault="00B8096C">
      <w:pPr>
        <w:pStyle w:val="Sommario1"/>
        <w:rPr>
          <w:rFonts w:asciiTheme="minorHAnsi" w:eastAsiaTheme="minorEastAsia" w:hAnsiTheme="minorHAnsi"/>
          <w:b w:val="0"/>
          <w:noProof/>
          <w:lang w:eastAsia="it-CH"/>
        </w:rPr>
      </w:pPr>
      <w:hyperlink w:anchor="_Toc139991903" w:history="1">
        <w:r w:rsidR="00EA5096" w:rsidRPr="00682D84">
          <w:rPr>
            <w:rStyle w:val="Collegamentoipertestuale"/>
            <w:noProof/>
          </w:rPr>
          <w:t>VI.</w:t>
        </w:r>
        <w:r w:rsidR="00EA5096">
          <w:rPr>
            <w:rFonts w:asciiTheme="minorHAnsi" w:eastAsiaTheme="minorEastAsia" w:hAnsiTheme="minorHAnsi"/>
            <w:b w:val="0"/>
            <w:noProof/>
            <w:lang w:eastAsia="it-CH"/>
          </w:rPr>
          <w:tab/>
        </w:r>
        <w:r w:rsidR="00EA5096" w:rsidRPr="00682D84">
          <w:rPr>
            <w:rStyle w:val="Collegamentoipertestuale"/>
            <w:noProof/>
          </w:rPr>
          <w:t>CONSEGUENZE A LIVELLO DI ENTI LOCALI E ALTRE ISTITUZIONI</w:t>
        </w:r>
        <w:r w:rsidR="00EA5096">
          <w:rPr>
            <w:noProof/>
            <w:webHidden/>
          </w:rPr>
          <w:tab/>
        </w:r>
        <w:r w:rsidR="00EA5096">
          <w:rPr>
            <w:noProof/>
            <w:webHidden/>
          </w:rPr>
          <w:fldChar w:fldCharType="begin"/>
        </w:r>
        <w:r w:rsidR="00EA5096">
          <w:rPr>
            <w:noProof/>
            <w:webHidden/>
          </w:rPr>
          <w:instrText xml:space="preserve"> PAGEREF _Toc139991903 \h </w:instrText>
        </w:r>
        <w:r w:rsidR="00EA5096">
          <w:rPr>
            <w:noProof/>
            <w:webHidden/>
          </w:rPr>
        </w:r>
        <w:r w:rsidR="00EA5096">
          <w:rPr>
            <w:noProof/>
            <w:webHidden/>
          </w:rPr>
          <w:fldChar w:fldCharType="separate"/>
        </w:r>
        <w:r w:rsidR="00EA5096">
          <w:rPr>
            <w:noProof/>
            <w:webHidden/>
          </w:rPr>
          <w:t>33</w:t>
        </w:r>
        <w:r w:rsidR="00EA5096">
          <w:rPr>
            <w:noProof/>
            <w:webHidden/>
          </w:rPr>
          <w:fldChar w:fldCharType="end"/>
        </w:r>
      </w:hyperlink>
    </w:p>
    <w:p w14:paraId="69DB7C2B" w14:textId="4A048CDF" w:rsidR="00EA5096" w:rsidRDefault="00B8096C">
      <w:pPr>
        <w:pStyle w:val="Sommario1"/>
        <w:rPr>
          <w:rFonts w:asciiTheme="minorHAnsi" w:eastAsiaTheme="minorEastAsia" w:hAnsiTheme="minorHAnsi"/>
          <w:b w:val="0"/>
          <w:noProof/>
          <w:lang w:eastAsia="it-CH"/>
        </w:rPr>
      </w:pPr>
      <w:hyperlink w:anchor="_Toc139991904" w:history="1">
        <w:r w:rsidR="00EA5096" w:rsidRPr="00682D84">
          <w:rPr>
            <w:rStyle w:val="Collegamentoipertestuale"/>
            <w:noProof/>
          </w:rPr>
          <w:t>VII.</w:t>
        </w:r>
        <w:r w:rsidR="00EA5096">
          <w:rPr>
            <w:rFonts w:asciiTheme="minorHAnsi" w:eastAsiaTheme="minorEastAsia" w:hAnsiTheme="minorHAnsi"/>
            <w:b w:val="0"/>
            <w:noProof/>
            <w:lang w:eastAsia="it-CH"/>
          </w:rPr>
          <w:tab/>
        </w:r>
        <w:r w:rsidR="00EA5096" w:rsidRPr="00682D84">
          <w:rPr>
            <w:rStyle w:val="Collegamentoipertestuale"/>
            <w:noProof/>
          </w:rPr>
          <w:t>CLASSIFICAZIONE DEGLI ATTI PARLAMENTARI</w:t>
        </w:r>
        <w:r w:rsidR="00EA5096">
          <w:rPr>
            <w:noProof/>
            <w:webHidden/>
          </w:rPr>
          <w:tab/>
        </w:r>
        <w:r w:rsidR="00EA5096">
          <w:rPr>
            <w:noProof/>
            <w:webHidden/>
          </w:rPr>
          <w:fldChar w:fldCharType="begin"/>
        </w:r>
        <w:r w:rsidR="00EA5096">
          <w:rPr>
            <w:noProof/>
            <w:webHidden/>
          </w:rPr>
          <w:instrText xml:space="preserve"> PAGEREF _Toc139991904 \h </w:instrText>
        </w:r>
        <w:r w:rsidR="00EA5096">
          <w:rPr>
            <w:noProof/>
            <w:webHidden/>
          </w:rPr>
        </w:r>
        <w:r w:rsidR="00EA5096">
          <w:rPr>
            <w:noProof/>
            <w:webHidden/>
          </w:rPr>
          <w:fldChar w:fldCharType="separate"/>
        </w:r>
        <w:r w:rsidR="00EA5096">
          <w:rPr>
            <w:noProof/>
            <w:webHidden/>
          </w:rPr>
          <w:t>33</w:t>
        </w:r>
        <w:r w:rsidR="00EA5096">
          <w:rPr>
            <w:noProof/>
            <w:webHidden/>
          </w:rPr>
          <w:fldChar w:fldCharType="end"/>
        </w:r>
      </w:hyperlink>
    </w:p>
    <w:p w14:paraId="24377B21" w14:textId="49047A35" w:rsidR="00EA5096" w:rsidRDefault="00B8096C">
      <w:pPr>
        <w:pStyle w:val="Sommario2"/>
        <w:rPr>
          <w:rFonts w:asciiTheme="minorHAnsi" w:eastAsiaTheme="minorEastAsia" w:hAnsiTheme="minorHAnsi"/>
          <w:noProof/>
          <w:lang w:eastAsia="it-CH"/>
        </w:rPr>
      </w:pPr>
      <w:hyperlink w:anchor="_Toc139991905" w:history="1">
        <w:r w:rsidR="00EA5096" w:rsidRPr="00682D84">
          <w:rPr>
            <w:rStyle w:val="Collegamentoipertestuale"/>
            <w:noProof/>
            <w14:scene3d>
              <w14:camera w14:prst="orthographicFront"/>
              <w14:lightRig w14:rig="threePt" w14:dir="t">
                <w14:rot w14:lat="0" w14:lon="0" w14:rev="0"/>
              </w14:lightRig>
            </w14:scene3d>
          </w:rPr>
          <w:t>1.</w:t>
        </w:r>
        <w:r w:rsidR="00EA5096">
          <w:rPr>
            <w:rFonts w:asciiTheme="minorHAnsi" w:eastAsiaTheme="minorEastAsia" w:hAnsiTheme="minorHAnsi"/>
            <w:noProof/>
            <w:lang w:eastAsia="it-CH"/>
          </w:rPr>
          <w:tab/>
        </w:r>
        <w:r w:rsidR="00EA5096" w:rsidRPr="00682D84">
          <w:rPr>
            <w:rStyle w:val="Collegamentoipertestuale"/>
            <w:noProof/>
          </w:rPr>
          <w:t>Iniziative parlamentari elaborate</w:t>
        </w:r>
        <w:r w:rsidR="00EA5096">
          <w:rPr>
            <w:noProof/>
            <w:webHidden/>
          </w:rPr>
          <w:tab/>
        </w:r>
        <w:r w:rsidR="00EA5096">
          <w:rPr>
            <w:noProof/>
            <w:webHidden/>
          </w:rPr>
          <w:fldChar w:fldCharType="begin"/>
        </w:r>
        <w:r w:rsidR="00EA5096">
          <w:rPr>
            <w:noProof/>
            <w:webHidden/>
          </w:rPr>
          <w:instrText xml:space="preserve"> PAGEREF _Toc139991905 \h </w:instrText>
        </w:r>
        <w:r w:rsidR="00EA5096">
          <w:rPr>
            <w:noProof/>
            <w:webHidden/>
          </w:rPr>
        </w:r>
        <w:r w:rsidR="00EA5096">
          <w:rPr>
            <w:noProof/>
            <w:webHidden/>
          </w:rPr>
          <w:fldChar w:fldCharType="separate"/>
        </w:r>
        <w:r w:rsidR="00EA5096">
          <w:rPr>
            <w:noProof/>
            <w:webHidden/>
          </w:rPr>
          <w:t>33</w:t>
        </w:r>
        <w:r w:rsidR="00EA5096">
          <w:rPr>
            <w:noProof/>
            <w:webHidden/>
          </w:rPr>
          <w:fldChar w:fldCharType="end"/>
        </w:r>
      </w:hyperlink>
    </w:p>
    <w:p w14:paraId="7F7B5DFA" w14:textId="317B2633" w:rsidR="00EA5096" w:rsidRDefault="00B8096C">
      <w:pPr>
        <w:pStyle w:val="Sommario3"/>
        <w:rPr>
          <w:rFonts w:asciiTheme="minorHAnsi" w:eastAsiaTheme="minorEastAsia" w:hAnsiTheme="minorHAnsi"/>
          <w:noProof/>
          <w:lang w:eastAsia="it-CH"/>
        </w:rPr>
      </w:pPr>
      <w:hyperlink w:anchor="_Toc139991906" w:history="1">
        <w:r w:rsidR="00EA5096" w:rsidRPr="00682D84">
          <w:rPr>
            <w:rStyle w:val="Collegamentoipertestuale"/>
            <w:noProof/>
          </w:rPr>
          <w:t>1.1.</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7 maggio 2018 di P. Pamini e cofirmatari “Riduzione delle aliquote d’imposta sul reddito per il ceto medio-basso”</w:t>
        </w:r>
        <w:r w:rsidR="00EA5096">
          <w:rPr>
            <w:noProof/>
            <w:webHidden/>
          </w:rPr>
          <w:tab/>
        </w:r>
        <w:r w:rsidR="00EA5096">
          <w:rPr>
            <w:noProof/>
            <w:webHidden/>
          </w:rPr>
          <w:fldChar w:fldCharType="begin"/>
        </w:r>
        <w:r w:rsidR="00EA5096">
          <w:rPr>
            <w:noProof/>
            <w:webHidden/>
          </w:rPr>
          <w:instrText xml:space="preserve"> PAGEREF _Toc139991906 \h </w:instrText>
        </w:r>
        <w:r w:rsidR="00EA5096">
          <w:rPr>
            <w:noProof/>
            <w:webHidden/>
          </w:rPr>
        </w:r>
        <w:r w:rsidR="00EA5096">
          <w:rPr>
            <w:noProof/>
            <w:webHidden/>
          </w:rPr>
          <w:fldChar w:fldCharType="separate"/>
        </w:r>
        <w:r w:rsidR="00EA5096">
          <w:rPr>
            <w:noProof/>
            <w:webHidden/>
          </w:rPr>
          <w:t>33</w:t>
        </w:r>
        <w:r w:rsidR="00EA5096">
          <w:rPr>
            <w:noProof/>
            <w:webHidden/>
          </w:rPr>
          <w:fldChar w:fldCharType="end"/>
        </w:r>
      </w:hyperlink>
    </w:p>
    <w:p w14:paraId="3AD13A7B" w14:textId="1B2D81C1" w:rsidR="00EA5096" w:rsidRDefault="00B8096C">
      <w:pPr>
        <w:pStyle w:val="Sommario3"/>
        <w:rPr>
          <w:rFonts w:asciiTheme="minorHAnsi" w:eastAsiaTheme="minorEastAsia" w:hAnsiTheme="minorHAnsi"/>
          <w:noProof/>
          <w:lang w:eastAsia="it-CH"/>
        </w:rPr>
      </w:pPr>
      <w:hyperlink w:anchor="_Toc139991907" w:history="1">
        <w:r w:rsidR="00EA5096" w:rsidRPr="00682D84">
          <w:rPr>
            <w:rStyle w:val="Collegamentoipertestuale"/>
            <w:noProof/>
          </w:rPr>
          <w:t>1.2.</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7 maggio 2018 di P. Pamini e cofirmatari “Riduzione all’11% scaglionata su otto anni dell’aliquota massima d’imposta sul reddito”</w:t>
        </w:r>
        <w:r w:rsidR="00EA5096">
          <w:rPr>
            <w:noProof/>
            <w:webHidden/>
          </w:rPr>
          <w:tab/>
        </w:r>
        <w:r w:rsidR="00EA5096">
          <w:rPr>
            <w:noProof/>
            <w:webHidden/>
          </w:rPr>
          <w:fldChar w:fldCharType="begin"/>
        </w:r>
        <w:r w:rsidR="00EA5096">
          <w:rPr>
            <w:noProof/>
            <w:webHidden/>
          </w:rPr>
          <w:instrText xml:space="preserve"> PAGEREF _Toc139991907 \h </w:instrText>
        </w:r>
        <w:r w:rsidR="00EA5096">
          <w:rPr>
            <w:noProof/>
            <w:webHidden/>
          </w:rPr>
        </w:r>
        <w:r w:rsidR="00EA5096">
          <w:rPr>
            <w:noProof/>
            <w:webHidden/>
          </w:rPr>
          <w:fldChar w:fldCharType="separate"/>
        </w:r>
        <w:r w:rsidR="00EA5096">
          <w:rPr>
            <w:noProof/>
            <w:webHidden/>
          </w:rPr>
          <w:t>33</w:t>
        </w:r>
        <w:r w:rsidR="00EA5096">
          <w:rPr>
            <w:noProof/>
            <w:webHidden/>
          </w:rPr>
          <w:fldChar w:fldCharType="end"/>
        </w:r>
      </w:hyperlink>
    </w:p>
    <w:p w14:paraId="07BD4180" w14:textId="56602CAE" w:rsidR="00EA5096" w:rsidRDefault="00B8096C">
      <w:pPr>
        <w:pStyle w:val="Sommario3"/>
        <w:rPr>
          <w:rFonts w:asciiTheme="minorHAnsi" w:eastAsiaTheme="minorEastAsia" w:hAnsiTheme="minorHAnsi"/>
          <w:noProof/>
          <w:lang w:eastAsia="it-CH"/>
        </w:rPr>
      </w:pPr>
      <w:hyperlink w:anchor="_Toc139991908" w:history="1">
        <w:r w:rsidR="00EA5096" w:rsidRPr="00682D84">
          <w:rPr>
            <w:rStyle w:val="Collegamentoipertestuale"/>
            <w:noProof/>
          </w:rPr>
          <w:t>1.3.</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20 gennaio 2020 di A. Censi per il Gruppo della Lega “Modifica della Legge tributaria (Imposte di successione e donazione, è ora di darci un taglio!)”</w:t>
        </w:r>
        <w:r w:rsidR="00EA5096">
          <w:rPr>
            <w:noProof/>
            <w:webHidden/>
          </w:rPr>
          <w:tab/>
        </w:r>
        <w:r w:rsidR="00EA5096">
          <w:rPr>
            <w:noProof/>
            <w:webHidden/>
          </w:rPr>
          <w:fldChar w:fldCharType="begin"/>
        </w:r>
        <w:r w:rsidR="00EA5096">
          <w:rPr>
            <w:noProof/>
            <w:webHidden/>
          </w:rPr>
          <w:instrText xml:space="preserve"> PAGEREF _Toc139991908 \h </w:instrText>
        </w:r>
        <w:r w:rsidR="00EA5096">
          <w:rPr>
            <w:noProof/>
            <w:webHidden/>
          </w:rPr>
        </w:r>
        <w:r w:rsidR="00EA5096">
          <w:rPr>
            <w:noProof/>
            <w:webHidden/>
          </w:rPr>
          <w:fldChar w:fldCharType="separate"/>
        </w:r>
        <w:r w:rsidR="00EA5096">
          <w:rPr>
            <w:noProof/>
            <w:webHidden/>
          </w:rPr>
          <w:t>34</w:t>
        </w:r>
        <w:r w:rsidR="00EA5096">
          <w:rPr>
            <w:noProof/>
            <w:webHidden/>
          </w:rPr>
          <w:fldChar w:fldCharType="end"/>
        </w:r>
      </w:hyperlink>
    </w:p>
    <w:p w14:paraId="0286838D" w14:textId="6650DE87" w:rsidR="00EA5096" w:rsidRDefault="00B8096C">
      <w:pPr>
        <w:pStyle w:val="Sommario3"/>
        <w:rPr>
          <w:rFonts w:asciiTheme="minorHAnsi" w:eastAsiaTheme="minorEastAsia" w:hAnsiTheme="minorHAnsi"/>
          <w:noProof/>
          <w:lang w:eastAsia="it-CH"/>
        </w:rPr>
      </w:pPr>
      <w:hyperlink w:anchor="_Toc139991909" w:history="1">
        <w:r w:rsidR="00EA5096" w:rsidRPr="00682D84">
          <w:rPr>
            <w:rStyle w:val="Collegamentoipertestuale"/>
            <w:noProof/>
          </w:rPr>
          <w:t>1.4.</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21 settembre 2020 di I. Durisch per il Gruppo PS “Modifica dell’art. 300a cpv. 1 della Legge tributaria (Abrogazione dell’articolo che riduce al 97% il coefficiente cantonale d’imposta)”</w:t>
        </w:r>
        <w:r w:rsidR="00EA5096">
          <w:rPr>
            <w:noProof/>
            <w:webHidden/>
          </w:rPr>
          <w:tab/>
        </w:r>
        <w:r w:rsidR="00EA5096">
          <w:rPr>
            <w:noProof/>
            <w:webHidden/>
          </w:rPr>
          <w:fldChar w:fldCharType="begin"/>
        </w:r>
        <w:r w:rsidR="00EA5096">
          <w:rPr>
            <w:noProof/>
            <w:webHidden/>
          </w:rPr>
          <w:instrText xml:space="preserve"> PAGEREF _Toc139991909 \h </w:instrText>
        </w:r>
        <w:r w:rsidR="00EA5096">
          <w:rPr>
            <w:noProof/>
            <w:webHidden/>
          </w:rPr>
        </w:r>
        <w:r w:rsidR="00EA5096">
          <w:rPr>
            <w:noProof/>
            <w:webHidden/>
          </w:rPr>
          <w:fldChar w:fldCharType="separate"/>
        </w:r>
        <w:r w:rsidR="00EA5096">
          <w:rPr>
            <w:noProof/>
            <w:webHidden/>
          </w:rPr>
          <w:t>34</w:t>
        </w:r>
        <w:r w:rsidR="00EA5096">
          <w:rPr>
            <w:noProof/>
            <w:webHidden/>
          </w:rPr>
          <w:fldChar w:fldCharType="end"/>
        </w:r>
      </w:hyperlink>
    </w:p>
    <w:p w14:paraId="7D71669A" w14:textId="101B41E4" w:rsidR="00EA5096" w:rsidRDefault="00B8096C">
      <w:pPr>
        <w:pStyle w:val="Sommario3"/>
        <w:rPr>
          <w:rFonts w:asciiTheme="minorHAnsi" w:eastAsiaTheme="minorEastAsia" w:hAnsiTheme="minorHAnsi"/>
          <w:noProof/>
          <w:lang w:eastAsia="it-CH"/>
        </w:rPr>
      </w:pPr>
      <w:hyperlink w:anchor="_Toc139991910" w:history="1">
        <w:r w:rsidR="00EA5096" w:rsidRPr="00682D84">
          <w:rPr>
            <w:rStyle w:val="Collegamentoipertestuale"/>
            <w:noProof/>
          </w:rPr>
          <w:t>1.5.</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20 settembre 2021 di A. Gianella per il Gruppo PLR “Modifica dell'art. 35 e 309g (nuovo) della Legge tributaria a favore delle persone fisiche (Un Ticino attrattivo per gli ottimi contribuenti)”</w:t>
        </w:r>
        <w:r w:rsidR="00EA5096">
          <w:rPr>
            <w:noProof/>
            <w:webHidden/>
          </w:rPr>
          <w:tab/>
        </w:r>
        <w:r w:rsidR="00EA5096">
          <w:rPr>
            <w:noProof/>
            <w:webHidden/>
          </w:rPr>
          <w:fldChar w:fldCharType="begin"/>
        </w:r>
        <w:r w:rsidR="00EA5096">
          <w:rPr>
            <w:noProof/>
            <w:webHidden/>
          </w:rPr>
          <w:instrText xml:space="preserve"> PAGEREF _Toc139991910 \h </w:instrText>
        </w:r>
        <w:r w:rsidR="00EA5096">
          <w:rPr>
            <w:noProof/>
            <w:webHidden/>
          </w:rPr>
        </w:r>
        <w:r w:rsidR="00EA5096">
          <w:rPr>
            <w:noProof/>
            <w:webHidden/>
          </w:rPr>
          <w:fldChar w:fldCharType="separate"/>
        </w:r>
        <w:r w:rsidR="00EA5096">
          <w:rPr>
            <w:noProof/>
            <w:webHidden/>
          </w:rPr>
          <w:t>34</w:t>
        </w:r>
        <w:r w:rsidR="00EA5096">
          <w:rPr>
            <w:noProof/>
            <w:webHidden/>
          </w:rPr>
          <w:fldChar w:fldCharType="end"/>
        </w:r>
      </w:hyperlink>
    </w:p>
    <w:p w14:paraId="027A0C80" w14:textId="3303362F" w:rsidR="00EA5096" w:rsidRDefault="00B8096C">
      <w:pPr>
        <w:pStyle w:val="Sommario3"/>
        <w:rPr>
          <w:rFonts w:asciiTheme="minorHAnsi" w:eastAsiaTheme="minorEastAsia" w:hAnsiTheme="minorHAnsi"/>
          <w:noProof/>
          <w:lang w:eastAsia="it-CH"/>
        </w:rPr>
      </w:pPr>
      <w:hyperlink w:anchor="_Toc139991911" w:history="1">
        <w:r w:rsidR="00EA5096" w:rsidRPr="00682D84">
          <w:rPr>
            <w:rStyle w:val="Collegamentoipertestuale"/>
            <w:noProof/>
          </w:rPr>
          <w:t>1.6.</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29 settembre 2021 di M. Ermotti-Lepori per il Gruppo PPD+GG “Modifica dell’art. 32 della Legge tributaria del 21 giugno 1994 (Aumento della deduzione per la custodia extra-familiare dei figli)”</w:t>
        </w:r>
        <w:r w:rsidR="00EA5096">
          <w:rPr>
            <w:noProof/>
            <w:webHidden/>
          </w:rPr>
          <w:tab/>
        </w:r>
        <w:r w:rsidR="00EA5096">
          <w:rPr>
            <w:noProof/>
            <w:webHidden/>
          </w:rPr>
          <w:fldChar w:fldCharType="begin"/>
        </w:r>
        <w:r w:rsidR="00EA5096">
          <w:rPr>
            <w:noProof/>
            <w:webHidden/>
          </w:rPr>
          <w:instrText xml:space="preserve"> PAGEREF _Toc139991911 \h </w:instrText>
        </w:r>
        <w:r w:rsidR="00EA5096">
          <w:rPr>
            <w:noProof/>
            <w:webHidden/>
          </w:rPr>
        </w:r>
        <w:r w:rsidR="00EA5096">
          <w:rPr>
            <w:noProof/>
            <w:webHidden/>
          </w:rPr>
          <w:fldChar w:fldCharType="separate"/>
        </w:r>
        <w:r w:rsidR="00EA5096">
          <w:rPr>
            <w:noProof/>
            <w:webHidden/>
          </w:rPr>
          <w:t>34</w:t>
        </w:r>
        <w:r w:rsidR="00EA5096">
          <w:rPr>
            <w:noProof/>
            <w:webHidden/>
          </w:rPr>
          <w:fldChar w:fldCharType="end"/>
        </w:r>
      </w:hyperlink>
    </w:p>
    <w:p w14:paraId="1F3E39EF" w14:textId="17891784" w:rsidR="00EA5096" w:rsidRDefault="00B8096C">
      <w:pPr>
        <w:pStyle w:val="Sommario3"/>
        <w:rPr>
          <w:rFonts w:asciiTheme="minorHAnsi" w:eastAsiaTheme="minorEastAsia" w:hAnsiTheme="minorHAnsi"/>
          <w:noProof/>
          <w:lang w:eastAsia="it-CH"/>
        </w:rPr>
      </w:pPr>
      <w:hyperlink w:anchor="_Toc139991912" w:history="1">
        <w:r w:rsidR="00EA5096" w:rsidRPr="00682D84">
          <w:rPr>
            <w:rStyle w:val="Collegamentoipertestuale"/>
            <w:noProof/>
          </w:rPr>
          <w:t>1.7.</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18 ottobre 2021 di C. Maderni e A. Speziali per il Gruppo PLR “Modifica dell'art. 159 della Legge tributaria (Imposizione delle successioni e donazioni - Sosteniamo la continuità aziendale)”</w:t>
        </w:r>
        <w:r w:rsidR="00EA5096">
          <w:rPr>
            <w:noProof/>
            <w:webHidden/>
          </w:rPr>
          <w:tab/>
        </w:r>
        <w:r w:rsidR="00EA5096">
          <w:rPr>
            <w:noProof/>
            <w:webHidden/>
          </w:rPr>
          <w:fldChar w:fldCharType="begin"/>
        </w:r>
        <w:r w:rsidR="00EA5096">
          <w:rPr>
            <w:noProof/>
            <w:webHidden/>
          </w:rPr>
          <w:instrText xml:space="preserve"> PAGEREF _Toc139991912 \h </w:instrText>
        </w:r>
        <w:r w:rsidR="00EA5096">
          <w:rPr>
            <w:noProof/>
            <w:webHidden/>
          </w:rPr>
        </w:r>
        <w:r w:rsidR="00EA5096">
          <w:rPr>
            <w:noProof/>
            <w:webHidden/>
          </w:rPr>
          <w:fldChar w:fldCharType="separate"/>
        </w:r>
        <w:r w:rsidR="00EA5096">
          <w:rPr>
            <w:noProof/>
            <w:webHidden/>
          </w:rPr>
          <w:t>34</w:t>
        </w:r>
        <w:r w:rsidR="00EA5096">
          <w:rPr>
            <w:noProof/>
            <w:webHidden/>
          </w:rPr>
          <w:fldChar w:fldCharType="end"/>
        </w:r>
      </w:hyperlink>
    </w:p>
    <w:p w14:paraId="3141387B" w14:textId="25BC6E2D" w:rsidR="00EA5096" w:rsidRDefault="00B8096C">
      <w:pPr>
        <w:pStyle w:val="Sommario3"/>
        <w:rPr>
          <w:rFonts w:asciiTheme="minorHAnsi" w:eastAsiaTheme="minorEastAsia" w:hAnsiTheme="minorHAnsi"/>
          <w:noProof/>
          <w:lang w:eastAsia="it-CH"/>
        </w:rPr>
      </w:pPr>
      <w:hyperlink w:anchor="_Toc139991913" w:history="1">
        <w:r w:rsidR="00EA5096" w:rsidRPr="00682D84">
          <w:rPr>
            <w:rStyle w:val="Collegamentoipertestuale"/>
            <w:noProof/>
          </w:rPr>
          <w:t>1.8.</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22 febbraio 2022 di E. Petrini e cofirmatari “Modifica dell’art. 154 cpv. 1 lett. f) della Legge tributaria”</w:t>
        </w:r>
        <w:r w:rsidR="00EA5096">
          <w:rPr>
            <w:noProof/>
            <w:webHidden/>
          </w:rPr>
          <w:tab/>
        </w:r>
        <w:r w:rsidR="00EA5096">
          <w:rPr>
            <w:noProof/>
            <w:webHidden/>
          </w:rPr>
          <w:fldChar w:fldCharType="begin"/>
        </w:r>
        <w:r w:rsidR="00EA5096">
          <w:rPr>
            <w:noProof/>
            <w:webHidden/>
          </w:rPr>
          <w:instrText xml:space="preserve"> PAGEREF _Toc139991913 \h </w:instrText>
        </w:r>
        <w:r w:rsidR="00EA5096">
          <w:rPr>
            <w:noProof/>
            <w:webHidden/>
          </w:rPr>
        </w:r>
        <w:r w:rsidR="00EA5096">
          <w:rPr>
            <w:noProof/>
            <w:webHidden/>
          </w:rPr>
          <w:fldChar w:fldCharType="separate"/>
        </w:r>
        <w:r w:rsidR="00EA5096">
          <w:rPr>
            <w:noProof/>
            <w:webHidden/>
          </w:rPr>
          <w:t>35</w:t>
        </w:r>
        <w:r w:rsidR="00EA5096">
          <w:rPr>
            <w:noProof/>
            <w:webHidden/>
          </w:rPr>
          <w:fldChar w:fldCharType="end"/>
        </w:r>
      </w:hyperlink>
    </w:p>
    <w:p w14:paraId="2E208912" w14:textId="285C8686" w:rsidR="00EA5096" w:rsidRDefault="00B8096C">
      <w:pPr>
        <w:pStyle w:val="Sommario3"/>
        <w:rPr>
          <w:rFonts w:asciiTheme="minorHAnsi" w:eastAsiaTheme="minorEastAsia" w:hAnsiTheme="minorHAnsi"/>
          <w:noProof/>
          <w:lang w:eastAsia="it-CH"/>
        </w:rPr>
      </w:pPr>
      <w:hyperlink w:anchor="_Toc139991914" w:history="1">
        <w:r w:rsidR="00EA5096" w:rsidRPr="00682D84">
          <w:rPr>
            <w:rStyle w:val="Collegamentoipertestuale"/>
            <w:noProof/>
          </w:rPr>
          <w:t>1.9.</w:t>
        </w:r>
        <w:r w:rsidR="00EA5096">
          <w:rPr>
            <w:rFonts w:asciiTheme="minorHAnsi" w:eastAsiaTheme="minorEastAsia" w:hAnsiTheme="minorHAnsi"/>
            <w:noProof/>
            <w:lang w:eastAsia="it-CH"/>
          </w:rPr>
          <w:tab/>
        </w:r>
        <w:r w:rsidR="00EA5096" w:rsidRPr="00682D84">
          <w:rPr>
            <w:rStyle w:val="Collegamentoipertestuale"/>
            <w:noProof/>
          </w:rPr>
          <w:t>Iniziativa parlamentare elaborata del 22 maggio 2023 di S. Genini e cofirmatari “per la modifica dell’art. 38 cpv. 2 LT”</w:t>
        </w:r>
        <w:r w:rsidR="00EA5096">
          <w:rPr>
            <w:noProof/>
            <w:webHidden/>
          </w:rPr>
          <w:tab/>
        </w:r>
        <w:r w:rsidR="00EA5096">
          <w:rPr>
            <w:noProof/>
            <w:webHidden/>
          </w:rPr>
          <w:fldChar w:fldCharType="begin"/>
        </w:r>
        <w:r w:rsidR="00EA5096">
          <w:rPr>
            <w:noProof/>
            <w:webHidden/>
          </w:rPr>
          <w:instrText xml:space="preserve"> PAGEREF _Toc139991914 \h </w:instrText>
        </w:r>
        <w:r w:rsidR="00EA5096">
          <w:rPr>
            <w:noProof/>
            <w:webHidden/>
          </w:rPr>
        </w:r>
        <w:r w:rsidR="00EA5096">
          <w:rPr>
            <w:noProof/>
            <w:webHidden/>
          </w:rPr>
          <w:fldChar w:fldCharType="separate"/>
        </w:r>
        <w:r w:rsidR="00EA5096">
          <w:rPr>
            <w:noProof/>
            <w:webHidden/>
          </w:rPr>
          <w:t>35</w:t>
        </w:r>
        <w:r w:rsidR="00EA5096">
          <w:rPr>
            <w:noProof/>
            <w:webHidden/>
          </w:rPr>
          <w:fldChar w:fldCharType="end"/>
        </w:r>
      </w:hyperlink>
    </w:p>
    <w:p w14:paraId="31374ED5" w14:textId="518B9CAC" w:rsidR="00EA5096" w:rsidRDefault="00B8096C">
      <w:pPr>
        <w:pStyle w:val="Sommario2"/>
        <w:rPr>
          <w:rFonts w:asciiTheme="minorHAnsi" w:eastAsiaTheme="minorEastAsia" w:hAnsiTheme="minorHAnsi"/>
          <w:noProof/>
          <w:lang w:eastAsia="it-CH"/>
        </w:rPr>
      </w:pPr>
      <w:hyperlink w:anchor="_Toc139991915" w:history="1">
        <w:r w:rsidR="00EA5096" w:rsidRPr="00682D84">
          <w:rPr>
            <w:rStyle w:val="Collegamentoipertestuale"/>
            <w:noProof/>
            <w14:scene3d>
              <w14:camera w14:prst="orthographicFront"/>
              <w14:lightRig w14:rig="threePt" w14:dir="t">
                <w14:rot w14:lat="0" w14:lon="0" w14:rev="0"/>
              </w14:lightRig>
            </w14:scene3d>
          </w:rPr>
          <w:t>2.</w:t>
        </w:r>
        <w:r w:rsidR="00EA5096">
          <w:rPr>
            <w:rFonts w:asciiTheme="minorHAnsi" w:eastAsiaTheme="minorEastAsia" w:hAnsiTheme="minorHAnsi"/>
            <w:noProof/>
            <w:lang w:eastAsia="it-CH"/>
          </w:rPr>
          <w:tab/>
        </w:r>
        <w:r w:rsidR="00EA5096" w:rsidRPr="00682D84">
          <w:rPr>
            <w:rStyle w:val="Collegamentoipertestuale"/>
            <w:noProof/>
          </w:rPr>
          <w:t>Iniziative parlamentari generiche</w:t>
        </w:r>
        <w:r w:rsidR="00EA5096">
          <w:rPr>
            <w:noProof/>
            <w:webHidden/>
          </w:rPr>
          <w:tab/>
        </w:r>
        <w:r w:rsidR="00EA5096">
          <w:rPr>
            <w:noProof/>
            <w:webHidden/>
          </w:rPr>
          <w:fldChar w:fldCharType="begin"/>
        </w:r>
        <w:r w:rsidR="00EA5096">
          <w:rPr>
            <w:noProof/>
            <w:webHidden/>
          </w:rPr>
          <w:instrText xml:space="preserve"> PAGEREF _Toc139991915 \h </w:instrText>
        </w:r>
        <w:r w:rsidR="00EA5096">
          <w:rPr>
            <w:noProof/>
            <w:webHidden/>
          </w:rPr>
        </w:r>
        <w:r w:rsidR="00EA5096">
          <w:rPr>
            <w:noProof/>
            <w:webHidden/>
          </w:rPr>
          <w:fldChar w:fldCharType="separate"/>
        </w:r>
        <w:r w:rsidR="00EA5096">
          <w:rPr>
            <w:noProof/>
            <w:webHidden/>
          </w:rPr>
          <w:t>35</w:t>
        </w:r>
        <w:r w:rsidR="00EA5096">
          <w:rPr>
            <w:noProof/>
            <w:webHidden/>
          </w:rPr>
          <w:fldChar w:fldCharType="end"/>
        </w:r>
      </w:hyperlink>
    </w:p>
    <w:p w14:paraId="31D80C4F" w14:textId="2FC7D382" w:rsidR="00EA5096" w:rsidRDefault="00B8096C">
      <w:pPr>
        <w:pStyle w:val="Sommario3"/>
        <w:rPr>
          <w:rFonts w:asciiTheme="minorHAnsi" w:eastAsiaTheme="minorEastAsia" w:hAnsiTheme="minorHAnsi"/>
          <w:noProof/>
          <w:lang w:eastAsia="it-CH"/>
        </w:rPr>
      </w:pPr>
      <w:hyperlink w:anchor="_Toc139991916" w:history="1">
        <w:r w:rsidR="00EA5096" w:rsidRPr="00682D84">
          <w:rPr>
            <w:rStyle w:val="Collegamentoipertestuale"/>
            <w:noProof/>
          </w:rPr>
          <w:t>2.1.</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15 dicembre 2014 di P. Kandemir-Bordoli e cofirmatari per il Gruppo PS “Modifica della legge tributaria (rendere più mirate e sociali le deduzioni per figli)”</w:t>
        </w:r>
        <w:r w:rsidR="00EA5096">
          <w:rPr>
            <w:noProof/>
            <w:webHidden/>
          </w:rPr>
          <w:tab/>
        </w:r>
        <w:r w:rsidR="00EA5096">
          <w:rPr>
            <w:noProof/>
            <w:webHidden/>
          </w:rPr>
          <w:fldChar w:fldCharType="begin"/>
        </w:r>
        <w:r w:rsidR="00EA5096">
          <w:rPr>
            <w:noProof/>
            <w:webHidden/>
          </w:rPr>
          <w:instrText xml:space="preserve"> PAGEREF _Toc139991916 \h </w:instrText>
        </w:r>
        <w:r w:rsidR="00EA5096">
          <w:rPr>
            <w:noProof/>
            <w:webHidden/>
          </w:rPr>
        </w:r>
        <w:r w:rsidR="00EA5096">
          <w:rPr>
            <w:noProof/>
            <w:webHidden/>
          </w:rPr>
          <w:fldChar w:fldCharType="separate"/>
        </w:r>
        <w:r w:rsidR="00EA5096">
          <w:rPr>
            <w:noProof/>
            <w:webHidden/>
          </w:rPr>
          <w:t>35</w:t>
        </w:r>
        <w:r w:rsidR="00EA5096">
          <w:rPr>
            <w:noProof/>
            <w:webHidden/>
          </w:rPr>
          <w:fldChar w:fldCharType="end"/>
        </w:r>
      </w:hyperlink>
    </w:p>
    <w:p w14:paraId="485CFEC0" w14:textId="35DF1A7A" w:rsidR="00EA5096" w:rsidRDefault="00B8096C">
      <w:pPr>
        <w:pStyle w:val="Sommario3"/>
        <w:rPr>
          <w:rFonts w:asciiTheme="minorHAnsi" w:eastAsiaTheme="minorEastAsia" w:hAnsiTheme="minorHAnsi"/>
          <w:noProof/>
          <w:lang w:eastAsia="it-CH"/>
        </w:rPr>
      </w:pPr>
      <w:hyperlink w:anchor="_Toc139991917" w:history="1">
        <w:r w:rsidR="00EA5096" w:rsidRPr="00682D84">
          <w:rPr>
            <w:rStyle w:val="Collegamentoipertestuale"/>
            <w:noProof/>
          </w:rPr>
          <w:t>2.2.</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18 aprile 2016 di M. Quadranti “Imposte di successione e donazione al passo con la realtà delle nuove famiglie”</w:t>
        </w:r>
        <w:r w:rsidR="00EA5096">
          <w:rPr>
            <w:noProof/>
            <w:webHidden/>
          </w:rPr>
          <w:tab/>
        </w:r>
        <w:r w:rsidR="00EA5096">
          <w:rPr>
            <w:noProof/>
            <w:webHidden/>
          </w:rPr>
          <w:fldChar w:fldCharType="begin"/>
        </w:r>
        <w:r w:rsidR="00EA5096">
          <w:rPr>
            <w:noProof/>
            <w:webHidden/>
          </w:rPr>
          <w:instrText xml:space="preserve"> PAGEREF _Toc139991917 \h </w:instrText>
        </w:r>
        <w:r w:rsidR="00EA5096">
          <w:rPr>
            <w:noProof/>
            <w:webHidden/>
          </w:rPr>
        </w:r>
        <w:r w:rsidR="00EA5096">
          <w:rPr>
            <w:noProof/>
            <w:webHidden/>
          </w:rPr>
          <w:fldChar w:fldCharType="separate"/>
        </w:r>
        <w:r w:rsidR="00EA5096">
          <w:rPr>
            <w:noProof/>
            <w:webHidden/>
          </w:rPr>
          <w:t>36</w:t>
        </w:r>
        <w:r w:rsidR="00EA5096">
          <w:rPr>
            <w:noProof/>
            <w:webHidden/>
          </w:rPr>
          <w:fldChar w:fldCharType="end"/>
        </w:r>
      </w:hyperlink>
    </w:p>
    <w:p w14:paraId="32A5F39A" w14:textId="7939A3B0" w:rsidR="00EA5096" w:rsidRDefault="00B8096C">
      <w:pPr>
        <w:pStyle w:val="Sommario3"/>
        <w:rPr>
          <w:rFonts w:asciiTheme="minorHAnsi" w:eastAsiaTheme="minorEastAsia" w:hAnsiTheme="minorHAnsi"/>
          <w:noProof/>
          <w:lang w:eastAsia="it-CH"/>
        </w:rPr>
      </w:pPr>
      <w:hyperlink w:anchor="_Toc139991918" w:history="1">
        <w:r w:rsidR="00EA5096" w:rsidRPr="00682D84">
          <w:rPr>
            <w:rStyle w:val="Collegamentoipertestuale"/>
            <w:noProof/>
          </w:rPr>
          <w:t>2.3.</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29 maggio 2017 di S. Morisoli e cofirmatari “Giù del 10% le tasse del ceto medio”</w:t>
        </w:r>
        <w:r w:rsidR="00EA5096">
          <w:rPr>
            <w:noProof/>
            <w:webHidden/>
          </w:rPr>
          <w:tab/>
        </w:r>
        <w:r w:rsidR="00EA5096">
          <w:rPr>
            <w:noProof/>
            <w:webHidden/>
          </w:rPr>
          <w:fldChar w:fldCharType="begin"/>
        </w:r>
        <w:r w:rsidR="00EA5096">
          <w:rPr>
            <w:noProof/>
            <w:webHidden/>
          </w:rPr>
          <w:instrText xml:space="preserve"> PAGEREF _Toc139991918 \h </w:instrText>
        </w:r>
        <w:r w:rsidR="00EA5096">
          <w:rPr>
            <w:noProof/>
            <w:webHidden/>
          </w:rPr>
        </w:r>
        <w:r w:rsidR="00EA5096">
          <w:rPr>
            <w:noProof/>
            <w:webHidden/>
          </w:rPr>
          <w:fldChar w:fldCharType="separate"/>
        </w:r>
        <w:r w:rsidR="00EA5096">
          <w:rPr>
            <w:noProof/>
            <w:webHidden/>
          </w:rPr>
          <w:t>36</w:t>
        </w:r>
        <w:r w:rsidR="00EA5096">
          <w:rPr>
            <w:noProof/>
            <w:webHidden/>
          </w:rPr>
          <w:fldChar w:fldCharType="end"/>
        </w:r>
      </w:hyperlink>
    </w:p>
    <w:p w14:paraId="237F2B58" w14:textId="2A1287FF" w:rsidR="00EA5096" w:rsidRDefault="00B8096C">
      <w:pPr>
        <w:pStyle w:val="Sommario3"/>
        <w:rPr>
          <w:rFonts w:asciiTheme="minorHAnsi" w:eastAsiaTheme="minorEastAsia" w:hAnsiTheme="minorHAnsi"/>
          <w:noProof/>
          <w:lang w:eastAsia="it-CH"/>
        </w:rPr>
      </w:pPr>
      <w:hyperlink w:anchor="_Toc139991919" w:history="1">
        <w:r w:rsidR="00EA5096" w:rsidRPr="00682D84">
          <w:rPr>
            <w:rStyle w:val="Collegamentoipertestuale"/>
            <w:noProof/>
          </w:rPr>
          <w:t>2.4.</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18 settembre 2017 di I. Durisch per il Gruppo PS “Modifica della Legge tributaria - Deduzioni assicurative più sociali ed eque!”</w:t>
        </w:r>
        <w:r w:rsidR="00EA5096">
          <w:rPr>
            <w:noProof/>
            <w:webHidden/>
          </w:rPr>
          <w:tab/>
        </w:r>
        <w:r w:rsidR="00EA5096">
          <w:rPr>
            <w:noProof/>
            <w:webHidden/>
          </w:rPr>
          <w:fldChar w:fldCharType="begin"/>
        </w:r>
        <w:r w:rsidR="00EA5096">
          <w:rPr>
            <w:noProof/>
            <w:webHidden/>
          </w:rPr>
          <w:instrText xml:space="preserve"> PAGEREF _Toc139991919 \h </w:instrText>
        </w:r>
        <w:r w:rsidR="00EA5096">
          <w:rPr>
            <w:noProof/>
            <w:webHidden/>
          </w:rPr>
        </w:r>
        <w:r w:rsidR="00EA5096">
          <w:rPr>
            <w:noProof/>
            <w:webHidden/>
          </w:rPr>
          <w:fldChar w:fldCharType="separate"/>
        </w:r>
        <w:r w:rsidR="00EA5096">
          <w:rPr>
            <w:noProof/>
            <w:webHidden/>
          </w:rPr>
          <w:t>36</w:t>
        </w:r>
        <w:r w:rsidR="00EA5096">
          <w:rPr>
            <w:noProof/>
            <w:webHidden/>
          </w:rPr>
          <w:fldChar w:fldCharType="end"/>
        </w:r>
      </w:hyperlink>
    </w:p>
    <w:p w14:paraId="60AEA4FC" w14:textId="004B889C" w:rsidR="00EA5096" w:rsidRDefault="00B8096C">
      <w:pPr>
        <w:pStyle w:val="Sommario3"/>
        <w:rPr>
          <w:rFonts w:asciiTheme="minorHAnsi" w:eastAsiaTheme="minorEastAsia" w:hAnsiTheme="minorHAnsi"/>
          <w:noProof/>
          <w:lang w:eastAsia="it-CH"/>
        </w:rPr>
      </w:pPr>
      <w:hyperlink w:anchor="_Toc139991920" w:history="1">
        <w:r w:rsidR="00EA5096" w:rsidRPr="00682D84">
          <w:rPr>
            <w:rStyle w:val="Collegamentoipertestuale"/>
            <w:noProof/>
          </w:rPr>
          <w:t>2.5.</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14 marzo 2019 di S. Morisoli per il Gruppo La Destra “Modifica della Legge tributaria (parità di trattamento fiscale per le famiglie)”</w:t>
        </w:r>
        <w:r w:rsidR="00EA5096">
          <w:rPr>
            <w:noProof/>
            <w:webHidden/>
          </w:rPr>
          <w:tab/>
        </w:r>
        <w:r w:rsidR="00EA5096">
          <w:rPr>
            <w:noProof/>
            <w:webHidden/>
          </w:rPr>
          <w:fldChar w:fldCharType="begin"/>
        </w:r>
        <w:r w:rsidR="00EA5096">
          <w:rPr>
            <w:noProof/>
            <w:webHidden/>
          </w:rPr>
          <w:instrText xml:space="preserve"> PAGEREF _Toc139991920 \h </w:instrText>
        </w:r>
        <w:r w:rsidR="00EA5096">
          <w:rPr>
            <w:noProof/>
            <w:webHidden/>
          </w:rPr>
        </w:r>
        <w:r w:rsidR="00EA5096">
          <w:rPr>
            <w:noProof/>
            <w:webHidden/>
          </w:rPr>
          <w:fldChar w:fldCharType="separate"/>
        </w:r>
        <w:r w:rsidR="00EA5096">
          <w:rPr>
            <w:noProof/>
            <w:webHidden/>
          </w:rPr>
          <w:t>36</w:t>
        </w:r>
        <w:r w:rsidR="00EA5096">
          <w:rPr>
            <w:noProof/>
            <w:webHidden/>
          </w:rPr>
          <w:fldChar w:fldCharType="end"/>
        </w:r>
      </w:hyperlink>
    </w:p>
    <w:p w14:paraId="26FC4578" w14:textId="46F00598" w:rsidR="00EA5096" w:rsidRDefault="00B8096C">
      <w:pPr>
        <w:pStyle w:val="Sommario3"/>
        <w:rPr>
          <w:rFonts w:asciiTheme="minorHAnsi" w:eastAsiaTheme="minorEastAsia" w:hAnsiTheme="minorHAnsi"/>
          <w:noProof/>
          <w:lang w:eastAsia="it-CH"/>
        </w:rPr>
      </w:pPr>
      <w:hyperlink w:anchor="_Toc139991921" w:history="1">
        <w:r w:rsidR="00EA5096" w:rsidRPr="00682D84">
          <w:rPr>
            <w:rStyle w:val="Collegamentoipertestuale"/>
            <w:noProof/>
          </w:rPr>
          <w:t>2.6.</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18 novembre 2019 di M. Foletti, A. Farinelli e cofirmatari “Introduzione nella Legge tributaria di misure atte a favorire la trasmissione d’impresa”</w:t>
        </w:r>
        <w:r w:rsidR="00EA5096">
          <w:rPr>
            <w:noProof/>
            <w:webHidden/>
          </w:rPr>
          <w:tab/>
        </w:r>
        <w:r w:rsidR="00EA5096">
          <w:rPr>
            <w:noProof/>
            <w:webHidden/>
          </w:rPr>
          <w:fldChar w:fldCharType="begin"/>
        </w:r>
        <w:r w:rsidR="00EA5096">
          <w:rPr>
            <w:noProof/>
            <w:webHidden/>
          </w:rPr>
          <w:instrText xml:space="preserve"> PAGEREF _Toc139991921 \h </w:instrText>
        </w:r>
        <w:r w:rsidR="00EA5096">
          <w:rPr>
            <w:noProof/>
            <w:webHidden/>
          </w:rPr>
        </w:r>
        <w:r w:rsidR="00EA5096">
          <w:rPr>
            <w:noProof/>
            <w:webHidden/>
          </w:rPr>
          <w:fldChar w:fldCharType="separate"/>
        </w:r>
        <w:r w:rsidR="00EA5096">
          <w:rPr>
            <w:noProof/>
            <w:webHidden/>
          </w:rPr>
          <w:t>37</w:t>
        </w:r>
        <w:r w:rsidR="00EA5096">
          <w:rPr>
            <w:noProof/>
            <w:webHidden/>
          </w:rPr>
          <w:fldChar w:fldCharType="end"/>
        </w:r>
      </w:hyperlink>
    </w:p>
    <w:p w14:paraId="3701D1FA" w14:textId="60848CB5" w:rsidR="00EA5096" w:rsidRDefault="00B8096C">
      <w:pPr>
        <w:pStyle w:val="Sommario3"/>
        <w:rPr>
          <w:rFonts w:asciiTheme="minorHAnsi" w:eastAsiaTheme="minorEastAsia" w:hAnsiTheme="minorHAnsi"/>
          <w:noProof/>
          <w:lang w:eastAsia="it-CH"/>
        </w:rPr>
      </w:pPr>
      <w:hyperlink w:anchor="_Toc139991922" w:history="1">
        <w:r w:rsidR="00EA5096" w:rsidRPr="00682D84">
          <w:rPr>
            <w:rStyle w:val="Collegamentoipertestuale"/>
            <w:noProof/>
          </w:rPr>
          <w:t>2.7.</w:t>
        </w:r>
        <w:r w:rsidR="00EA5096">
          <w:rPr>
            <w:rFonts w:asciiTheme="minorHAnsi" w:eastAsiaTheme="minorEastAsia" w:hAnsiTheme="minorHAnsi"/>
            <w:noProof/>
            <w:lang w:eastAsia="it-CH"/>
          </w:rPr>
          <w:tab/>
        </w:r>
        <w:r w:rsidR="00EA5096" w:rsidRPr="00682D84">
          <w:rPr>
            <w:rStyle w:val="Collegamentoipertestuale"/>
            <w:noProof/>
          </w:rPr>
          <w:t>Iniziativa parlamentare generica del 9 novembre 2020 di A. Biscossa e I. Durisch per il Gruppo PS “Deduzione per figli mirata a favore dei redditi medi”</w:t>
        </w:r>
        <w:r w:rsidR="00EA5096">
          <w:rPr>
            <w:noProof/>
            <w:webHidden/>
          </w:rPr>
          <w:tab/>
        </w:r>
        <w:r w:rsidR="00EA5096">
          <w:rPr>
            <w:noProof/>
            <w:webHidden/>
          </w:rPr>
          <w:fldChar w:fldCharType="begin"/>
        </w:r>
        <w:r w:rsidR="00EA5096">
          <w:rPr>
            <w:noProof/>
            <w:webHidden/>
          </w:rPr>
          <w:instrText xml:space="preserve"> PAGEREF _Toc139991922 \h </w:instrText>
        </w:r>
        <w:r w:rsidR="00EA5096">
          <w:rPr>
            <w:noProof/>
            <w:webHidden/>
          </w:rPr>
        </w:r>
        <w:r w:rsidR="00EA5096">
          <w:rPr>
            <w:noProof/>
            <w:webHidden/>
          </w:rPr>
          <w:fldChar w:fldCharType="separate"/>
        </w:r>
        <w:r w:rsidR="00EA5096">
          <w:rPr>
            <w:noProof/>
            <w:webHidden/>
          </w:rPr>
          <w:t>37</w:t>
        </w:r>
        <w:r w:rsidR="00EA5096">
          <w:rPr>
            <w:noProof/>
            <w:webHidden/>
          </w:rPr>
          <w:fldChar w:fldCharType="end"/>
        </w:r>
      </w:hyperlink>
    </w:p>
    <w:p w14:paraId="5BE1454D" w14:textId="027C9DC9" w:rsidR="00EA5096" w:rsidRDefault="00B8096C">
      <w:pPr>
        <w:pStyle w:val="Sommario1"/>
        <w:rPr>
          <w:rFonts w:asciiTheme="minorHAnsi" w:eastAsiaTheme="minorEastAsia" w:hAnsiTheme="minorHAnsi"/>
          <w:b w:val="0"/>
          <w:noProof/>
          <w:lang w:eastAsia="it-CH"/>
        </w:rPr>
      </w:pPr>
      <w:hyperlink w:anchor="_Toc139991923" w:history="1">
        <w:r w:rsidR="00EA5096" w:rsidRPr="00682D84">
          <w:rPr>
            <w:rStyle w:val="Collegamentoipertestuale"/>
            <w:noProof/>
          </w:rPr>
          <w:t>VIII.</w:t>
        </w:r>
        <w:r w:rsidR="00EA5096">
          <w:rPr>
            <w:rFonts w:asciiTheme="minorHAnsi" w:eastAsiaTheme="minorEastAsia" w:hAnsiTheme="minorHAnsi"/>
            <w:b w:val="0"/>
            <w:noProof/>
            <w:lang w:eastAsia="it-CH"/>
          </w:rPr>
          <w:tab/>
        </w:r>
        <w:r w:rsidR="00EA5096" w:rsidRPr="00682D84">
          <w:rPr>
            <w:rStyle w:val="Collegamentoipertestuale"/>
            <w:noProof/>
          </w:rPr>
          <w:t>CONCLUSIONI</w:t>
        </w:r>
        <w:r w:rsidR="00EA5096">
          <w:rPr>
            <w:noProof/>
            <w:webHidden/>
          </w:rPr>
          <w:tab/>
        </w:r>
        <w:r w:rsidR="00EA5096">
          <w:rPr>
            <w:noProof/>
            <w:webHidden/>
          </w:rPr>
          <w:fldChar w:fldCharType="begin"/>
        </w:r>
        <w:r w:rsidR="00EA5096">
          <w:rPr>
            <w:noProof/>
            <w:webHidden/>
          </w:rPr>
          <w:instrText xml:space="preserve"> PAGEREF _Toc139991923 \h </w:instrText>
        </w:r>
        <w:r w:rsidR="00EA5096">
          <w:rPr>
            <w:noProof/>
            <w:webHidden/>
          </w:rPr>
        </w:r>
        <w:r w:rsidR="00EA5096">
          <w:rPr>
            <w:noProof/>
            <w:webHidden/>
          </w:rPr>
          <w:fldChar w:fldCharType="separate"/>
        </w:r>
        <w:r w:rsidR="00EA5096">
          <w:rPr>
            <w:noProof/>
            <w:webHidden/>
          </w:rPr>
          <w:t>38</w:t>
        </w:r>
        <w:r w:rsidR="00EA5096">
          <w:rPr>
            <w:noProof/>
            <w:webHidden/>
          </w:rPr>
          <w:fldChar w:fldCharType="end"/>
        </w:r>
      </w:hyperlink>
    </w:p>
    <w:p w14:paraId="6C2C80DF" w14:textId="6B134EE3" w:rsidR="00EA5096" w:rsidRDefault="00B8096C">
      <w:pPr>
        <w:pStyle w:val="Sommario5"/>
        <w:rPr>
          <w:rFonts w:asciiTheme="minorHAnsi" w:eastAsiaTheme="minorEastAsia" w:hAnsiTheme="minorHAnsi"/>
          <w:noProof/>
          <w:lang w:eastAsia="it-CH"/>
        </w:rPr>
      </w:pPr>
      <w:hyperlink w:anchor="_Toc139991924" w:history="1">
        <w:r w:rsidR="00EA5096" w:rsidRPr="00682D84">
          <w:rPr>
            <w:rStyle w:val="Collegamentoipertestuale"/>
            <w:noProof/>
          </w:rPr>
          <w:t>ALLEGATI</w:t>
        </w:r>
        <w:r w:rsidR="00EA5096">
          <w:rPr>
            <w:noProof/>
            <w:webHidden/>
          </w:rPr>
          <w:tab/>
        </w:r>
        <w:r w:rsidR="00EA5096">
          <w:rPr>
            <w:noProof/>
            <w:webHidden/>
          </w:rPr>
          <w:fldChar w:fldCharType="begin"/>
        </w:r>
        <w:r w:rsidR="00EA5096">
          <w:rPr>
            <w:noProof/>
            <w:webHidden/>
          </w:rPr>
          <w:instrText xml:space="preserve"> PAGEREF _Toc139991924 \h </w:instrText>
        </w:r>
        <w:r w:rsidR="00EA5096">
          <w:rPr>
            <w:noProof/>
            <w:webHidden/>
          </w:rPr>
        </w:r>
        <w:r w:rsidR="00EA5096">
          <w:rPr>
            <w:noProof/>
            <w:webHidden/>
          </w:rPr>
          <w:fldChar w:fldCharType="separate"/>
        </w:r>
        <w:r w:rsidR="00EA5096">
          <w:rPr>
            <w:noProof/>
            <w:webHidden/>
          </w:rPr>
          <w:t>39</w:t>
        </w:r>
        <w:r w:rsidR="00EA5096">
          <w:rPr>
            <w:noProof/>
            <w:webHidden/>
          </w:rPr>
          <w:fldChar w:fldCharType="end"/>
        </w:r>
      </w:hyperlink>
    </w:p>
    <w:p w14:paraId="0258EC6B" w14:textId="787A4DEA" w:rsidR="00EA5096" w:rsidRDefault="00B8096C">
      <w:pPr>
        <w:pStyle w:val="Sommario6"/>
        <w:rPr>
          <w:rFonts w:asciiTheme="minorHAnsi" w:eastAsiaTheme="minorEastAsia" w:hAnsiTheme="minorHAnsi"/>
          <w:noProof/>
          <w:lang w:eastAsia="it-CH"/>
        </w:rPr>
      </w:pPr>
      <w:hyperlink w:anchor="_Toc139991925" w:history="1">
        <w:r w:rsidR="00EA5096" w:rsidRPr="00682D84">
          <w:rPr>
            <w:rStyle w:val="Collegamentoipertestuale"/>
            <w:noProof/>
          </w:rPr>
          <w:t>Tabella 1: Deduzione forfettaria per altre spese professionali dell’attività lucrativa dipendente nei 26 Cantoni e nella Confederazione per l'anno 2022</w:t>
        </w:r>
        <w:r w:rsidR="00EA5096">
          <w:rPr>
            <w:noProof/>
            <w:webHidden/>
          </w:rPr>
          <w:tab/>
        </w:r>
        <w:r w:rsidR="00EA5096">
          <w:rPr>
            <w:noProof/>
            <w:webHidden/>
          </w:rPr>
          <w:fldChar w:fldCharType="begin"/>
        </w:r>
        <w:r w:rsidR="00EA5096">
          <w:rPr>
            <w:noProof/>
            <w:webHidden/>
          </w:rPr>
          <w:instrText xml:space="preserve"> PAGEREF _Toc139991925 \h </w:instrText>
        </w:r>
        <w:r w:rsidR="00EA5096">
          <w:rPr>
            <w:noProof/>
            <w:webHidden/>
          </w:rPr>
        </w:r>
        <w:r w:rsidR="00EA5096">
          <w:rPr>
            <w:noProof/>
            <w:webHidden/>
          </w:rPr>
          <w:fldChar w:fldCharType="separate"/>
        </w:r>
        <w:r w:rsidR="00EA5096">
          <w:rPr>
            <w:noProof/>
            <w:webHidden/>
          </w:rPr>
          <w:t>39</w:t>
        </w:r>
        <w:r w:rsidR="00EA5096">
          <w:rPr>
            <w:noProof/>
            <w:webHidden/>
          </w:rPr>
          <w:fldChar w:fldCharType="end"/>
        </w:r>
      </w:hyperlink>
    </w:p>
    <w:p w14:paraId="28726CA9" w14:textId="71C5C465" w:rsidR="00EA5096" w:rsidRDefault="00B8096C">
      <w:pPr>
        <w:pStyle w:val="Sommario6"/>
        <w:rPr>
          <w:rFonts w:asciiTheme="minorHAnsi" w:eastAsiaTheme="minorEastAsia" w:hAnsiTheme="minorHAnsi"/>
          <w:noProof/>
          <w:lang w:eastAsia="it-CH"/>
        </w:rPr>
      </w:pPr>
      <w:hyperlink w:anchor="_Toc139991926" w:history="1">
        <w:r w:rsidR="00EA5096" w:rsidRPr="00682D84">
          <w:rPr>
            <w:rStyle w:val="Collegamentoipertestuale"/>
            <w:noProof/>
          </w:rPr>
          <w:t>Tabella 2: Deduzione forfettaria per altre spese professionali dell’attività accessoria nei 26 Cantoni e nella Confederazione per l'anno 2022</w:t>
        </w:r>
        <w:r w:rsidR="00EA5096">
          <w:rPr>
            <w:noProof/>
            <w:webHidden/>
          </w:rPr>
          <w:tab/>
        </w:r>
        <w:r w:rsidR="00EA5096">
          <w:rPr>
            <w:noProof/>
            <w:webHidden/>
          </w:rPr>
          <w:fldChar w:fldCharType="begin"/>
        </w:r>
        <w:r w:rsidR="00EA5096">
          <w:rPr>
            <w:noProof/>
            <w:webHidden/>
          </w:rPr>
          <w:instrText xml:space="preserve"> PAGEREF _Toc139991926 \h </w:instrText>
        </w:r>
        <w:r w:rsidR="00EA5096">
          <w:rPr>
            <w:noProof/>
            <w:webHidden/>
          </w:rPr>
        </w:r>
        <w:r w:rsidR="00EA5096">
          <w:rPr>
            <w:noProof/>
            <w:webHidden/>
          </w:rPr>
          <w:fldChar w:fldCharType="separate"/>
        </w:r>
        <w:r w:rsidR="00EA5096">
          <w:rPr>
            <w:noProof/>
            <w:webHidden/>
          </w:rPr>
          <w:t>40</w:t>
        </w:r>
        <w:r w:rsidR="00EA5096">
          <w:rPr>
            <w:noProof/>
            <w:webHidden/>
          </w:rPr>
          <w:fldChar w:fldCharType="end"/>
        </w:r>
      </w:hyperlink>
    </w:p>
    <w:p w14:paraId="48BF542E" w14:textId="33E9FB74" w:rsidR="00EA5096" w:rsidRDefault="00B8096C">
      <w:pPr>
        <w:pStyle w:val="Sommario6"/>
        <w:rPr>
          <w:rFonts w:asciiTheme="minorHAnsi" w:eastAsiaTheme="minorEastAsia" w:hAnsiTheme="minorHAnsi"/>
          <w:noProof/>
          <w:lang w:eastAsia="it-CH"/>
        </w:rPr>
      </w:pPr>
      <w:hyperlink w:anchor="_Toc139991927" w:history="1">
        <w:r w:rsidR="00EA5096" w:rsidRPr="00682D84">
          <w:rPr>
            <w:rStyle w:val="Collegamentoipertestuale"/>
            <w:noProof/>
          </w:rPr>
          <w:t>Tabella 3: Impatto dell’aumento del forfait deducibile per le altre spese professionali per singole fasce di stipendio netto</w:t>
        </w:r>
        <w:r w:rsidR="00EA5096">
          <w:rPr>
            <w:noProof/>
            <w:webHidden/>
          </w:rPr>
          <w:tab/>
        </w:r>
        <w:r w:rsidR="00EA5096">
          <w:rPr>
            <w:noProof/>
            <w:webHidden/>
          </w:rPr>
          <w:fldChar w:fldCharType="begin"/>
        </w:r>
        <w:r w:rsidR="00EA5096">
          <w:rPr>
            <w:noProof/>
            <w:webHidden/>
          </w:rPr>
          <w:instrText xml:space="preserve"> PAGEREF _Toc139991927 \h </w:instrText>
        </w:r>
        <w:r w:rsidR="00EA5096">
          <w:rPr>
            <w:noProof/>
            <w:webHidden/>
          </w:rPr>
        </w:r>
        <w:r w:rsidR="00EA5096">
          <w:rPr>
            <w:noProof/>
            <w:webHidden/>
          </w:rPr>
          <w:fldChar w:fldCharType="separate"/>
        </w:r>
        <w:r w:rsidR="00EA5096">
          <w:rPr>
            <w:noProof/>
            <w:webHidden/>
          </w:rPr>
          <w:t>41</w:t>
        </w:r>
        <w:r w:rsidR="00EA5096">
          <w:rPr>
            <w:noProof/>
            <w:webHidden/>
          </w:rPr>
          <w:fldChar w:fldCharType="end"/>
        </w:r>
      </w:hyperlink>
    </w:p>
    <w:p w14:paraId="6F0D4FCF" w14:textId="366B2293" w:rsidR="00EA5096" w:rsidRDefault="00B8096C">
      <w:pPr>
        <w:pStyle w:val="Sommario6"/>
        <w:rPr>
          <w:rFonts w:asciiTheme="minorHAnsi" w:eastAsiaTheme="minorEastAsia" w:hAnsiTheme="minorHAnsi"/>
          <w:noProof/>
          <w:lang w:eastAsia="it-CH"/>
        </w:rPr>
      </w:pPr>
      <w:hyperlink w:anchor="_Toc139991928" w:history="1">
        <w:r w:rsidR="00EA5096" w:rsidRPr="00682D84">
          <w:rPr>
            <w:rStyle w:val="Collegamentoipertestuale"/>
            <w:noProof/>
          </w:rPr>
          <w:t>Tabella 4: Confronto intercantonale delle aliquote massime ai fini dell'imposta di successione e donazione (anno 2022)</w:t>
        </w:r>
        <w:r w:rsidR="00EA5096">
          <w:rPr>
            <w:noProof/>
            <w:webHidden/>
          </w:rPr>
          <w:tab/>
        </w:r>
        <w:r w:rsidR="00EA5096">
          <w:rPr>
            <w:noProof/>
            <w:webHidden/>
          </w:rPr>
          <w:fldChar w:fldCharType="begin"/>
        </w:r>
        <w:r w:rsidR="00EA5096">
          <w:rPr>
            <w:noProof/>
            <w:webHidden/>
          </w:rPr>
          <w:instrText xml:space="preserve"> PAGEREF _Toc139991928 \h </w:instrText>
        </w:r>
        <w:r w:rsidR="00EA5096">
          <w:rPr>
            <w:noProof/>
            <w:webHidden/>
          </w:rPr>
        </w:r>
        <w:r w:rsidR="00EA5096">
          <w:rPr>
            <w:noProof/>
            <w:webHidden/>
          </w:rPr>
          <w:fldChar w:fldCharType="separate"/>
        </w:r>
        <w:r w:rsidR="00EA5096">
          <w:rPr>
            <w:noProof/>
            <w:webHidden/>
          </w:rPr>
          <w:t>42</w:t>
        </w:r>
        <w:r w:rsidR="00EA5096">
          <w:rPr>
            <w:noProof/>
            <w:webHidden/>
          </w:rPr>
          <w:fldChar w:fldCharType="end"/>
        </w:r>
      </w:hyperlink>
    </w:p>
    <w:p w14:paraId="6CBBB600" w14:textId="52AD7EB9" w:rsidR="00EA5096" w:rsidRDefault="00B8096C">
      <w:pPr>
        <w:pStyle w:val="Sommario6"/>
        <w:rPr>
          <w:rFonts w:asciiTheme="minorHAnsi" w:eastAsiaTheme="minorEastAsia" w:hAnsiTheme="minorHAnsi"/>
          <w:noProof/>
          <w:lang w:eastAsia="it-CH"/>
        </w:rPr>
      </w:pPr>
      <w:hyperlink w:anchor="_Toc139991929" w:history="1">
        <w:r w:rsidR="00EA5096" w:rsidRPr="00682D84">
          <w:rPr>
            <w:rStyle w:val="Collegamentoipertestuale"/>
            <w:noProof/>
          </w:rPr>
          <w:t>Tabella 5: Panoramica intercantonale dei sistemi d’imposizione delle prestazioni in capitale della previdenza</w:t>
        </w:r>
        <w:r w:rsidR="00EA5096">
          <w:rPr>
            <w:noProof/>
            <w:webHidden/>
          </w:rPr>
          <w:tab/>
        </w:r>
        <w:r w:rsidR="00EA5096">
          <w:rPr>
            <w:noProof/>
            <w:webHidden/>
          </w:rPr>
          <w:fldChar w:fldCharType="begin"/>
        </w:r>
        <w:r w:rsidR="00EA5096">
          <w:rPr>
            <w:noProof/>
            <w:webHidden/>
          </w:rPr>
          <w:instrText xml:space="preserve"> PAGEREF _Toc139991929 \h </w:instrText>
        </w:r>
        <w:r w:rsidR="00EA5096">
          <w:rPr>
            <w:noProof/>
            <w:webHidden/>
          </w:rPr>
        </w:r>
        <w:r w:rsidR="00EA5096">
          <w:rPr>
            <w:noProof/>
            <w:webHidden/>
          </w:rPr>
          <w:fldChar w:fldCharType="separate"/>
        </w:r>
        <w:r w:rsidR="00EA5096">
          <w:rPr>
            <w:noProof/>
            <w:webHidden/>
          </w:rPr>
          <w:t>43</w:t>
        </w:r>
        <w:r w:rsidR="00EA5096">
          <w:rPr>
            <w:noProof/>
            <w:webHidden/>
          </w:rPr>
          <w:fldChar w:fldCharType="end"/>
        </w:r>
      </w:hyperlink>
    </w:p>
    <w:p w14:paraId="78421D4D" w14:textId="020F8533" w:rsidR="00EA5096" w:rsidRDefault="00B8096C">
      <w:pPr>
        <w:pStyle w:val="Sommario6"/>
        <w:rPr>
          <w:rFonts w:asciiTheme="minorHAnsi" w:eastAsiaTheme="minorEastAsia" w:hAnsiTheme="minorHAnsi"/>
          <w:noProof/>
          <w:lang w:eastAsia="it-CH"/>
        </w:rPr>
      </w:pPr>
      <w:hyperlink w:anchor="_Toc139991930" w:history="1">
        <w:r w:rsidR="00EA5096" w:rsidRPr="00682D84">
          <w:rPr>
            <w:rStyle w:val="Collegamentoipertestuale"/>
            <w:noProof/>
          </w:rPr>
          <w:t>Tabella 6: Raffronto intercantonale dell’onere fiscale dell’imposizione delle prestazioni in capitale della previdenza (imposta federale, cantonale e comunale) per le persone sole nel capoluogo cantonale nel 2022</w:t>
        </w:r>
        <w:r w:rsidR="00EA5096">
          <w:rPr>
            <w:noProof/>
            <w:webHidden/>
          </w:rPr>
          <w:tab/>
        </w:r>
        <w:r w:rsidR="00EA5096">
          <w:rPr>
            <w:noProof/>
            <w:webHidden/>
          </w:rPr>
          <w:fldChar w:fldCharType="begin"/>
        </w:r>
        <w:r w:rsidR="00EA5096">
          <w:rPr>
            <w:noProof/>
            <w:webHidden/>
          </w:rPr>
          <w:instrText xml:space="preserve"> PAGEREF _Toc139991930 \h </w:instrText>
        </w:r>
        <w:r w:rsidR="00EA5096">
          <w:rPr>
            <w:noProof/>
            <w:webHidden/>
          </w:rPr>
        </w:r>
        <w:r w:rsidR="00EA5096">
          <w:rPr>
            <w:noProof/>
            <w:webHidden/>
          </w:rPr>
          <w:fldChar w:fldCharType="separate"/>
        </w:r>
        <w:r w:rsidR="00EA5096">
          <w:rPr>
            <w:noProof/>
            <w:webHidden/>
          </w:rPr>
          <w:t>45</w:t>
        </w:r>
        <w:r w:rsidR="00EA5096">
          <w:rPr>
            <w:noProof/>
            <w:webHidden/>
          </w:rPr>
          <w:fldChar w:fldCharType="end"/>
        </w:r>
      </w:hyperlink>
    </w:p>
    <w:p w14:paraId="1B6B0431" w14:textId="41F8DE88" w:rsidR="00EA5096" w:rsidRDefault="00B8096C">
      <w:pPr>
        <w:pStyle w:val="Sommario6"/>
        <w:rPr>
          <w:rFonts w:asciiTheme="minorHAnsi" w:eastAsiaTheme="minorEastAsia" w:hAnsiTheme="minorHAnsi"/>
          <w:noProof/>
          <w:lang w:eastAsia="it-CH"/>
        </w:rPr>
      </w:pPr>
      <w:hyperlink w:anchor="_Toc139991931" w:history="1">
        <w:r w:rsidR="00EA5096" w:rsidRPr="00682D84">
          <w:rPr>
            <w:rStyle w:val="Collegamentoipertestuale"/>
            <w:noProof/>
          </w:rPr>
          <w:t>Tabella 7: Confronto dell’onere fiscale massimo ai fini dell’imposta sul reddito nel 2022</w:t>
        </w:r>
        <w:r w:rsidR="00EA5096">
          <w:rPr>
            <w:noProof/>
            <w:webHidden/>
          </w:rPr>
          <w:tab/>
        </w:r>
        <w:r w:rsidR="00EA5096">
          <w:rPr>
            <w:noProof/>
            <w:webHidden/>
          </w:rPr>
          <w:fldChar w:fldCharType="begin"/>
        </w:r>
        <w:r w:rsidR="00EA5096">
          <w:rPr>
            <w:noProof/>
            <w:webHidden/>
          </w:rPr>
          <w:instrText xml:space="preserve"> PAGEREF _Toc139991931 \h </w:instrText>
        </w:r>
        <w:r w:rsidR="00EA5096">
          <w:rPr>
            <w:noProof/>
            <w:webHidden/>
          </w:rPr>
        </w:r>
        <w:r w:rsidR="00EA5096">
          <w:rPr>
            <w:noProof/>
            <w:webHidden/>
          </w:rPr>
          <w:fldChar w:fldCharType="separate"/>
        </w:r>
        <w:r w:rsidR="00EA5096">
          <w:rPr>
            <w:noProof/>
            <w:webHidden/>
          </w:rPr>
          <w:t>46</w:t>
        </w:r>
        <w:r w:rsidR="00EA5096">
          <w:rPr>
            <w:noProof/>
            <w:webHidden/>
          </w:rPr>
          <w:fldChar w:fldCharType="end"/>
        </w:r>
      </w:hyperlink>
    </w:p>
    <w:p w14:paraId="60CF005B" w14:textId="61CA0CA1" w:rsidR="00912821" w:rsidRPr="004E2CEF" w:rsidRDefault="00700391" w:rsidP="009D639B">
      <w:pPr>
        <w:pStyle w:val="Sottotitolo"/>
        <w:tabs>
          <w:tab w:val="left" w:pos="567"/>
          <w:tab w:val="right" w:leader="dot" w:pos="9072"/>
        </w:tabs>
        <w:spacing w:beforeLines="20" w:before="48" w:afterLines="20" w:after="48"/>
        <w:ind w:left="709" w:hanging="709"/>
        <w:rPr>
          <w:sz w:val="24"/>
        </w:rPr>
      </w:pPr>
      <w:r>
        <w:rPr>
          <w:rFonts w:ascii="Arial" w:hAnsi="Arial"/>
        </w:rPr>
        <w:fldChar w:fldCharType="end"/>
      </w:r>
      <w:r w:rsidR="00912821" w:rsidRPr="004E2CEF">
        <w:br w:type="page"/>
      </w:r>
    </w:p>
    <w:p w14:paraId="004D8153" w14:textId="77777777" w:rsidR="00E171A0" w:rsidRPr="004E2CEF" w:rsidRDefault="00E171A0" w:rsidP="008D317C">
      <w:pPr>
        <w:pStyle w:val="StandardRisoluzionedelConsigliodiStato"/>
        <w:ind w:right="-1"/>
      </w:pPr>
      <w:r w:rsidRPr="004E2CEF">
        <w:t>Signora Presidente,</w:t>
      </w:r>
    </w:p>
    <w:p w14:paraId="3866ED99" w14:textId="77777777" w:rsidR="00E171A0" w:rsidRPr="004E2CEF" w:rsidRDefault="00E171A0" w:rsidP="008D317C">
      <w:pPr>
        <w:rPr>
          <w:sz w:val="24"/>
        </w:rPr>
      </w:pPr>
      <w:r w:rsidRPr="004E2CEF">
        <w:rPr>
          <w:sz w:val="24"/>
        </w:rPr>
        <w:t>signore e signori deputati,</w:t>
      </w:r>
    </w:p>
    <w:p w14:paraId="5FB5D302" w14:textId="77777777" w:rsidR="00E171A0" w:rsidRPr="004E2CEF" w:rsidRDefault="00E171A0" w:rsidP="008D317C">
      <w:pPr>
        <w:rPr>
          <w:sz w:val="24"/>
        </w:rPr>
      </w:pPr>
    </w:p>
    <w:p w14:paraId="5D6CE671" w14:textId="77777777" w:rsidR="00930CFE" w:rsidRPr="004E2CEF" w:rsidRDefault="00E171A0" w:rsidP="008D317C">
      <w:pPr>
        <w:rPr>
          <w:sz w:val="24"/>
        </w:rPr>
      </w:pPr>
      <w:r w:rsidRPr="004E2CEF">
        <w:rPr>
          <w:sz w:val="24"/>
        </w:rPr>
        <w:t>con il presente messaggio sottoponiamo alla vostra attenzione</w:t>
      </w:r>
      <w:r w:rsidR="00930CFE" w:rsidRPr="004E2CEF">
        <w:rPr>
          <w:sz w:val="24"/>
        </w:rPr>
        <w:t xml:space="preserve"> un progetto di riforma della legge tributaria cantonale indirizzato alle persone fisiche e volto principalmente a:</w:t>
      </w:r>
    </w:p>
    <w:p w14:paraId="35D15A6A" w14:textId="77777777" w:rsidR="00930CFE" w:rsidRPr="004E2CEF" w:rsidRDefault="00930CFE" w:rsidP="00930CFE">
      <w:pPr>
        <w:rPr>
          <w:sz w:val="24"/>
        </w:rPr>
      </w:pPr>
    </w:p>
    <w:p w14:paraId="10C4030E" w14:textId="77777777" w:rsidR="004605BA" w:rsidRPr="004E2CEF" w:rsidRDefault="004605BA" w:rsidP="004605BA">
      <w:pPr>
        <w:pStyle w:val="Paragrafoelenco"/>
        <w:numPr>
          <w:ilvl w:val="0"/>
          <w:numId w:val="8"/>
        </w:numPr>
        <w:rPr>
          <w:sz w:val="24"/>
        </w:rPr>
      </w:pPr>
      <w:r w:rsidRPr="004E2CEF">
        <w:rPr>
          <w:sz w:val="24"/>
        </w:rPr>
        <w:t>ridurre il carico fiscale per i contribuenti che esercitano un’attività lucrativa dipendente;</w:t>
      </w:r>
    </w:p>
    <w:p w14:paraId="4AB5EE80" w14:textId="77777777" w:rsidR="004605BA" w:rsidRPr="004E2CEF" w:rsidRDefault="004605BA" w:rsidP="004605BA">
      <w:pPr>
        <w:pStyle w:val="Paragrafoelenco"/>
        <w:numPr>
          <w:ilvl w:val="0"/>
          <w:numId w:val="8"/>
        </w:numPr>
        <w:rPr>
          <w:sz w:val="24"/>
        </w:rPr>
      </w:pPr>
      <w:r w:rsidRPr="004E2CEF">
        <w:rPr>
          <w:sz w:val="24"/>
        </w:rPr>
        <w:t>attualizzare l’imposta di successione e donazione, agevolando l’imposizione dei concubini e delle figure parentali per affinità, nonché le successioni aziendali;</w:t>
      </w:r>
    </w:p>
    <w:p w14:paraId="47A544E2" w14:textId="78F6816F" w:rsidR="004605BA" w:rsidRDefault="004605BA" w:rsidP="004605BA">
      <w:pPr>
        <w:pStyle w:val="Paragrafoelenco"/>
        <w:numPr>
          <w:ilvl w:val="0"/>
          <w:numId w:val="8"/>
        </w:numPr>
        <w:rPr>
          <w:sz w:val="24"/>
        </w:rPr>
      </w:pPr>
      <w:r w:rsidRPr="004E2CEF">
        <w:rPr>
          <w:sz w:val="24"/>
        </w:rPr>
        <w:t>plafonare l’onere fiscale massimo dell’imposizione delle prestazioni in capitale della previdenza</w:t>
      </w:r>
      <w:r>
        <w:rPr>
          <w:sz w:val="24"/>
        </w:rPr>
        <w:t>;</w:t>
      </w:r>
    </w:p>
    <w:p w14:paraId="3039852F" w14:textId="4B51476A" w:rsidR="00EA1F09" w:rsidRPr="005813EF" w:rsidRDefault="00930CFE" w:rsidP="004605BA">
      <w:pPr>
        <w:pStyle w:val="Paragrafoelenco"/>
        <w:numPr>
          <w:ilvl w:val="0"/>
          <w:numId w:val="8"/>
        </w:numPr>
        <w:rPr>
          <w:sz w:val="24"/>
        </w:rPr>
      </w:pPr>
      <w:r w:rsidRPr="005813EF">
        <w:rPr>
          <w:sz w:val="24"/>
        </w:rPr>
        <w:t>allineare il prelievo fiscale massimo ai fini dell’imposta sul reddit</w:t>
      </w:r>
      <w:r w:rsidR="004605BA" w:rsidRPr="005813EF">
        <w:rPr>
          <w:sz w:val="24"/>
        </w:rPr>
        <w:t>o ai valori medi intercantonali</w:t>
      </w:r>
      <w:r w:rsidR="00EA1F09" w:rsidRPr="005813EF">
        <w:rPr>
          <w:sz w:val="24"/>
        </w:rPr>
        <w:t>.</w:t>
      </w:r>
    </w:p>
    <w:p w14:paraId="29B71EB0" w14:textId="77777777" w:rsidR="00E171A0" w:rsidRPr="005813EF" w:rsidRDefault="00E171A0" w:rsidP="008D317C">
      <w:pPr>
        <w:rPr>
          <w:sz w:val="24"/>
        </w:rPr>
      </w:pPr>
    </w:p>
    <w:p w14:paraId="71210BC5" w14:textId="77777777" w:rsidR="002B1B37" w:rsidRPr="005813EF" w:rsidRDefault="002B1B37" w:rsidP="008D317C">
      <w:pPr>
        <w:rPr>
          <w:sz w:val="24"/>
        </w:rPr>
      </w:pPr>
    </w:p>
    <w:p w14:paraId="1BCD697F" w14:textId="35C2B0F3" w:rsidR="00E171A0" w:rsidRPr="005813EF" w:rsidRDefault="00DE049D" w:rsidP="00CA41BE">
      <w:pPr>
        <w:pStyle w:val="TITOLO"/>
      </w:pPr>
      <w:bookmarkStart w:id="0" w:name="_Toc139991867"/>
      <w:r w:rsidRPr="005813EF">
        <w:t>INTRODUZIONE</w:t>
      </w:r>
      <w:bookmarkEnd w:id="0"/>
    </w:p>
    <w:p w14:paraId="3254FA64" w14:textId="77777777" w:rsidR="00B319EB" w:rsidRPr="005813EF" w:rsidRDefault="00B319EB" w:rsidP="008D317C">
      <w:pPr>
        <w:rPr>
          <w:sz w:val="24"/>
          <w:szCs w:val="24"/>
        </w:rPr>
      </w:pPr>
    </w:p>
    <w:p w14:paraId="01168C39" w14:textId="4D3E88A5" w:rsidR="00F50645" w:rsidRPr="005813EF" w:rsidRDefault="00F50645" w:rsidP="00F50645">
      <w:pPr>
        <w:pStyle w:val="StandardRisoluzionedelConsigliodiStato"/>
        <w:ind w:right="-1"/>
        <w:rPr>
          <w:szCs w:val="24"/>
        </w:rPr>
      </w:pPr>
      <w:r w:rsidRPr="005813EF">
        <w:rPr>
          <w:szCs w:val="24"/>
        </w:rPr>
        <w:t xml:space="preserve">Con le due </w:t>
      </w:r>
      <w:r w:rsidR="004605BA" w:rsidRPr="005813EF">
        <w:rPr>
          <w:szCs w:val="24"/>
        </w:rPr>
        <w:t>precedenti</w:t>
      </w:r>
      <w:r w:rsidR="00A251C7" w:rsidRPr="005813EF">
        <w:rPr>
          <w:szCs w:val="24"/>
        </w:rPr>
        <w:t xml:space="preserve"> </w:t>
      </w:r>
      <w:r w:rsidR="004605BA" w:rsidRPr="005813EF">
        <w:rPr>
          <w:szCs w:val="24"/>
        </w:rPr>
        <w:t>riforme fiscali cantonali</w:t>
      </w:r>
      <w:r w:rsidRPr="005813EF">
        <w:rPr>
          <w:szCs w:val="24"/>
        </w:rPr>
        <w:t xml:space="preserve"> entrate in vigore nel 2018 e nel 2020, il Ticino ha migliorato la propria concorrenzialità fiscale per quanto riguarda l’imposta sulla sostanza delle persone fisiche e l’imposta sull’utile delle persone giuridiche, le cui aliquote si situano oggi sui livelli medi intercantonali. Tuttavia, nulla è stato ancora fatto per l’imposta sul reddito, la cui </w:t>
      </w:r>
      <w:r w:rsidR="00BA27F2" w:rsidRPr="005813EF">
        <w:rPr>
          <w:szCs w:val="24"/>
        </w:rPr>
        <w:t xml:space="preserve">struttura delle </w:t>
      </w:r>
      <w:r w:rsidRPr="005813EF">
        <w:rPr>
          <w:szCs w:val="24"/>
        </w:rPr>
        <w:t>aliquot</w:t>
      </w:r>
      <w:r w:rsidR="00BA27F2" w:rsidRPr="005813EF">
        <w:rPr>
          <w:szCs w:val="24"/>
        </w:rPr>
        <w:t>e</w:t>
      </w:r>
      <w:r w:rsidRPr="005813EF">
        <w:rPr>
          <w:szCs w:val="24"/>
        </w:rPr>
        <w:t xml:space="preserve"> è immutata dal lontano 1976.</w:t>
      </w:r>
    </w:p>
    <w:p w14:paraId="590E1B88" w14:textId="77777777" w:rsidR="00F50645" w:rsidRPr="005813EF" w:rsidRDefault="00F50645" w:rsidP="00F50645">
      <w:pPr>
        <w:pStyle w:val="StandardRisoluzionedelConsigliodiStato"/>
        <w:ind w:right="-1"/>
        <w:rPr>
          <w:szCs w:val="24"/>
        </w:rPr>
      </w:pPr>
    </w:p>
    <w:p w14:paraId="0D430C6C" w14:textId="1DA85939" w:rsidR="00F50645" w:rsidRPr="004E2CEF" w:rsidRDefault="00F50645" w:rsidP="00F50645">
      <w:pPr>
        <w:rPr>
          <w:sz w:val="24"/>
          <w:szCs w:val="24"/>
        </w:rPr>
      </w:pPr>
      <w:r w:rsidRPr="005813EF">
        <w:rPr>
          <w:rFonts w:cs="Arial"/>
          <w:sz w:val="24"/>
          <w:szCs w:val="24"/>
        </w:rPr>
        <w:t>Al fine di assicurare anche in futuro</w:t>
      </w:r>
      <w:r w:rsidR="004605BA" w:rsidRPr="005813EF">
        <w:rPr>
          <w:rFonts w:cs="Arial"/>
          <w:sz w:val="24"/>
          <w:szCs w:val="24"/>
        </w:rPr>
        <w:t xml:space="preserve"> il substrato fiscale necessario per</w:t>
      </w:r>
      <w:r w:rsidRPr="005813EF">
        <w:rPr>
          <w:rFonts w:cs="Arial"/>
          <w:sz w:val="24"/>
          <w:szCs w:val="24"/>
        </w:rPr>
        <w:t xml:space="preserve"> il finanziamento delle prestazioni pubbliche, e proseguire </w:t>
      </w:r>
      <w:r w:rsidRPr="005813EF">
        <w:rPr>
          <w:rFonts w:cs="Arial"/>
          <w:noProof/>
          <w:sz w:val="24"/>
          <w:szCs w:val="24"/>
          <w:lang w:eastAsia="it-CH"/>
        </w:rPr>
        <w:t xml:space="preserve">con il processo di rinnovamento della legge tributaria cantonale avviato nel 2018, con </w:t>
      </w:r>
      <w:r w:rsidR="004605BA" w:rsidRPr="005813EF">
        <w:rPr>
          <w:rFonts w:cs="Arial"/>
          <w:noProof/>
          <w:sz w:val="24"/>
          <w:szCs w:val="24"/>
          <w:lang w:eastAsia="it-CH"/>
        </w:rPr>
        <w:t>il presente messaggio</w:t>
      </w:r>
      <w:r w:rsidRPr="005813EF">
        <w:rPr>
          <w:rFonts w:cs="Arial"/>
          <w:noProof/>
          <w:sz w:val="24"/>
          <w:szCs w:val="24"/>
          <w:lang w:eastAsia="it-CH"/>
        </w:rPr>
        <w:t xml:space="preserve"> </w:t>
      </w:r>
      <w:r w:rsidR="00A251C7" w:rsidRPr="005813EF">
        <w:rPr>
          <w:rFonts w:cs="Arial"/>
          <w:noProof/>
          <w:sz w:val="24"/>
          <w:szCs w:val="24"/>
          <w:lang w:eastAsia="it-CH"/>
        </w:rPr>
        <w:t>si propone</w:t>
      </w:r>
      <w:r w:rsidRPr="005813EF">
        <w:rPr>
          <w:rFonts w:cs="Arial"/>
          <w:noProof/>
          <w:sz w:val="24"/>
          <w:szCs w:val="24"/>
          <w:lang w:eastAsia="it-CH"/>
        </w:rPr>
        <w:t xml:space="preserve"> un pacchetto di misure a favore</w:t>
      </w:r>
      <w:r w:rsidR="00A251C7" w:rsidRPr="005813EF">
        <w:rPr>
          <w:rFonts w:cs="Arial"/>
          <w:noProof/>
          <w:sz w:val="24"/>
          <w:szCs w:val="24"/>
          <w:lang w:eastAsia="it-CH"/>
        </w:rPr>
        <w:t xml:space="preserve"> </w:t>
      </w:r>
      <w:r w:rsidRPr="005813EF">
        <w:rPr>
          <w:rFonts w:cs="Arial"/>
          <w:noProof/>
          <w:sz w:val="24"/>
          <w:szCs w:val="24"/>
          <w:lang w:eastAsia="it-CH"/>
        </w:rPr>
        <w:t>delle persone fisiche con l’obiettivo di migliorare la competitività del Cantone Ticino laddove oggi il quadro normativo tributario risulta essere</w:t>
      </w:r>
      <w:r w:rsidR="00A251C7" w:rsidRPr="005813EF">
        <w:rPr>
          <w:rFonts w:cs="Arial"/>
          <w:noProof/>
          <w:sz w:val="24"/>
          <w:szCs w:val="24"/>
          <w:lang w:eastAsia="it-CH"/>
        </w:rPr>
        <w:t xml:space="preserve"> ancora</w:t>
      </w:r>
      <w:r w:rsidR="004605BA" w:rsidRPr="005813EF">
        <w:rPr>
          <w:rFonts w:cs="Arial"/>
          <w:noProof/>
          <w:sz w:val="24"/>
          <w:szCs w:val="24"/>
          <w:lang w:eastAsia="it-CH"/>
        </w:rPr>
        <w:t xml:space="preserve"> particolarmente penalizzante ed evitare un aumen</w:t>
      </w:r>
      <w:r w:rsidR="00BA27F2" w:rsidRPr="005813EF">
        <w:rPr>
          <w:rFonts w:cs="Arial"/>
          <w:noProof/>
          <w:sz w:val="24"/>
          <w:szCs w:val="24"/>
          <w:lang w:eastAsia="it-CH"/>
        </w:rPr>
        <w:t xml:space="preserve">to delle imposte a seguito della scadenza della validità </w:t>
      </w:r>
      <w:r w:rsidR="004605BA" w:rsidRPr="005813EF">
        <w:rPr>
          <w:rFonts w:cs="Arial"/>
          <w:noProof/>
          <w:sz w:val="24"/>
          <w:szCs w:val="24"/>
          <w:lang w:eastAsia="it-CH"/>
        </w:rPr>
        <w:t xml:space="preserve">della riduzione </w:t>
      </w:r>
      <w:r w:rsidR="00BA27F2" w:rsidRPr="005813EF">
        <w:rPr>
          <w:rFonts w:cs="Arial"/>
          <w:noProof/>
          <w:sz w:val="24"/>
          <w:szCs w:val="24"/>
          <w:lang w:eastAsia="it-CH"/>
        </w:rPr>
        <w:t xml:space="preserve">transitoria </w:t>
      </w:r>
      <w:r w:rsidR="004605BA" w:rsidRPr="005813EF">
        <w:rPr>
          <w:rFonts w:cs="Arial"/>
          <w:noProof/>
          <w:sz w:val="24"/>
          <w:szCs w:val="24"/>
          <w:lang w:eastAsia="it-CH"/>
        </w:rPr>
        <w:t>del coefficiente d’imposta cantonale.</w:t>
      </w:r>
      <w:r w:rsidR="00B839E5" w:rsidRPr="005813EF">
        <w:rPr>
          <w:rFonts w:cs="Arial"/>
          <w:noProof/>
          <w:sz w:val="24"/>
          <w:szCs w:val="24"/>
          <w:lang w:eastAsia="it-CH"/>
        </w:rPr>
        <w:t xml:space="preserve"> Le misure non riguarderanno solo l’imposta sul reddito ma toccheranno anche le imposte sulle successioni e donazioni, in particolare con puntuali interventi sulle categorie di contribuenti imponibili, sulle aliquote e sul trattamento delle successioni aziendali. </w:t>
      </w:r>
    </w:p>
    <w:p w14:paraId="60404C45" w14:textId="77777777" w:rsidR="008E77B8" w:rsidRPr="004E2CEF" w:rsidRDefault="008E77B8" w:rsidP="009D0E96">
      <w:pPr>
        <w:pStyle w:val="ListNumeric12"/>
        <w:numPr>
          <w:ilvl w:val="0"/>
          <w:numId w:val="0"/>
        </w:numPr>
        <w:rPr>
          <w:b/>
        </w:rPr>
      </w:pPr>
    </w:p>
    <w:p w14:paraId="1DBAE662" w14:textId="36383843" w:rsidR="00DE049D" w:rsidRPr="00100005" w:rsidRDefault="00DE049D" w:rsidP="00100005">
      <w:pPr>
        <w:pStyle w:val="CAPITOLO1"/>
      </w:pPr>
      <w:bookmarkStart w:id="1" w:name="_Toc139991868"/>
      <w:r w:rsidRPr="00100005">
        <w:t xml:space="preserve">Mandato parlamentare </w:t>
      </w:r>
      <w:r w:rsidR="00526EC3" w:rsidRPr="00100005">
        <w:t>e margine di manovra finanziario</w:t>
      </w:r>
      <w:bookmarkEnd w:id="1"/>
    </w:p>
    <w:p w14:paraId="262505FC" w14:textId="77777777" w:rsidR="00DE049D" w:rsidRPr="004E2CEF" w:rsidRDefault="00DE049D" w:rsidP="00DE049D">
      <w:pPr>
        <w:rPr>
          <w:sz w:val="24"/>
          <w:szCs w:val="24"/>
        </w:rPr>
      </w:pPr>
    </w:p>
    <w:p w14:paraId="7F7B0112" w14:textId="198A6525" w:rsidR="00DE049D" w:rsidRDefault="00DE049D" w:rsidP="00DE049D">
      <w:pPr>
        <w:rPr>
          <w:sz w:val="24"/>
          <w:szCs w:val="24"/>
        </w:rPr>
      </w:pPr>
      <w:r w:rsidRPr="004E2CEF">
        <w:rPr>
          <w:sz w:val="24"/>
          <w:szCs w:val="24"/>
        </w:rPr>
        <w:t xml:space="preserve">Evidenziando la necessità di procedere ad un aggiornamento della fiscalità delle persone fisiche in modo da tener conto, da un lato, dell’evoluzione della società e, dall’altro, dei numerosi atti parlamentari pendenti </w:t>
      </w:r>
      <w:r w:rsidR="00945BAB" w:rsidRPr="004E2CEF">
        <w:rPr>
          <w:sz w:val="24"/>
          <w:szCs w:val="24"/>
        </w:rPr>
        <w:t>su questo tema</w:t>
      </w:r>
      <w:r w:rsidRPr="004E2CEF">
        <w:rPr>
          <w:sz w:val="24"/>
          <w:szCs w:val="24"/>
        </w:rPr>
        <w:t xml:space="preserve">, nell’ambito del Messaggio n. 7684 </w:t>
      </w:r>
      <w:r w:rsidR="00945BAB" w:rsidRPr="004E2CEF">
        <w:rPr>
          <w:sz w:val="24"/>
          <w:szCs w:val="24"/>
        </w:rPr>
        <w:t xml:space="preserve">del 10 luglio 2019 </w:t>
      </w:r>
      <w:r w:rsidRPr="004E2CEF">
        <w:rPr>
          <w:sz w:val="24"/>
          <w:szCs w:val="24"/>
        </w:rPr>
        <w:t>“</w:t>
      </w:r>
      <w:r w:rsidRPr="004E2CEF">
        <w:rPr>
          <w:i/>
          <w:sz w:val="24"/>
          <w:szCs w:val="24"/>
        </w:rPr>
        <w:t>Adeguamento della Legge tributaria cantonale alla Legge federale concernente la riforma fiscale e il finanziamento dell’AVS (RFFA) – Riforma fiscale cantonale</w:t>
      </w:r>
      <w:r w:rsidRPr="004E2CEF">
        <w:rPr>
          <w:sz w:val="24"/>
          <w:szCs w:val="24"/>
        </w:rPr>
        <w:t>”, il Governo aveva annunciato l’intenzione di avviare “</w:t>
      </w:r>
      <w:r w:rsidRPr="004E2CEF">
        <w:rPr>
          <w:i/>
          <w:sz w:val="24"/>
          <w:szCs w:val="24"/>
        </w:rPr>
        <w:t>nel corso della presente legislatura […] un progetto di riforma generale della legge tributaria cantonale, con particolare attenzione al settore delle persone fisiche, da porre in vigore al più tardi nel 2025</w:t>
      </w:r>
      <w:r w:rsidRPr="004E2CEF">
        <w:rPr>
          <w:sz w:val="24"/>
          <w:szCs w:val="24"/>
        </w:rPr>
        <w:t>”.</w:t>
      </w:r>
      <w:r w:rsidR="00945BAB" w:rsidRPr="004E2CEF">
        <w:rPr>
          <w:rStyle w:val="Rimandonotaapidipagina"/>
          <w:sz w:val="24"/>
          <w:szCs w:val="24"/>
        </w:rPr>
        <w:footnoteReference w:id="1"/>
      </w:r>
    </w:p>
    <w:p w14:paraId="31601212" w14:textId="77777777" w:rsidR="00B010B8" w:rsidRPr="004E2CEF" w:rsidRDefault="00B010B8" w:rsidP="00DE049D">
      <w:pPr>
        <w:rPr>
          <w:sz w:val="24"/>
          <w:szCs w:val="24"/>
        </w:rPr>
      </w:pPr>
    </w:p>
    <w:p w14:paraId="2CE4F990" w14:textId="77777777" w:rsidR="00DE049D" w:rsidRPr="004E2CEF" w:rsidRDefault="00DE049D" w:rsidP="00DE049D">
      <w:pPr>
        <w:rPr>
          <w:sz w:val="24"/>
          <w:szCs w:val="24"/>
        </w:rPr>
      </w:pPr>
      <w:r w:rsidRPr="004E2CEF">
        <w:rPr>
          <w:sz w:val="24"/>
          <w:szCs w:val="24"/>
        </w:rPr>
        <w:t>In tale sede veniva inoltre precisato come il margine di manovra finanziario della futura riforma sarebbe stato assicurato dalla diminuzione transitoria del coefficiente cantonale di imposta: “</w:t>
      </w:r>
      <w:r w:rsidRPr="004E2CEF">
        <w:rPr>
          <w:i/>
          <w:sz w:val="24"/>
          <w:szCs w:val="24"/>
        </w:rPr>
        <w:t>In attesa di questa riforma […] proponiamo di ridurre a titolo transitorio per il periodo 2020-2024, il coefficiente d’imposta cantonale dall’attuale 100% al 98%. La sua durata di validità è strettamente connessa con la futura riforma generale della legge tributaria. In caso di entrata in vigore di tale riforma entro i termini auspicati, il coefficiente cantonale verrà riportato al 100%. Al contrario, qualora tale riforma non possa concretizzarsi entro il 2025, la misura potrà essere prorogata dal Parlamento con un’ulteriore riduzione del coefficiente cantonale di due punti percentuali, dal 98% al 96%</w:t>
      </w:r>
      <w:r w:rsidRPr="004E2CEF">
        <w:rPr>
          <w:sz w:val="24"/>
          <w:szCs w:val="24"/>
        </w:rPr>
        <w:t>.”</w:t>
      </w:r>
      <w:r w:rsidR="000D2E6C" w:rsidRPr="004E2CEF">
        <w:rPr>
          <w:rStyle w:val="Rimandonotaapidipagina"/>
          <w:sz w:val="24"/>
          <w:szCs w:val="24"/>
        </w:rPr>
        <w:footnoteReference w:id="2"/>
      </w:r>
    </w:p>
    <w:p w14:paraId="6746E40C" w14:textId="77777777" w:rsidR="00526EC3" w:rsidRPr="004E2CEF" w:rsidRDefault="00526EC3" w:rsidP="00DE049D">
      <w:pPr>
        <w:rPr>
          <w:sz w:val="24"/>
          <w:szCs w:val="24"/>
        </w:rPr>
      </w:pPr>
    </w:p>
    <w:p w14:paraId="25A79F4A" w14:textId="77777777" w:rsidR="00DE049D" w:rsidRPr="004E2CEF" w:rsidRDefault="00DE049D" w:rsidP="00DE049D">
      <w:pPr>
        <w:rPr>
          <w:sz w:val="24"/>
          <w:szCs w:val="24"/>
        </w:rPr>
      </w:pPr>
      <w:r w:rsidRPr="004E2CEF">
        <w:rPr>
          <w:sz w:val="24"/>
          <w:szCs w:val="24"/>
        </w:rPr>
        <w:t xml:space="preserve">La proposta governativa fu poi </w:t>
      </w:r>
      <w:r w:rsidR="00A251C7" w:rsidRPr="004E2CEF">
        <w:rPr>
          <w:sz w:val="24"/>
          <w:szCs w:val="24"/>
        </w:rPr>
        <w:t>modificata</w:t>
      </w:r>
      <w:r w:rsidRPr="004E2CEF">
        <w:rPr>
          <w:sz w:val="24"/>
          <w:szCs w:val="24"/>
        </w:rPr>
        <w:t xml:space="preserve"> dal Gran Consiglio, il quale decise – accogliendo il rapporto di maggioranza n. 7684 R1 con 52 voti favorevoli e 22 contrari </w:t>
      </w:r>
      <w:r w:rsidR="00F51FA1" w:rsidRPr="004E2CEF">
        <w:rPr>
          <w:sz w:val="24"/>
          <w:szCs w:val="24"/>
        </w:rPr>
        <w:t xml:space="preserve">– </w:t>
      </w:r>
      <w:r w:rsidRPr="004E2CEF">
        <w:rPr>
          <w:sz w:val="24"/>
          <w:szCs w:val="24"/>
        </w:rPr>
        <w:t>di ridurre il coefficiente d’imposta cantonale di un ulteriore punto percentuale (97% anziché 98%) per i periodi fiscali 2020-2023, anticipando così l’entrata in vigore della riforma già nel 2024 per un importo complessivo pari a 4 punti percentuali di coefficiente cantonale d’imposta: “</w:t>
      </w:r>
      <w:r w:rsidRPr="004E2CEF">
        <w:rPr>
          <w:i/>
          <w:sz w:val="24"/>
          <w:szCs w:val="24"/>
        </w:rPr>
        <w:t>Lo spazio di manovra cantonale per suddetta riforma sarà garantito dalla diminuzione transitoria del coefficiente cantonale di imposta nei periodi tra il 2020 e il 2024 (con una riduzione di 3+1 punti percentuali) per un ammontare di circa 60 milioni di franchi.</w:t>
      </w:r>
      <w:r w:rsidRPr="004E2CEF">
        <w:rPr>
          <w:sz w:val="24"/>
          <w:szCs w:val="24"/>
        </w:rPr>
        <w:t>”</w:t>
      </w:r>
      <w:r w:rsidR="000D2E6C" w:rsidRPr="004E2CEF">
        <w:rPr>
          <w:rStyle w:val="Rimandonotaapidipagina"/>
          <w:sz w:val="24"/>
          <w:szCs w:val="24"/>
        </w:rPr>
        <w:footnoteReference w:id="3"/>
      </w:r>
    </w:p>
    <w:p w14:paraId="2A96A82F" w14:textId="77777777" w:rsidR="00DE049D" w:rsidRPr="004E2CEF" w:rsidRDefault="00DE049D" w:rsidP="00DE049D">
      <w:pPr>
        <w:rPr>
          <w:sz w:val="24"/>
          <w:szCs w:val="24"/>
        </w:rPr>
      </w:pPr>
    </w:p>
    <w:p w14:paraId="70BEE5CB" w14:textId="5C4E954E" w:rsidR="00526EC3" w:rsidRPr="0083229F" w:rsidRDefault="006C604A" w:rsidP="006C604A">
      <w:pPr>
        <w:rPr>
          <w:sz w:val="24"/>
          <w:szCs w:val="24"/>
        </w:rPr>
      </w:pPr>
      <w:r w:rsidRPr="0083229F">
        <w:rPr>
          <w:sz w:val="24"/>
          <w:szCs w:val="24"/>
        </w:rPr>
        <w:t>Tenuto conto della</w:t>
      </w:r>
      <w:r w:rsidR="005F6214" w:rsidRPr="0083229F">
        <w:rPr>
          <w:sz w:val="24"/>
          <w:szCs w:val="24"/>
        </w:rPr>
        <w:t xml:space="preserve"> situazione finanziaria </w:t>
      </w:r>
      <w:r w:rsidRPr="0083229F">
        <w:rPr>
          <w:sz w:val="24"/>
          <w:szCs w:val="24"/>
        </w:rPr>
        <w:t xml:space="preserve">del Cantone, per l’implementazione della presente riforma il Consiglio di Stato intende confermare lo spazio di manovra finanziario riservato per gli anni 2020-2023 equivalente a 3 punti percentuali di coefficiente d’imposta cantonale, </w:t>
      </w:r>
      <w:r w:rsidR="00E3668B" w:rsidRPr="0083229F">
        <w:rPr>
          <w:sz w:val="24"/>
          <w:szCs w:val="24"/>
        </w:rPr>
        <w:t>così da assicurare la neutralità finanziaria dell’operazione a seguito del ritorno del coefficiente d’imposta cantonale al 100%.</w:t>
      </w:r>
      <w:r w:rsidR="00526EC3" w:rsidRPr="0083229F">
        <w:rPr>
          <w:sz w:val="24"/>
          <w:szCs w:val="24"/>
        </w:rPr>
        <w:t xml:space="preserve"> Il margine di manovra aggiornato della riforma si attesta pertanto a 46.</w:t>
      </w:r>
      <w:r w:rsidR="00E3668B" w:rsidRPr="0083229F">
        <w:rPr>
          <w:sz w:val="24"/>
          <w:szCs w:val="24"/>
        </w:rPr>
        <w:t>7</w:t>
      </w:r>
      <w:r w:rsidR="00526EC3" w:rsidRPr="0083229F">
        <w:rPr>
          <w:sz w:val="24"/>
          <w:szCs w:val="24"/>
        </w:rPr>
        <w:t xml:space="preserve"> milioni di franchi (importo calcolato sulla base dei gettiti di consuntivo 2022).  </w:t>
      </w:r>
    </w:p>
    <w:p w14:paraId="66828AF7" w14:textId="77777777" w:rsidR="00526EC3" w:rsidRPr="0083229F" w:rsidRDefault="00526EC3" w:rsidP="00526EC3">
      <w:pPr>
        <w:rPr>
          <w:sz w:val="24"/>
          <w:szCs w:val="24"/>
        </w:rPr>
      </w:pPr>
    </w:p>
    <w:p w14:paraId="64A67FBE" w14:textId="421540F9" w:rsidR="008537A5" w:rsidRPr="0083229F" w:rsidRDefault="00526EC3" w:rsidP="00526EC3">
      <w:pPr>
        <w:rPr>
          <w:b/>
          <w:i/>
          <w:sz w:val="24"/>
          <w:szCs w:val="24"/>
        </w:rPr>
      </w:pPr>
      <w:r w:rsidRPr="0083229F">
        <w:rPr>
          <w:b/>
          <w:i/>
          <w:sz w:val="24"/>
          <w:szCs w:val="24"/>
        </w:rPr>
        <w:t>Impatto di 3 punti di coefficiente d’imposta cantonale (dati di consuntivo 2022)</w:t>
      </w:r>
    </w:p>
    <w:tbl>
      <w:tblPr>
        <w:tblW w:w="9415" w:type="dxa"/>
        <w:tblCellMar>
          <w:left w:w="70" w:type="dxa"/>
          <w:right w:w="70" w:type="dxa"/>
        </w:tblCellMar>
        <w:tblLook w:val="04A0" w:firstRow="1" w:lastRow="0" w:firstColumn="1" w:lastColumn="0" w:noHBand="0" w:noVBand="1"/>
      </w:tblPr>
      <w:tblGrid>
        <w:gridCol w:w="3927"/>
        <w:gridCol w:w="3109"/>
        <w:gridCol w:w="2379"/>
      </w:tblGrid>
      <w:tr w:rsidR="00E3668B" w:rsidRPr="0083229F" w14:paraId="3675D3CB" w14:textId="77777777" w:rsidTr="00040794">
        <w:trPr>
          <w:trHeight w:val="302"/>
        </w:trPr>
        <w:tc>
          <w:tcPr>
            <w:tcW w:w="3927" w:type="dxa"/>
            <w:tcBorders>
              <w:top w:val="nil"/>
              <w:left w:val="nil"/>
              <w:bottom w:val="nil"/>
              <w:right w:val="single" w:sz="4" w:space="0" w:color="auto"/>
            </w:tcBorders>
            <w:shd w:val="clear" w:color="auto" w:fill="auto"/>
            <w:noWrap/>
            <w:vAlign w:val="bottom"/>
            <w:hideMark/>
          </w:tcPr>
          <w:p w14:paraId="368DC8C7" w14:textId="77777777" w:rsidR="00E3668B" w:rsidRPr="0083229F" w:rsidRDefault="00E3668B" w:rsidP="00E3668B">
            <w:pPr>
              <w:jc w:val="left"/>
              <w:rPr>
                <w:rFonts w:asciiTheme="minorHAnsi" w:eastAsia="Times New Roman" w:hAnsiTheme="minorHAnsi" w:cstheme="minorHAnsi"/>
                <w:sz w:val="24"/>
                <w:szCs w:val="24"/>
                <w:lang w:eastAsia="it-CH"/>
              </w:rPr>
            </w:pPr>
          </w:p>
        </w:tc>
        <w:tc>
          <w:tcPr>
            <w:tcW w:w="3109" w:type="dxa"/>
            <w:tcBorders>
              <w:top w:val="single" w:sz="4" w:space="0" w:color="auto"/>
              <w:left w:val="single" w:sz="4" w:space="0" w:color="auto"/>
              <w:bottom w:val="nil"/>
              <w:right w:val="single" w:sz="4" w:space="0" w:color="auto"/>
            </w:tcBorders>
            <w:shd w:val="clear" w:color="auto" w:fill="auto"/>
            <w:noWrap/>
            <w:vAlign w:val="bottom"/>
            <w:hideMark/>
          </w:tcPr>
          <w:p w14:paraId="785C5D92" w14:textId="77777777" w:rsidR="00E3668B" w:rsidRPr="0083229F" w:rsidRDefault="00E3668B" w:rsidP="00E3668B">
            <w:pPr>
              <w:jc w:val="center"/>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Stima gettito C22</w:t>
            </w:r>
          </w:p>
        </w:tc>
        <w:tc>
          <w:tcPr>
            <w:tcW w:w="2379" w:type="dxa"/>
            <w:tcBorders>
              <w:top w:val="single" w:sz="4" w:space="0" w:color="auto"/>
              <w:left w:val="nil"/>
              <w:bottom w:val="nil"/>
              <w:right w:val="single" w:sz="4" w:space="0" w:color="auto"/>
            </w:tcBorders>
            <w:shd w:val="clear" w:color="auto" w:fill="auto"/>
            <w:noWrap/>
            <w:vAlign w:val="bottom"/>
            <w:hideMark/>
          </w:tcPr>
          <w:p w14:paraId="0A7E9DBB" w14:textId="77777777" w:rsidR="00E3668B" w:rsidRPr="0083229F" w:rsidRDefault="00E3668B" w:rsidP="00E3668B">
            <w:pPr>
              <w:jc w:val="center"/>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 xml:space="preserve">Impatto 3 punti % </w:t>
            </w:r>
          </w:p>
        </w:tc>
      </w:tr>
      <w:tr w:rsidR="00E3668B" w:rsidRPr="0083229F" w14:paraId="53137307" w14:textId="77777777" w:rsidTr="00040794">
        <w:trPr>
          <w:trHeight w:val="302"/>
        </w:trPr>
        <w:tc>
          <w:tcPr>
            <w:tcW w:w="3927" w:type="dxa"/>
            <w:tcBorders>
              <w:top w:val="nil"/>
              <w:left w:val="nil"/>
              <w:bottom w:val="nil"/>
              <w:right w:val="single" w:sz="4" w:space="0" w:color="auto"/>
            </w:tcBorders>
            <w:shd w:val="clear" w:color="auto" w:fill="auto"/>
            <w:noWrap/>
            <w:vAlign w:val="bottom"/>
            <w:hideMark/>
          </w:tcPr>
          <w:p w14:paraId="614AE9D0" w14:textId="77777777" w:rsidR="00E3668B" w:rsidRPr="0083229F" w:rsidRDefault="00E3668B" w:rsidP="00E3668B">
            <w:pPr>
              <w:jc w:val="center"/>
              <w:rPr>
                <w:rFonts w:asciiTheme="minorHAnsi" w:eastAsia="Times New Roman" w:hAnsiTheme="minorHAnsi" w:cstheme="minorHAnsi"/>
                <w:b/>
                <w:bCs/>
                <w:color w:val="000000"/>
                <w:lang w:eastAsia="it-CH"/>
              </w:rPr>
            </w:pPr>
          </w:p>
        </w:tc>
        <w:tc>
          <w:tcPr>
            <w:tcW w:w="3109" w:type="dxa"/>
            <w:tcBorders>
              <w:top w:val="nil"/>
              <w:left w:val="single" w:sz="4" w:space="0" w:color="auto"/>
              <w:bottom w:val="single" w:sz="4" w:space="0" w:color="auto"/>
              <w:right w:val="single" w:sz="4" w:space="0" w:color="auto"/>
            </w:tcBorders>
            <w:shd w:val="clear" w:color="auto" w:fill="auto"/>
            <w:noWrap/>
            <w:vAlign w:val="bottom"/>
            <w:hideMark/>
          </w:tcPr>
          <w:p w14:paraId="11F8ACF4" w14:textId="77777777" w:rsidR="00E3668B" w:rsidRPr="0083229F" w:rsidRDefault="00E3668B" w:rsidP="00E3668B">
            <w:pPr>
              <w:jc w:val="center"/>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Imposta base cantonale</w:t>
            </w:r>
          </w:p>
        </w:tc>
        <w:tc>
          <w:tcPr>
            <w:tcW w:w="2379" w:type="dxa"/>
            <w:tcBorders>
              <w:top w:val="nil"/>
              <w:left w:val="nil"/>
              <w:bottom w:val="single" w:sz="4" w:space="0" w:color="auto"/>
              <w:right w:val="single" w:sz="4" w:space="0" w:color="auto"/>
            </w:tcBorders>
            <w:shd w:val="clear" w:color="auto" w:fill="auto"/>
            <w:noWrap/>
            <w:vAlign w:val="bottom"/>
            <w:hideMark/>
          </w:tcPr>
          <w:p w14:paraId="0C0FBEB2" w14:textId="77777777" w:rsidR="00E3668B" w:rsidRPr="0083229F" w:rsidRDefault="00E3668B" w:rsidP="00E3668B">
            <w:pPr>
              <w:jc w:val="center"/>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coefficiente</w:t>
            </w:r>
          </w:p>
        </w:tc>
      </w:tr>
      <w:tr w:rsidR="00E3668B" w:rsidRPr="0083229F" w14:paraId="6BD3E18E" w14:textId="77777777" w:rsidTr="00040794">
        <w:trPr>
          <w:trHeight w:val="302"/>
        </w:trPr>
        <w:tc>
          <w:tcPr>
            <w:tcW w:w="39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0AE82"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Imposta sul reddito e sostanza</w:t>
            </w:r>
          </w:p>
        </w:tc>
        <w:tc>
          <w:tcPr>
            <w:tcW w:w="3109" w:type="dxa"/>
            <w:tcBorders>
              <w:top w:val="nil"/>
              <w:left w:val="nil"/>
              <w:bottom w:val="single" w:sz="4" w:space="0" w:color="auto"/>
              <w:right w:val="single" w:sz="4" w:space="0" w:color="auto"/>
            </w:tcBorders>
            <w:shd w:val="clear" w:color="auto" w:fill="auto"/>
            <w:noWrap/>
            <w:vAlign w:val="bottom"/>
            <w:hideMark/>
          </w:tcPr>
          <w:p w14:paraId="62A37855"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                                  1'144.0 </w:t>
            </w:r>
          </w:p>
        </w:tc>
        <w:tc>
          <w:tcPr>
            <w:tcW w:w="2379" w:type="dxa"/>
            <w:tcBorders>
              <w:top w:val="nil"/>
              <w:left w:val="nil"/>
              <w:bottom w:val="single" w:sz="4" w:space="0" w:color="auto"/>
              <w:right w:val="single" w:sz="4" w:space="0" w:color="auto"/>
            </w:tcBorders>
            <w:shd w:val="clear" w:color="auto" w:fill="auto"/>
            <w:noWrap/>
            <w:vAlign w:val="bottom"/>
            <w:hideMark/>
          </w:tcPr>
          <w:p w14:paraId="344C3D2E"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                           34.3 </w:t>
            </w:r>
          </w:p>
        </w:tc>
      </w:tr>
      <w:tr w:rsidR="00E3668B" w:rsidRPr="0083229F" w14:paraId="24E79A3A" w14:textId="77777777" w:rsidTr="00040794">
        <w:trPr>
          <w:trHeight w:val="302"/>
        </w:trPr>
        <w:tc>
          <w:tcPr>
            <w:tcW w:w="3927" w:type="dxa"/>
            <w:tcBorders>
              <w:top w:val="nil"/>
              <w:left w:val="single" w:sz="4" w:space="0" w:color="auto"/>
              <w:bottom w:val="single" w:sz="4" w:space="0" w:color="auto"/>
              <w:right w:val="single" w:sz="4" w:space="0" w:color="auto"/>
            </w:tcBorders>
            <w:shd w:val="clear" w:color="auto" w:fill="auto"/>
            <w:noWrap/>
            <w:vAlign w:val="bottom"/>
            <w:hideMark/>
          </w:tcPr>
          <w:p w14:paraId="3A80E83E"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Imposta sull'utile e sul capitale </w:t>
            </w:r>
          </w:p>
        </w:tc>
        <w:tc>
          <w:tcPr>
            <w:tcW w:w="3109" w:type="dxa"/>
            <w:tcBorders>
              <w:top w:val="nil"/>
              <w:left w:val="nil"/>
              <w:bottom w:val="single" w:sz="4" w:space="0" w:color="auto"/>
              <w:right w:val="single" w:sz="4" w:space="0" w:color="auto"/>
            </w:tcBorders>
            <w:shd w:val="clear" w:color="auto" w:fill="auto"/>
            <w:noWrap/>
            <w:vAlign w:val="bottom"/>
            <w:hideMark/>
          </w:tcPr>
          <w:p w14:paraId="7E5A5C79"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                                     263.0 </w:t>
            </w:r>
          </w:p>
        </w:tc>
        <w:tc>
          <w:tcPr>
            <w:tcW w:w="2379" w:type="dxa"/>
            <w:tcBorders>
              <w:top w:val="nil"/>
              <w:left w:val="nil"/>
              <w:bottom w:val="single" w:sz="4" w:space="0" w:color="auto"/>
              <w:right w:val="single" w:sz="4" w:space="0" w:color="auto"/>
            </w:tcBorders>
            <w:shd w:val="clear" w:color="auto" w:fill="auto"/>
            <w:noWrap/>
            <w:vAlign w:val="bottom"/>
            <w:hideMark/>
          </w:tcPr>
          <w:p w14:paraId="6B9A98DF"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                             7.9 </w:t>
            </w:r>
          </w:p>
        </w:tc>
      </w:tr>
      <w:tr w:rsidR="00E3668B" w:rsidRPr="0083229F" w14:paraId="06630B9A" w14:textId="77777777" w:rsidTr="00040794">
        <w:trPr>
          <w:trHeight w:val="302"/>
        </w:trPr>
        <w:tc>
          <w:tcPr>
            <w:tcW w:w="3927" w:type="dxa"/>
            <w:tcBorders>
              <w:top w:val="nil"/>
              <w:left w:val="single" w:sz="4" w:space="0" w:color="auto"/>
              <w:bottom w:val="single" w:sz="4" w:space="0" w:color="auto"/>
              <w:right w:val="single" w:sz="4" w:space="0" w:color="auto"/>
            </w:tcBorders>
            <w:shd w:val="clear" w:color="auto" w:fill="auto"/>
            <w:noWrap/>
            <w:vAlign w:val="bottom"/>
            <w:hideMark/>
          </w:tcPr>
          <w:p w14:paraId="6414563F"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Imposta alla fonte</w:t>
            </w:r>
          </w:p>
        </w:tc>
        <w:tc>
          <w:tcPr>
            <w:tcW w:w="3109" w:type="dxa"/>
            <w:tcBorders>
              <w:top w:val="nil"/>
              <w:left w:val="nil"/>
              <w:bottom w:val="single" w:sz="4" w:space="0" w:color="auto"/>
              <w:right w:val="single" w:sz="4" w:space="0" w:color="auto"/>
            </w:tcBorders>
            <w:shd w:val="clear" w:color="auto" w:fill="auto"/>
            <w:noWrap/>
            <w:vAlign w:val="bottom"/>
            <w:hideMark/>
          </w:tcPr>
          <w:p w14:paraId="7B3D8B0C"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                                     149.4 </w:t>
            </w:r>
          </w:p>
        </w:tc>
        <w:tc>
          <w:tcPr>
            <w:tcW w:w="2379" w:type="dxa"/>
            <w:tcBorders>
              <w:top w:val="nil"/>
              <w:left w:val="nil"/>
              <w:bottom w:val="single" w:sz="4" w:space="0" w:color="auto"/>
              <w:right w:val="single" w:sz="4" w:space="0" w:color="auto"/>
            </w:tcBorders>
            <w:shd w:val="clear" w:color="auto" w:fill="auto"/>
            <w:noWrap/>
            <w:vAlign w:val="bottom"/>
            <w:hideMark/>
          </w:tcPr>
          <w:p w14:paraId="030C353D" w14:textId="77777777" w:rsidR="00E3668B" w:rsidRPr="0083229F" w:rsidRDefault="00E3668B" w:rsidP="00E3668B">
            <w:pPr>
              <w:jc w:val="left"/>
              <w:rPr>
                <w:rFonts w:asciiTheme="minorHAnsi" w:eastAsia="Times New Roman" w:hAnsiTheme="minorHAnsi" w:cstheme="minorHAnsi"/>
                <w:color w:val="000000"/>
                <w:lang w:eastAsia="it-CH"/>
              </w:rPr>
            </w:pPr>
            <w:r w:rsidRPr="0083229F">
              <w:rPr>
                <w:rFonts w:asciiTheme="minorHAnsi" w:eastAsia="Times New Roman" w:hAnsiTheme="minorHAnsi" w:cstheme="minorHAnsi"/>
                <w:color w:val="000000"/>
                <w:lang w:eastAsia="it-CH"/>
              </w:rPr>
              <w:t xml:space="preserve">                             4.5 </w:t>
            </w:r>
          </w:p>
        </w:tc>
      </w:tr>
      <w:tr w:rsidR="00E3668B" w:rsidRPr="0083229F" w14:paraId="135B29C0" w14:textId="77777777" w:rsidTr="00040794">
        <w:trPr>
          <w:trHeight w:val="302"/>
        </w:trPr>
        <w:tc>
          <w:tcPr>
            <w:tcW w:w="3927" w:type="dxa"/>
            <w:tcBorders>
              <w:top w:val="nil"/>
              <w:left w:val="single" w:sz="4" w:space="0" w:color="auto"/>
              <w:bottom w:val="single" w:sz="4" w:space="0" w:color="auto"/>
              <w:right w:val="single" w:sz="4" w:space="0" w:color="auto"/>
            </w:tcBorders>
            <w:shd w:val="clear" w:color="auto" w:fill="auto"/>
            <w:noWrap/>
            <w:vAlign w:val="bottom"/>
            <w:hideMark/>
          </w:tcPr>
          <w:p w14:paraId="20C0CD65" w14:textId="77777777" w:rsidR="00E3668B" w:rsidRPr="0083229F" w:rsidRDefault="00E3668B" w:rsidP="00E3668B">
            <w:pPr>
              <w:jc w:val="left"/>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Totale</w:t>
            </w:r>
          </w:p>
        </w:tc>
        <w:tc>
          <w:tcPr>
            <w:tcW w:w="3109" w:type="dxa"/>
            <w:tcBorders>
              <w:top w:val="nil"/>
              <w:left w:val="nil"/>
              <w:bottom w:val="single" w:sz="4" w:space="0" w:color="auto"/>
              <w:right w:val="single" w:sz="4" w:space="0" w:color="auto"/>
            </w:tcBorders>
            <w:shd w:val="clear" w:color="auto" w:fill="auto"/>
            <w:noWrap/>
            <w:vAlign w:val="bottom"/>
            <w:hideMark/>
          </w:tcPr>
          <w:p w14:paraId="1F9459E0" w14:textId="77777777" w:rsidR="00E3668B" w:rsidRPr="0083229F" w:rsidRDefault="00E3668B" w:rsidP="00E3668B">
            <w:pPr>
              <w:jc w:val="left"/>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 xml:space="preserve">                                  1'556.4 </w:t>
            </w:r>
          </w:p>
        </w:tc>
        <w:tc>
          <w:tcPr>
            <w:tcW w:w="2379" w:type="dxa"/>
            <w:tcBorders>
              <w:top w:val="nil"/>
              <w:left w:val="nil"/>
              <w:bottom w:val="single" w:sz="4" w:space="0" w:color="auto"/>
              <w:right w:val="single" w:sz="4" w:space="0" w:color="auto"/>
            </w:tcBorders>
            <w:shd w:val="clear" w:color="auto" w:fill="auto"/>
            <w:noWrap/>
            <w:vAlign w:val="bottom"/>
            <w:hideMark/>
          </w:tcPr>
          <w:p w14:paraId="1948A7D4" w14:textId="77777777" w:rsidR="00E3668B" w:rsidRPr="0083229F" w:rsidRDefault="00E3668B" w:rsidP="00E3668B">
            <w:pPr>
              <w:jc w:val="left"/>
              <w:rPr>
                <w:rFonts w:asciiTheme="minorHAnsi" w:eastAsia="Times New Roman" w:hAnsiTheme="minorHAnsi" w:cstheme="minorHAnsi"/>
                <w:b/>
                <w:bCs/>
                <w:color w:val="000000"/>
                <w:lang w:eastAsia="it-CH"/>
              </w:rPr>
            </w:pPr>
            <w:r w:rsidRPr="0083229F">
              <w:rPr>
                <w:rFonts w:asciiTheme="minorHAnsi" w:eastAsia="Times New Roman" w:hAnsiTheme="minorHAnsi" w:cstheme="minorHAnsi"/>
                <w:b/>
                <w:bCs/>
                <w:color w:val="000000"/>
                <w:lang w:eastAsia="it-CH"/>
              </w:rPr>
              <w:t xml:space="preserve">                           46.7 </w:t>
            </w:r>
          </w:p>
        </w:tc>
      </w:tr>
    </w:tbl>
    <w:p w14:paraId="2B5D6FA6" w14:textId="77777777" w:rsidR="0018088B" w:rsidRPr="0083229F" w:rsidRDefault="0018088B" w:rsidP="00DE049D">
      <w:pPr>
        <w:rPr>
          <w:sz w:val="24"/>
          <w:szCs w:val="24"/>
        </w:rPr>
      </w:pPr>
    </w:p>
    <w:p w14:paraId="5A99F078" w14:textId="0CDBBB5E" w:rsidR="006C604A" w:rsidRPr="0083229F" w:rsidRDefault="002C6330" w:rsidP="006C604A">
      <w:pPr>
        <w:rPr>
          <w:sz w:val="24"/>
          <w:szCs w:val="24"/>
        </w:rPr>
      </w:pPr>
      <w:r w:rsidRPr="0083229F">
        <w:rPr>
          <w:sz w:val="24"/>
          <w:szCs w:val="24"/>
        </w:rPr>
        <w:t>R</w:t>
      </w:r>
      <w:r w:rsidR="00FF492A" w:rsidRPr="0083229F">
        <w:rPr>
          <w:sz w:val="24"/>
          <w:szCs w:val="24"/>
        </w:rPr>
        <w:t xml:space="preserve">itenuto che le modifiche di legge oggetto </w:t>
      </w:r>
      <w:r w:rsidR="006C604A" w:rsidRPr="0083229F">
        <w:rPr>
          <w:sz w:val="24"/>
          <w:szCs w:val="24"/>
        </w:rPr>
        <w:t>di questo</w:t>
      </w:r>
      <w:r w:rsidR="00FF492A" w:rsidRPr="0083229F">
        <w:rPr>
          <w:sz w:val="24"/>
          <w:szCs w:val="24"/>
        </w:rPr>
        <w:t xml:space="preserve"> messag</w:t>
      </w:r>
      <w:r w:rsidR="006C604A" w:rsidRPr="0083229F">
        <w:rPr>
          <w:sz w:val="24"/>
          <w:szCs w:val="24"/>
        </w:rPr>
        <w:t>gio riguardano esclusivamente l’ambito della</w:t>
      </w:r>
      <w:r w:rsidR="00FF492A" w:rsidRPr="0083229F">
        <w:rPr>
          <w:sz w:val="24"/>
          <w:szCs w:val="24"/>
        </w:rPr>
        <w:t xml:space="preserve"> fiscalità delle persone fisiche</w:t>
      </w:r>
      <w:r w:rsidR="006C604A" w:rsidRPr="0083229F">
        <w:rPr>
          <w:sz w:val="24"/>
          <w:szCs w:val="24"/>
        </w:rPr>
        <w:t>, con la presente riforma vi sarà un travaso di minor gettito stimato dal settore delle persone giuridiche e degli assoggettati alla fonte al settore delle persone fisiche.</w:t>
      </w:r>
    </w:p>
    <w:p w14:paraId="66FB3069" w14:textId="77777777" w:rsidR="006C604A" w:rsidRPr="006C604A" w:rsidRDefault="006C604A" w:rsidP="006C604A">
      <w:pPr>
        <w:rPr>
          <w:sz w:val="24"/>
          <w:szCs w:val="24"/>
          <w:highlight w:val="yellow"/>
        </w:rPr>
      </w:pPr>
    </w:p>
    <w:p w14:paraId="24829A9E" w14:textId="5C5AFF2D" w:rsidR="006C604A" w:rsidRDefault="006C604A" w:rsidP="00DE049D">
      <w:pPr>
        <w:rPr>
          <w:sz w:val="24"/>
          <w:szCs w:val="24"/>
        </w:rPr>
      </w:pPr>
      <w:r w:rsidRPr="00362A92">
        <w:rPr>
          <w:sz w:val="24"/>
          <w:szCs w:val="24"/>
        </w:rPr>
        <w:t xml:space="preserve">Per </w:t>
      </w:r>
      <w:r w:rsidR="007D14DF" w:rsidRPr="00362A92">
        <w:rPr>
          <w:sz w:val="24"/>
          <w:szCs w:val="24"/>
        </w:rPr>
        <w:t xml:space="preserve">quanto riguarda </w:t>
      </w:r>
      <w:r w:rsidRPr="00362A92">
        <w:rPr>
          <w:sz w:val="24"/>
          <w:szCs w:val="24"/>
        </w:rPr>
        <w:t xml:space="preserve">le persone </w:t>
      </w:r>
      <w:r w:rsidR="007D14DF" w:rsidRPr="00362A92">
        <w:rPr>
          <w:sz w:val="24"/>
          <w:szCs w:val="24"/>
        </w:rPr>
        <w:t>giuridiche, r</w:t>
      </w:r>
      <w:r w:rsidRPr="00362A92">
        <w:rPr>
          <w:sz w:val="24"/>
          <w:szCs w:val="24"/>
        </w:rPr>
        <w:t xml:space="preserve">icordiamo tuttavia che </w:t>
      </w:r>
      <w:r w:rsidR="007D14DF" w:rsidRPr="00362A92">
        <w:rPr>
          <w:sz w:val="24"/>
          <w:szCs w:val="24"/>
        </w:rPr>
        <w:t xml:space="preserve">le stesse </w:t>
      </w:r>
      <w:r w:rsidRPr="00362A92">
        <w:rPr>
          <w:sz w:val="24"/>
          <w:szCs w:val="24"/>
        </w:rPr>
        <w:t xml:space="preserve">potranno beneficiare dal 2025 di un’importante riduzione </w:t>
      </w:r>
      <w:r w:rsidR="00BA27F2" w:rsidRPr="00362A92">
        <w:rPr>
          <w:sz w:val="24"/>
          <w:szCs w:val="24"/>
        </w:rPr>
        <w:t xml:space="preserve">– dall’attuale 8% al 5.5% - </w:t>
      </w:r>
      <w:r w:rsidRPr="00362A92">
        <w:rPr>
          <w:sz w:val="24"/>
          <w:szCs w:val="24"/>
        </w:rPr>
        <w:t>dell’aliquota dell’imposta sull’utile</w:t>
      </w:r>
      <w:r w:rsidR="00BA27F2" w:rsidRPr="00362A92">
        <w:rPr>
          <w:sz w:val="24"/>
          <w:szCs w:val="24"/>
        </w:rPr>
        <w:t xml:space="preserve">, </w:t>
      </w:r>
      <w:r w:rsidRPr="00362A92">
        <w:rPr>
          <w:sz w:val="24"/>
          <w:szCs w:val="24"/>
        </w:rPr>
        <w:t>già decisa dal Gran Consiglio contestualmente all’approvazione del Messaggio n. 7684.</w:t>
      </w:r>
    </w:p>
    <w:p w14:paraId="1C5D9A51" w14:textId="77777777" w:rsidR="006C604A" w:rsidRPr="004E2CEF" w:rsidRDefault="006C604A" w:rsidP="00DE049D">
      <w:pPr>
        <w:rPr>
          <w:sz w:val="24"/>
          <w:szCs w:val="24"/>
        </w:rPr>
      </w:pPr>
    </w:p>
    <w:p w14:paraId="413A39D7" w14:textId="583A71D6" w:rsidR="00DE049D" w:rsidRPr="004E2CEF" w:rsidRDefault="00DE049D" w:rsidP="00100005">
      <w:pPr>
        <w:pStyle w:val="CAPITOLO1"/>
      </w:pPr>
      <w:bookmarkStart w:id="2" w:name="_Toc139991869"/>
      <w:r w:rsidRPr="004E2CEF">
        <w:t>Sviluppi legislativi recenti</w:t>
      </w:r>
      <w:bookmarkEnd w:id="2"/>
    </w:p>
    <w:p w14:paraId="71C9BB67" w14:textId="77777777" w:rsidR="00DE049D" w:rsidRPr="004E2CEF" w:rsidRDefault="00DE049D" w:rsidP="00DE049D">
      <w:pPr>
        <w:rPr>
          <w:sz w:val="24"/>
          <w:szCs w:val="24"/>
        </w:rPr>
      </w:pPr>
    </w:p>
    <w:p w14:paraId="63275780" w14:textId="77777777" w:rsidR="0018088B" w:rsidRPr="004E2CEF" w:rsidRDefault="000D2E6C" w:rsidP="000D2E6C">
      <w:pPr>
        <w:rPr>
          <w:sz w:val="24"/>
          <w:szCs w:val="24"/>
        </w:rPr>
      </w:pPr>
      <w:r w:rsidRPr="004E2CEF">
        <w:rPr>
          <w:sz w:val="24"/>
          <w:szCs w:val="24"/>
        </w:rPr>
        <w:t xml:space="preserve">In data </w:t>
      </w:r>
      <w:r w:rsidR="0018088B" w:rsidRPr="004E2CEF">
        <w:rPr>
          <w:sz w:val="24"/>
          <w:szCs w:val="24"/>
        </w:rPr>
        <w:t>14 dicembre</w:t>
      </w:r>
      <w:r w:rsidRPr="004E2CEF">
        <w:rPr>
          <w:sz w:val="24"/>
          <w:szCs w:val="24"/>
        </w:rPr>
        <w:t xml:space="preserve"> 2022 </w:t>
      </w:r>
      <w:r w:rsidR="0018088B" w:rsidRPr="004E2CEF">
        <w:rPr>
          <w:sz w:val="24"/>
          <w:szCs w:val="24"/>
        </w:rPr>
        <w:t xml:space="preserve">il Gran Consiglio ha approvato il </w:t>
      </w:r>
      <w:r w:rsidR="00173743" w:rsidRPr="004E2CEF">
        <w:rPr>
          <w:sz w:val="24"/>
          <w:szCs w:val="24"/>
        </w:rPr>
        <w:t>R</w:t>
      </w:r>
      <w:r w:rsidR="0018088B" w:rsidRPr="004E2CEF">
        <w:rPr>
          <w:sz w:val="24"/>
          <w:szCs w:val="24"/>
        </w:rPr>
        <w:t xml:space="preserve">apporto </w:t>
      </w:r>
      <w:r w:rsidR="00173743" w:rsidRPr="004E2CEF">
        <w:rPr>
          <w:sz w:val="24"/>
          <w:szCs w:val="24"/>
        </w:rPr>
        <w:t xml:space="preserve">del </w:t>
      </w:r>
      <w:r w:rsidR="003C6EF9" w:rsidRPr="004E2CEF">
        <w:rPr>
          <w:sz w:val="24"/>
          <w:szCs w:val="24"/>
        </w:rPr>
        <w:t>Consiglio di Stato</w:t>
      </w:r>
      <w:r w:rsidR="00173743" w:rsidRPr="004E2CEF">
        <w:rPr>
          <w:sz w:val="24"/>
          <w:szCs w:val="24"/>
        </w:rPr>
        <w:t xml:space="preserve"> </w:t>
      </w:r>
      <w:r w:rsidR="0018088B" w:rsidRPr="004E2CEF">
        <w:rPr>
          <w:sz w:val="24"/>
          <w:szCs w:val="24"/>
        </w:rPr>
        <w:t xml:space="preserve">sull’iniziativa parlamentare presentata il 17 ottobre 2022 nella forma elaborata dai gruppi PLRT, Lega, PPD+GG (il Centro) e UDC per la modifica dell’art. 32 della Legge tributaria (cfr. </w:t>
      </w:r>
      <w:r w:rsidR="00DF3CA6" w:rsidRPr="004E2CEF">
        <w:rPr>
          <w:sz w:val="24"/>
          <w:szCs w:val="24"/>
        </w:rPr>
        <w:t>M</w:t>
      </w:r>
      <w:r w:rsidR="0018088B" w:rsidRPr="004E2CEF">
        <w:rPr>
          <w:sz w:val="24"/>
          <w:szCs w:val="24"/>
        </w:rPr>
        <w:t xml:space="preserve">essaggio n. 8207) volta </w:t>
      </w:r>
      <w:r w:rsidRPr="004E2CEF">
        <w:rPr>
          <w:sz w:val="24"/>
          <w:szCs w:val="24"/>
        </w:rPr>
        <w:t>ad introdurre una deduzione supplementare per premi di cassa malati di 1'200 franchi per ogni figlio a carico</w:t>
      </w:r>
      <w:r w:rsidR="0018088B" w:rsidRPr="004E2CEF">
        <w:rPr>
          <w:sz w:val="24"/>
          <w:szCs w:val="24"/>
        </w:rPr>
        <w:t>.</w:t>
      </w:r>
      <w:r w:rsidR="0018088B" w:rsidRPr="004E2CEF">
        <w:rPr>
          <w:rStyle w:val="Rimandonotaapidipagina"/>
          <w:sz w:val="24"/>
          <w:szCs w:val="24"/>
        </w:rPr>
        <w:footnoteReference w:id="4"/>
      </w:r>
    </w:p>
    <w:p w14:paraId="7754B7B7" w14:textId="77777777" w:rsidR="0018088B" w:rsidRPr="004E2CEF" w:rsidRDefault="0018088B" w:rsidP="000D2E6C">
      <w:pPr>
        <w:rPr>
          <w:sz w:val="24"/>
          <w:szCs w:val="24"/>
        </w:rPr>
      </w:pPr>
    </w:p>
    <w:p w14:paraId="0818EF1B" w14:textId="378AC75E" w:rsidR="00173743" w:rsidRPr="004E2CEF" w:rsidRDefault="0018088B" w:rsidP="00DE049D">
      <w:pPr>
        <w:rPr>
          <w:sz w:val="24"/>
          <w:szCs w:val="24"/>
        </w:rPr>
      </w:pPr>
      <w:r w:rsidRPr="004E2CEF">
        <w:rPr>
          <w:sz w:val="24"/>
          <w:szCs w:val="24"/>
        </w:rPr>
        <w:t xml:space="preserve">Ritenuto che </w:t>
      </w:r>
      <w:r w:rsidR="00173743" w:rsidRPr="004E2CEF">
        <w:rPr>
          <w:sz w:val="24"/>
          <w:szCs w:val="24"/>
        </w:rPr>
        <w:t>l’</w:t>
      </w:r>
      <w:r w:rsidRPr="004E2CEF">
        <w:rPr>
          <w:sz w:val="24"/>
          <w:szCs w:val="24"/>
        </w:rPr>
        <w:t>iniziativa</w:t>
      </w:r>
      <w:r w:rsidR="00173743" w:rsidRPr="004E2CEF">
        <w:rPr>
          <w:sz w:val="24"/>
          <w:szCs w:val="24"/>
        </w:rPr>
        <w:t xml:space="preserve"> in questione</w:t>
      </w:r>
      <w:r w:rsidRPr="004E2CEF">
        <w:rPr>
          <w:sz w:val="24"/>
          <w:szCs w:val="24"/>
        </w:rPr>
        <w:t>, proponendo una misura fiscale a favore delle persone fisiche, s’inseri</w:t>
      </w:r>
      <w:r w:rsidR="00526EC3" w:rsidRPr="004E2CEF">
        <w:rPr>
          <w:sz w:val="24"/>
          <w:szCs w:val="24"/>
        </w:rPr>
        <w:t>va</w:t>
      </w:r>
      <w:r w:rsidRPr="004E2CEF">
        <w:rPr>
          <w:sz w:val="24"/>
          <w:szCs w:val="24"/>
        </w:rPr>
        <w:t xml:space="preserve"> nel medesimo filone tematico oggetto della presente riforma fiscale, contestualmente al Messaggio n. 8207 il Governo aveva colto l’occasione per precisare che “</w:t>
      </w:r>
      <w:r w:rsidRPr="004E2CEF">
        <w:rPr>
          <w:i/>
          <w:sz w:val="24"/>
          <w:szCs w:val="24"/>
        </w:rPr>
        <w:t>in caso di approvazione dell’iniziativa il relativo impatto finanziario (valutato in 5.6 milioni di franchi) sarà conteggiato e dedotto dallo spazio di manovra finanziario della futura riforma generale della legge tributaria cantonale definito dal Parlamento nel 2019</w:t>
      </w:r>
      <w:r w:rsidR="00173743" w:rsidRPr="004E2CEF">
        <w:rPr>
          <w:i/>
          <w:sz w:val="24"/>
          <w:szCs w:val="24"/>
        </w:rPr>
        <w:t>. Così facendo l’impatto finanziario dell’iniziativa risulta essere in linea con i dati di Piano finanziario, con unicamente uno scostamento per quanto riguarda l’anno 2023. Quest’ultimo scostamento potrà essere compensato nell’ambito della suddetta riforma riportando questo onere su un arco di più anni (ad es</w:t>
      </w:r>
      <w:r w:rsidR="00F4328C" w:rsidRPr="004E2CEF">
        <w:rPr>
          <w:i/>
          <w:sz w:val="24"/>
          <w:szCs w:val="24"/>
        </w:rPr>
        <w:t>.</w:t>
      </w:r>
      <w:r w:rsidR="00173743" w:rsidRPr="004E2CEF">
        <w:rPr>
          <w:i/>
          <w:sz w:val="24"/>
          <w:szCs w:val="24"/>
        </w:rPr>
        <w:t xml:space="preserve"> 4 o 5 anni)</w:t>
      </w:r>
      <w:r w:rsidRPr="004E2CEF">
        <w:rPr>
          <w:i/>
          <w:sz w:val="24"/>
          <w:szCs w:val="24"/>
        </w:rPr>
        <w:t>.</w:t>
      </w:r>
      <w:r w:rsidRPr="004E2CEF">
        <w:rPr>
          <w:sz w:val="24"/>
          <w:szCs w:val="24"/>
        </w:rPr>
        <w:t>”</w:t>
      </w:r>
      <w:r w:rsidRPr="004E2CEF">
        <w:rPr>
          <w:rStyle w:val="Rimandonotaapidipagina"/>
          <w:sz w:val="24"/>
          <w:szCs w:val="24"/>
        </w:rPr>
        <w:footnoteReference w:id="5"/>
      </w:r>
      <w:r w:rsidRPr="004E2CEF">
        <w:rPr>
          <w:sz w:val="24"/>
          <w:szCs w:val="24"/>
        </w:rPr>
        <w:t xml:space="preserve"> </w:t>
      </w:r>
    </w:p>
    <w:p w14:paraId="3F998998" w14:textId="77777777" w:rsidR="00526EC3" w:rsidRPr="004E2CEF" w:rsidRDefault="00526EC3" w:rsidP="008D317C">
      <w:pPr>
        <w:rPr>
          <w:sz w:val="24"/>
          <w:szCs w:val="24"/>
        </w:rPr>
      </w:pPr>
    </w:p>
    <w:p w14:paraId="3FF751E0" w14:textId="1E8BBB01" w:rsidR="002C6330" w:rsidRDefault="00D36EB7" w:rsidP="008D317C">
      <w:pPr>
        <w:rPr>
          <w:sz w:val="24"/>
          <w:szCs w:val="24"/>
        </w:rPr>
      </w:pPr>
      <w:r w:rsidRPr="00D36EB7">
        <w:rPr>
          <w:sz w:val="24"/>
          <w:szCs w:val="24"/>
        </w:rPr>
        <w:t>Preso atto che la modifica di legge è stata approvata dal popolo lo scorso 18 giugno ed entrerà quindi in vigore retroattivamente al 1° gennaio 2023, coerentemente con quanto indicato nel Messaggio n. 8207</w:t>
      </w:r>
      <w:r w:rsidR="00D06109">
        <w:rPr>
          <w:sz w:val="24"/>
          <w:szCs w:val="24"/>
        </w:rPr>
        <w:t>,</w:t>
      </w:r>
      <w:r w:rsidRPr="00D36EB7">
        <w:rPr>
          <w:sz w:val="24"/>
          <w:szCs w:val="24"/>
        </w:rPr>
        <w:t xml:space="preserve"> dallo spazio finanziario della presente riforma è stato dedotto l’impatto finanziario dell’introduzione della deduzione aggiuntiva per oneri assicurativi per figli a carico a partire dal 2024 (valutato in 5.6 milioni) comprensivo della dilazione su 5 anni (pari a 1.1 milioni) dell’impatto relativo al 2023. L’impatto complessivo considerato è dunque di 6.7 milioni.</w:t>
      </w:r>
    </w:p>
    <w:p w14:paraId="4B3D09BA" w14:textId="77777777" w:rsidR="00D36EB7" w:rsidRPr="004E2CEF" w:rsidRDefault="00D36EB7" w:rsidP="008D317C">
      <w:pPr>
        <w:rPr>
          <w:sz w:val="24"/>
          <w:szCs w:val="24"/>
        </w:rPr>
      </w:pPr>
    </w:p>
    <w:p w14:paraId="0E0CC783" w14:textId="77777777" w:rsidR="00636566" w:rsidRPr="004E2CEF" w:rsidRDefault="00636566" w:rsidP="008D317C">
      <w:pPr>
        <w:rPr>
          <w:sz w:val="24"/>
          <w:szCs w:val="24"/>
        </w:rPr>
      </w:pPr>
    </w:p>
    <w:p w14:paraId="1B4E92E1" w14:textId="3C051E9C" w:rsidR="002503C6" w:rsidRPr="004E2CEF" w:rsidRDefault="00FD2D7B" w:rsidP="00CA41BE">
      <w:pPr>
        <w:pStyle w:val="TITOLO"/>
      </w:pPr>
      <w:bookmarkStart w:id="3" w:name="_Toc139991870"/>
      <w:r w:rsidRPr="004E2CEF">
        <w:t xml:space="preserve">LE </w:t>
      </w:r>
      <w:r w:rsidR="002503C6" w:rsidRPr="004E2CEF">
        <w:t>MISURE</w:t>
      </w:r>
      <w:r w:rsidRPr="004E2CEF">
        <w:t xml:space="preserve"> </w:t>
      </w:r>
      <w:r w:rsidR="002B1B37" w:rsidRPr="004E2CEF">
        <w:t>FISCALI PROPOSTE</w:t>
      </w:r>
      <w:bookmarkEnd w:id="3"/>
    </w:p>
    <w:p w14:paraId="3065949C" w14:textId="77777777" w:rsidR="00FD2D7B" w:rsidRPr="00D9729A" w:rsidRDefault="00FD2D7B" w:rsidP="00D9729A">
      <w:pPr>
        <w:pStyle w:val="Paragrafoelenco"/>
        <w:ind w:left="0"/>
        <w:rPr>
          <w:sz w:val="24"/>
          <w:szCs w:val="24"/>
        </w:rPr>
      </w:pPr>
    </w:p>
    <w:p w14:paraId="4402FA77" w14:textId="3AC6BC3E" w:rsidR="002218F9" w:rsidRDefault="00AA7A10" w:rsidP="006C604A">
      <w:pPr>
        <w:rPr>
          <w:sz w:val="24"/>
          <w:szCs w:val="24"/>
        </w:rPr>
      </w:pPr>
      <w:r w:rsidRPr="004E2CEF">
        <w:rPr>
          <w:sz w:val="24"/>
          <w:szCs w:val="24"/>
        </w:rPr>
        <w:t xml:space="preserve">Al fine di dar seguito al mandato parlamentare </w:t>
      </w:r>
      <w:r w:rsidR="00173743" w:rsidRPr="004E2CEF">
        <w:rPr>
          <w:sz w:val="24"/>
          <w:szCs w:val="24"/>
        </w:rPr>
        <w:t xml:space="preserve">definito dal Parlamento nel 2019, </w:t>
      </w:r>
      <w:r w:rsidR="0026024F" w:rsidRPr="004E2CEF">
        <w:rPr>
          <w:sz w:val="24"/>
          <w:szCs w:val="24"/>
        </w:rPr>
        <w:t xml:space="preserve">il </w:t>
      </w:r>
      <w:r w:rsidR="00636566" w:rsidRPr="004E2CEF">
        <w:rPr>
          <w:sz w:val="24"/>
          <w:szCs w:val="24"/>
        </w:rPr>
        <w:br/>
      </w:r>
      <w:r w:rsidR="0026024F" w:rsidRPr="004E2CEF">
        <w:rPr>
          <w:sz w:val="24"/>
          <w:szCs w:val="24"/>
        </w:rPr>
        <w:t xml:space="preserve">23 dicembre 2020 è stato costituito un </w:t>
      </w:r>
      <w:r w:rsidR="00173743" w:rsidRPr="004E2CEF">
        <w:rPr>
          <w:sz w:val="24"/>
          <w:szCs w:val="24"/>
        </w:rPr>
        <w:t xml:space="preserve">gruppo di lavoro </w:t>
      </w:r>
      <w:r w:rsidR="0026024F" w:rsidRPr="004E2CEF">
        <w:rPr>
          <w:sz w:val="24"/>
          <w:szCs w:val="24"/>
        </w:rPr>
        <w:t xml:space="preserve">tecnico </w:t>
      </w:r>
      <w:r w:rsidR="00A251C7" w:rsidRPr="004E2CEF">
        <w:rPr>
          <w:sz w:val="24"/>
          <w:szCs w:val="24"/>
        </w:rPr>
        <w:t xml:space="preserve">incaricato di valutare e analizzare possibili adeguamenti legislativi </w:t>
      </w:r>
      <w:r w:rsidR="0026024F" w:rsidRPr="004E2CEF">
        <w:rPr>
          <w:sz w:val="24"/>
          <w:szCs w:val="24"/>
        </w:rPr>
        <w:t xml:space="preserve">composto da rappresentanti del </w:t>
      </w:r>
      <w:r w:rsidR="00173743" w:rsidRPr="004E2CEF">
        <w:rPr>
          <w:sz w:val="24"/>
          <w:szCs w:val="24"/>
        </w:rPr>
        <w:t>DFE</w:t>
      </w:r>
      <w:r w:rsidR="0026024F" w:rsidRPr="004E2CEF">
        <w:rPr>
          <w:sz w:val="24"/>
          <w:szCs w:val="24"/>
        </w:rPr>
        <w:t xml:space="preserve"> e del </w:t>
      </w:r>
      <w:r w:rsidR="0026024F" w:rsidRPr="005813EF">
        <w:rPr>
          <w:sz w:val="24"/>
          <w:szCs w:val="24"/>
        </w:rPr>
        <w:t xml:space="preserve">Centro di competenze tributarie della </w:t>
      </w:r>
      <w:r w:rsidR="00173743" w:rsidRPr="005813EF">
        <w:rPr>
          <w:sz w:val="24"/>
          <w:szCs w:val="24"/>
        </w:rPr>
        <w:t>SUPSI</w:t>
      </w:r>
      <w:r w:rsidR="0026024F" w:rsidRPr="005813EF">
        <w:rPr>
          <w:sz w:val="24"/>
          <w:szCs w:val="24"/>
        </w:rPr>
        <w:t>. Riunitosi in sette occasioni tra il 2021 e il 2023, il Gruppo di lavoro ha individuato quattro ambiti di i</w:t>
      </w:r>
      <w:r w:rsidR="002218F9" w:rsidRPr="005813EF">
        <w:rPr>
          <w:sz w:val="24"/>
          <w:szCs w:val="24"/>
        </w:rPr>
        <w:t>ntervento giudicati prioritari</w:t>
      </w:r>
      <w:r w:rsidR="006C604A" w:rsidRPr="005813EF">
        <w:rPr>
          <w:sz w:val="24"/>
          <w:szCs w:val="24"/>
        </w:rPr>
        <w:t>. D</w:t>
      </w:r>
      <w:r w:rsidR="002218F9" w:rsidRPr="005813EF">
        <w:rPr>
          <w:sz w:val="24"/>
          <w:szCs w:val="24"/>
        </w:rPr>
        <w:t>ue riguardano le imposte dirette sul reddito delle persone fisiche e concernono (i) l’aumento della deduzione forfettaria per le altre spese professionali</w:t>
      </w:r>
      <w:r w:rsidR="006C604A" w:rsidRPr="005813EF">
        <w:rPr>
          <w:sz w:val="24"/>
          <w:szCs w:val="24"/>
        </w:rPr>
        <w:t xml:space="preserve"> e (iv) la riduzione dell’aliquota massima (iv), mentre altre due </w:t>
      </w:r>
      <w:r w:rsidR="002218F9" w:rsidRPr="005813EF">
        <w:rPr>
          <w:sz w:val="24"/>
          <w:szCs w:val="24"/>
        </w:rPr>
        <w:t xml:space="preserve">riguardano invece delle imposte che colpiscono i contribuenti soltanto </w:t>
      </w:r>
      <w:r w:rsidR="006B1262" w:rsidRPr="005813EF">
        <w:rPr>
          <w:sz w:val="24"/>
          <w:szCs w:val="24"/>
        </w:rPr>
        <w:t>saltuariamente</w:t>
      </w:r>
      <w:r w:rsidR="00E3668B" w:rsidRPr="005813EF">
        <w:rPr>
          <w:sz w:val="24"/>
          <w:szCs w:val="24"/>
        </w:rPr>
        <w:t xml:space="preserve"> ma in alcuni casi in modo particolarmente oneroso</w:t>
      </w:r>
      <w:r w:rsidR="002218F9" w:rsidRPr="005813EF">
        <w:rPr>
          <w:sz w:val="24"/>
          <w:szCs w:val="24"/>
        </w:rPr>
        <w:t>: (ii) l’imposta di successione e donazione e (</w:t>
      </w:r>
      <w:r w:rsidR="006C604A" w:rsidRPr="005813EF">
        <w:rPr>
          <w:sz w:val="24"/>
          <w:szCs w:val="24"/>
        </w:rPr>
        <w:t>iii</w:t>
      </w:r>
      <w:r w:rsidR="002218F9" w:rsidRPr="005813EF">
        <w:rPr>
          <w:sz w:val="24"/>
          <w:szCs w:val="24"/>
        </w:rPr>
        <w:t>) l’imposta delle prestazioni in capitale della previdenza.</w:t>
      </w:r>
      <w:r w:rsidR="002218F9" w:rsidRPr="004E2CEF">
        <w:rPr>
          <w:sz w:val="24"/>
          <w:szCs w:val="24"/>
        </w:rPr>
        <w:t xml:space="preserve"> </w:t>
      </w:r>
    </w:p>
    <w:p w14:paraId="71801535" w14:textId="5EE3A3B3" w:rsidR="00D36EB7" w:rsidRDefault="00D36EB7" w:rsidP="006C604A">
      <w:pPr>
        <w:rPr>
          <w:sz w:val="24"/>
          <w:szCs w:val="24"/>
        </w:rPr>
      </w:pPr>
    </w:p>
    <w:p w14:paraId="5E0BF985" w14:textId="7A18BF91" w:rsidR="00D36EB7" w:rsidRDefault="00D36EB7" w:rsidP="006C604A">
      <w:pPr>
        <w:rPr>
          <w:sz w:val="24"/>
          <w:szCs w:val="24"/>
        </w:rPr>
      </w:pPr>
    </w:p>
    <w:p w14:paraId="227A07B4" w14:textId="6A628FA8" w:rsidR="00D36EB7" w:rsidRDefault="00D36EB7" w:rsidP="006C604A">
      <w:pPr>
        <w:rPr>
          <w:sz w:val="24"/>
          <w:szCs w:val="24"/>
        </w:rPr>
      </w:pPr>
    </w:p>
    <w:p w14:paraId="622E17D7" w14:textId="77777777" w:rsidR="00D36EB7" w:rsidRDefault="00D36EB7" w:rsidP="006C604A">
      <w:pPr>
        <w:rPr>
          <w:sz w:val="24"/>
          <w:szCs w:val="24"/>
        </w:rPr>
      </w:pPr>
    </w:p>
    <w:p w14:paraId="74ED7668" w14:textId="450CC7C7" w:rsidR="006C604A" w:rsidRPr="00FB5ED5" w:rsidRDefault="006C604A" w:rsidP="00100005">
      <w:pPr>
        <w:pStyle w:val="CAPITOLO1"/>
        <w:numPr>
          <w:ilvl w:val="0"/>
          <w:numId w:val="30"/>
        </w:numPr>
        <w:ind w:left="851" w:hanging="851"/>
      </w:pPr>
      <w:bookmarkStart w:id="4" w:name="_Toc139991871"/>
      <w:r w:rsidRPr="00FB5ED5">
        <w:t>Aumento della deduzione forfettaria per le altre spese professionali</w:t>
      </w:r>
      <w:bookmarkEnd w:id="4"/>
    </w:p>
    <w:p w14:paraId="54E46A51" w14:textId="77777777" w:rsidR="006C604A" w:rsidRPr="004E2CEF" w:rsidRDefault="006C604A" w:rsidP="006C604A">
      <w:pPr>
        <w:pStyle w:val="StandardRisoluzionedelConsigliodiStato"/>
        <w:ind w:right="-1"/>
        <w:rPr>
          <w:szCs w:val="24"/>
        </w:rPr>
      </w:pPr>
    </w:p>
    <w:p w14:paraId="59CF8D0D" w14:textId="77777777" w:rsidR="006C604A" w:rsidRPr="00100005" w:rsidRDefault="006C604A" w:rsidP="00100005">
      <w:pPr>
        <w:pStyle w:val="CAPITOLO2"/>
      </w:pPr>
      <w:bookmarkStart w:id="5" w:name="_Toc139991872"/>
      <w:r w:rsidRPr="00100005">
        <w:t>Situazione attuale e scelte legislative</w:t>
      </w:r>
      <w:bookmarkEnd w:id="5"/>
    </w:p>
    <w:p w14:paraId="0A630D95" w14:textId="77777777" w:rsidR="006C604A" w:rsidRPr="004E2CEF" w:rsidRDefault="006C604A" w:rsidP="006C604A">
      <w:pPr>
        <w:pStyle w:val="StandardRisoluzionedelConsigliodiStato"/>
        <w:ind w:right="-1"/>
        <w:rPr>
          <w:szCs w:val="24"/>
        </w:rPr>
      </w:pPr>
    </w:p>
    <w:p w14:paraId="150CC926" w14:textId="77777777" w:rsidR="006C604A" w:rsidRPr="004E2CEF" w:rsidRDefault="006C604A" w:rsidP="006C604A">
      <w:pPr>
        <w:autoSpaceDE w:val="0"/>
        <w:autoSpaceDN w:val="0"/>
        <w:adjustRightInd w:val="0"/>
        <w:rPr>
          <w:rFonts w:asciiTheme="minorHAnsi" w:hAnsiTheme="minorHAnsi" w:cs="Tahoma"/>
          <w:sz w:val="24"/>
          <w:szCs w:val="24"/>
        </w:rPr>
      </w:pPr>
      <w:r w:rsidRPr="004E2CEF">
        <w:rPr>
          <w:rFonts w:asciiTheme="minorHAnsi" w:hAnsiTheme="minorHAnsi" w:cs="Tahoma"/>
          <w:sz w:val="24"/>
          <w:szCs w:val="24"/>
        </w:rPr>
        <w:t xml:space="preserve">I contribuenti che esercitano un’attività lucrativa dipendente possono dedurre, in maniera generale, le spese necessarie al conseguimento del reddito. Ciò include in particolare le spese di trasporto necessarie dal domicilio al luogo di lavoro, le spese supplementari necessarie per pasti fuori domicilio o in caso di lavoro a turni e le altre spese necessarie per l’esercizio della professione. </w:t>
      </w:r>
    </w:p>
    <w:p w14:paraId="268D7D3D" w14:textId="77777777" w:rsidR="006C604A" w:rsidRPr="004E2CEF" w:rsidRDefault="006C604A" w:rsidP="006C604A">
      <w:pPr>
        <w:pStyle w:val="StandardRisoluzionedelConsigliodiStato"/>
        <w:ind w:right="-1"/>
        <w:rPr>
          <w:szCs w:val="24"/>
        </w:rPr>
      </w:pPr>
    </w:p>
    <w:p w14:paraId="1D0A5D1C" w14:textId="77777777" w:rsidR="006C604A" w:rsidRPr="004E2CEF" w:rsidRDefault="006C604A" w:rsidP="006C604A">
      <w:pPr>
        <w:pStyle w:val="StandardRisoluzionedelConsigliodiStato"/>
        <w:ind w:right="-1"/>
        <w:rPr>
          <w:szCs w:val="24"/>
        </w:rPr>
      </w:pPr>
      <w:r w:rsidRPr="004E2CEF">
        <w:rPr>
          <w:szCs w:val="24"/>
        </w:rPr>
        <w:t>Quest’ultima categoria include tutte le altre spese causate dall’esercizio della professione, come ad esempio l’attrezzatura da lavoro (compreso il materiale informatico), i libri e le riviste specialistiche, gli abiti da lavoro o l’usura particolare delle scarpe e degli abiti. Tali spese sono generalmente concesse in via forfettaria, lasciando tuttavia la possibilità al contribuente di far valere – se giustificate dal profilo professionale e dettagliatamente comprovate – eventuali spese che dovessero superare l’importo forfettario.</w:t>
      </w:r>
    </w:p>
    <w:p w14:paraId="31A2CDBE" w14:textId="77777777" w:rsidR="006C604A" w:rsidRPr="004E2CEF" w:rsidRDefault="006C604A" w:rsidP="006C604A">
      <w:pPr>
        <w:pStyle w:val="StandardRisoluzionedelConsigliodiStato"/>
        <w:ind w:right="-1"/>
        <w:rPr>
          <w:szCs w:val="24"/>
        </w:rPr>
      </w:pPr>
    </w:p>
    <w:p w14:paraId="4DBBD24E" w14:textId="099D8519" w:rsidR="006C604A" w:rsidRPr="004E2CEF" w:rsidRDefault="006C604A" w:rsidP="006C604A">
      <w:pPr>
        <w:pStyle w:val="StandardRisoluzionedelConsigliodiStato"/>
        <w:ind w:right="-1"/>
        <w:rPr>
          <w:szCs w:val="24"/>
        </w:rPr>
      </w:pPr>
      <w:r w:rsidRPr="004E2CEF">
        <w:rPr>
          <w:szCs w:val="24"/>
        </w:rPr>
        <w:t xml:space="preserve">La Confederazione concede ai fini dell’imposta federale diretta (IFD) a titolo di altre spese professionali un importo forfettario calcolato sulla base del 3% del salario netto del contribuente, ritenuto un importo minimo di 2'000 franchi e un importo massimo di 4'000 franchi. Come ben visibile nella Tabella </w:t>
      </w:r>
      <w:r>
        <w:rPr>
          <w:szCs w:val="24"/>
        </w:rPr>
        <w:t>1</w:t>
      </w:r>
      <w:r w:rsidRPr="004E2CEF">
        <w:rPr>
          <w:szCs w:val="24"/>
        </w:rPr>
        <w:t xml:space="preserve"> allegata, la maggioranza dei Cantoni (15 su 26) prevede il medesimo forfait dell’IFD, mentre altri 5 Cantoni prevedono un forfait analogo ma con percentuali deducibili o importi massimi maggiori. </w:t>
      </w:r>
    </w:p>
    <w:p w14:paraId="397FE3D6" w14:textId="77777777" w:rsidR="006C604A" w:rsidRPr="004E2CEF" w:rsidRDefault="006C604A" w:rsidP="006C604A">
      <w:pPr>
        <w:pStyle w:val="StandardRisoluzionedelConsigliodiStato"/>
        <w:ind w:right="-1"/>
        <w:rPr>
          <w:szCs w:val="24"/>
        </w:rPr>
      </w:pPr>
    </w:p>
    <w:p w14:paraId="7A5458FD" w14:textId="77777777" w:rsidR="006C604A" w:rsidRPr="004E2CEF" w:rsidRDefault="006C604A" w:rsidP="006C604A">
      <w:pPr>
        <w:pStyle w:val="StandardRisoluzionedelConsigliodiStato"/>
        <w:ind w:right="-1"/>
        <w:rPr>
          <w:szCs w:val="24"/>
        </w:rPr>
      </w:pPr>
      <w:r w:rsidRPr="004E2CEF">
        <w:rPr>
          <w:szCs w:val="24"/>
        </w:rPr>
        <w:t xml:space="preserve">Il Ticino accorda in deduzione per le altre spese professionali un importo forfettario fisso di 2'500 franchi, che ne fa uno dei Cantoni meno generosi sul piano intercantonale: soltanto San Gallo, Appenzello Esterno, Ginevra e Basilea-Campagna prevedono infatti degli importi inferiori. </w:t>
      </w:r>
    </w:p>
    <w:p w14:paraId="10E6D05C" w14:textId="77777777" w:rsidR="006C604A" w:rsidRPr="004E2CEF" w:rsidRDefault="006C604A" w:rsidP="006C604A">
      <w:pPr>
        <w:pStyle w:val="StandardRisoluzionedelConsigliodiStato"/>
        <w:ind w:right="-1"/>
        <w:rPr>
          <w:szCs w:val="24"/>
        </w:rPr>
      </w:pPr>
    </w:p>
    <w:p w14:paraId="01D40303" w14:textId="2DA0BEC3" w:rsidR="006C604A" w:rsidRPr="004E2CEF" w:rsidRDefault="006C604A" w:rsidP="006C604A">
      <w:pPr>
        <w:pStyle w:val="StandardRisoluzionedelConsigliodiStato"/>
        <w:ind w:right="-1"/>
        <w:rPr>
          <w:szCs w:val="24"/>
        </w:rPr>
      </w:pPr>
      <w:r w:rsidRPr="004E2CEF">
        <w:rPr>
          <w:szCs w:val="24"/>
        </w:rPr>
        <w:t>Tenuto conto di quanto precede</w:t>
      </w:r>
      <w:r w:rsidR="008D697E">
        <w:rPr>
          <w:szCs w:val="24"/>
        </w:rPr>
        <w:t xml:space="preserve">, </w:t>
      </w:r>
      <w:r w:rsidRPr="004E2CEF">
        <w:rPr>
          <w:szCs w:val="24"/>
        </w:rPr>
        <w:t xml:space="preserve">al fine di ridurre il carico fiscale </w:t>
      </w:r>
      <w:r w:rsidR="008D697E">
        <w:rPr>
          <w:szCs w:val="24"/>
        </w:rPr>
        <w:t>de</w:t>
      </w:r>
      <w:r w:rsidRPr="004E2CEF">
        <w:rPr>
          <w:szCs w:val="24"/>
        </w:rPr>
        <w:t>i contribuenti che esercitano un’attività lucrativa dipendente</w:t>
      </w:r>
      <w:r>
        <w:rPr>
          <w:szCs w:val="24"/>
        </w:rPr>
        <w:t xml:space="preserve">, </w:t>
      </w:r>
      <w:r w:rsidRPr="004E2CEF">
        <w:rPr>
          <w:szCs w:val="24"/>
        </w:rPr>
        <w:t>lo scrivente Consiglio propone di aumentare l’importo deducibile a titolo di altre spese professionali prendendo spunto dal modello previsto per l’IFD, ma applicando dei limiti maggiori, segnatamente una percentuale dello stipendio netto del 4% (invece del 3%), ritenuto un minimo di 3'000 franchi (invece di 2'000 franchi) e un massimo di 5'000 franchi (invece di 4'000 franchi). Tale deduzione verrà ridotta proporzionalmente in caso di attività lucrativa dipendente svolta a tempo parziale o solo durante una parte dell’anno.</w:t>
      </w:r>
    </w:p>
    <w:p w14:paraId="3D84364C" w14:textId="616BBBB2" w:rsidR="006C604A" w:rsidRDefault="006C604A" w:rsidP="006C604A">
      <w:pPr>
        <w:pStyle w:val="StandardRisoluzionedelConsigliodiStato"/>
        <w:ind w:right="-1"/>
        <w:rPr>
          <w:szCs w:val="24"/>
        </w:rPr>
      </w:pPr>
    </w:p>
    <w:p w14:paraId="585EF85C" w14:textId="7EC0965A" w:rsidR="00D36EB7" w:rsidRDefault="00D36EB7" w:rsidP="00D36EB7">
      <w:pPr>
        <w:pStyle w:val="StandardRisoluzionedelConsigliodiStato"/>
        <w:ind w:right="-1"/>
        <w:rPr>
          <w:szCs w:val="24"/>
        </w:rPr>
      </w:pPr>
      <w:r w:rsidRPr="004E2CEF">
        <w:rPr>
          <w:szCs w:val="24"/>
        </w:rPr>
        <w:t xml:space="preserve">Il grafico </w:t>
      </w:r>
      <w:r>
        <w:rPr>
          <w:szCs w:val="24"/>
        </w:rPr>
        <w:t xml:space="preserve">seguente </w:t>
      </w:r>
      <w:r w:rsidRPr="004E2CEF">
        <w:rPr>
          <w:szCs w:val="24"/>
        </w:rPr>
        <w:t>illustra l’evoluzione degli importi deducibili in funzione dello stipendio netto dei contribuenti. Come si può evincere, la nuova deduzione prevista ammonta a 3'000 franchi (500 franchi in più rispetto ad oggi) fino a stipendi netti pari a 75'000 franchi, dopodiché aumenta progressivamente in funzione dello stipendio netto fino a raggiungere l’importo massimo di 5'000 franchi (ossia il doppio rispetto ad oggi) a partire da 125'000 franchi di stipendio netto. Con la nuova deduzione proposta</w:t>
      </w:r>
      <w:r>
        <w:rPr>
          <w:szCs w:val="24"/>
        </w:rPr>
        <w:t>,</w:t>
      </w:r>
      <w:r w:rsidRPr="004E2CEF">
        <w:rPr>
          <w:szCs w:val="24"/>
        </w:rPr>
        <w:t xml:space="preserve"> la totalità dei contribuenti che esercitano un’attività lucrativa dipendente potranno dedurre un importo maggiore rispetto alla situazione attuale. Si ricorda che, nel caso delle coppie con doppio reddito, entrambi i coniugi possono far valere singolarmente questa dedu</w:t>
      </w:r>
      <w:r>
        <w:rPr>
          <w:szCs w:val="24"/>
        </w:rPr>
        <w:t>zione.</w:t>
      </w:r>
    </w:p>
    <w:p w14:paraId="7D0C8370" w14:textId="41E6C859" w:rsidR="00D36EB7" w:rsidRDefault="00D36EB7" w:rsidP="006C604A">
      <w:pPr>
        <w:pStyle w:val="StandardRisoluzionedelConsigliodiStato"/>
        <w:ind w:right="-1"/>
        <w:rPr>
          <w:szCs w:val="24"/>
        </w:rPr>
      </w:pPr>
    </w:p>
    <w:p w14:paraId="4DA0CEA8" w14:textId="77777777" w:rsidR="00D36EB7" w:rsidRDefault="00D36EB7" w:rsidP="006C604A">
      <w:pPr>
        <w:pStyle w:val="StandardRisoluzionedelConsigliodiStato"/>
        <w:ind w:right="-1"/>
        <w:rPr>
          <w:szCs w:val="24"/>
        </w:rPr>
      </w:pPr>
    </w:p>
    <w:p w14:paraId="1423E1E6" w14:textId="77777777" w:rsidR="006C604A" w:rsidRPr="004E2CEF" w:rsidRDefault="006C604A" w:rsidP="006C604A">
      <w:pPr>
        <w:pStyle w:val="StandardRisoluzionedelConsigliodiStato"/>
        <w:ind w:right="-1"/>
        <w:rPr>
          <w:b/>
          <w:i/>
          <w:szCs w:val="24"/>
        </w:rPr>
      </w:pPr>
      <w:r w:rsidRPr="004E2CEF">
        <w:rPr>
          <w:b/>
          <w:i/>
          <w:szCs w:val="24"/>
        </w:rPr>
        <w:t>Evoluzione della deduzione forfettari</w:t>
      </w:r>
      <w:r>
        <w:rPr>
          <w:b/>
          <w:i/>
          <w:szCs w:val="24"/>
        </w:rPr>
        <w:t>a per altre spese professionali</w:t>
      </w:r>
    </w:p>
    <w:p w14:paraId="3F9DE855" w14:textId="77777777" w:rsidR="006C604A" w:rsidRDefault="006C604A" w:rsidP="006C604A">
      <w:pPr>
        <w:pStyle w:val="StandardRisoluzionedelConsigliodiStato"/>
        <w:ind w:right="-1"/>
        <w:rPr>
          <w:szCs w:val="24"/>
        </w:rPr>
      </w:pPr>
      <w:r w:rsidRPr="004E2CEF">
        <w:rPr>
          <w:noProof/>
          <w:lang w:eastAsia="it-CH"/>
        </w:rPr>
        <w:drawing>
          <wp:inline distT="0" distB="0" distL="0" distR="0" wp14:anchorId="1C9F8533" wp14:editId="2EC5B3DE">
            <wp:extent cx="6022975" cy="2724150"/>
            <wp:effectExtent l="0" t="0" r="15875" b="0"/>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7E6CC10" w14:textId="77777777" w:rsidR="006C604A" w:rsidRPr="004E2CEF" w:rsidRDefault="006C604A" w:rsidP="006C604A">
      <w:pPr>
        <w:pStyle w:val="StandardRisoluzionedelConsigliodiStato"/>
        <w:ind w:right="-1"/>
        <w:rPr>
          <w:szCs w:val="24"/>
        </w:rPr>
      </w:pPr>
    </w:p>
    <w:p w14:paraId="6E1991C7" w14:textId="77777777" w:rsidR="007D14DF" w:rsidRDefault="007D14DF" w:rsidP="006C604A">
      <w:pPr>
        <w:pStyle w:val="StandardRisoluzionedelConsigliodiStato"/>
        <w:ind w:right="-1"/>
        <w:rPr>
          <w:szCs w:val="24"/>
        </w:rPr>
      </w:pPr>
    </w:p>
    <w:p w14:paraId="781D52B4" w14:textId="77F4BD26" w:rsidR="006C604A" w:rsidRPr="004E2CEF" w:rsidRDefault="006C604A" w:rsidP="006C604A">
      <w:pPr>
        <w:pStyle w:val="StandardRisoluzionedelConsigliodiStato"/>
        <w:ind w:right="-1"/>
        <w:rPr>
          <w:szCs w:val="24"/>
        </w:rPr>
      </w:pPr>
      <w:r w:rsidRPr="004E2CEF">
        <w:rPr>
          <w:szCs w:val="24"/>
        </w:rPr>
        <w:t xml:space="preserve">In un’ottica di armonizzazione verticale con il diritto superiore, prevediamo altresì di adeguare il metodo di calcolo della deduzione per le altre spese professionali dell’attività accessoria, passando dall’attuale deduzione fissa di 800 franchi ad una deduzione variabile sul modello dell’IFD </w:t>
      </w:r>
      <w:r>
        <w:rPr>
          <w:szCs w:val="24"/>
        </w:rPr>
        <w:t xml:space="preserve">e della quasi totalità degli altri Cantoni (cfr. Tabella </w:t>
      </w:r>
      <w:r w:rsidR="00084A04">
        <w:rPr>
          <w:szCs w:val="24"/>
        </w:rPr>
        <w:t>2</w:t>
      </w:r>
      <w:r>
        <w:rPr>
          <w:szCs w:val="24"/>
        </w:rPr>
        <w:t xml:space="preserve"> allegata), </w:t>
      </w:r>
      <w:r w:rsidRPr="004E2CEF">
        <w:rPr>
          <w:szCs w:val="24"/>
        </w:rPr>
        <w:t>calcolata sulla base del 20% del reddito netto, ritenuto un minimo di 800 franchi e un massimo di 2'400 franchi.</w:t>
      </w:r>
    </w:p>
    <w:p w14:paraId="17FAB00A" w14:textId="77777777" w:rsidR="006C604A" w:rsidRPr="004E2CEF" w:rsidRDefault="006C604A" w:rsidP="006C604A">
      <w:pPr>
        <w:pStyle w:val="StandardRisoluzionedelConsigliodiStato"/>
        <w:ind w:right="-1"/>
        <w:rPr>
          <w:szCs w:val="24"/>
        </w:rPr>
      </w:pPr>
    </w:p>
    <w:p w14:paraId="074031CC" w14:textId="77777777" w:rsidR="006C604A" w:rsidRPr="004E2CEF" w:rsidRDefault="006C604A" w:rsidP="006C604A">
      <w:pPr>
        <w:pStyle w:val="StandardRisoluzionedelConsigliodiStato"/>
        <w:ind w:right="-1"/>
        <w:rPr>
          <w:szCs w:val="24"/>
        </w:rPr>
      </w:pPr>
      <w:r w:rsidRPr="004E2CEF">
        <w:rPr>
          <w:szCs w:val="24"/>
        </w:rPr>
        <w:t>Si precisa che l’attuazione di queste proposte non richiede una modifica di legge in senso formale in quanto, conformemente all’art. 25 cpv. 2 LT, la definizione degli importi deducibili per le spese di conseguimento del reddito rientrano nelle competenze del Consiglio di Stato. In caso di approvazione della riforma fiscale oggetto del presente Messaggio, il Consiglio di Stato procederà pertanto autonomamente ad adeguare gli importi deducibili emendando gli articoli 7 e 8 del Decreto esecutivo concernente l’imposizione delle persone fisiche 2024 nel modo che segue:</w:t>
      </w:r>
    </w:p>
    <w:p w14:paraId="44C3217F" w14:textId="77777777" w:rsidR="006C604A" w:rsidRPr="004E2CEF" w:rsidRDefault="006C604A" w:rsidP="006C604A">
      <w:pPr>
        <w:pStyle w:val="StandardRisoluzionedelConsigliodiStato"/>
        <w:ind w:right="-1"/>
        <w:rPr>
          <w:szCs w:val="24"/>
        </w:rPr>
      </w:pPr>
    </w:p>
    <w:tbl>
      <w:tblPr>
        <w:tblStyle w:val="Grigliatabella"/>
        <w:tblW w:w="0" w:type="auto"/>
        <w:tblLook w:val="04A0" w:firstRow="1" w:lastRow="0" w:firstColumn="1" w:lastColumn="0" w:noHBand="0" w:noVBand="1"/>
      </w:tblPr>
      <w:tblGrid>
        <w:gridCol w:w="4737"/>
        <w:gridCol w:w="4738"/>
      </w:tblGrid>
      <w:tr w:rsidR="006C604A" w:rsidRPr="004E2CEF" w14:paraId="7E7620E0" w14:textId="77777777" w:rsidTr="000649D7">
        <w:tc>
          <w:tcPr>
            <w:tcW w:w="4737" w:type="dxa"/>
          </w:tcPr>
          <w:p w14:paraId="0CE8DC6E" w14:textId="77777777" w:rsidR="006C604A" w:rsidRPr="00D36EB7" w:rsidRDefault="006C604A" w:rsidP="000649D7">
            <w:pPr>
              <w:pStyle w:val="StandardRisoluzionedelConsigliodiStato"/>
              <w:ind w:right="-1"/>
              <w:jc w:val="center"/>
              <w:rPr>
                <w:b/>
                <w:sz w:val="20"/>
                <w:szCs w:val="20"/>
              </w:rPr>
            </w:pPr>
            <w:r w:rsidRPr="00D36EB7">
              <w:rPr>
                <w:b/>
                <w:sz w:val="20"/>
                <w:szCs w:val="20"/>
              </w:rPr>
              <w:t>Regolamentazione attuale</w:t>
            </w:r>
          </w:p>
        </w:tc>
        <w:tc>
          <w:tcPr>
            <w:tcW w:w="4738" w:type="dxa"/>
          </w:tcPr>
          <w:p w14:paraId="5C5D32E3" w14:textId="77777777" w:rsidR="006C604A" w:rsidRPr="00D36EB7" w:rsidRDefault="006C604A" w:rsidP="000649D7">
            <w:pPr>
              <w:pStyle w:val="StandardRisoluzionedelConsigliodiStato"/>
              <w:ind w:right="-1"/>
              <w:jc w:val="center"/>
              <w:rPr>
                <w:b/>
                <w:sz w:val="20"/>
                <w:szCs w:val="20"/>
              </w:rPr>
            </w:pPr>
            <w:r w:rsidRPr="00D36EB7">
              <w:rPr>
                <w:b/>
                <w:sz w:val="20"/>
                <w:szCs w:val="20"/>
              </w:rPr>
              <w:t>Regolamentazione futura</w:t>
            </w:r>
          </w:p>
        </w:tc>
      </w:tr>
      <w:tr w:rsidR="006C604A" w:rsidRPr="004E2CEF" w14:paraId="5C5ADFF2" w14:textId="77777777" w:rsidTr="000649D7">
        <w:tc>
          <w:tcPr>
            <w:tcW w:w="4737" w:type="dxa"/>
          </w:tcPr>
          <w:p w14:paraId="14D83F98" w14:textId="77777777" w:rsidR="006C604A" w:rsidRPr="00D36EB7" w:rsidRDefault="006C604A" w:rsidP="000649D7">
            <w:pPr>
              <w:pStyle w:val="StandardRisoluzionedelConsigliodiStato"/>
              <w:ind w:right="-1"/>
              <w:rPr>
                <w:b/>
                <w:sz w:val="20"/>
                <w:szCs w:val="20"/>
              </w:rPr>
            </w:pPr>
            <w:r w:rsidRPr="00D36EB7">
              <w:rPr>
                <w:b/>
                <w:sz w:val="20"/>
                <w:szCs w:val="20"/>
              </w:rPr>
              <w:t>f) altre spese professionali</w:t>
            </w:r>
          </w:p>
          <w:p w14:paraId="470C5467" w14:textId="77777777" w:rsidR="006C604A" w:rsidRPr="00D36EB7" w:rsidRDefault="006C604A" w:rsidP="000649D7">
            <w:pPr>
              <w:pStyle w:val="StandardRisoluzionedelConsigliodiStato"/>
              <w:ind w:right="-1"/>
              <w:rPr>
                <w:b/>
                <w:sz w:val="20"/>
                <w:szCs w:val="20"/>
              </w:rPr>
            </w:pPr>
            <w:r w:rsidRPr="00D36EB7">
              <w:rPr>
                <w:b/>
                <w:sz w:val="20"/>
                <w:szCs w:val="20"/>
              </w:rPr>
              <w:t>Art. 7</w:t>
            </w:r>
          </w:p>
          <w:p w14:paraId="3F0ED75F" w14:textId="10EF5194" w:rsidR="006C604A" w:rsidRPr="00D36EB7" w:rsidRDefault="006C604A" w:rsidP="000649D7">
            <w:pPr>
              <w:pStyle w:val="StandardRisoluzionedelConsigliodiStato"/>
              <w:ind w:right="-1"/>
              <w:rPr>
                <w:sz w:val="20"/>
                <w:szCs w:val="20"/>
              </w:rPr>
            </w:pPr>
            <w:r w:rsidRPr="00D36EB7">
              <w:rPr>
                <w:sz w:val="20"/>
                <w:szCs w:val="20"/>
                <w:vertAlign w:val="superscript"/>
              </w:rPr>
              <w:t>1</w:t>
            </w:r>
            <w:r w:rsidRPr="00D36EB7">
              <w:rPr>
                <w:sz w:val="20"/>
                <w:szCs w:val="20"/>
              </w:rPr>
              <w:t>Sono considerate altre spese professionali quelle necessarie all’esercizio della professione che sono sopportate dal contribuente per l’acquisto di attrezzi e strumenti di lavoro (compresi hardware e software), di riviste e libri specializzati, per l’uso di una camera privata a scopi professionali, per abiti di lavoro, per l’usura particolare delle scarpe e degli abiti di lavoro, per lavori pesanti, ecc.</w:t>
            </w:r>
          </w:p>
          <w:p w14:paraId="48194D31" w14:textId="77777777" w:rsidR="005813EF" w:rsidRPr="00D36EB7" w:rsidRDefault="005813EF" w:rsidP="000649D7">
            <w:pPr>
              <w:pStyle w:val="StandardRisoluzionedelConsigliodiStato"/>
              <w:ind w:right="-1"/>
              <w:rPr>
                <w:sz w:val="20"/>
                <w:szCs w:val="20"/>
              </w:rPr>
            </w:pPr>
          </w:p>
          <w:p w14:paraId="5B5D46EF" w14:textId="77777777" w:rsidR="006C604A" w:rsidRPr="00D36EB7" w:rsidRDefault="006C604A" w:rsidP="000649D7">
            <w:pPr>
              <w:pStyle w:val="StandardRisoluzionedelConsigliodiStato"/>
              <w:ind w:right="-1"/>
              <w:rPr>
                <w:sz w:val="20"/>
                <w:szCs w:val="20"/>
              </w:rPr>
            </w:pPr>
            <w:r w:rsidRPr="00D36EB7">
              <w:rPr>
                <w:sz w:val="20"/>
                <w:szCs w:val="20"/>
                <w:vertAlign w:val="superscript"/>
              </w:rPr>
              <w:t>2</w:t>
            </w:r>
            <w:r w:rsidRPr="00D36EB7">
              <w:rPr>
                <w:sz w:val="20"/>
                <w:szCs w:val="20"/>
              </w:rPr>
              <w:t>La relativa deduzione è ammessa nella misura complessiva di 2’500 franchi l’anno oppure delle spese effettive; in quest’ultimo caso devono essere giustificate la totalità delle spese e la loro necessità professionale.</w:t>
            </w:r>
          </w:p>
          <w:p w14:paraId="08110266" w14:textId="382EDDE1" w:rsidR="006C604A" w:rsidRPr="00D36EB7" w:rsidRDefault="006C604A" w:rsidP="000649D7">
            <w:pPr>
              <w:pStyle w:val="StandardRisoluzionedelConsigliodiStato"/>
              <w:ind w:right="-1"/>
              <w:rPr>
                <w:sz w:val="20"/>
                <w:szCs w:val="20"/>
              </w:rPr>
            </w:pPr>
          </w:p>
          <w:p w14:paraId="7E46088A" w14:textId="77777777" w:rsidR="006C604A" w:rsidRPr="00D36EB7" w:rsidRDefault="006C604A" w:rsidP="000649D7">
            <w:pPr>
              <w:pStyle w:val="StandardRisoluzionedelConsigliodiStato"/>
              <w:ind w:right="-1"/>
              <w:rPr>
                <w:sz w:val="20"/>
                <w:szCs w:val="20"/>
              </w:rPr>
            </w:pPr>
            <w:r w:rsidRPr="00D36EB7">
              <w:rPr>
                <w:sz w:val="20"/>
                <w:szCs w:val="20"/>
                <w:vertAlign w:val="superscript"/>
              </w:rPr>
              <w:t>3</w:t>
            </w:r>
            <w:r w:rsidRPr="00D36EB7">
              <w:rPr>
                <w:sz w:val="20"/>
                <w:szCs w:val="20"/>
              </w:rPr>
              <w:t>La deduzione complessiva del capoverso 2 è dimezzata se l’attività lucrativa dipendente è esercitata per meno di 6 mesi all’anno o con un grado di occupazione inferiore al 50%.</w:t>
            </w:r>
          </w:p>
        </w:tc>
        <w:tc>
          <w:tcPr>
            <w:tcW w:w="4738" w:type="dxa"/>
          </w:tcPr>
          <w:p w14:paraId="5FC29270" w14:textId="77777777" w:rsidR="006C604A" w:rsidRPr="00D36EB7" w:rsidRDefault="006C604A" w:rsidP="000649D7">
            <w:pPr>
              <w:pStyle w:val="StandardRisoluzionedelConsigliodiStato"/>
              <w:ind w:right="-1"/>
              <w:rPr>
                <w:b/>
                <w:sz w:val="20"/>
                <w:szCs w:val="20"/>
              </w:rPr>
            </w:pPr>
            <w:r w:rsidRPr="00D36EB7">
              <w:rPr>
                <w:b/>
                <w:sz w:val="20"/>
                <w:szCs w:val="20"/>
              </w:rPr>
              <w:t>f) altre spese professionali</w:t>
            </w:r>
          </w:p>
          <w:p w14:paraId="4678B9B7" w14:textId="77777777" w:rsidR="006C604A" w:rsidRPr="00D36EB7" w:rsidRDefault="006C604A" w:rsidP="000649D7">
            <w:pPr>
              <w:pStyle w:val="StandardRisoluzionedelConsigliodiStato"/>
              <w:ind w:right="-1"/>
              <w:rPr>
                <w:b/>
                <w:sz w:val="20"/>
                <w:szCs w:val="20"/>
              </w:rPr>
            </w:pPr>
            <w:r w:rsidRPr="00D36EB7">
              <w:rPr>
                <w:b/>
                <w:sz w:val="20"/>
                <w:szCs w:val="20"/>
              </w:rPr>
              <w:t>Art. 7</w:t>
            </w:r>
          </w:p>
          <w:p w14:paraId="207971F5" w14:textId="1732EC7B" w:rsidR="006C604A" w:rsidRPr="00D36EB7" w:rsidRDefault="006C604A" w:rsidP="000649D7">
            <w:pPr>
              <w:pStyle w:val="StandardRisoluzionedelConsigliodiStato"/>
              <w:ind w:right="-1"/>
              <w:rPr>
                <w:sz w:val="20"/>
                <w:szCs w:val="20"/>
              </w:rPr>
            </w:pPr>
            <w:r w:rsidRPr="00D36EB7">
              <w:rPr>
                <w:sz w:val="20"/>
                <w:szCs w:val="20"/>
                <w:vertAlign w:val="superscript"/>
              </w:rPr>
              <w:t>1</w:t>
            </w:r>
            <w:r w:rsidRPr="00D36EB7">
              <w:rPr>
                <w:sz w:val="20"/>
                <w:szCs w:val="20"/>
              </w:rPr>
              <w:t>Sono considerate altre spese professionali quelle necessarie all’esercizio della professione che sono sopportate dal contribuente per l’acquisto di attrezzi e strumenti di lavoro (compresi hardware e software), di riviste e libri specializzati, per l’uso di una camera privata a scopi professionali, per abiti di lavoro, per l’usura particolare delle scarpe e degli abiti di lavoro, per lavori pesanti, ecc.</w:t>
            </w:r>
          </w:p>
          <w:p w14:paraId="17A6F6F7" w14:textId="77777777" w:rsidR="005813EF" w:rsidRPr="00D36EB7" w:rsidRDefault="005813EF" w:rsidP="000649D7">
            <w:pPr>
              <w:pStyle w:val="StandardRisoluzionedelConsigliodiStato"/>
              <w:ind w:right="-1"/>
              <w:rPr>
                <w:sz w:val="20"/>
                <w:szCs w:val="20"/>
              </w:rPr>
            </w:pPr>
          </w:p>
          <w:p w14:paraId="0479FD7A" w14:textId="6B23F1A1" w:rsidR="005813EF" w:rsidRPr="00D36EB7" w:rsidRDefault="006C604A" w:rsidP="000649D7">
            <w:pPr>
              <w:pStyle w:val="StandardRisoluzionedelConsigliodiStato"/>
              <w:ind w:right="-1"/>
              <w:rPr>
                <w:sz w:val="20"/>
                <w:szCs w:val="20"/>
              </w:rPr>
            </w:pPr>
            <w:r w:rsidRPr="00D36EB7">
              <w:rPr>
                <w:sz w:val="20"/>
                <w:szCs w:val="20"/>
                <w:vertAlign w:val="superscript"/>
              </w:rPr>
              <w:t>2</w:t>
            </w:r>
            <w:r w:rsidRPr="00D36EB7">
              <w:rPr>
                <w:sz w:val="20"/>
                <w:szCs w:val="20"/>
              </w:rPr>
              <w:t xml:space="preserve">La relativa deduzione </w:t>
            </w:r>
            <w:r w:rsidRPr="00D36EB7">
              <w:rPr>
                <w:color w:val="FF0000"/>
                <w:sz w:val="20"/>
                <w:szCs w:val="20"/>
              </w:rPr>
              <w:t>è pari al 4% dello stipendio netto del contribuente, ritenuto un minimo di 3'000 franchi e un massimo di 5'000 franchi,</w:t>
            </w:r>
            <w:r w:rsidRPr="00D36EB7">
              <w:rPr>
                <w:sz w:val="20"/>
                <w:szCs w:val="20"/>
              </w:rPr>
              <w:t xml:space="preserve"> oppure alle spese effettive; in quest’ultimo caso devono essere giustificate la totalità delle spese e la loro necessità professionale.</w:t>
            </w:r>
          </w:p>
          <w:p w14:paraId="6E30AC9C" w14:textId="4680A833" w:rsidR="006C604A" w:rsidRPr="00D36EB7" w:rsidRDefault="006C604A" w:rsidP="000649D7">
            <w:pPr>
              <w:pStyle w:val="StandardRisoluzionedelConsigliodiStato"/>
              <w:ind w:right="-1"/>
              <w:rPr>
                <w:sz w:val="20"/>
                <w:szCs w:val="20"/>
              </w:rPr>
            </w:pPr>
            <w:r w:rsidRPr="00D36EB7">
              <w:rPr>
                <w:sz w:val="20"/>
                <w:szCs w:val="20"/>
                <w:vertAlign w:val="superscript"/>
              </w:rPr>
              <w:t>3</w:t>
            </w:r>
            <w:r w:rsidRPr="00D36EB7">
              <w:rPr>
                <w:color w:val="FF0000"/>
                <w:sz w:val="20"/>
                <w:szCs w:val="20"/>
              </w:rPr>
              <w:t>La deduzione forfettaria va ridotta in modo proporzionale se l’attività lucrativa dipendente è esercitata solamente durante una parte dell’anno o a tempo parziale</w:t>
            </w:r>
            <w:r w:rsidRPr="00D36EB7">
              <w:rPr>
                <w:sz w:val="20"/>
                <w:szCs w:val="20"/>
              </w:rPr>
              <w:t>.</w:t>
            </w:r>
          </w:p>
        </w:tc>
      </w:tr>
      <w:tr w:rsidR="006C604A" w:rsidRPr="004E2CEF" w14:paraId="7D77CD69" w14:textId="77777777" w:rsidTr="000649D7">
        <w:tc>
          <w:tcPr>
            <w:tcW w:w="4737" w:type="dxa"/>
          </w:tcPr>
          <w:p w14:paraId="254E29BF" w14:textId="77777777" w:rsidR="006C604A" w:rsidRPr="00D36EB7" w:rsidRDefault="006C604A" w:rsidP="000649D7">
            <w:pPr>
              <w:pStyle w:val="StandardRisoluzionedelConsigliodiStato"/>
              <w:ind w:right="-1"/>
              <w:rPr>
                <w:b/>
                <w:sz w:val="20"/>
                <w:szCs w:val="20"/>
              </w:rPr>
            </w:pPr>
            <w:r w:rsidRPr="00D36EB7">
              <w:rPr>
                <w:b/>
                <w:sz w:val="20"/>
                <w:szCs w:val="20"/>
              </w:rPr>
              <w:t>g) attività accessoria</w:t>
            </w:r>
          </w:p>
          <w:p w14:paraId="42A44E44" w14:textId="77777777" w:rsidR="006C604A" w:rsidRPr="00D36EB7" w:rsidRDefault="006C604A" w:rsidP="000649D7">
            <w:pPr>
              <w:pStyle w:val="StandardRisoluzionedelConsigliodiStato"/>
              <w:ind w:right="-1"/>
              <w:rPr>
                <w:b/>
                <w:sz w:val="20"/>
                <w:szCs w:val="20"/>
              </w:rPr>
            </w:pPr>
            <w:r w:rsidRPr="00D36EB7">
              <w:rPr>
                <w:b/>
                <w:sz w:val="20"/>
                <w:szCs w:val="20"/>
              </w:rPr>
              <w:t>Art. 8</w:t>
            </w:r>
          </w:p>
          <w:p w14:paraId="345B644A" w14:textId="77777777" w:rsidR="006C604A" w:rsidRPr="00D36EB7" w:rsidRDefault="006C604A" w:rsidP="000649D7">
            <w:pPr>
              <w:pStyle w:val="StandardRisoluzionedelConsigliodiStato"/>
              <w:ind w:right="-1"/>
              <w:rPr>
                <w:sz w:val="20"/>
                <w:szCs w:val="20"/>
              </w:rPr>
            </w:pPr>
            <w:r w:rsidRPr="00D36EB7">
              <w:rPr>
                <w:sz w:val="20"/>
                <w:szCs w:val="20"/>
                <w:vertAlign w:val="superscript"/>
              </w:rPr>
              <w:t>1</w:t>
            </w:r>
            <w:r w:rsidRPr="00D36EB7">
              <w:rPr>
                <w:sz w:val="20"/>
                <w:szCs w:val="20"/>
              </w:rPr>
              <w:t>Per l’esercizio di un’attività lucrativa accessoria occasionale dipendente e in sostituzione delle spese professionali ammesse dagli articoli precedenti è accordata una deduzione complessiva di 800 franchi l’anno.</w:t>
            </w:r>
          </w:p>
          <w:p w14:paraId="31233FB4" w14:textId="77777777" w:rsidR="006C604A" w:rsidRPr="00D36EB7" w:rsidRDefault="006C604A" w:rsidP="000649D7">
            <w:pPr>
              <w:pStyle w:val="StandardRisoluzionedelConsigliodiStato"/>
              <w:ind w:right="-1"/>
              <w:rPr>
                <w:b/>
                <w:sz w:val="20"/>
                <w:szCs w:val="20"/>
              </w:rPr>
            </w:pPr>
          </w:p>
        </w:tc>
        <w:tc>
          <w:tcPr>
            <w:tcW w:w="4738" w:type="dxa"/>
          </w:tcPr>
          <w:p w14:paraId="304FA78C" w14:textId="77777777" w:rsidR="006C604A" w:rsidRPr="00D36EB7" w:rsidRDefault="006C604A" w:rsidP="000649D7">
            <w:pPr>
              <w:pStyle w:val="StandardRisoluzionedelConsigliodiStato"/>
              <w:ind w:right="-1"/>
              <w:rPr>
                <w:b/>
                <w:sz w:val="20"/>
                <w:szCs w:val="20"/>
              </w:rPr>
            </w:pPr>
            <w:r w:rsidRPr="00D36EB7">
              <w:rPr>
                <w:b/>
                <w:sz w:val="20"/>
                <w:szCs w:val="20"/>
              </w:rPr>
              <w:t>g) attività accessoria</w:t>
            </w:r>
          </w:p>
          <w:p w14:paraId="7ADB6073" w14:textId="77777777" w:rsidR="006C604A" w:rsidRPr="00D36EB7" w:rsidRDefault="006C604A" w:rsidP="000649D7">
            <w:pPr>
              <w:pStyle w:val="StandardRisoluzionedelConsigliodiStato"/>
              <w:ind w:right="-1"/>
              <w:rPr>
                <w:b/>
                <w:sz w:val="20"/>
                <w:szCs w:val="20"/>
              </w:rPr>
            </w:pPr>
            <w:r w:rsidRPr="00D36EB7">
              <w:rPr>
                <w:b/>
                <w:sz w:val="20"/>
                <w:szCs w:val="20"/>
              </w:rPr>
              <w:t>Art. 8</w:t>
            </w:r>
          </w:p>
          <w:p w14:paraId="7E4D7B15" w14:textId="6F548084" w:rsidR="006C604A" w:rsidRPr="00D36EB7" w:rsidRDefault="006C604A" w:rsidP="00100005">
            <w:pPr>
              <w:pStyle w:val="StandardRisoluzionedelConsigliodiStato"/>
              <w:ind w:right="-1"/>
              <w:rPr>
                <w:b/>
                <w:sz w:val="20"/>
                <w:szCs w:val="20"/>
              </w:rPr>
            </w:pPr>
            <w:r w:rsidRPr="00D36EB7">
              <w:rPr>
                <w:sz w:val="20"/>
                <w:szCs w:val="20"/>
                <w:vertAlign w:val="superscript"/>
              </w:rPr>
              <w:t>1</w:t>
            </w:r>
            <w:r w:rsidRPr="00D36EB7">
              <w:rPr>
                <w:sz w:val="20"/>
                <w:szCs w:val="20"/>
              </w:rPr>
              <w:t xml:space="preserve">Per l’esercizio di un’attività lucrativa accessoria occasionale dipendente e in sostituzione delle spese professionali ammesse dagli articoli precedenti è accordata una deduzione </w:t>
            </w:r>
            <w:r w:rsidRPr="00D36EB7">
              <w:rPr>
                <w:color w:val="FF0000"/>
                <w:sz w:val="20"/>
                <w:szCs w:val="20"/>
              </w:rPr>
              <w:t>pari al 20% del reddito netto del contribuente, ritenuto un minimo di 800 franchi e un massimo di 2'400 franchi</w:t>
            </w:r>
            <w:r w:rsidRPr="00D36EB7">
              <w:rPr>
                <w:sz w:val="20"/>
                <w:szCs w:val="20"/>
              </w:rPr>
              <w:t>.</w:t>
            </w:r>
          </w:p>
        </w:tc>
      </w:tr>
    </w:tbl>
    <w:p w14:paraId="78102DDA" w14:textId="77777777" w:rsidR="006C604A" w:rsidRPr="004E2CEF" w:rsidRDefault="006C604A" w:rsidP="006C604A">
      <w:pPr>
        <w:pStyle w:val="StandardRisoluzionedelConsigliodiStato"/>
        <w:ind w:right="-1"/>
        <w:rPr>
          <w:szCs w:val="24"/>
        </w:rPr>
      </w:pPr>
    </w:p>
    <w:p w14:paraId="1FBBF604" w14:textId="77777777" w:rsidR="006C604A" w:rsidRPr="004E2CEF" w:rsidRDefault="006C604A" w:rsidP="00100005">
      <w:pPr>
        <w:pStyle w:val="CAPITOLO2"/>
      </w:pPr>
      <w:bookmarkStart w:id="6" w:name="_Toc139991873"/>
      <w:r w:rsidRPr="004E2CEF">
        <w:t>Ripercussioni finanziarie</w:t>
      </w:r>
      <w:bookmarkEnd w:id="6"/>
      <w:r w:rsidRPr="004E2CEF">
        <w:t xml:space="preserve"> </w:t>
      </w:r>
    </w:p>
    <w:p w14:paraId="08D9A7A3" w14:textId="77777777" w:rsidR="006C604A" w:rsidRPr="004E2CEF" w:rsidRDefault="006C604A" w:rsidP="006C604A">
      <w:pPr>
        <w:rPr>
          <w:rFonts w:cs="Arial"/>
          <w:sz w:val="24"/>
          <w:szCs w:val="24"/>
        </w:rPr>
      </w:pPr>
    </w:p>
    <w:p w14:paraId="2100C3D3" w14:textId="74B8611C" w:rsidR="006C604A" w:rsidRPr="004E2CEF" w:rsidRDefault="006C604A" w:rsidP="006C604A">
      <w:pPr>
        <w:rPr>
          <w:rFonts w:cs="Arial"/>
          <w:sz w:val="24"/>
          <w:szCs w:val="24"/>
        </w:rPr>
      </w:pPr>
      <w:r w:rsidRPr="004E2CEF">
        <w:rPr>
          <w:rFonts w:cs="Arial"/>
          <w:sz w:val="24"/>
          <w:szCs w:val="24"/>
        </w:rPr>
        <w:t xml:space="preserve">Con riferimento ai dati fiscali 2017 attualizzati ai dati di consuntivo 2022, l’impatto finanziario dell’aumento degli importi deducibili per le altre spese professionali dell’attività lucrativa principale e accessoria è valutato in 9.1 milioni di franchi per il Cantone e in 7.3 milioni per i Comuni. Si segnala che con questo emendamento, tutti i contribuenti che esercitano un’attività lucrativa dipendente beneficeranno di un risparmio d’imposta rispetto alla situazione attuale, nonostante l’aumento del coefficiente d’imposta cantonale al 100%. Per il dettaglio dell’evoluzione dell’onere fiscale, si rimanda alla Tabella </w:t>
      </w:r>
      <w:r>
        <w:rPr>
          <w:rFonts w:cs="Arial"/>
          <w:sz w:val="24"/>
          <w:szCs w:val="24"/>
        </w:rPr>
        <w:t>3</w:t>
      </w:r>
      <w:r w:rsidRPr="004E2CEF">
        <w:rPr>
          <w:rFonts w:cs="Arial"/>
          <w:sz w:val="24"/>
          <w:szCs w:val="24"/>
        </w:rPr>
        <w:t xml:space="preserve"> allegata. </w:t>
      </w:r>
    </w:p>
    <w:p w14:paraId="3565448E" w14:textId="77777777" w:rsidR="006C604A" w:rsidRPr="004E2CEF" w:rsidRDefault="006C604A" w:rsidP="006C604A">
      <w:pPr>
        <w:rPr>
          <w:rFonts w:cs="Arial"/>
          <w:sz w:val="24"/>
          <w:szCs w:val="24"/>
        </w:rPr>
      </w:pPr>
    </w:p>
    <w:p w14:paraId="0903B955" w14:textId="77777777" w:rsidR="006C604A" w:rsidRPr="004E2CEF" w:rsidRDefault="006C604A" w:rsidP="00100005">
      <w:pPr>
        <w:pStyle w:val="CAPITOLO2"/>
      </w:pPr>
      <w:bookmarkStart w:id="7" w:name="_Toc139991874"/>
      <w:r w:rsidRPr="004E2CEF">
        <w:t>Entrata in vigore</w:t>
      </w:r>
      <w:bookmarkEnd w:id="7"/>
    </w:p>
    <w:p w14:paraId="6EE998C4" w14:textId="77777777" w:rsidR="006C604A" w:rsidRPr="004E2CEF" w:rsidRDefault="006C604A" w:rsidP="006C604A">
      <w:pPr>
        <w:rPr>
          <w:rFonts w:cs="Arial"/>
          <w:sz w:val="24"/>
          <w:szCs w:val="24"/>
        </w:rPr>
      </w:pPr>
    </w:p>
    <w:p w14:paraId="12967B76" w14:textId="77777777" w:rsidR="006C604A" w:rsidRPr="004E2CEF" w:rsidRDefault="006C604A" w:rsidP="006C604A">
      <w:pPr>
        <w:rPr>
          <w:rFonts w:cs="Arial"/>
          <w:sz w:val="24"/>
          <w:szCs w:val="24"/>
        </w:rPr>
      </w:pPr>
      <w:r w:rsidRPr="004E2CEF">
        <w:rPr>
          <w:rFonts w:cs="Arial"/>
          <w:sz w:val="24"/>
          <w:szCs w:val="24"/>
        </w:rPr>
        <w:t xml:space="preserve">Si propone l’entrata in vigore di questa misura all’1.1.2024. </w:t>
      </w:r>
    </w:p>
    <w:p w14:paraId="4594C862" w14:textId="77777777" w:rsidR="008D7FAD" w:rsidRPr="004E2CEF" w:rsidRDefault="008D7FAD" w:rsidP="006C604A">
      <w:pPr>
        <w:pStyle w:val="StandardRisoluzionedelConsigliodiStato"/>
        <w:ind w:right="-1"/>
        <w:rPr>
          <w:szCs w:val="24"/>
        </w:rPr>
      </w:pPr>
    </w:p>
    <w:p w14:paraId="6DDEAC0D" w14:textId="5A6CFCFF" w:rsidR="006C604A" w:rsidRPr="004E2CEF" w:rsidRDefault="000649D7" w:rsidP="00100005">
      <w:pPr>
        <w:pStyle w:val="CAPITOLO1"/>
        <w:numPr>
          <w:ilvl w:val="0"/>
          <w:numId w:val="30"/>
        </w:numPr>
        <w:ind w:left="851" w:hanging="851"/>
      </w:pPr>
      <w:bookmarkStart w:id="8" w:name="_Toc139991875"/>
      <w:r>
        <w:t>Riforma dell’imposta sulle successioni</w:t>
      </w:r>
      <w:r w:rsidR="006C604A" w:rsidRPr="004E2CEF">
        <w:t xml:space="preserve"> e donazion</w:t>
      </w:r>
      <w:r>
        <w:t>i</w:t>
      </w:r>
      <w:bookmarkEnd w:id="8"/>
    </w:p>
    <w:p w14:paraId="127B68C9" w14:textId="77777777" w:rsidR="006C604A" w:rsidRPr="004E2CEF" w:rsidRDefault="006C604A" w:rsidP="00100005">
      <w:pPr>
        <w:pStyle w:val="CAPITOLO1"/>
        <w:numPr>
          <w:ilvl w:val="0"/>
          <w:numId w:val="0"/>
        </w:numPr>
        <w:ind w:left="720"/>
      </w:pPr>
    </w:p>
    <w:p w14:paraId="236F9674" w14:textId="77777777" w:rsidR="006C604A" w:rsidRPr="004E2CEF" w:rsidRDefault="006C604A" w:rsidP="00100005">
      <w:pPr>
        <w:pStyle w:val="CAPITOLO2"/>
      </w:pPr>
      <w:bookmarkStart w:id="9" w:name="_Toc139991876"/>
      <w:r w:rsidRPr="004E2CEF">
        <w:t>Situazione attuale e scelte legislative</w:t>
      </w:r>
      <w:bookmarkEnd w:id="9"/>
    </w:p>
    <w:p w14:paraId="0AEB92CC" w14:textId="77777777" w:rsidR="006C604A" w:rsidRPr="004E2CEF" w:rsidRDefault="006C604A" w:rsidP="00100005">
      <w:pPr>
        <w:pStyle w:val="CAPITOLO2"/>
        <w:numPr>
          <w:ilvl w:val="0"/>
          <w:numId w:val="0"/>
        </w:numPr>
        <w:ind w:left="1080"/>
      </w:pPr>
    </w:p>
    <w:p w14:paraId="0A6B477F" w14:textId="77777777" w:rsidR="006C604A" w:rsidRPr="00100005" w:rsidRDefault="006C604A" w:rsidP="00100005">
      <w:pPr>
        <w:pStyle w:val="CAPITOLO3"/>
      </w:pPr>
      <w:bookmarkStart w:id="10" w:name="_Toc139991877"/>
      <w:r w:rsidRPr="00100005">
        <w:t>Evoluzione della situazione socio-demografica in Svizzera</w:t>
      </w:r>
      <w:bookmarkEnd w:id="10"/>
    </w:p>
    <w:p w14:paraId="50A28D21" w14:textId="77777777" w:rsidR="006C604A" w:rsidRPr="004E2CEF" w:rsidRDefault="006C604A" w:rsidP="006C604A">
      <w:pPr>
        <w:pStyle w:val="StandardRisoluzionedelConsigliodiStato"/>
        <w:ind w:right="-1"/>
        <w:rPr>
          <w:szCs w:val="24"/>
        </w:rPr>
      </w:pPr>
    </w:p>
    <w:p w14:paraId="1CE323A2" w14:textId="279DC874" w:rsidR="006C604A" w:rsidRPr="004E2CEF" w:rsidRDefault="006C604A" w:rsidP="006C604A">
      <w:pPr>
        <w:rPr>
          <w:rFonts w:cs="Arial"/>
          <w:sz w:val="24"/>
          <w:szCs w:val="24"/>
        </w:rPr>
      </w:pPr>
      <w:r w:rsidRPr="004E2CEF">
        <w:rPr>
          <w:rFonts w:cs="Arial"/>
          <w:sz w:val="24"/>
          <w:szCs w:val="24"/>
        </w:rPr>
        <w:t>Nel secolo ormai trascorso dall’entrata in vigore del Codice civile, la realtà su cui si basa il diritto successorio svizzero ha subito profonde modifiche. La situazione sociodemografica al giorno d’oggi è molto variegata rispetto al passato e l</w:t>
      </w:r>
      <w:r w:rsidR="000649D7">
        <w:rPr>
          <w:rFonts w:cs="Arial"/>
          <w:sz w:val="24"/>
          <w:szCs w:val="24"/>
        </w:rPr>
        <w:t>’aumento del numero dei divorzi</w:t>
      </w:r>
      <w:r w:rsidR="00B17DCA">
        <w:rPr>
          <w:rFonts w:cs="Arial"/>
          <w:sz w:val="24"/>
          <w:szCs w:val="24"/>
        </w:rPr>
        <w:t xml:space="preserve"> </w:t>
      </w:r>
      <w:r w:rsidRPr="004E2CEF">
        <w:rPr>
          <w:rFonts w:cs="Arial"/>
          <w:sz w:val="24"/>
          <w:szCs w:val="24"/>
        </w:rPr>
        <w:t>come anche l’aumento della speranza media di vita hanno reso più frequenti seconde e terze relazioni coniugali e di partenariato registrato</w:t>
      </w:r>
      <w:r w:rsidRPr="004E2CEF">
        <w:rPr>
          <w:rFonts w:cs="Arial"/>
          <w:sz w:val="24"/>
          <w:szCs w:val="24"/>
          <w:vertAlign w:val="superscript"/>
        </w:rPr>
        <w:footnoteReference w:id="6"/>
      </w:r>
      <w:r w:rsidRPr="004E2CEF">
        <w:rPr>
          <w:rFonts w:cs="Arial"/>
          <w:sz w:val="24"/>
          <w:szCs w:val="24"/>
          <w:vertAlign w:val="superscript"/>
        </w:rPr>
        <w:t xml:space="preserve"> </w:t>
      </w:r>
      <w:r w:rsidRPr="004E2CEF">
        <w:rPr>
          <w:rFonts w:cs="Arial"/>
          <w:sz w:val="24"/>
          <w:szCs w:val="24"/>
        </w:rPr>
        <w:t xml:space="preserve">o di fatto (spesso citato anche come “partenariato consensuale” o “concubinato”). </w:t>
      </w:r>
    </w:p>
    <w:p w14:paraId="50DAC64E" w14:textId="77777777" w:rsidR="006C604A" w:rsidRPr="004E2CEF" w:rsidRDefault="006C604A" w:rsidP="006C604A">
      <w:pPr>
        <w:rPr>
          <w:rFonts w:cs="Arial"/>
          <w:sz w:val="24"/>
          <w:szCs w:val="24"/>
        </w:rPr>
      </w:pPr>
    </w:p>
    <w:p w14:paraId="73F690F9" w14:textId="77777777" w:rsidR="006C604A" w:rsidRPr="004E2CEF" w:rsidRDefault="006C604A" w:rsidP="006C604A">
      <w:pPr>
        <w:rPr>
          <w:rFonts w:cs="Arial"/>
          <w:sz w:val="24"/>
          <w:szCs w:val="24"/>
        </w:rPr>
      </w:pPr>
      <w:r w:rsidRPr="004E2CEF">
        <w:rPr>
          <w:rFonts w:cs="Arial"/>
          <w:sz w:val="24"/>
          <w:szCs w:val="24"/>
        </w:rPr>
        <w:t>Il numero di famiglie ricomposte aumenta continuamente e spesso i figli non crescono più soltanto con i loro genitori biologici, ma anche con i/le nuovi/e coniugi o partners. In molti casi, inoltre, nella comunione domestica vivono anche i figli di questi ultimi avuti da precedenti relazioni. Nel contempo, il matrimonio non è più l’unica forma di famiglia esistente. Spesso le relazioni di coppia sono vissute senza unirsi in matrimonio, anche in presenza di figli in comune. Al giorno d'oggi, si stima che un quarto delle famiglie con figli di età inferiore ai 25 anni non ha una forma familiare tradizionale ma vive in famiglie ricomposte, in partenariati di fatto con figli comuni o in famiglie monoparentali.</w:t>
      </w:r>
      <w:r w:rsidRPr="004E2CEF">
        <w:rPr>
          <w:sz w:val="24"/>
          <w:szCs w:val="24"/>
          <w:vertAlign w:val="superscript"/>
        </w:rPr>
        <w:footnoteReference w:id="7"/>
      </w:r>
      <w:r w:rsidRPr="004E2CEF">
        <w:rPr>
          <w:rFonts w:cs="Arial"/>
          <w:sz w:val="24"/>
          <w:szCs w:val="24"/>
        </w:rPr>
        <w:t xml:space="preserve"> Di conseguenza, si viene a formare un forte divario tra la vita reale di queste nuove forme di famiglia e il diritto civile e fiscale vigente che non le riconosce o le riconosce solo in parte.  </w:t>
      </w:r>
    </w:p>
    <w:p w14:paraId="55249D36" w14:textId="77777777" w:rsidR="006C604A" w:rsidRPr="004E2CEF" w:rsidRDefault="006C604A" w:rsidP="006C604A">
      <w:pPr>
        <w:rPr>
          <w:rFonts w:cs="Arial"/>
          <w:sz w:val="24"/>
          <w:szCs w:val="24"/>
        </w:rPr>
      </w:pPr>
    </w:p>
    <w:p w14:paraId="4B436777" w14:textId="556E0085" w:rsidR="006C604A" w:rsidRPr="004E2CEF" w:rsidRDefault="006C604A" w:rsidP="006C604A">
      <w:pPr>
        <w:rPr>
          <w:sz w:val="24"/>
          <w:szCs w:val="24"/>
        </w:rPr>
      </w:pPr>
      <w:r w:rsidRPr="004E2CEF">
        <w:rPr>
          <w:rFonts w:cs="Arial"/>
          <w:sz w:val="24"/>
          <w:szCs w:val="24"/>
        </w:rPr>
        <w:t>Qui di seguito è riportata una tabella che riassume il rapporto esistente in Svizzera tra coniugi e partners consensuali, suddivisi per fascia di età</w:t>
      </w:r>
      <w:r w:rsidR="008D7FAD">
        <w:rPr>
          <w:rFonts w:cs="Arial"/>
          <w:sz w:val="24"/>
          <w:szCs w:val="24"/>
        </w:rPr>
        <w:t>:</w:t>
      </w:r>
      <w:r w:rsidRPr="004E2CEF">
        <w:rPr>
          <w:rFonts w:cs="Arial"/>
          <w:sz w:val="24"/>
          <w:szCs w:val="24"/>
        </w:rPr>
        <w:t xml:space="preserve"> </w:t>
      </w:r>
    </w:p>
    <w:p w14:paraId="73E514E6" w14:textId="77777777" w:rsidR="006C604A" w:rsidRDefault="006C604A" w:rsidP="00A555FF">
      <w:pPr>
        <w:rPr>
          <w:b/>
          <w:i/>
          <w:szCs w:val="24"/>
        </w:rPr>
      </w:pPr>
    </w:p>
    <w:p w14:paraId="365F9F23" w14:textId="77777777" w:rsidR="006C604A" w:rsidRPr="008D7FAD" w:rsidRDefault="006C604A" w:rsidP="006C604A">
      <w:pPr>
        <w:pStyle w:val="StandardRisoluzionedelConsigliodiStato"/>
        <w:ind w:right="-1"/>
        <w:rPr>
          <w:i/>
          <w:szCs w:val="24"/>
          <w:u w:val="single"/>
        </w:rPr>
      </w:pPr>
      <w:r w:rsidRPr="008D7FAD">
        <w:rPr>
          <w:i/>
          <w:szCs w:val="24"/>
          <w:u w:val="single"/>
        </w:rPr>
        <w:t xml:space="preserve">Persone sposate o conviventi, 2018 </w:t>
      </w:r>
    </w:p>
    <w:p w14:paraId="0D68C4A1" w14:textId="77777777" w:rsidR="006C604A" w:rsidRPr="004E2CEF" w:rsidRDefault="006C604A" w:rsidP="006C604A">
      <w:pPr>
        <w:pStyle w:val="StandardRisoluzionedelConsigliodiStato"/>
        <w:ind w:right="-1"/>
        <w:rPr>
          <w:szCs w:val="24"/>
        </w:rPr>
      </w:pPr>
      <w:r w:rsidRPr="004E2CEF">
        <w:rPr>
          <w:noProof/>
          <w:lang w:eastAsia="it-CH"/>
        </w:rPr>
        <w:drawing>
          <wp:inline distT="0" distB="0" distL="0" distR="0" wp14:anchorId="71922A48" wp14:editId="7D9651A0">
            <wp:extent cx="4010025" cy="3601459"/>
            <wp:effectExtent l="0" t="0" r="0" b="0"/>
            <wp:docPr id="3" name="Immagine 3" descr="F:\dir\3- Legisl. e atti parlam\Messaggi\Riforma imposte successione e donazione\Persone sposate o conviventi - 2018 _ Diagramma _ Ufficio federale di statistica_files\gr-i-01.07.02.02-COMPUTED_THUMBNAI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dir\3- Legisl. e atti parlam\Messaggi\Riforma imposte successione e donazione\Persone sposate o conviventi - 2018 _ Diagramma _ Ufficio federale di statistica_files\gr-i-01.07.02.02-COMPUTED_THUMBNAIL(1).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2059"/>
                    <a:stretch/>
                  </pic:blipFill>
                  <pic:spPr bwMode="auto">
                    <a:xfrm>
                      <a:off x="0" y="0"/>
                      <a:ext cx="4016344" cy="3607135"/>
                    </a:xfrm>
                    <a:prstGeom prst="rect">
                      <a:avLst/>
                    </a:prstGeom>
                    <a:noFill/>
                    <a:ln>
                      <a:noFill/>
                    </a:ln>
                    <a:extLst>
                      <a:ext uri="{53640926-AAD7-44D8-BBD7-CCE9431645EC}">
                        <a14:shadowObscured xmlns:a14="http://schemas.microsoft.com/office/drawing/2010/main"/>
                      </a:ext>
                    </a:extLst>
                  </pic:spPr>
                </pic:pic>
              </a:graphicData>
            </a:graphic>
          </wp:inline>
        </w:drawing>
      </w:r>
    </w:p>
    <w:p w14:paraId="5D670D11" w14:textId="43C3C236" w:rsidR="00D36EB7" w:rsidRDefault="00D36EB7" w:rsidP="008D7FAD">
      <w:pPr>
        <w:rPr>
          <w:sz w:val="24"/>
          <w:szCs w:val="24"/>
        </w:rPr>
      </w:pPr>
    </w:p>
    <w:p w14:paraId="26599366" w14:textId="77777777" w:rsidR="00E312BF" w:rsidRDefault="008D7FAD" w:rsidP="008D7FAD">
      <w:pPr>
        <w:rPr>
          <w:sz w:val="24"/>
          <w:szCs w:val="24"/>
        </w:rPr>
      </w:pPr>
      <w:r w:rsidRPr="004E2CEF">
        <w:rPr>
          <w:sz w:val="24"/>
          <w:szCs w:val="24"/>
        </w:rPr>
        <w:t>È interessante rilevare come nelle fasce di età ove generalmente si pianifica la propria vita familiare, vale a dire tra i 25 e i 44 anni, le coppie che decidono per la forma del partenariato consensuale oscilla tra il 22 e il 46% con una tendenza inversamente proporzionale all’età.</w:t>
      </w:r>
    </w:p>
    <w:p w14:paraId="2E535A13" w14:textId="77777777" w:rsidR="00E312BF" w:rsidRDefault="00E312BF" w:rsidP="008D7FAD">
      <w:pPr>
        <w:rPr>
          <w:sz w:val="24"/>
          <w:szCs w:val="24"/>
        </w:rPr>
      </w:pPr>
    </w:p>
    <w:p w14:paraId="0780EEF0" w14:textId="1C561AEB" w:rsidR="008D7FAD" w:rsidRDefault="008D7FAD" w:rsidP="008D7FAD">
      <w:pPr>
        <w:rPr>
          <w:sz w:val="24"/>
          <w:szCs w:val="24"/>
        </w:rPr>
      </w:pPr>
      <w:r w:rsidRPr="004E2CEF">
        <w:rPr>
          <w:sz w:val="24"/>
          <w:szCs w:val="24"/>
        </w:rPr>
        <w:t>Se prendiamo le coppie tra i 55 e gli 80 anni, ove probabilmente la situazione familiare risulta più consolidata che in giovane età, quelle che hanno scelto la forma del partenariato consensuale raggiungono comunque una percentuale ragguardevo</w:t>
      </w:r>
      <w:r>
        <w:rPr>
          <w:sz w:val="24"/>
          <w:szCs w:val="24"/>
        </w:rPr>
        <w:t xml:space="preserve">le che si aggira attorno al 10%. </w:t>
      </w:r>
      <w:r w:rsidRPr="004E2CEF">
        <w:rPr>
          <w:sz w:val="24"/>
          <w:szCs w:val="24"/>
        </w:rPr>
        <w:t>Si tratta pertanto di un fenomeno sociale che tocca tutte le fasce di età e che sembrerebbe ancorarsi sempre più nella nostra cultura.</w:t>
      </w:r>
    </w:p>
    <w:p w14:paraId="13E4243D" w14:textId="77777777" w:rsidR="003B0838" w:rsidRPr="004E2CEF" w:rsidRDefault="003B0838" w:rsidP="008D7FAD">
      <w:pPr>
        <w:rPr>
          <w:sz w:val="24"/>
          <w:szCs w:val="24"/>
        </w:rPr>
      </w:pPr>
    </w:p>
    <w:p w14:paraId="0C0832D4" w14:textId="77777777" w:rsidR="006C604A" w:rsidRPr="004E2CEF" w:rsidRDefault="006C604A" w:rsidP="00100005">
      <w:pPr>
        <w:pStyle w:val="CAPITOLO3"/>
      </w:pPr>
      <w:bookmarkStart w:id="11" w:name="_Toc139991878"/>
      <w:r w:rsidRPr="004E2CEF">
        <w:t>Primo pacchetto di riforma del diritto civile successorio</w:t>
      </w:r>
      <w:bookmarkEnd w:id="11"/>
    </w:p>
    <w:p w14:paraId="31929754" w14:textId="77777777" w:rsidR="006C604A" w:rsidRPr="004E2CEF" w:rsidRDefault="006C604A" w:rsidP="006C604A">
      <w:pPr>
        <w:rPr>
          <w:sz w:val="24"/>
          <w:szCs w:val="24"/>
          <w:u w:val="single"/>
        </w:rPr>
      </w:pPr>
    </w:p>
    <w:p w14:paraId="5FC440B7" w14:textId="43E1374C" w:rsidR="006C604A" w:rsidRPr="007761BE" w:rsidRDefault="006C604A" w:rsidP="006C604A">
      <w:pPr>
        <w:rPr>
          <w:sz w:val="24"/>
          <w:szCs w:val="24"/>
        </w:rPr>
      </w:pPr>
      <w:r w:rsidRPr="004E2CEF">
        <w:rPr>
          <w:sz w:val="24"/>
          <w:szCs w:val="24"/>
        </w:rPr>
        <w:t>Per cercare di fornire una risposta, dal punto di vista giuridico, a questo forte mutamento sociale, il Parlamento federale ha recentemente approvato e messo in vigore in data 1. gennaio 2023 un primo pacchetto di adeguamenti del diritto successorio svizzero che fa seguito a una mozione del 17 giugno 2010 del consigliere agli Stati Gutzwiler (n. 10.3524). Al centro di questa revisione vi è la riduzione della porzione legittima e l’abolizione della stessa in caso di genitori eredi, con il conseguente ampliamento della quota a libera disposizione del disponente (</w:t>
      </w:r>
      <w:r w:rsidRPr="004E2CEF">
        <w:rPr>
          <w:i/>
          <w:sz w:val="24"/>
          <w:szCs w:val="24"/>
        </w:rPr>
        <w:t>de cujus</w:t>
      </w:r>
      <w:r w:rsidRPr="004E2CEF">
        <w:rPr>
          <w:sz w:val="24"/>
          <w:szCs w:val="24"/>
        </w:rPr>
        <w:t>)</w:t>
      </w:r>
      <w:r w:rsidR="008D7FAD">
        <w:rPr>
          <w:sz w:val="24"/>
          <w:szCs w:val="24"/>
        </w:rPr>
        <w:t xml:space="preserve">, il quale aumenta il suo margine di manovra in ambito di pianificazione successoria. </w:t>
      </w:r>
      <w:r w:rsidRPr="004E2CEF">
        <w:rPr>
          <w:sz w:val="24"/>
          <w:szCs w:val="24"/>
        </w:rPr>
        <w:t>Da notare che questa prima revisione del diritto successorio, pur concedendo maggiore libertà al disponente, non introduce ancora la parità di trattamento a livello di diritto civile tra coniugi e partners registrati da una parte e coppie non sposate dall’altra.</w:t>
      </w:r>
    </w:p>
    <w:p w14:paraId="06F38619" w14:textId="77777777" w:rsidR="006C604A" w:rsidRPr="004E2CEF" w:rsidRDefault="006C604A" w:rsidP="006C604A">
      <w:pPr>
        <w:rPr>
          <w:sz w:val="24"/>
          <w:szCs w:val="24"/>
          <w:u w:val="single"/>
        </w:rPr>
      </w:pPr>
    </w:p>
    <w:p w14:paraId="476C29D9" w14:textId="77777777" w:rsidR="006C604A" w:rsidRPr="004E2CEF" w:rsidRDefault="006C604A" w:rsidP="006C604A">
      <w:pPr>
        <w:pStyle w:val="Default"/>
        <w:rPr>
          <w:u w:val="single"/>
        </w:rPr>
      </w:pPr>
      <w:r w:rsidRPr="004E2CEF">
        <w:rPr>
          <w:u w:val="single"/>
        </w:rPr>
        <w:t>Raffigurazione della quota ereditaria legale e della</w:t>
      </w:r>
      <w:r w:rsidRPr="004E2CEF">
        <w:rPr>
          <w:b/>
          <w:u w:val="single"/>
        </w:rPr>
        <w:t xml:space="preserve"> </w:t>
      </w:r>
      <w:r w:rsidRPr="004E2CEF">
        <w:rPr>
          <w:u w:val="single"/>
        </w:rPr>
        <w:t>porzione legittima sino al 31.12.2022</w:t>
      </w:r>
    </w:p>
    <w:p w14:paraId="1B8E4F96" w14:textId="77777777" w:rsidR="006C604A" w:rsidRPr="004E2CEF" w:rsidRDefault="006C604A" w:rsidP="006C604A">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2948"/>
        <w:gridCol w:w="2948"/>
        <w:gridCol w:w="2948"/>
      </w:tblGrid>
      <w:tr w:rsidR="006C604A" w:rsidRPr="004E2CEF" w14:paraId="661985CA" w14:textId="77777777" w:rsidTr="000649D7">
        <w:trPr>
          <w:trHeight w:val="355"/>
        </w:trPr>
        <w:tc>
          <w:tcPr>
            <w:tcW w:w="2948" w:type="dxa"/>
          </w:tcPr>
          <w:p w14:paraId="3D8FFA98" w14:textId="77777777" w:rsidR="006C604A" w:rsidRPr="004E2CEF" w:rsidRDefault="006C604A" w:rsidP="000649D7">
            <w:pPr>
              <w:pStyle w:val="Default"/>
              <w:rPr>
                <w:sz w:val="16"/>
                <w:szCs w:val="16"/>
              </w:rPr>
            </w:pPr>
            <w:r w:rsidRPr="004E2CEF">
              <w:t xml:space="preserve"> </w:t>
            </w:r>
            <w:r w:rsidRPr="004E2CEF">
              <w:rPr>
                <w:b/>
                <w:bCs/>
                <w:sz w:val="16"/>
                <w:szCs w:val="16"/>
              </w:rPr>
              <w:t xml:space="preserve">Eredi legali </w:t>
            </w:r>
          </w:p>
        </w:tc>
        <w:tc>
          <w:tcPr>
            <w:tcW w:w="2948" w:type="dxa"/>
          </w:tcPr>
          <w:p w14:paraId="578D6F89" w14:textId="77777777" w:rsidR="006C604A" w:rsidRPr="004E2CEF" w:rsidRDefault="006C604A" w:rsidP="000649D7">
            <w:pPr>
              <w:pStyle w:val="Default"/>
              <w:rPr>
                <w:sz w:val="16"/>
                <w:szCs w:val="16"/>
              </w:rPr>
            </w:pPr>
            <w:r w:rsidRPr="004E2CEF">
              <w:rPr>
                <w:b/>
                <w:bCs/>
                <w:sz w:val="16"/>
                <w:szCs w:val="16"/>
              </w:rPr>
              <w:t xml:space="preserve">Quota ereditaria legale (in frazioni della successione) </w:t>
            </w:r>
          </w:p>
        </w:tc>
        <w:tc>
          <w:tcPr>
            <w:tcW w:w="2948" w:type="dxa"/>
          </w:tcPr>
          <w:p w14:paraId="67FCBE32" w14:textId="77777777" w:rsidR="006C604A" w:rsidRPr="004E2CEF" w:rsidRDefault="006C604A" w:rsidP="000649D7">
            <w:pPr>
              <w:pStyle w:val="Default"/>
              <w:rPr>
                <w:sz w:val="16"/>
                <w:szCs w:val="16"/>
              </w:rPr>
            </w:pPr>
            <w:r w:rsidRPr="004E2CEF">
              <w:rPr>
                <w:b/>
                <w:bCs/>
                <w:sz w:val="16"/>
                <w:szCs w:val="16"/>
              </w:rPr>
              <w:t xml:space="preserve">Porzione legittima (in frazioni della quota ereditaria legale) </w:t>
            </w:r>
          </w:p>
        </w:tc>
      </w:tr>
      <w:tr w:rsidR="006C604A" w:rsidRPr="004E2CEF" w14:paraId="481B2D73" w14:textId="77777777" w:rsidTr="000649D7">
        <w:trPr>
          <w:trHeight w:val="217"/>
        </w:trPr>
        <w:tc>
          <w:tcPr>
            <w:tcW w:w="2948" w:type="dxa"/>
          </w:tcPr>
          <w:p w14:paraId="7C2E795C" w14:textId="77777777" w:rsidR="006C604A" w:rsidRPr="004E2CEF" w:rsidRDefault="006C604A" w:rsidP="000649D7">
            <w:pPr>
              <w:pStyle w:val="Default"/>
              <w:rPr>
                <w:sz w:val="16"/>
                <w:szCs w:val="16"/>
              </w:rPr>
            </w:pPr>
            <w:r w:rsidRPr="004E2CEF">
              <w:rPr>
                <w:b/>
                <w:bCs/>
                <w:sz w:val="16"/>
                <w:szCs w:val="16"/>
              </w:rPr>
              <w:t xml:space="preserve">Discendenti </w:t>
            </w:r>
            <w:r w:rsidRPr="004E2CEF">
              <w:rPr>
                <w:sz w:val="16"/>
                <w:szCs w:val="16"/>
              </w:rPr>
              <w:t xml:space="preserve">(se il defunto non ha un coniuge/un partner registrato) </w:t>
            </w:r>
          </w:p>
        </w:tc>
        <w:tc>
          <w:tcPr>
            <w:tcW w:w="2948" w:type="dxa"/>
          </w:tcPr>
          <w:p w14:paraId="1DF2BC9B" w14:textId="77777777" w:rsidR="006C604A" w:rsidRPr="004E2CEF" w:rsidRDefault="006C604A" w:rsidP="000649D7">
            <w:pPr>
              <w:pStyle w:val="Default"/>
              <w:rPr>
                <w:sz w:val="16"/>
                <w:szCs w:val="16"/>
              </w:rPr>
            </w:pPr>
            <w:r w:rsidRPr="004E2CEF">
              <w:rPr>
                <w:sz w:val="16"/>
                <w:szCs w:val="16"/>
              </w:rPr>
              <w:t xml:space="preserve">1 </w:t>
            </w:r>
          </w:p>
        </w:tc>
        <w:tc>
          <w:tcPr>
            <w:tcW w:w="2948" w:type="dxa"/>
          </w:tcPr>
          <w:p w14:paraId="043A354B" w14:textId="77777777" w:rsidR="006C604A" w:rsidRPr="004E2CEF" w:rsidRDefault="006C604A" w:rsidP="000649D7">
            <w:pPr>
              <w:pStyle w:val="Default"/>
              <w:rPr>
                <w:sz w:val="16"/>
                <w:szCs w:val="16"/>
              </w:rPr>
            </w:pPr>
            <w:r w:rsidRPr="004E2CEF">
              <w:rPr>
                <w:sz w:val="16"/>
                <w:szCs w:val="16"/>
              </w:rPr>
              <w:t xml:space="preserve">3/4 della successione </w:t>
            </w:r>
          </w:p>
        </w:tc>
      </w:tr>
      <w:tr w:rsidR="006C604A" w:rsidRPr="004E2CEF" w14:paraId="615961B3" w14:textId="77777777" w:rsidTr="000649D7">
        <w:trPr>
          <w:trHeight w:val="217"/>
        </w:trPr>
        <w:tc>
          <w:tcPr>
            <w:tcW w:w="2948" w:type="dxa"/>
          </w:tcPr>
          <w:p w14:paraId="55AB7F40" w14:textId="77777777" w:rsidR="006C604A" w:rsidRPr="004E2CEF" w:rsidRDefault="006C604A" w:rsidP="000649D7">
            <w:pPr>
              <w:pStyle w:val="Default"/>
              <w:rPr>
                <w:sz w:val="16"/>
                <w:szCs w:val="16"/>
              </w:rPr>
            </w:pPr>
            <w:r w:rsidRPr="004E2CEF">
              <w:rPr>
                <w:b/>
                <w:bCs/>
                <w:sz w:val="16"/>
                <w:szCs w:val="16"/>
              </w:rPr>
              <w:t xml:space="preserve">Discendenti </w:t>
            </w:r>
            <w:r w:rsidRPr="004E2CEF">
              <w:rPr>
                <w:sz w:val="16"/>
                <w:szCs w:val="16"/>
              </w:rPr>
              <w:t xml:space="preserve">(se il defunto ha un coniuge/un partner registrato) </w:t>
            </w:r>
          </w:p>
        </w:tc>
        <w:tc>
          <w:tcPr>
            <w:tcW w:w="2948" w:type="dxa"/>
          </w:tcPr>
          <w:p w14:paraId="2F3D985C" w14:textId="77777777" w:rsidR="006C604A" w:rsidRPr="004E2CEF" w:rsidRDefault="006C604A" w:rsidP="000649D7">
            <w:pPr>
              <w:pStyle w:val="Default"/>
              <w:rPr>
                <w:sz w:val="16"/>
                <w:szCs w:val="16"/>
              </w:rPr>
            </w:pPr>
            <w:r w:rsidRPr="004E2CEF">
              <w:rPr>
                <w:sz w:val="16"/>
                <w:szCs w:val="16"/>
              </w:rPr>
              <w:t xml:space="preserve">1/2 </w:t>
            </w:r>
          </w:p>
        </w:tc>
        <w:tc>
          <w:tcPr>
            <w:tcW w:w="2948" w:type="dxa"/>
          </w:tcPr>
          <w:p w14:paraId="690AE0A7" w14:textId="77777777" w:rsidR="006C604A" w:rsidRPr="004E2CEF" w:rsidRDefault="006C604A" w:rsidP="000649D7">
            <w:pPr>
              <w:pStyle w:val="Default"/>
              <w:rPr>
                <w:sz w:val="16"/>
                <w:szCs w:val="16"/>
              </w:rPr>
            </w:pPr>
            <w:r w:rsidRPr="004E2CEF">
              <w:rPr>
                <w:sz w:val="16"/>
                <w:szCs w:val="16"/>
              </w:rPr>
              <w:t xml:space="preserve">3/4 (3/8 della successione) </w:t>
            </w:r>
          </w:p>
        </w:tc>
      </w:tr>
      <w:tr w:rsidR="006C604A" w:rsidRPr="004E2CEF" w14:paraId="7CBAF74B" w14:textId="77777777" w:rsidTr="000649D7">
        <w:trPr>
          <w:trHeight w:val="217"/>
        </w:trPr>
        <w:tc>
          <w:tcPr>
            <w:tcW w:w="2948" w:type="dxa"/>
          </w:tcPr>
          <w:p w14:paraId="3D05F39C" w14:textId="77777777" w:rsidR="006C604A" w:rsidRPr="004E2CEF" w:rsidRDefault="006C604A" w:rsidP="000649D7">
            <w:pPr>
              <w:pStyle w:val="Default"/>
              <w:rPr>
                <w:sz w:val="16"/>
                <w:szCs w:val="16"/>
              </w:rPr>
            </w:pPr>
            <w:r w:rsidRPr="004E2CEF">
              <w:rPr>
                <w:b/>
                <w:bCs/>
                <w:sz w:val="16"/>
                <w:szCs w:val="16"/>
              </w:rPr>
              <w:t xml:space="preserve">Coniuge/partner registrato </w:t>
            </w:r>
            <w:r w:rsidRPr="004E2CEF">
              <w:rPr>
                <w:sz w:val="16"/>
                <w:szCs w:val="16"/>
              </w:rPr>
              <w:t xml:space="preserve">(se il defunto ha discendenti) </w:t>
            </w:r>
          </w:p>
        </w:tc>
        <w:tc>
          <w:tcPr>
            <w:tcW w:w="2948" w:type="dxa"/>
          </w:tcPr>
          <w:p w14:paraId="285F6A82" w14:textId="77777777" w:rsidR="006C604A" w:rsidRPr="004E2CEF" w:rsidRDefault="006C604A" w:rsidP="000649D7">
            <w:pPr>
              <w:pStyle w:val="Default"/>
              <w:rPr>
                <w:sz w:val="16"/>
                <w:szCs w:val="16"/>
              </w:rPr>
            </w:pPr>
            <w:r w:rsidRPr="004E2CEF">
              <w:rPr>
                <w:sz w:val="16"/>
                <w:szCs w:val="16"/>
              </w:rPr>
              <w:t xml:space="preserve">1/2 </w:t>
            </w:r>
          </w:p>
        </w:tc>
        <w:tc>
          <w:tcPr>
            <w:tcW w:w="2948" w:type="dxa"/>
          </w:tcPr>
          <w:p w14:paraId="6F85D7F6" w14:textId="77777777" w:rsidR="006C604A" w:rsidRPr="004E2CEF" w:rsidRDefault="006C604A" w:rsidP="000649D7">
            <w:pPr>
              <w:pStyle w:val="Default"/>
              <w:rPr>
                <w:sz w:val="16"/>
                <w:szCs w:val="16"/>
              </w:rPr>
            </w:pPr>
            <w:r w:rsidRPr="004E2CEF">
              <w:rPr>
                <w:sz w:val="16"/>
                <w:szCs w:val="16"/>
              </w:rPr>
              <w:t xml:space="preserve">1/2 (1/4 della successione) </w:t>
            </w:r>
          </w:p>
        </w:tc>
      </w:tr>
      <w:tr w:rsidR="006C604A" w:rsidRPr="004E2CEF" w14:paraId="3E6CB8EB" w14:textId="77777777" w:rsidTr="000649D7">
        <w:trPr>
          <w:trHeight w:val="217"/>
        </w:trPr>
        <w:tc>
          <w:tcPr>
            <w:tcW w:w="2948" w:type="dxa"/>
          </w:tcPr>
          <w:p w14:paraId="2BADED10" w14:textId="77777777" w:rsidR="006C604A" w:rsidRPr="004E2CEF" w:rsidRDefault="006C604A" w:rsidP="000649D7">
            <w:pPr>
              <w:pStyle w:val="Default"/>
              <w:rPr>
                <w:sz w:val="16"/>
                <w:szCs w:val="16"/>
              </w:rPr>
            </w:pPr>
            <w:r w:rsidRPr="004E2CEF">
              <w:rPr>
                <w:b/>
                <w:bCs/>
                <w:sz w:val="16"/>
                <w:szCs w:val="16"/>
              </w:rPr>
              <w:t>Coniuge/partner registrato (</w:t>
            </w:r>
            <w:r w:rsidRPr="004E2CEF">
              <w:rPr>
                <w:sz w:val="16"/>
                <w:szCs w:val="16"/>
              </w:rPr>
              <w:t xml:space="preserve">se il defunto non ha discendenti ma ha genitori) </w:t>
            </w:r>
          </w:p>
        </w:tc>
        <w:tc>
          <w:tcPr>
            <w:tcW w:w="2948" w:type="dxa"/>
          </w:tcPr>
          <w:p w14:paraId="4A6C392E" w14:textId="77777777" w:rsidR="006C604A" w:rsidRPr="004E2CEF" w:rsidRDefault="006C604A" w:rsidP="000649D7">
            <w:pPr>
              <w:pStyle w:val="Default"/>
              <w:rPr>
                <w:sz w:val="16"/>
                <w:szCs w:val="16"/>
              </w:rPr>
            </w:pPr>
            <w:r w:rsidRPr="004E2CEF">
              <w:rPr>
                <w:sz w:val="16"/>
                <w:szCs w:val="16"/>
              </w:rPr>
              <w:t xml:space="preserve">3/4 </w:t>
            </w:r>
          </w:p>
        </w:tc>
        <w:tc>
          <w:tcPr>
            <w:tcW w:w="2948" w:type="dxa"/>
          </w:tcPr>
          <w:p w14:paraId="34DA86A8" w14:textId="77777777" w:rsidR="006C604A" w:rsidRPr="004E2CEF" w:rsidRDefault="006C604A" w:rsidP="000649D7">
            <w:pPr>
              <w:pStyle w:val="Default"/>
              <w:rPr>
                <w:sz w:val="16"/>
                <w:szCs w:val="16"/>
              </w:rPr>
            </w:pPr>
            <w:r w:rsidRPr="004E2CEF">
              <w:rPr>
                <w:sz w:val="16"/>
                <w:szCs w:val="16"/>
              </w:rPr>
              <w:t xml:space="preserve">1/2 (3/8 della successione) </w:t>
            </w:r>
          </w:p>
        </w:tc>
      </w:tr>
      <w:tr w:rsidR="006C604A" w:rsidRPr="004E2CEF" w14:paraId="2D29FF8E" w14:textId="77777777" w:rsidTr="000649D7">
        <w:trPr>
          <w:trHeight w:val="217"/>
        </w:trPr>
        <w:tc>
          <w:tcPr>
            <w:tcW w:w="2948" w:type="dxa"/>
          </w:tcPr>
          <w:p w14:paraId="6BFED9B3" w14:textId="77777777" w:rsidR="006C604A" w:rsidRPr="004E2CEF" w:rsidRDefault="006C604A" w:rsidP="000649D7">
            <w:pPr>
              <w:pStyle w:val="Default"/>
              <w:rPr>
                <w:sz w:val="16"/>
                <w:szCs w:val="16"/>
              </w:rPr>
            </w:pPr>
            <w:r w:rsidRPr="004E2CEF">
              <w:rPr>
                <w:b/>
                <w:bCs/>
                <w:sz w:val="16"/>
                <w:szCs w:val="16"/>
              </w:rPr>
              <w:t xml:space="preserve">Genitori </w:t>
            </w:r>
            <w:r w:rsidRPr="004E2CEF">
              <w:rPr>
                <w:sz w:val="16"/>
                <w:szCs w:val="16"/>
              </w:rPr>
              <w:t xml:space="preserve">(se il defunto non ha discendenti ma ha un coniuge/un partner registrato) </w:t>
            </w:r>
          </w:p>
        </w:tc>
        <w:tc>
          <w:tcPr>
            <w:tcW w:w="2948" w:type="dxa"/>
          </w:tcPr>
          <w:p w14:paraId="2AF28910" w14:textId="77777777" w:rsidR="006C604A" w:rsidRPr="004E2CEF" w:rsidRDefault="006C604A" w:rsidP="000649D7">
            <w:pPr>
              <w:pStyle w:val="Default"/>
              <w:rPr>
                <w:sz w:val="16"/>
                <w:szCs w:val="16"/>
              </w:rPr>
            </w:pPr>
            <w:r w:rsidRPr="004E2CEF">
              <w:rPr>
                <w:sz w:val="16"/>
                <w:szCs w:val="16"/>
              </w:rPr>
              <w:t xml:space="preserve">1/4 </w:t>
            </w:r>
          </w:p>
        </w:tc>
        <w:tc>
          <w:tcPr>
            <w:tcW w:w="2948" w:type="dxa"/>
          </w:tcPr>
          <w:p w14:paraId="3580E6FB" w14:textId="77777777" w:rsidR="006C604A" w:rsidRPr="004E2CEF" w:rsidRDefault="006C604A" w:rsidP="000649D7">
            <w:pPr>
              <w:pStyle w:val="Default"/>
              <w:rPr>
                <w:sz w:val="16"/>
                <w:szCs w:val="16"/>
              </w:rPr>
            </w:pPr>
            <w:r w:rsidRPr="004E2CEF">
              <w:rPr>
                <w:sz w:val="16"/>
                <w:szCs w:val="16"/>
              </w:rPr>
              <w:t xml:space="preserve">1/2 (1/8 della successione) </w:t>
            </w:r>
          </w:p>
        </w:tc>
      </w:tr>
    </w:tbl>
    <w:p w14:paraId="3F3DB24B" w14:textId="77777777" w:rsidR="006C604A" w:rsidRPr="004E2CEF" w:rsidRDefault="006C604A" w:rsidP="006C604A"/>
    <w:p w14:paraId="3CEDBA91" w14:textId="77777777" w:rsidR="006C604A" w:rsidRPr="004E2CEF" w:rsidRDefault="006C604A" w:rsidP="006C604A">
      <w:pPr>
        <w:pStyle w:val="Default"/>
        <w:jc w:val="both"/>
        <w:rPr>
          <w:u w:val="single"/>
        </w:rPr>
      </w:pPr>
      <w:r w:rsidRPr="004E2CEF">
        <w:rPr>
          <w:u w:val="single"/>
        </w:rPr>
        <w:t xml:space="preserve">Raffigurazione della quota ereditaria legale e della </w:t>
      </w:r>
      <w:r w:rsidRPr="004E2CEF">
        <w:rPr>
          <w:b/>
          <w:u w:val="single"/>
        </w:rPr>
        <w:t>nuova</w:t>
      </w:r>
      <w:r w:rsidRPr="004E2CEF">
        <w:rPr>
          <w:u w:val="single"/>
        </w:rPr>
        <w:t xml:space="preserve"> porzione legittima dal </w:t>
      </w:r>
      <w:r w:rsidRPr="004E2CEF">
        <w:rPr>
          <w:b/>
          <w:u w:val="single"/>
        </w:rPr>
        <w:t>1.1.2023</w:t>
      </w:r>
    </w:p>
    <w:p w14:paraId="071B25EB" w14:textId="77777777" w:rsidR="006C604A" w:rsidRPr="004E2CEF" w:rsidRDefault="006C604A" w:rsidP="006C604A"/>
    <w:tbl>
      <w:tblPr>
        <w:tblW w:w="0" w:type="auto"/>
        <w:tblBorders>
          <w:top w:val="nil"/>
          <w:left w:val="nil"/>
          <w:bottom w:val="nil"/>
          <w:right w:val="nil"/>
        </w:tblBorders>
        <w:tblLayout w:type="fixed"/>
        <w:tblLook w:val="0000" w:firstRow="0" w:lastRow="0" w:firstColumn="0" w:lastColumn="0" w:noHBand="0" w:noVBand="0"/>
      </w:tblPr>
      <w:tblGrid>
        <w:gridCol w:w="2948"/>
        <w:gridCol w:w="2948"/>
        <w:gridCol w:w="2948"/>
      </w:tblGrid>
      <w:tr w:rsidR="006C604A" w:rsidRPr="004E2CEF" w14:paraId="17772184" w14:textId="77777777" w:rsidTr="000649D7">
        <w:trPr>
          <w:trHeight w:val="356"/>
        </w:trPr>
        <w:tc>
          <w:tcPr>
            <w:tcW w:w="2948" w:type="dxa"/>
          </w:tcPr>
          <w:p w14:paraId="378A68A9" w14:textId="77777777" w:rsidR="006C604A" w:rsidRPr="004E2CEF" w:rsidRDefault="006C604A" w:rsidP="000649D7">
            <w:pPr>
              <w:pStyle w:val="Default"/>
              <w:rPr>
                <w:sz w:val="16"/>
                <w:szCs w:val="16"/>
              </w:rPr>
            </w:pPr>
            <w:r w:rsidRPr="004E2CEF">
              <w:rPr>
                <w:b/>
                <w:bCs/>
                <w:sz w:val="16"/>
                <w:szCs w:val="16"/>
              </w:rPr>
              <w:t xml:space="preserve">Eredi legali </w:t>
            </w:r>
          </w:p>
        </w:tc>
        <w:tc>
          <w:tcPr>
            <w:tcW w:w="2948" w:type="dxa"/>
          </w:tcPr>
          <w:p w14:paraId="53DDEF63" w14:textId="77777777" w:rsidR="006C604A" w:rsidRPr="004E2CEF" w:rsidRDefault="006C604A" w:rsidP="000649D7">
            <w:pPr>
              <w:pStyle w:val="Default"/>
              <w:rPr>
                <w:sz w:val="16"/>
                <w:szCs w:val="16"/>
              </w:rPr>
            </w:pPr>
            <w:r w:rsidRPr="004E2CEF">
              <w:rPr>
                <w:b/>
                <w:bCs/>
                <w:sz w:val="16"/>
                <w:szCs w:val="16"/>
              </w:rPr>
              <w:t xml:space="preserve">Quota ereditaria legale (in frazioni della successione) </w:t>
            </w:r>
          </w:p>
        </w:tc>
        <w:tc>
          <w:tcPr>
            <w:tcW w:w="2948" w:type="dxa"/>
          </w:tcPr>
          <w:p w14:paraId="04359A8F" w14:textId="77777777" w:rsidR="006C604A" w:rsidRPr="004E2CEF" w:rsidRDefault="006C604A" w:rsidP="000649D7">
            <w:pPr>
              <w:pStyle w:val="Default"/>
              <w:rPr>
                <w:sz w:val="16"/>
                <w:szCs w:val="16"/>
              </w:rPr>
            </w:pPr>
            <w:r w:rsidRPr="004E2CEF">
              <w:rPr>
                <w:b/>
                <w:bCs/>
                <w:sz w:val="16"/>
                <w:szCs w:val="16"/>
              </w:rPr>
              <w:t xml:space="preserve">Porzione legittima (in frazioni della quota ereditaria legale) </w:t>
            </w:r>
          </w:p>
        </w:tc>
      </w:tr>
      <w:tr w:rsidR="006C604A" w:rsidRPr="004E2CEF" w14:paraId="6B9A2F0E" w14:textId="77777777" w:rsidTr="000649D7">
        <w:trPr>
          <w:trHeight w:val="217"/>
        </w:trPr>
        <w:tc>
          <w:tcPr>
            <w:tcW w:w="2948" w:type="dxa"/>
          </w:tcPr>
          <w:p w14:paraId="504D75F5" w14:textId="77777777" w:rsidR="006C604A" w:rsidRPr="004E2CEF" w:rsidRDefault="006C604A" w:rsidP="000649D7">
            <w:pPr>
              <w:pStyle w:val="Default"/>
              <w:rPr>
                <w:sz w:val="16"/>
                <w:szCs w:val="16"/>
              </w:rPr>
            </w:pPr>
            <w:r w:rsidRPr="004E2CEF">
              <w:rPr>
                <w:b/>
                <w:bCs/>
                <w:sz w:val="16"/>
                <w:szCs w:val="16"/>
              </w:rPr>
              <w:t xml:space="preserve">Discendenti </w:t>
            </w:r>
            <w:r w:rsidRPr="004E2CEF">
              <w:rPr>
                <w:sz w:val="16"/>
                <w:szCs w:val="16"/>
              </w:rPr>
              <w:t xml:space="preserve">(se il defunto non ha un coniuge/un partner registrato) </w:t>
            </w:r>
          </w:p>
        </w:tc>
        <w:tc>
          <w:tcPr>
            <w:tcW w:w="2948" w:type="dxa"/>
          </w:tcPr>
          <w:p w14:paraId="46B309E7" w14:textId="77777777" w:rsidR="006C604A" w:rsidRPr="004E2CEF" w:rsidRDefault="006C604A" w:rsidP="000649D7">
            <w:pPr>
              <w:pStyle w:val="Default"/>
              <w:rPr>
                <w:sz w:val="16"/>
                <w:szCs w:val="16"/>
              </w:rPr>
            </w:pPr>
            <w:r w:rsidRPr="004E2CEF">
              <w:rPr>
                <w:sz w:val="16"/>
                <w:szCs w:val="16"/>
              </w:rPr>
              <w:t xml:space="preserve">1 </w:t>
            </w:r>
          </w:p>
        </w:tc>
        <w:tc>
          <w:tcPr>
            <w:tcW w:w="2948" w:type="dxa"/>
          </w:tcPr>
          <w:p w14:paraId="5D8FAAD9" w14:textId="77777777" w:rsidR="006C604A" w:rsidRPr="004E2CEF" w:rsidRDefault="006C604A" w:rsidP="000649D7">
            <w:pPr>
              <w:pStyle w:val="Default"/>
              <w:rPr>
                <w:rFonts w:ascii="Arial Black" w:hAnsi="Arial Black"/>
                <w:b/>
                <w:color w:val="auto"/>
                <w:sz w:val="16"/>
                <w:szCs w:val="16"/>
              </w:rPr>
            </w:pPr>
            <w:r w:rsidRPr="004E2CEF">
              <w:rPr>
                <w:rFonts w:ascii="Arial Black" w:hAnsi="Arial Black"/>
                <w:b/>
                <w:color w:val="auto"/>
                <w:sz w:val="16"/>
                <w:szCs w:val="16"/>
              </w:rPr>
              <w:t xml:space="preserve">1/2 della successione </w:t>
            </w:r>
          </w:p>
        </w:tc>
      </w:tr>
      <w:tr w:rsidR="006C604A" w:rsidRPr="004E2CEF" w14:paraId="5CFC89BF" w14:textId="77777777" w:rsidTr="000649D7">
        <w:trPr>
          <w:trHeight w:val="217"/>
        </w:trPr>
        <w:tc>
          <w:tcPr>
            <w:tcW w:w="2948" w:type="dxa"/>
          </w:tcPr>
          <w:p w14:paraId="150C1F54" w14:textId="77777777" w:rsidR="006C604A" w:rsidRPr="004E2CEF" w:rsidRDefault="006C604A" w:rsidP="000649D7">
            <w:pPr>
              <w:pStyle w:val="Default"/>
              <w:rPr>
                <w:sz w:val="16"/>
                <w:szCs w:val="16"/>
              </w:rPr>
            </w:pPr>
            <w:r w:rsidRPr="004E2CEF">
              <w:rPr>
                <w:b/>
                <w:bCs/>
                <w:sz w:val="16"/>
                <w:szCs w:val="16"/>
              </w:rPr>
              <w:t xml:space="preserve">Discendenti </w:t>
            </w:r>
            <w:r w:rsidRPr="004E2CEF">
              <w:rPr>
                <w:sz w:val="16"/>
                <w:szCs w:val="16"/>
              </w:rPr>
              <w:t xml:space="preserve">(se il defunto ha un coniuge/un partner registrato) </w:t>
            </w:r>
          </w:p>
        </w:tc>
        <w:tc>
          <w:tcPr>
            <w:tcW w:w="2948" w:type="dxa"/>
          </w:tcPr>
          <w:p w14:paraId="0D1A9B15" w14:textId="77777777" w:rsidR="006C604A" w:rsidRPr="004E2CEF" w:rsidRDefault="006C604A" w:rsidP="000649D7">
            <w:pPr>
              <w:pStyle w:val="Default"/>
              <w:rPr>
                <w:sz w:val="16"/>
                <w:szCs w:val="16"/>
              </w:rPr>
            </w:pPr>
            <w:r w:rsidRPr="004E2CEF">
              <w:rPr>
                <w:sz w:val="16"/>
                <w:szCs w:val="16"/>
              </w:rPr>
              <w:t xml:space="preserve">1/2 </w:t>
            </w:r>
          </w:p>
        </w:tc>
        <w:tc>
          <w:tcPr>
            <w:tcW w:w="2948" w:type="dxa"/>
          </w:tcPr>
          <w:p w14:paraId="50BC25A2" w14:textId="77777777" w:rsidR="006C604A" w:rsidRPr="004E2CEF" w:rsidRDefault="006C604A" w:rsidP="000649D7">
            <w:pPr>
              <w:pStyle w:val="Default"/>
              <w:rPr>
                <w:rFonts w:ascii="Arial Black" w:hAnsi="Arial Black"/>
                <w:b/>
                <w:color w:val="auto"/>
                <w:sz w:val="16"/>
                <w:szCs w:val="16"/>
              </w:rPr>
            </w:pPr>
            <w:r w:rsidRPr="004E2CEF">
              <w:rPr>
                <w:rFonts w:ascii="Arial Black" w:hAnsi="Arial Black"/>
                <w:b/>
                <w:color w:val="auto"/>
                <w:sz w:val="16"/>
                <w:szCs w:val="16"/>
              </w:rPr>
              <w:t xml:space="preserve">1/2 (1/4 della successione) </w:t>
            </w:r>
          </w:p>
        </w:tc>
      </w:tr>
      <w:tr w:rsidR="006C604A" w:rsidRPr="004E2CEF" w14:paraId="112C4A17" w14:textId="77777777" w:rsidTr="000649D7">
        <w:trPr>
          <w:trHeight w:val="217"/>
        </w:trPr>
        <w:tc>
          <w:tcPr>
            <w:tcW w:w="2948" w:type="dxa"/>
          </w:tcPr>
          <w:p w14:paraId="5F3D52AE" w14:textId="77777777" w:rsidR="006C604A" w:rsidRPr="004E2CEF" w:rsidRDefault="006C604A" w:rsidP="000649D7">
            <w:pPr>
              <w:pStyle w:val="Default"/>
              <w:rPr>
                <w:sz w:val="16"/>
                <w:szCs w:val="16"/>
              </w:rPr>
            </w:pPr>
            <w:r w:rsidRPr="004E2CEF">
              <w:rPr>
                <w:b/>
                <w:bCs/>
                <w:sz w:val="16"/>
                <w:szCs w:val="16"/>
              </w:rPr>
              <w:t xml:space="preserve">Coniuge/partner registrato </w:t>
            </w:r>
            <w:r w:rsidRPr="004E2CEF">
              <w:rPr>
                <w:sz w:val="16"/>
                <w:szCs w:val="16"/>
              </w:rPr>
              <w:t xml:space="preserve">(se il defunto ha discendenti) </w:t>
            </w:r>
          </w:p>
        </w:tc>
        <w:tc>
          <w:tcPr>
            <w:tcW w:w="2948" w:type="dxa"/>
          </w:tcPr>
          <w:p w14:paraId="4E99C570" w14:textId="77777777" w:rsidR="006C604A" w:rsidRPr="004E2CEF" w:rsidRDefault="006C604A" w:rsidP="000649D7">
            <w:pPr>
              <w:pStyle w:val="Default"/>
              <w:rPr>
                <w:sz w:val="16"/>
                <w:szCs w:val="16"/>
              </w:rPr>
            </w:pPr>
            <w:r w:rsidRPr="004E2CEF">
              <w:rPr>
                <w:sz w:val="16"/>
                <w:szCs w:val="16"/>
              </w:rPr>
              <w:t xml:space="preserve">1/2 </w:t>
            </w:r>
          </w:p>
        </w:tc>
        <w:tc>
          <w:tcPr>
            <w:tcW w:w="2948" w:type="dxa"/>
          </w:tcPr>
          <w:p w14:paraId="7C382690" w14:textId="77777777" w:rsidR="006C604A" w:rsidRPr="004E2CEF" w:rsidRDefault="006C604A" w:rsidP="000649D7">
            <w:pPr>
              <w:pStyle w:val="Default"/>
              <w:rPr>
                <w:rFonts w:ascii="Arial Black" w:hAnsi="Arial Black"/>
                <w:b/>
                <w:color w:val="auto"/>
                <w:sz w:val="16"/>
                <w:szCs w:val="16"/>
              </w:rPr>
            </w:pPr>
            <w:r w:rsidRPr="004E2CEF">
              <w:rPr>
                <w:rFonts w:ascii="Arial Black" w:hAnsi="Arial Black"/>
                <w:b/>
                <w:color w:val="auto"/>
                <w:sz w:val="16"/>
                <w:szCs w:val="16"/>
              </w:rPr>
              <w:t xml:space="preserve">1/4 (1/8 della successione) </w:t>
            </w:r>
          </w:p>
        </w:tc>
      </w:tr>
      <w:tr w:rsidR="006C604A" w:rsidRPr="004E2CEF" w14:paraId="062DE661" w14:textId="77777777" w:rsidTr="000649D7">
        <w:trPr>
          <w:trHeight w:val="217"/>
        </w:trPr>
        <w:tc>
          <w:tcPr>
            <w:tcW w:w="2948" w:type="dxa"/>
          </w:tcPr>
          <w:p w14:paraId="6B231DDC" w14:textId="77777777" w:rsidR="006C604A" w:rsidRPr="004E2CEF" w:rsidRDefault="006C604A" w:rsidP="000649D7">
            <w:pPr>
              <w:pStyle w:val="Default"/>
              <w:rPr>
                <w:sz w:val="16"/>
                <w:szCs w:val="16"/>
              </w:rPr>
            </w:pPr>
            <w:r w:rsidRPr="004E2CEF">
              <w:rPr>
                <w:b/>
                <w:bCs/>
                <w:sz w:val="16"/>
                <w:szCs w:val="16"/>
              </w:rPr>
              <w:t>Coniuge/partner registrato (</w:t>
            </w:r>
            <w:r w:rsidRPr="004E2CEF">
              <w:rPr>
                <w:sz w:val="16"/>
                <w:szCs w:val="16"/>
              </w:rPr>
              <w:t xml:space="preserve">se il defunto non ha discendenti ma ha genitori) </w:t>
            </w:r>
          </w:p>
        </w:tc>
        <w:tc>
          <w:tcPr>
            <w:tcW w:w="2948" w:type="dxa"/>
          </w:tcPr>
          <w:p w14:paraId="3D3D6208" w14:textId="77777777" w:rsidR="006C604A" w:rsidRPr="004E2CEF" w:rsidRDefault="006C604A" w:rsidP="000649D7">
            <w:pPr>
              <w:pStyle w:val="Default"/>
              <w:rPr>
                <w:sz w:val="16"/>
                <w:szCs w:val="16"/>
              </w:rPr>
            </w:pPr>
            <w:r w:rsidRPr="004E2CEF">
              <w:rPr>
                <w:sz w:val="16"/>
                <w:szCs w:val="16"/>
              </w:rPr>
              <w:t xml:space="preserve">3/4 </w:t>
            </w:r>
          </w:p>
        </w:tc>
        <w:tc>
          <w:tcPr>
            <w:tcW w:w="2948" w:type="dxa"/>
          </w:tcPr>
          <w:p w14:paraId="76E68FF7" w14:textId="77777777" w:rsidR="006C604A" w:rsidRPr="004E2CEF" w:rsidRDefault="006C604A" w:rsidP="000649D7">
            <w:pPr>
              <w:pStyle w:val="Default"/>
              <w:rPr>
                <w:rFonts w:ascii="Arial Black" w:hAnsi="Arial Black"/>
                <w:b/>
                <w:color w:val="auto"/>
                <w:sz w:val="16"/>
                <w:szCs w:val="16"/>
              </w:rPr>
            </w:pPr>
            <w:r w:rsidRPr="004E2CEF">
              <w:rPr>
                <w:rFonts w:ascii="Arial Black" w:hAnsi="Arial Black"/>
                <w:b/>
                <w:color w:val="auto"/>
                <w:sz w:val="16"/>
                <w:szCs w:val="16"/>
              </w:rPr>
              <w:t xml:space="preserve">1/4 (3/16 della successione) </w:t>
            </w:r>
          </w:p>
        </w:tc>
      </w:tr>
      <w:tr w:rsidR="006C604A" w:rsidRPr="004E2CEF" w14:paraId="3553C4AD" w14:textId="77777777" w:rsidTr="000649D7">
        <w:trPr>
          <w:trHeight w:val="217"/>
        </w:trPr>
        <w:tc>
          <w:tcPr>
            <w:tcW w:w="2948" w:type="dxa"/>
          </w:tcPr>
          <w:p w14:paraId="29EBBD3B" w14:textId="77777777" w:rsidR="006C604A" w:rsidRPr="004E2CEF" w:rsidRDefault="006C604A" w:rsidP="000649D7">
            <w:pPr>
              <w:pStyle w:val="Default"/>
              <w:rPr>
                <w:sz w:val="16"/>
                <w:szCs w:val="16"/>
              </w:rPr>
            </w:pPr>
            <w:r w:rsidRPr="004E2CEF">
              <w:rPr>
                <w:b/>
                <w:bCs/>
                <w:sz w:val="16"/>
                <w:szCs w:val="16"/>
              </w:rPr>
              <w:t xml:space="preserve">Genitori </w:t>
            </w:r>
            <w:r w:rsidRPr="004E2CEF">
              <w:rPr>
                <w:sz w:val="16"/>
                <w:szCs w:val="16"/>
              </w:rPr>
              <w:t xml:space="preserve">(se il defunto non ha discendenti ma ha un coniuge/un partner registrato) </w:t>
            </w:r>
          </w:p>
        </w:tc>
        <w:tc>
          <w:tcPr>
            <w:tcW w:w="2948" w:type="dxa"/>
          </w:tcPr>
          <w:p w14:paraId="53C7376E" w14:textId="77777777" w:rsidR="006C604A" w:rsidRPr="004E2CEF" w:rsidRDefault="006C604A" w:rsidP="000649D7">
            <w:pPr>
              <w:pStyle w:val="Default"/>
              <w:rPr>
                <w:sz w:val="16"/>
                <w:szCs w:val="16"/>
              </w:rPr>
            </w:pPr>
            <w:r w:rsidRPr="004E2CEF">
              <w:rPr>
                <w:sz w:val="16"/>
                <w:szCs w:val="16"/>
              </w:rPr>
              <w:t xml:space="preserve">1/4 </w:t>
            </w:r>
          </w:p>
        </w:tc>
        <w:tc>
          <w:tcPr>
            <w:tcW w:w="2948" w:type="dxa"/>
          </w:tcPr>
          <w:p w14:paraId="1CA65D3E" w14:textId="77777777" w:rsidR="006C604A" w:rsidRPr="004E2CEF" w:rsidRDefault="006C604A" w:rsidP="000649D7">
            <w:pPr>
              <w:pStyle w:val="Default"/>
              <w:rPr>
                <w:rFonts w:ascii="Arial Black" w:hAnsi="Arial Black"/>
                <w:b/>
                <w:color w:val="auto"/>
                <w:sz w:val="16"/>
                <w:szCs w:val="16"/>
              </w:rPr>
            </w:pPr>
            <w:r w:rsidRPr="004E2CEF">
              <w:rPr>
                <w:rFonts w:ascii="Arial Black" w:hAnsi="Arial Black"/>
                <w:b/>
                <w:color w:val="auto"/>
                <w:sz w:val="16"/>
                <w:szCs w:val="16"/>
              </w:rPr>
              <w:t xml:space="preserve">Non beneficiano più di una porzione legittima </w:t>
            </w:r>
          </w:p>
        </w:tc>
      </w:tr>
    </w:tbl>
    <w:p w14:paraId="69AD00AE" w14:textId="77777777" w:rsidR="006C604A" w:rsidRPr="004E2CEF" w:rsidRDefault="006C604A" w:rsidP="006C604A"/>
    <w:p w14:paraId="3FAD15E8" w14:textId="77777777" w:rsidR="006C604A" w:rsidRPr="004E2CEF" w:rsidRDefault="006C604A" w:rsidP="006C604A">
      <w:pPr>
        <w:rPr>
          <w:sz w:val="24"/>
          <w:szCs w:val="24"/>
        </w:rPr>
      </w:pPr>
      <w:r w:rsidRPr="004E2CEF">
        <w:rPr>
          <w:sz w:val="24"/>
          <w:szCs w:val="24"/>
        </w:rPr>
        <w:t>Da un punto di vista fiscale, questa maggiore libertà di manovra concessa al disponente comporta altresì che egli possa, se lo desidera, includere con più facilità nella sua pianificazione successoria delle categorie di eredi che non sono quelli legali, fiscalmente esenti, ossia i discendenti, gli ascendenti e i coniugi/partners registrati. Non si può pertanto escludere che in futuro le implicazioni fiscali, dovute alla presenza di un maggior numero di eredi imponibili nelle pianificazioni successorie, possano aumentare.</w:t>
      </w:r>
    </w:p>
    <w:p w14:paraId="6E2E3288" w14:textId="77777777" w:rsidR="006C604A" w:rsidRPr="004E2CEF" w:rsidRDefault="006C604A" w:rsidP="006C604A">
      <w:pPr>
        <w:rPr>
          <w:sz w:val="24"/>
          <w:szCs w:val="24"/>
          <w:u w:val="single"/>
        </w:rPr>
      </w:pPr>
    </w:p>
    <w:p w14:paraId="7D556FA8" w14:textId="77777777" w:rsidR="006C604A" w:rsidRPr="004E2CEF" w:rsidRDefault="006C604A" w:rsidP="00100005">
      <w:pPr>
        <w:pStyle w:val="CAPITOLO3"/>
      </w:pPr>
      <w:bookmarkStart w:id="12" w:name="_Toc139991879"/>
      <w:r w:rsidRPr="004E2CEF">
        <w:t>Secondo pacchetto di riforma del diritto civile successorio (successione di imprese)</w:t>
      </w:r>
      <w:bookmarkEnd w:id="12"/>
    </w:p>
    <w:p w14:paraId="51A981BB" w14:textId="77777777" w:rsidR="006C604A" w:rsidRPr="004E2CEF" w:rsidRDefault="006C604A" w:rsidP="006C604A">
      <w:pPr>
        <w:rPr>
          <w:sz w:val="24"/>
          <w:szCs w:val="24"/>
          <w:u w:val="single"/>
        </w:rPr>
      </w:pPr>
    </w:p>
    <w:p w14:paraId="6EE2CCF4" w14:textId="77777777" w:rsidR="006C604A" w:rsidRPr="004E2CEF" w:rsidRDefault="006C604A" w:rsidP="006C604A">
      <w:pPr>
        <w:rPr>
          <w:sz w:val="24"/>
          <w:szCs w:val="24"/>
        </w:rPr>
      </w:pPr>
      <w:r w:rsidRPr="004E2CEF">
        <w:rPr>
          <w:sz w:val="24"/>
          <w:szCs w:val="24"/>
        </w:rPr>
        <w:t>Nel corso del mese di giugno 2022 il Consiglio federale ha emanato un secondo messaggio, questa volta focalizzato sul tema delle successioni di imprese.</w:t>
      </w:r>
      <w:r w:rsidRPr="004E2CEF">
        <w:rPr>
          <w:rStyle w:val="Rimandonotaapidipagina"/>
          <w:sz w:val="24"/>
          <w:szCs w:val="24"/>
        </w:rPr>
        <w:footnoteReference w:id="8"/>
      </w:r>
      <w:r w:rsidRPr="004E2CEF">
        <w:rPr>
          <w:sz w:val="24"/>
          <w:szCs w:val="24"/>
        </w:rPr>
        <w:t xml:space="preserve"> L’aumento della libertà di disporre da parte del </w:t>
      </w:r>
      <w:r w:rsidRPr="004E2CEF">
        <w:rPr>
          <w:i/>
          <w:sz w:val="24"/>
          <w:szCs w:val="24"/>
        </w:rPr>
        <w:t>de cujus</w:t>
      </w:r>
      <w:r w:rsidRPr="004E2CEF">
        <w:rPr>
          <w:sz w:val="24"/>
          <w:szCs w:val="24"/>
        </w:rPr>
        <w:t>, introdotto con il primo pacchetto della riforma, ha infatti reso più flessibile la trasmissione di imprese in via successoria. Tuttavia sono state identificate alcune criticità che il Consiglio federale propone ora di attenuare attraverso quattro misure principali. In primo luogo, si vuole concedere agli eredi un diritto all’attribuzione integrale di un’impresa o di un diritto a partecipazioni che conferiscono il controllo sulla stessa. Ciò allo scopo di evitare la frammentazione o la chiusura dell’impresa in questione. In secondo luogo, è prevista la possibilità per l’erede che riprende l’impresa di ottenere dilazioni di pagamento nei confronti degli altri eredi, i quali hanno diritto a dei conguagli. Ciò allo scopo di evitare problemi di liquidità all’attività aziendale. Per finire, sono stabilite delle regole specifiche per definire il valore di imputazione dell’azienda nel quadro della divisione della successione, considerando il rischio imprenditoriale assunto dall’erede rilevatario senza però svantaggiare gli altri eredi, specialmente per quanto concerne i beni che potrebbero essere facilmente distratti. In aggiunta, il disegno di legge prevede normative particolari per proteggere gli eredi che hanno diritto solo alla loro porzione legittima. In linea di principio è infatti esclusa la possibilità di attribuire loro, contro la loro volontà, questa legittima sotto forma di partecipazione minoritaria all’impresa.</w:t>
      </w:r>
      <w:r w:rsidRPr="004E2CEF">
        <w:rPr>
          <w:rStyle w:val="Rimandonotaapidipagina"/>
          <w:sz w:val="24"/>
          <w:szCs w:val="24"/>
        </w:rPr>
        <w:footnoteReference w:id="9"/>
      </w:r>
      <w:r w:rsidRPr="004E2CEF">
        <w:rPr>
          <w:sz w:val="24"/>
          <w:szCs w:val="24"/>
        </w:rPr>
        <w:t xml:space="preserve"> Non è dato ancora sapere, al momento della redazione di questo messaggio, se e quando entrerà in vigore questo secondo pacchetto di adeguamenti.</w:t>
      </w:r>
    </w:p>
    <w:p w14:paraId="0DDDADAC" w14:textId="77777777" w:rsidR="006C604A" w:rsidRPr="004E2CEF" w:rsidRDefault="006C604A" w:rsidP="006C604A">
      <w:pPr>
        <w:rPr>
          <w:sz w:val="24"/>
          <w:szCs w:val="24"/>
        </w:rPr>
      </w:pPr>
    </w:p>
    <w:p w14:paraId="0C5C4ADF" w14:textId="2EF9F086" w:rsidR="006C604A" w:rsidRPr="004E2CEF" w:rsidRDefault="006C604A" w:rsidP="006C604A">
      <w:pPr>
        <w:rPr>
          <w:sz w:val="24"/>
          <w:szCs w:val="24"/>
        </w:rPr>
      </w:pPr>
      <w:r w:rsidRPr="004E2CEF">
        <w:rPr>
          <w:sz w:val="24"/>
          <w:szCs w:val="24"/>
        </w:rPr>
        <w:t>Sulla base di un recente studio condotto in Ticino,</w:t>
      </w:r>
      <w:r w:rsidRPr="004E2CEF">
        <w:rPr>
          <w:rStyle w:val="Rimandonotaapidipagina"/>
          <w:sz w:val="24"/>
          <w:szCs w:val="24"/>
        </w:rPr>
        <w:footnoteReference w:id="10"/>
      </w:r>
      <w:r w:rsidRPr="004E2CEF">
        <w:rPr>
          <w:sz w:val="24"/>
          <w:szCs w:val="24"/>
        </w:rPr>
        <w:t xml:space="preserve"> intrapreso da un’azienda privata, in collaborazione con Banca Stato e due Associazioni di categoria riconosciute, sono circa 28'000 le imprese familiari sul nostro territorio, di cui il 50% dovrà affrontare la problematica della sua trasmissione nei prossimi 10 anni.</w:t>
      </w:r>
    </w:p>
    <w:p w14:paraId="4BB10701" w14:textId="77777777" w:rsidR="006C604A" w:rsidRPr="004E2CEF" w:rsidRDefault="006C604A" w:rsidP="006C604A">
      <w:pPr>
        <w:rPr>
          <w:sz w:val="24"/>
          <w:szCs w:val="24"/>
          <w:u w:val="single"/>
        </w:rPr>
      </w:pPr>
    </w:p>
    <w:p w14:paraId="6166A1D4" w14:textId="64E8A47F" w:rsidR="006C604A" w:rsidRPr="004E2CEF" w:rsidRDefault="006C604A" w:rsidP="00100005">
      <w:pPr>
        <w:pStyle w:val="CAPITOLO3"/>
      </w:pPr>
      <w:bookmarkStart w:id="13" w:name="_Toc139991880"/>
      <w:r w:rsidRPr="004E2CEF">
        <w:t>Situazione ad oggi</w:t>
      </w:r>
      <w:bookmarkEnd w:id="13"/>
    </w:p>
    <w:p w14:paraId="395B3482" w14:textId="77777777" w:rsidR="006C604A" w:rsidRPr="004E2CEF" w:rsidRDefault="006C604A" w:rsidP="00100005">
      <w:pPr>
        <w:pStyle w:val="CAPITOLO2"/>
        <w:numPr>
          <w:ilvl w:val="0"/>
          <w:numId w:val="0"/>
        </w:numPr>
      </w:pPr>
    </w:p>
    <w:p w14:paraId="50FC62C0" w14:textId="09EB174B" w:rsidR="006C604A" w:rsidRPr="004E2CEF" w:rsidRDefault="006C604A" w:rsidP="00A555FF">
      <w:pPr>
        <w:rPr>
          <w:sz w:val="24"/>
          <w:szCs w:val="24"/>
        </w:rPr>
      </w:pPr>
      <w:r w:rsidRPr="004E2CEF">
        <w:rPr>
          <w:sz w:val="24"/>
          <w:szCs w:val="24"/>
        </w:rPr>
        <w:t>In materia di imposte di successione e donazione, l’ultimo adeguamento sostanziale della legge tributaria cantonale risale ormai al 1. gennaio 2000 quando fu introdotta l’esenzione dei discendenti e ascendenti in linea diretta, compresi gli adottivi, sulla base di un’iniziativa in tal senso decisa poi favorevolmente in votazione popolare. Rammentiamo che attualmente anche i coniugi e partner registrati sono considerati esenti. In tale contesto, riteniamo importante precisare che, nel corso dell’ultimo ventennio vi sono stati alcuni fattori oggettivi che hanno contribuito in maniera sostanziale a frenare ulteriori adeguamenti in materia</w:t>
      </w:r>
      <w:r w:rsidR="008D7FAD">
        <w:rPr>
          <w:sz w:val="24"/>
          <w:szCs w:val="24"/>
        </w:rPr>
        <w:t xml:space="preserve"> e in particolare ci riferiamo </w:t>
      </w:r>
      <w:r w:rsidRPr="004E2CEF">
        <w:rPr>
          <w:sz w:val="24"/>
          <w:szCs w:val="24"/>
        </w:rPr>
        <w:t>al vetusto sistema informatico di accertamento e gestione degli incarti successori e di donazione presso il competente Ufficio delle imposte di successione e donazione (UISD), il quale non permetteva fino a inizio 2022 alcun sostanziale cambiamento nella determinazione dei criteri di imposizione e nei processi di lavoro. Da inizio 2022, è in produzione una nuova soluzione informatica, molto più innovativa e flessibile, la quale permette finalmente di beneficiare di un sistema di accertamento e di gestione delle imposte di successione e donazione che adempie pienamente alle esigenze della presente riforma e dell’ufficio preposto poi ad applicare le relative norme.</w:t>
      </w:r>
      <w:r w:rsidRPr="004E2CEF">
        <w:rPr>
          <w:b/>
          <w:sz w:val="24"/>
          <w:szCs w:val="24"/>
        </w:rPr>
        <w:t xml:space="preserve"> </w:t>
      </w:r>
      <w:r w:rsidRPr="004E2CEF">
        <w:rPr>
          <w:sz w:val="24"/>
          <w:szCs w:val="24"/>
        </w:rPr>
        <w:t>Si rileva, in ogni caso, che qualora il Gran Consiglio dovesse accogliere gli importanti adeguamenti legislativi proposti in questo messaggio, sarà necessario considerare i tempi tecnici (alcuni mesi) per poter adeguare il sistema informatico ai nuovi parametri.</w:t>
      </w:r>
    </w:p>
    <w:p w14:paraId="7D6543DA" w14:textId="77777777" w:rsidR="006C604A" w:rsidRPr="004E2CEF" w:rsidRDefault="006C604A" w:rsidP="006C604A">
      <w:pPr>
        <w:rPr>
          <w:sz w:val="24"/>
          <w:szCs w:val="24"/>
        </w:rPr>
      </w:pPr>
    </w:p>
    <w:p w14:paraId="30E8F5D0" w14:textId="6EC298C9" w:rsidR="006C604A" w:rsidRPr="004E2CEF" w:rsidRDefault="006C604A" w:rsidP="006C604A">
      <w:pPr>
        <w:rPr>
          <w:sz w:val="24"/>
          <w:szCs w:val="24"/>
        </w:rPr>
      </w:pPr>
      <w:r w:rsidRPr="004E2CEF">
        <w:rPr>
          <w:sz w:val="24"/>
          <w:szCs w:val="24"/>
        </w:rPr>
        <w:t>A prescindere dagli aspetti tecnici, la necessità di una riforma delle norme tributarie in materia di successioni e donazioni è oggetto di monitoraggio e di discussioni da diversi anni presso la Divisione delle contribuzioni. Gli interventi più importanti vertono innanzitutto sull’attenuazione di alcune aliquote base e sulla definizione di alcuni gradi di parentela. L’attuale art. 164 LT prevede delle aliquote commisurate alla quota spettante a ogni beneficiario; esse aumentano con l’attenuarsi del grado di parentela rispetto al defunto o al donante. Il legislatore cantonale si è basato principalmente sui rapporti di consanguineità, piuttosto che di affinità, nel determinare le diverse classi di imposizione, prevedendo delle eccezioni solo per alcuni casi espressamente previsti dalla legge</w:t>
      </w:r>
      <w:r w:rsidR="00D80AC3">
        <w:rPr>
          <w:sz w:val="24"/>
          <w:szCs w:val="24"/>
        </w:rPr>
        <w:t xml:space="preserve">. </w:t>
      </w:r>
      <w:r w:rsidRPr="004E2CEF">
        <w:rPr>
          <w:sz w:val="24"/>
          <w:szCs w:val="24"/>
        </w:rPr>
        <w:t xml:space="preserve">L’attuale legge tributaria non considera in maniera adeguata, per contro, i rapporti personali e affettivi, spesso molto intensi, tra coppie di fatto non coniugate (citati in questo messaggio come partners consensuali o concubini), tra i figli di uno/una concubino/a e il/la suo/sua partner oppure tra genitori affidatari e bimbi in affido (Pflegekind). Il nostro diritto fiscale presenta inoltre la particolarità di prevedere un’aliquota attenuata (18.5%) solo per i nipoti consanguinei (ad esempio: il figlio di un nostro fratello), trattando per contro i nipoti affini, vale a dire i nipoti acquisiti tramite matrimonio o unione registrata, come dei terzi non parenti imponibili con aliquote massime molto onerose (41%). </w:t>
      </w:r>
    </w:p>
    <w:p w14:paraId="742AEA86" w14:textId="77777777" w:rsidR="006C604A" w:rsidRPr="004E2CEF" w:rsidRDefault="006C604A" w:rsidP="006C604A">
      <w:pPr>
        <w:rPr>
          <w:sz w:val="24"/>
          <w:szCs w:val="24"/>
        </w:rPr>
      </w:pPr>
    </w:p>
    <w:p w14:paraId="2D741F33" w14:textId="77777777" w:rsidR="006C604A" w:rsidRPr="004E2CEF" w:rsidRDefault="006C604A" w:rsidP="006C604A">
      <w:pPr>
        <w:rPr>
          <w:sz w:val="24"/>
          <w:szCs w:val="24"/>
        </w:rPr>
      </w:pPr>
      <w:r w:rsidRPr="004E2CEF">
        <w:rPr>
          <w:sz w:val="24"/>
          <w:szCs w:val="24"/>
        </w:rPr>
        <w:t xml:space="preserve">Altri aspetti da considerare in questa riforma riguardano l’introduzione di misure volte a semplificare la procedura di accertamento, come ad esempio l’introduzione di una quota esente generalizzata, oggi non presente sotto questa forma, piuttosto che l’introduzione di agevolazioni fiscali, attualmente non previste, volte a promuovere la successione di imprese e assicurare la loro continuità. Tutti questi temi verranno ripresi in dettaglio nel proseguo del Messaggio. </w:t>
      </w:r>
    </w:p>
    <w:p w14:paraId="5ADDBF91" w14:textId="77777777" w:rsidR="006C604A" w:rsidRPr="004E2CEF" w:rsidRDefault="006C604A" w:rsidP="006C604A">
      <w:pPr>
        <w:rPr>
          <w:sz w:val="24"/>
          <w:szCs w:val="24"/>
        </w:rPr>
      </w:pPr>
    </w:p>
    <w:p w14:paraId="080B07EE" w14:textId="77777777" w:rsidR="006C604A" w:rsidRPr="004E2CEF" w:rsidRDefault="006C604A" w:rsidP="006C604A">
      <w:pPr>
        <w:rPr>
          <w:sz w:val="24"/>
          <w:szCs w:val="24"/>
        </w:rPr>
      </w:pPr>
      <w:r w:rsidRPr="004E2CEF">
        <w:rPr>
          <w:sz w:val="24"/>
          <w:szCs w:val="24"/>
        </w:rPr>
        <w:t>Da notare inoltre che negli ultimi anni si sono susseguiti diversi atti parlamentari in Gran Consiglio che riguardavano il tema delle imposte di successione e donazione e la necessità di cambiamenti a livello di legge. Questo messaggio è altresì volto a prendere posizione su tutti questi atti.</w:t>
      </w:r>
    </w:p>
    <w:p w14:paraId="2A3BD84E" w14:textId="77777777" w:rsidR="006C604A" w:rsidRPr="004E2CEF" w:rsidRDefault="006C604A" w:rsidP="00100005">
      <w:pPr>
        <w:pStyle w:val="CAPITOLO2"/>
        <w:numPr>
          <w:ilvl w:val="0"/>
          <w:numId w:val="0"/>
        </w:numPr>
      </w:pPr>
    </w:p>
    <w:p w14:paraId="54E5ED92" w14:textId="77777777" w:rsidR="006C604A" w:rsidRPr="004E2CEF" w:rsidRDefault="006C604A" w:rsidP="00100005">
      <w:pPr>
        <w:pStyle w:val="CAPITOLO3"/>
      </w:pPr>
      <w:bookmarkStart w:id="14" w:name="_Toc139991881"/>
      <w:r w:rsidRPr="004E2CEF">
        <w:t>Raffronto delle aliquote con la media svizzera</w:t>
      </w:r>
      <w:bookmarkEnd w:id="14"/>
    </w:p>
    <w:p w14:paraId="13D7CD96" w14:textId="77777777" w:rsidR="006C604A" w:rsidRPr="004E2CEF" w:rsidRDefault="006C604A" w:rsidP="006C604A">
      <w:pPr>
        <w:pStyle w:val="Paragrafoelenco"/>
        <w:ind w:left="360"/>
        <w:rPr>
          <w:b/>
        </w:rPr>
      </w:pPr>
    </w:p>
    <w:p w14:paraId="58F6BB46" w14:textId="77777777" w:rsidR="006C604A" w:rsidRPr="004E2CEF" w:rsidRDefault="006C604A" w:rsidP="006C604A">
      <w:pPr>
        <w:rPr>
          <w:sz w:val="24"/>
          <w:szCs w:val="24"/>
        </w:rPr>
      </w:pPr>
      <w:r w:rsidRPr="004E2CEF">
        <w:rPr>
          <w:sz w:val="24"/>
          <w:szCs w:val="24"/>
        </w:rPr>
        <w:t>Allo stadio attuale, la situazione delle aliquote in Ticino rispetto alla media svizzera si presenta come segue:</w:t>
      </w:r>
    </w:p>
    <w:p w14:paraId="0C7B46B9" w14:textId="77777777" w:rsidR="006C604A" w:rsidRPr="004E2CEF" w:rsidRDefault="006C604A" w:rsidP="006C604A">
      <w:pPr>
        <w:rPr>
          <w:sz w:val="24"/>
          <w:szCs w:val="24"/>
          <w:u w:val="single"/>
        </w:rPr>
      </w:pPr>
    </w:p>
    <w:tbl>
      <w:tblPr>
        <w:tblW w:w="5000" w:type="pct"/>
        <w:tblCellMar>
          <w:left w:w="70" w:type="dxa"/>
          <w:right w:w="70" w:type="dxa"/>
        </w:tblCellMar>
        <w:tblLook w:val="04A0" w:firstRow="1" w:lastRow="0" w:firstColumn="1" w:lastColumn="0" w:noHBand="0" w:noVBand="1"/>
      </w:tblPr>
      <w:tblGrid>
        <w:gridCol w:w="869"/>
        <w:gridCol w:w="615"/>
        <w:gridCol w:w="587"/>
        <w:gridCol w:w="587"/>
        <w:gridCol w:w="680"/>
        <w:gridCol w:w="680"/>
        <w:gridCol w:w="680"/>
        <w:gridCol w:w="680"/>
        <w:gridCol w:w="680"/>
        <w:gridCol w:w="681"/>
        <w:gridCol w:w="681"/>
        <w:gridCol w:w="681"/>
        <w:gridCol w:w="681"/>
        <w:gridCol w:w="683"/>
      </w:tblGrid>
      <w:tr w:rsidR="006C604A" w:rsidRPr="004E2CEF" w14:paraId="1E24643E" w14:textId="77777777" w:rsidTr="000649D7">
        <w:trPr>
          <w:trHeight w:val="317"/>
          <w:tblHeader/>
        </w:trPr>
        <w:tc>
          <w:tcPr>
            <w:tcW w:w="459" w:type="pct"/>
            <w:vMerge w:val="restart"/>
            <w:tcBorders>
              <w:top w:val="single" w:sz="8" w:space="0" w:color="auto"/>
              <w:left w:val="single" w:sz="8" w:space="0" w:color="auto"/>
              <w:bottom w:val="single" w:sz="4" w:space="0" w:color="auto"/>
              <w:right w:val="single" w:sz="4" w:space="0" w:color="auto"/>
            </w:tcBorders>
            <w:shd w:val="clear" w:color="auto" w:fill="D9D9D9" w:themeFill="background1" w:themeFillShade="D9"/>
            <w:noWrap/>
            <w:textDirection w:val="btLr"/>
            <w:vAlign w:val="center"/>
            <w:hideMark/>
          </w:tcPr>
          <w:p w14:paraId="7054D5F6" w14:textId="77777777" w:rsidR="006C604A" w:rsidRPr="004E2CEF" w:rsidRDefault="006C604A" w:rsidP="000649D7">
            <w:pPr>
              <w:ind w:left="113" w:right="113"/>
              <w:jc w:val="center"/>
              <w:rPr>
                <w:rFonts w:ascii="Calibri" w:hAnsi="Calibri" w:cs="Calibri"/>
                <w:b/>
                <w:bCs/>
                <w:color w:val="000000"/>
                <w:sz w:val="20"/>
                <w:lang w:eastAsia="it-CH"/>
              </w:rPr>
            </w:pPr>
            <w:r w:rsidRPr="004E2CEF">
              <w:rPr>
                <w:rFonts w:ascii="Calibri" w:hAnsi="Calibri" w:cs="Calibri"/>
                <w:b/>
                <w:bCs/>
                <w:color w:val="000000"/>
                <w:sz w:val="18"/>
                <w:lang w:eastAsia="it-CH"/>
              </w:rPr>
              <w:t>Cantone</w:t>
            </w:r>
          </w:p>
        </w:tc>
        <w:tc>
          <w:tcPr>
            <w:tcW w:w="4541" w:type="pct"/>
            <w:gridSpan w:val="13"/>
            <w:tcBorders>
              <w:top w:val="single" w:sz="8" w:space="0" w:color="auto"/>
              <w:left w:val="nil"/>
              <w:bottom w:val="single" w:sz="4" w:space="0" w:color="auto"/>
              <w:right w:val="single" w:sz="8" w:space="0" w:color="000000"/>
            </w:tcBorders>
            <w:shd w:val="clear" w:color="auto" w:fill="D9D9D9" w:themeFill="background1" w:themeFillShade="D9"/>
            <w:noWrap/>
            <w:vAlign w:val="center"/>
            <w:hideMark/>
          </w:tcPr>
          <w:p w14:paraId="01A12566" w14:textId="77777777" w:rsidR="006C604A" w:rsidRPr="004E2CEF" w:rsidRDefault="006C604A" w:rsidP="000649D7">
            <w:pPr>
              <w:jc w:val="center"/>
              <w:rPr>
                <w:rFonts w:ascii="Calibri" w:hAnsi="Calibri" w:cs="Calibri"/>
                <w:b/>
                <w:bCs/>
                <w:color w:val="000000"/>
                <w:sz w:val="18"/>
                <w:lang w:eastAsia="it-CH"/>
              </w:rPr>
            </w:pPr>
            <w:r w:rsidRPr="004E2CEF">
              <w:rPr>
                <w:rFonts w:ascii="Calibri" w:hAnsi="Calibri" w:cs="Calibri"/>
                <w:b/>
                <w:bCs/>
                <w:color w:val="000000"/>
                <w:sz w:val="18"/>
                <w:lang w:eastAsia="it-CH"/>
              </w:rPr>
              <w:t>Aliquote massime</w:t>
            </w:r>
          </w:p>
        </w:tc>
      </w:tr>
      <w:tr w:rsidR="006C604A" w:rsidRPr="004E2CEF" w14:paraId="28938EE8" w14:textId="77777777" w:rsidTr="000649D7">
        <w:trPr>
          <w:cantSplit/>
          <w:trHeight w:val="1610"/>
          <w:tblHeader/>
        </w:trPr>
        <w:tc>
          <w:tcPr>
            <w:tcW w:w="459" w:type="pct"/>
            <w:vMerge/>
            <w:tcBorders>
              <w:top w:val="single" w:sz="8" w:space="0" w:color="auto"/>
              <w:left w:val="single" w:sz="8" w:space="0" w:color="auto"/>
              <w:bottom w:val="single" w:sz="4" w:space="0" w:color="auto"/>
              <w:right w:val="single" w:sz="4" w:space="0" w:color="auto"/>
            </w:tcBorders>
            <w:shd w:val="clear" w:color="auto" w:fill="D9D9D9" w:themeFill="background1" w:themeFillShade="D9"/>
            <w:vAlign w:val="center"/>
            <w:hideMark/>
          </w:tcPr>
          <w:p w14:paraId="75265C1D" w14:textId="77777777" w:rsidR="006C604A" w:rsidRPr="004E2CEF" w:rsidRDefault="006C604A" w:rsidP="000649D7">
            <w:pPr>
              <w:rPr>
                <w:rFonts w:ascii="Calibri" w:hAnsi="Calibri" w:cs="Calibri"/>
                <w:b/>
                <w:bCs/>
                <w:color w:val="000000"/>
                <w:sz w:val="20"/>
                <w:lang w:eastAsia="it-CH"/>
              </w:rPr>
            </w:pPr>
          </w:p>
        </w:tc>
        <w:tc>
          <w:tcPr>
            <w:tcW w:w="325"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5BA8B5B7"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Discendenti diretti</w:t>
            </w:r>
          </w:p>
        </w:tc>
        <w:tc>
          <w:tcPr>
            <w:tcW w:w="310" w:type="pct"/>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7250025F"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Congiunto/</w:t>
            </w:r>
          </w:p>
          <w:p w14:paraId="0277EF00"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Partner registrato</w:t>
            </w:r>
          </w:p>
        </w:tc>
        <w:tc>
          <w:tcPr>
            <w:tcW w:w="310"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4E188979"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Genitori</w:t>
            </w:r>
          </w:p>
        </w:tc>
        <w:tc>
          <w:tcPr>
            <w:tcW w:w="359"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1E5EC2D3"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Nonni</w:t>
            </w:r>
          </w:p>
        </w:tc>
        <w:tc>
          <w:tcPr>
            <w:tcW w:w="359"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3464D74B"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Figli del partner/</w:t>
            </w:r>
          </w:p>
          <w:p w14:paraId="1BA42C65"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Figliastri</w:t>
            </w:r>
          </w:p>
        </w:tc>
        <w:tc>
          <w:tcPr>
            <w:tcW w:w="359"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0447D17F"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Sorelle/</w:t>
            </w:r>
          </w:p>
          <w:p w14:paraId="523CAE75"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Fratelli</w:t>
            </w:r>
          </w:p>
        </w:tc>
        <w:tc>
          <w:tcPr>
            <w:tcW w:w="359" w:type="pct"/>
            <w:tcBorders>
              <w:top w:val="nil"/>
              <w:left w:val="nil"/>
              <w:bottom w:val="single" w:sz="4" w:space="0" w:color="auto"/>
              <w:right w:val="single" w:sz="4" w:space="0" w:color="auto"/>
            </w:tcBorders>
            <w:shd w:val="clear" w:color="auto" w:fill="D9D9D9" w:themeFill="background1" w:themeFillShade="D9"/>
            <w:textDirection w:val="btLr"/>
            <w:vAlign w:val="center"/>
            <w:hideMark/>
          </w:tcPr>
          <w:p w14:paraId="7CFD969E"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Sorellastre/</w:t>
            </w:r>
          </w:p>
          <w:p w14:paraId="27881C9E"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Fratellastri</w:t>
            </w:r>
          </w:p>
        </w:tc>
        <w:tc>
          <w:tcPr>
            <w:tcW w:w="359"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2BBE9E8F"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Matrigna/</w:t>
            </w:r>
          </w:p>
          <w:p w14:paraId="4AD5A087"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Patrigno</w:t>
            </w:r>
          </w:p>
        </w:tc>
        <w:tc>
          <w:tcPr>
            <w:tcW w:w="360"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007C26F3"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Zii</w:t>
            </w:r>
          </w:p>
        </w:tc>
        <w:tc>
          <w:tcPr>
            <w:tcW w:w="360"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35EEEBD4"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Nipoti</w:t>
            </w:r>
          </w:p>
        </w:tc>
        <w:tc>
          <w:tcPr>
            <w:tcW w:w="360"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29D9FCA9"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Cugini</w:t>
            </w:r>
          </w:p>
        </w:tc>
        <w:tc>
          <w:tcPr>
            <w:tcW w:w="360" w:type="pct"/>
            <w:tcBorders>
              <w:top w:val="nil"/>
              <w:left w:val="nil"/>
              <w:bottom w:val="single" w:sz="4" w:space="0" w:color="auto"/>
              <w:right w:val="single" w:sz="4" w:space="0" w:color="auto"/>
            </w:tcBorders>
            <w:shd w:val="clear" w:color="auto" w:fill="D9D9D9" w:themeFill="background1" w:themeFillShade="D9"/>
            <w:noWrap/>
            <w:textDirection w:val="btLr"/>
            <w:vAlign w:val="center"/>
            <w:hideMark/>
          </w:tcPr>
          <w:p w14:paraId="2ABE99C4"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 xml:space="preserve">Concubini </w:t>
            </w:r>
          </w:p>
        </w:tc>
        <w:tc>
          <w:tcPr>
            <w:tcW w:w="361" w:type="pct"/>
            <w:tcBorders>
              <w:top w:val="nil"/>
              <w:left w:val="nil"/>
              <w:bottom w:val="single" w:sz="4" w:space="0" w:color="auto"/>
              <w:right w:val="single" w:sz="8" w:space="0" w:color="auto"/>
            </w:tcBorders>
            <w:shd w:val="clear" w:color="auto" w:fill="D9D9D9" w:themeFill="background1" w:themeFillShade="D9"/>
            <w:textDirection w:val="btLr"/>
            <w:vAlign w:val="center"/>
            <w:hideMark/>
          </w:tcPr>
          <w:p w14:paraId="6D1DBAC8" w14:textId="77777777" w:rsidR="006C604A" w:rsidRPr="004E2CEF" w:rsidRDefault="006C604A" w:rsidP="000649D7">
            <w:pPr>
              <w:ind w:left="113" w:right="113"/>
              <w:jc w:val="center"/>
              <w:rPr>
                <w:rFonts w:ascii="Calibri" w:hAnsi="Calibri" w:cs="Calibri"/>
                <w:b/>
                <w:bCs/>
                <w:color w:val="000000"/>
                <w:sz w:val="18"/>
                <w:lang w:eastAsia="it-CH"/>
              </w:rPr>
            </w:pPr>
            <w:r w:rsidRPr="004E2CEF">
              <w:rPr>
                <w:rFonts w:ascii="Calibri" w:hAnsi="Calibri" w:cs="Calibri"/>
                <w:b/>
                <w:bCs/>
                <w:color w:val="000000"/>
                <w:sz w:val="18"/>
                <w:lang w:eastAsia="it-CH"/>
              </w:rPr>
              <w:t>Altri beneficiari &amp; non parenti</w:t>
            </w:r>
          </w:p>
        </w:tc>
      </w:tr>
      <w:tr w:rsidR="006C604A" w:rsidRPr="004E2CEF" w14:paraId="49F1F03F" w14:textId="77777777" w:rsidTr="000649D7">
        <w:trPr>
          <w:trHeight w:val="317"/>
        </w:trPr>
        <w:tc>
          <w:tcPr>
            <w:tcW w:w="459" w:type="pct"/>
            <w:tcBorders>
              <w:top w:val="nil"/>
              <w:left w:val="single" w:sz="8" w:space="0" w:color="auto"/>
              <w:bottom w:val="single" w:sz="8" w:space="0" w:color="auto"/>
              <w:right w:val="single" w:sz="4" w:space="0" w:color="auto"/>
            </w:tcBorders>
            <w:shd w:val="clear" w:color="auto" w:fill="auto"/>
            <w:noWrap/>
            <w:vAlign w:val="bottom"/>
            <w:hideMark/>
          </w:tcPr>
          <w:p w14:paraId="3FDE24AF" w14:textId="77777777" w:rsidR="006C604A" w:rsidRPr="004E2CEF" w:rsidRDefault="006C604A" w:rsidP="000649D7">
            <w:pPr>
              <w:rPr>
                <w:rFonts w:ascii="Calibri" w:hAnsi="Calibri" w:cs="Calibri"/>
                <w:b/>
                <w:bCs/>
                <w:color w:val="000000"/>
                <w:sz w:val="18"/>
                <w:lang w:eastAsia="it-CH"/>
              </w:rPr>
            </w:pPr>
            <w:r w:rsidRPr="004E2CEF">
              <w:rPr>
                <w:rFonts w:ascii="Calibri" w:hAnsi="Calibri" w:cs="Calibri"/>
                <w:b/>
                <w:bCs/>
                <w:color w:val="000000"/>
                <w:sz w:val="18"/>
                <w:lang w:eastAsia="it-CH"/>
              </w:rPr>
              <w:t>Media CH</w:t>
            </w:r>
          </w:p>
        </w:tc>
        <w:tc>
          <w:tcPr>
            <w:tcW w:w="325" w:type="pct"/>
            <w:tcBorders>
              <w:top w:val="nil"/>
              <w:left w:val="nil"/>
              <w:bottom w:val="single" w:sz="8" w:space="0" w:color="auto"/>
              <w:right w:val="single" w:sz="4" w:space="0" w:color="auto"/>
            </w:tcBorders>
            <w:shd w:val="clear" w:color="auto" w:fill="auto"/>
            <w:noWrap/>
            <w:vAlign w:val="bottom"/>
            <w:hideMark/>
          </w:tcPr>
          <w:p w14:paraId="48323593"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0.1%</w:t>
            </w:r>
          </w:p>
        </w:tc>
        <w:tc>
          <w:tcPr>
            <w:tcW w:w="310" w:type="pct"/>
            <w:tcBorders>
              <w:top w:val="nil"/>
              <w:left w:val="nil"/>
              <w:bottom w:val="single" w:sz="8" w:space="0" w:color="auto"/>
              <w:right w:val="single" w:sz="4" w:space="0" w:color="auto"/>
            </w:tcBorders>
            <w:shd w:val="clear" w:color="auto" w:fill="auto"/>
            <w:noWrap/>
            <w:vAlign w:val="bottom"/>
            <w:hideMark/>
          </w:tcPr>
          <w:p w14:paraId="493E26BD"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0.0%</w:t>
            </w:r>
          </w:p>
        </w:tc>
        <w:tc>
          <w:tcPr>
            <w:tcW w:w="310" w:type="pct"/>
            <w:tcBorders>
              <w:top w:val="nil"/>
              <w:left w:val="nil"/>
              <w:bottom w:val="single" w:sz="8" w:space="0" w:color="auto"/>
              <w:right w:val="single" w:sz="4" w:space="0" w:color="auto"/>
            </w:tcBorders>
            <w:shd w:val="clear" w:color="auto" w:fill="auto"/>
            <w:noWrap/>
            <w:vAlign w:val="bottom"/>
            <w:hideMark/>
          </w:tcPr>
          <w:p w14:paraId="7060EE6F"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3.9%</w:t>
            </w:r>
          </w:p>
        </w:tc>
        <w:tc>
          <w:tcPr>
            <w:tcW w:w="359" w:type="pct"/>
            <w:tcBorders>
              <w:top w:val="nil"/>
              <w:left w:val="nil"/>
              <w:bottom w:val="single" w:sz="8" w:space="0" w:color="auto"/>
              <w:right w:val="single" w:sz="4" w:space="0" w:color="auto"/>
            </w:tcBorders>
            <w:shd w:val="clear" w:color="auto" w:fill="auto"/>
            <w:noWrap/>
            <w:vAlign w:val="bottom"/>
            <w:hideMark/>
          </w:tcPr>
          <w:p w14:paraId="51A806FE"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10.8%</w:t>
            </w:r>
          </w:p>
        </w:tc>
        <w:tc>
          <w:tcPr>
            <w:tcW w:w="359" w:type="pct"/>
            <w:tcBorders>
              <w:top w:val="nil"/>
              <w:left w:val="nil"/>
              <w:bottom w:val="single" w:sz="8" w:space="0" w:color="auto"/>
              <w:right w:val="single" w:sz="4" w:space="0" w:color="auto"/>
            </w:tcBorders>
            <w:shd w:val="clear" w:color="auto" w:fill="auto"/>
            <w:noWrap/>
            <w:vAlign w:val="bottom"/>
            <w:hideMark/>
          </w:tcPr>
          <w:p w14:paraId="3621230E"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8.2%</w:t>
            </w:r>
          </w:p>
        </w:tc>
        <w:tc>
          <w:tcPr>
            <w:tcW w:w="359" w:type="pct"/>
            <w:tcBorders>
              <w:top w:val="nil"/>
              <w:left w:val="nil"/>
              <w:bottom w:val="single" w:sz="8" w:space="0" w:color="auto"/>
              <w:right w:val="single" w:sz="4" w:space="0" w:color="auto"/>
            </w:tcBorders>
            <w:shd w:val="clear" w:color="auto" w:fill="auto"/>
            <w:noWrap/>
            <w:vAlign w:val="bottom"/>
            <w:hideMark/>
          </w:tcPr>
          <w:p w14:paraId="304A8F54"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11.7%</w:t>
            </w:r>
          </w:p>
        </w:tc>
        <w:tc>
          <w:tcPr>
            <w:tcW w:w="359" w:type="pct"/>
            <w:tcBorders>
              <w:top w:val="nil"/>
              <w:left w:val="nil"/>
              <w:bottom w:val="single" w:sz="8" w:space="0" w:color="auto"/>
              <w:right w:val="single" w:sz="4" w:space="0" w:color="auto"/>
            </w:tcBorders>
            <w:shd w:val="clear" w:color="auto" w:fill="auto"/>
            <w:noWrap/>
            <w:vAlign w:val="bottom"/>
            <w:hideMark/>
          </w:tcPr>
          <w:p w14:paraId="376948AE"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21.1%</w:t>
            </w:r>
          </w:p>
        </w:tc>
        <w:tc>
          <w:tcPr>
            <w:tcW w:w="359" w:type="pct"/>
            <w:tcBorders>
              <w:top w:val="nil"/>
              <w:left w:val="nil"/>
              <w:bottom w:val="single" w:sz="8" w:space="0" w:color="auto"/>
              <w:right w:val="single" w:sz="4" w:space="0" w:color="auto"/>
            </w:tcBorders>
            <w:shd w:val="clear" w:color="auto" w:fill="auto"/>
            <w:noWrap/>
            <w:vAlign w:val="bottom"/>
            <w:hideMark/>
          </w:tcPr>
          <w:p w14:paraId="5D1619C5"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15.3%</w:t>
            </w:r>
          </w:p>
        </w:tc>
        <w:tc>
          <w:tcPr>
            <w:tcW w:w="360" w:type="pct"/>
            <w:tcBorders>
              <w:top w:val="nil"/>
              <w:left w:val="nil"/>
              <w:bottom w:val="single" w:sz="8" w:space="0" w:color="auto"/>
              <w:right w:val="single" w:sz="4" w:space="0" w:color="auto"/>
            </w:tcBorders>
            <w:shd w:val="clear" w:color="auto" w:fill="auto"/>
            <w:noWrap/>
            <w:vAlign w:val="bottom"/>
            <w:hideMark/>
          </w:tcPr>
          <w:p w14:paraId="33E77D3F"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19.2%</w:t>
            </w:r>
          </w:p>
        </w:tc>
        <w:tc>
          <w:tcPr>
            <w:tcW w:w="360" w:type="pct"/>
            <w:tcBorders>
              <w:top w:val="nil"/>
              <w:left w:val="nil"/>
              <w:bottom w:val="single" w:sz="8" w:space="0" w:color="auto"/>
              <w:right w:val="single" w:sz="4" w:space="0" w:color="auto"/>
            </w:tcBorders>
            <w:shd w:val="clear" w:color="auto" w:fill="auto"/>
            <w:noWrap/>
            <w:vAlign w:val="bottom"/>
            <w:hideMark/>
          </w:tcPr>
          <w:p w14:paraId="52BCBC31"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17.3%</w:t>
            </w:r>
          </w:p>
        </w:tc>
        <w:tc>
          <w:tcPr>
            <w:tcW w:w="360" w:type="pct"/>
            <w:tcBorders>
              <w:top w:val="nil"/>
              <w:left w:val="nil"/>
              <w:bottom w:val="single" w:sz="8" w:space="0" w:color="auto"/>
              <w:right w:val="single" w:sz="4" w:space="0" w:color="auto"/>
            </w:tcBorders>
            <w:shd w:val="clear" w:color="auto" w:fill="auto"/>
            <w:noWrap/>
            <w:vAlign w:val="bottom"/>
            <w:hideMark/>
          </w:tcPr>
          <w:p w14:paraId="2D8C89A1"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22.8%</w:t>
            </w:r>
          </w:p>
        </w:tc>
        <w:tc>
          <w:tcPr>
            <w:tcW w:w="360" w:type="pct"/>
            <w:tcBorders>
              <w:top w:val="nil"/>
              <w:left w:val="nil"/>
              <w:bottom w:val="single" w:sz="8" w:space="0" w:color="auto"/>
              <w:right w:val="single" w:sz="4" w:space="0" w:color="auto"/>
            </w:tcBorders>
            <w:shd w:val="clear" w:color="auto" w:fill="auto"/>
            <w:noWrap/>
            <w:vAlign w:val="bottom"/>
            <w:hideMark/>
          </w:tcPr>
          <w:p w14:paraId="0388B990"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15.2%</w:t>
            </w:r>
          </w:p>
        </w:tc>
        <w:tc>
          <w:tcPr>
            <w:tcW w:w="361" w:type="pct"/>
            <w:tcBorders>
              <w:top w:val="nil"/>
              <w:left w:val="nil"/>
              <w:bottom w:val="single" w:sz="8" w:space="0" w:color="auto"/>
              <w:right w:val="single" w:sz="8" w:space="0" w:color="auto"/>
            </w:tcBorders>
            <w:shd w:val="clear" w:color="auto" w:fill="auto"/>
            <w:noWrap/>
            <w:vAlign w:val="bottom"/>
            <w:hideMark/>
          </w:tcPr>
          <w:p w14:paraId="2F437526" w14:textId="77777777" w:rsidR="006C604A" w:rsidRPr="004E2CEF" w:rsidRDefault="006C604A" w:rsidP="000649D7">
            <w:pPr>
              <w:jc w:val="right"/>
              <w:rPr>
                <w:rFonts w:ascii="Calibri" w:hAnsi="Calibri" w:cs="Calibri"/>
                <w:bCs/>
                <w:color w:val="000000"/>
                <w:sz w:val="18"/>
                <w:lang w:eastAsia="it-CH"/>
              </w:rPr>
            </w:pPr>
            <w:r w:rsidRPr="004E2CEF">
              <w:rPr>
                <w:rFonts w:ascii="Calibri" w:hAnsi="Calibri" w:cs="Calibri"/>
                <w:bCs/>
                <w:color w:val="000000"/>
                <w:sz w:val="18"/>
                <w:lang w:eastAsia="it-CH"/>
              </w:rPr>
              <w:t>27.4%</w:t>
            </w:r>
          </w:p>
        </w:tc>
      </w:tr>
      <w:tr w:rsidR="006C604A" w:rsidRPr="004E2CEF" w14:paraId="4C1F3FDE" w14:textId="77777777" w:rsidTr="000649D7">
        <w:trPr>
          <w:trHeight w:val="317"/>
        </w:trPr>
        <w:tc>
          <w:tcPr>
            <w:tcW w:w="459" w:type="pct"/>
            <w:tcBorders>
              <w:top w:val="nil"/>
              <w:left w:val="single" w:sz="8" w:space="0" w:color="auto"/>
              <w:bottom w:val="single" w:sz="8" w:space="0" w:color="auto"/>
              <w:right w:val="single" w:sz="4" w:space="0" w:color="auto"/>
            </w:tcBorders>
            <w:shd w:val="clear" w:color="auto" w:fill="auto"/>
            <w:noWrap/>
            <w:vAlign w:val="bottom"/>
          </w:tcPr>
          <w:p w14:paraId="619A78A0" w14:textId="77777777" w:rsidR="006C604A" w:rsidRPr="004E2CEF" w:rsidRDefault="006C604A" w:rsidP="000649D7">
            <w:pPr>
              <w:rPr>
                <w:rFonts w:ascii="Calibri" w:hAnsi="Calibri" w:cs="Calibri"/>
                <w:b/>
                <w:color w:val="000000"/>
                <w:sz w:val="18"/>
                <w:lang w:eastAsia="it-CH"/>
              </w:rPr>
            </w:pPr>
            <w:r w:rsidRPr="004E2CEF">
              <w:rPr>
                <w:rFonts w:ascii="Calibri" w:hAnsi="Calibri" w:cs="Calibri"/>
                <w:b/>
                <w:color w:val="000000"/>
                <w:sz w:val="18"/>
                <w:lang w:eastAsia="it-CH"/>
              </w:rPr>
              <w:t>TI</w:t>
            </w:r>
          </w:p>
        </w:tc>
        <w:tc>
          <w:tcPr>
            <w:tcW w:w="325" w:type="pct"/>
            <w:tcBorders>
              <w:top w:val="nil"/>
              <w:left w:val="nil"/>
              <w:bottom w:val="single" w:sz="8" w:space="0" w:color="auto"/>
              <w:right w:val="single" w:sz="4" w:space="0" w:color="auto"/>
            </w:tcBorders>
            <w:shd w:val="clear" w:color="auto" w:fill="auto"/>
            <w:noWrap/>
            <w:vAlign w:val="bottom"/>
          </w:tcPr>
          <w:p w14:paraId="7E1286DC" w14:textId="77777777" w:rsidR="006C604A" w:rsidRPr="004E2CEF" w:rsidRDefault="006C604A" w:rsidP="000649D7">
            <w:pPr>
              <w:jc w:val="right"/>
              <w:rPr>
                <w:rFonts w:ascii="Calibri" w:hAnsi="Calibri" w:cs="Calibri"/>
                <w:b/>
                <w:color w:val="00B050"/>
                <w:sz w:val="18"/>
                <w:lang w:eastAsia="it-CH"/>
              </w:rPr>
            </w:pPr>
            <w:r w:rsidRPr="004E2CEF">
              <w:rPr>
                <w:rFonts w:ascii="Calibri" w:hAnsi="Calibri" w:cs="Calibri"/>
                <w:b/>
                <w:color w:val="00B050"/>
                <w:sz w:val="18"/>
                <w:lang w:eastAsia="it-CH"/>
              </w:rPr>
              <w:t>0.0%</w:t>
            </w:r>
          </w:p>
        </w:tc>
        <w:tc>
          <w:tcPr>
            <w:tcW w:w="310" w:type="pct"/>
            <w:tcBorders>
              <w:top w:val="nil"/>
              <w:left w:val="nil"/>
              <w:bottom w:val="single" w:sz="8" w:space="0" w:color="auto"/>
              <w:right w:val="single" w:sz="4" w:space="0" w:color="auto"/>
            </w:tcBorders>
            <w:shd w:val="clear" w:color="auto" w:fill="auto"/>
            <w:noWrap/>
            <w:vAlign w:val="bottom"/>
          </w:tcPr>
          <w:p w14:paraId="27CCA5FA" w14:textId="77777777" w:rsidR="006C604A" w:rsidRPr="004E2CEF" w:rsidRDefault="006C604A" w:rsidP="000649D7">
            <w:pPr>
              <w:jc w:val="right"/>
              <w:rPr>
                <w:rFonts w:ascii="Calibri" w:hAnsi="Calibri" w:cs="Calibri"/>
                <w:b/>
                <w:color w:val="00B050"/>
                <w:sz w:val="18"/>
                <w:lang w:eastAsia="it-CH"/>
              </w:rPr>
            </w:pPr>
            <w:r w:rsidRPr="004E2CEF">
              <w:rPr>
                <w:rFonts w:ascii="Calibri" w:hAnsi="Calibri" w:cs="Calibri"/>
                <w:b/>
                <w:color w:val="00B050"/>
                <w:sz w:val="18"/>
                <w:lang w:eastAsia="it-CH"/>
              </w:rPr>
              <w:t>0.0%</w:t>
            </w:r>
          </w:p>
        </w:tc>
        <w:tc>
          <w:tcPr>
            <w:tcW w:w="310" w:type="pct"/>
            <w:tcBorders>
              <w:top w:val="nil"/>
              <w:left w:val="nil"/>
              <w:bottom w:val="single" w:sz="8" w:space="0" w:color="auto"/>
              <w:right w:val="single" w:sz="4" w:space="0" w:color="auto"/>
            </w:tcBorders>
            <w:shd w:val="clear" w:color="auto" w:fill="auto"/>
            <w:noWrap/>
            <w:vAlign w:val="bottom"/>
          </w:tcPr>
          <w:p w14:paraId="71082BA1" w14:textId="77777777" w:rsidR="006C604A" w:rsidRPr="004E2CEF" w:rsidRDefault="006C604A" w:rsidP="000649D7">
            <w:pPr>
              <w:jc w:val="right"/>
              <w:rPr>
                <w:rFonts w:ascii="Calibri" w:hAnsi="Calibri" w:cs="Calibri"/>
                <w:b/>
                <w:color w:val="00B050"/>
                <w:sz w:val="18"/>
                <w:lang w:eastAsia="it-CH"/>
              </w:rPr>
            </w:pPr>
            <w:r w:rsidRPr="004E2CEF">
              <w:rPr>
                <w:rFonts w:ascii="Calibri" w:hAnsi="Calibri" w:cs="Calibri"/>
                <w:b/>
                <w:color w:val="00B050"/>
                <w:sz w:val="18"/>
                <w:lang w:eastAsia="it-CH"/>
              </w:rPr>
              <w:t>0.0%</w:t>
            </w:r>
          </w:p>
        </w:tc>
        <w:tc>
          <w:tcPr>
            <w:tcW w:w="359" w:type="pct"/>
            <w:tcBorders>
              <w:top w:val="nil"/>
              <w:left w:val="nil"/>
              <w:bottom w:val="single" w:sz="8" w:space="0" w:color="auto"/>
              <w:right w:val="single" w:sz="4" w:space="0" w:color="auto"/>
            </w:tcBorders>
            <w:shd w:val="clear" w:color="auto" w:fill="auto"/>
            <w:noWrap/>
            <w:vAlign w:val="bottom"/>
          </w:tcPr>
          <w:p w14:paraId="617EA816" w14:textId="77777777" w:rsidR="006C604A" w:rsidRPr="004E2CEF" w:rsidRDefault="006C604A" w:rsidP="000649D7">
            <w:pPr>
              <w:jc w:val="right"/>
              <w:rPr>
                <w:rFonts w:ascii="Calibri" w:hAnsi="Calibri" w:cs="Calibri"/>
                <w:b/>
                <w:color w:val="00B050"/>
                <w:sz w:val="18"/>
                <w:lang w:eastAsia="it-CH"/>
              </w:rPr>
            </w:pPr>
            <w:r w:rsidRPr="004E2CEF">
              <w:rPr>
                <w:rFonts w:ascii="Calibri" w:hAnsi="Calibri" w:cs="Calibri"/>
                <w:b/>
                <w:color w:val="00B050"/>
                <w:sz w:val="18"/>
                <w:lang w:eastAsia="it-CH"/>
              </w:rPr>
              <w:t>0.0%</w:t>
            </w:r>
          </w:p>
        </w:tc>
        <w:tc>
          <w:tcPr>
            <w:tcW w:w="359" w:type="pct"/>
            <w:tcBorders>
              <w:top w:val="nil"/>
              <w:left w:val="nil"/>
              <w:bottom w:val="single" w:sz="8" w:space="0" w:color="auto"/>
              <w:right w:val="single" w:sz="4" w:space="0" w:color="auto"/>
            </w:tcBorders>
            <w:shd w:val="clear" w:color="auto" w:fill="auto"/>
            <w:noWrap/>
            <w:vAlign w:val="bottom"/>
          </w:tcPr>
          <w:p w14:paraId="530343B6"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15.5%</w:t>
            </w:r>
          </w:p>
        </w:tc>
        <w:tc>
          <w:tcPr>
            <w:tcW w:w="359" w:type="pct"/>
            <w:tcBorders>
              <w:top w:val="nil"/>
              <w:left w:val="nil"/>
              <w:bottom w:val="single" w:sz="8" w:space="0" w:color="auto"/>
              <w:right w:val="single" w:sz="4" w:space="0" w:color="auto"/>
            </w:tcBorders>
            <w:shd w:val="clear" w:color="auto" w:fill="auto"/>
            <w:noWrap/>
            <w:vAlign w:val="bottom"/>
          </w:tcPr>
          <w:p w14:paraId="3F49704A"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15.5%</w:t>
            </w:r>
          </w:p>
        </w:tc>
        <w:tc>
          <w:tcPr>
            <w:tcW w:w="359" w:type="pct"/>
            <w:tcBorders>
              <w:top w:val="nil"/>
              <w:left w:val="nil"/>
              <w:bottom w:val="single" w:sz="8" w:space="0" w:color="auto"/>
              <w:right w:val="single" w:sz="4" w:space="0" w:color="auto"/>
            </w:tcBorders>
            <w:shd w:val="clear" w:color="auto" w:fill="auto"/>
            <w:noWrap/>
            <w:vAlign w:val="bottom"/>
          </w:tcPr>
          <w:p w14:paraId="7F65922F"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27.0%</w:t>
            </w:r>
          </w:p>
        </w:tc>
        <w:tc>
          <w:tcPr>
            <w:tcW w:w="359" w:type="pct"/>
            <w:tcBorders>
              <w:top w:val="nil"/>
              <w:left w:val="nil"/>
              <w:bottom w:val="single" w:sz="8" w:space="0" w:color="auto"/>
              <w:right w:val="single" w:sz="4" w:space="0" w:color="auto"/>
            </w:tcBorders>
            <w:shd w:val="clear" w:color="auto" w:fill="auto"/>
            <w:noWrap/>
            <w:vAlign w:val="bottom"/>
          </w:tcPr>
          <w:p w14:paraId="76A603F7"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18.5%</w:t>
            </w:r>
          </w:p>
        </w:tc>
        <w:tc>
          <w:tcPr>
            <w:tcW w:w="360" w:type="pct"/>
            <w:tcBorders>
              <w:top w:val="nil"/>
              <w:left w:val="nil"/>
              <w:bottom w:val="single" w:sz="8" w:space="0" w:color="auto"/>
              <w:right w:val="single" w:sz="4" w:space="0" w:color="auto"/>
            </w:tcBorders>
            <w:shd w:val="clear" w:color="auto" w:fill="auto"/>
            <w:noWrap/>
            <w:vAlign w:val="bottom"/>
          </w:tcPr>
          <w:p w14:paraId="59F31456"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18.5%</w:t>
            </w:r>
          </w:p>
        </w:tc>
        <w:tc>
          <w:tcPr>
            <w:tcW w:w="360" w:type="pct"/>
            <w:tcBorders>
              <w:top w:val="nil"/>
              <w:left w:val="nil"/>
              <w:bottom w:val="single" w:sz="8" w:space="0" w:color="auto"/>
              <w:right w:val="single" w:sz="4" w:space="0" w:color="auto"/>
            </w:tcBorders>
            <w:shd w:val="clear" w:color="auto" w:fill="auto"/>
            <w:noWrap/>
            <w:vAlign w:val="bottom"/>
          </w:tcPr>
          <w:p w14:paraId="5D601FF3"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18.5%</w:t>
            </w:r>
          </w:p>
        </w:tc>
        <w:tc>
          <w:tcPr>
            <w:tcW w:w="360" w:type="pct"/>
            <w:tcBorders>
              <w:top w:val="nil"/>
              <w:left w:val="nil"/>
              <w:bottom w:val="single" w:sz="8" w:space="0" w:color="auto"/>
              <w:right w:val="single" w:sz="4" w:space="0" w:color="auto"/>
            </w:tcBorders>
            <w:shd w:val="clear" w:color="auto" w:fill="auto"/>
            <w:noWrap/>
            <w:vAlign w:val="bottom"/>
          </w:tcPr>
          <w:p w14:paraId="4BB69F05"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27.0%</w:t>
            </w:r>
          </w:p>
        </w:tc>
        <w:tc>
          <w:tcPr>
            <w:tcW w:w="360" w:type="pct"/>
            <w:tcBorders>
              <w:top w:val="nil"/>
              <w:left w:val="nil"/>
              <w:bottom w:val="single" w:sz="8" w:space="0" w:color="auto"/>
              <w:right w:val="single" w:sz="4" w:space="0" w:color="auto"/>
            </w:tcBorders>
            <w:shd w:val="clear" w:color="auto" w:fill="auto"/>
            <w:noWrap/>
            <w:vAlign w:val="bottom"/>
          </w:tcPr>
          <w:p w14:paraId="37FF5251"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41.0%</w:t>
            </w:r>
          </w:p>
        </w:tc>
        <w:tc>
          <w:tcPr>
            <w:tcW w:w="361" w:type="pct"/>
            <w:tcBorders>
              <w:top w:val="nil"/>
              <w:left w:val="nil"/>
              <w:bottom w:val="single" w:sz="8" w:space="0" w:color="auto"/>
              <w:right w:val="single" w:sz="8" w:space="0" w:color="auto"/>
            </w:tcBorders>
            <w:shd w:val="clear" w:color="auto" w:fill="auto"/>
            <w:noWrap/>
            <w:vAlign w:val="bottom"/>
          </w:tcPr>
          <w:p w14:paraId="5905BC8D" w14:textId="77777777" w:rsidR="006C604A" w:rsidRPr="004E2CEF" w:rsidRDefault="006C604A" w:rsidP="000649D7">
            <w:pPr>
              <w:jc w:val="right"/>
              <w:rPr>
                <w:rFonts w:ascii="Calibri" w:hAnsi="Calibri" w:cs="Calibri"/>
                <w:b/>
                <w:color w:val="FF0000"/>
                <w:sz w:val="18"/>
                <w:lang w:eastAsia="it-CH"/>
              </w:rPr>
            </w:pPr>
            <w:r w:rsidRPr="004E2CEF">
              <w:rPr>
                <w:rFonts w:ascii="Calibri" w:hAnsi="Calibri" w:cs="Calibri"/>
                <w:b/>
                <w:color w:val="FF0000"/>
                <w:sz w:val="18"/>
                <w:lang w:eastAsia="it-CH"/>
              </w:rPr>
              <w:t>41.0%</w:t>
            </w:r>
          </w:p>
        </w:tc>
      </w:tr>
    </w:tbl>
    <w:p w14:paraId="65E20EE6" w14:textId="77777777" w:rsidR="006C604A" w:rsidRPr="007B31D5" w:rsidRDefault="006C604A" w:rsidP="006C604A">
      <w:pPr>
        <w:rPr>
          <w:rFonts w:asciiTheme="minorHAnsi" w:hAnsiTheme="minorHAnsi"/>
          <w:i/>
          <w:sz w:val="18"/>
          <w:szCs w:val="18"/>
          <w:lang w:val="fr-FR"/>
        </w:rPr>
      </w:pPr>
      <w:r w:rsidRPr="007B31D5">
        <w:rPr>
          <w:rFonts w:asciiTheme="minorHAnsi" w:hAnsiTheme="minorHAnsi"/>
          <w:i/>
          <w:sz w:val="18"/>
          <w:szCs w:val="18"/>
          <w:lang w:val="fr-FR"/>
        </w:rPr>
        <w:t xml:space="preserve">Fonte: </w:t>
      </w:r>
      <w:hyperlink r:id="rId17" w:history="1">
        <w:r w:rsidRPr="007B31D5">
          <w:rPr>
            <w:rStyle w:val="Collegamentoipertestuale"/>
            <w:rFonts w:asciiTheme="minorHAnsi" w:hAnsiTheme="minorHAnsi"/>
            <w:i/>
            <w:sz w:val="18"/>
            <w:szCs w:val="18"/>
            <w:lang w:val="fr-FR"/>
          </w:rPr>
          <w:t>https://www.estv.admin.ch/estv/fr/accueil/afc/systeme-fiscal-suisse/brochures-fiscales.html</w:t>
        </w:r>
      </w:hyperlink>
    </w:p>
    <w:p w14:paraId="2C6272EF" w14:textId="77777777" w:rsidR="006C604A" w:rsidRPr="004E2CEF" w:rsidRDefault="006C604A" w:rsidP="006C604A">
      <w:pPr>
        <w:rPr>
          <w:sz w:val="24"/>
          <w:szCs w:val="24"/>
          <w:u w:val="single"/>
          <w:lang w:val="fr-FR"/>
        </w:rPr>
      </w:pPr>
    </w:p>
    <w:p w14:paraId="2433FC76" w14:textId="77777777" w:rsidR="00100005" w:rsidRDefault="00100005">
      <w:pPr>
        <w:rPr>
          <w:sz w:val="24"/>
          <w:szCs w:val="24"/>
        </w:rPr>
      </w:pPr>
      <w:r>
        <w:rPr>
          <w:sz w:val="24"/>
          <w:szCs w:val="24"/>
        </w:rPr>
        <w:br w:type="page"/>
      </w:r>
    </w:p>
    <w:p w14:paraId="57E00B72" w14:textId="711DEDAD" w:rsidR="006C604A" w:rsidRPr="004E2CEF" w:rsidRDefault="006C604A" w:rsidP="006C604A">
      <w:pPr>
        <w:rPr>
          <w:sz w:val="24"/>
          <w:szCs w:val="24"/>
        </w:rPr>
      </w:pPr>
      <w:r w:rsidRPr="004E2CEF">
        <w:rPr>
          <w:sz w:val="24"/>
          <w:szCs w:val="24"/>
        </w:rPr>
        <w:t xml:space="preserve">Il raffronto con i dati medi svizzeri mette bene in evidenza come il Canton Ticino sia allo stadio attuale generoso in prospettiva verticale, prevedendo l’esenzione dei discendenti e degli ascendenti diretti, ma piuttosto esigente e oneroso da un punto di vista orizzontale, con delle aliquote superiori alla media svizzera sui trapassi per la maggior parte dei gradi di parentela. Fa eccezione il legame orizzontale tra coniugi o partner registrati, che risulta esente da imposta e in linea con tutti i Cantoni svizzeri. </w:t>
      </w:r>
    </w:p>
    <w:p w14:paraId="4923FF56" w14:textId="77777777" w:rsidR="006C604A" w:rsidRPr="004E2CEF" w:rsidRDefault="006C604A" w:rsidP="006C604A">
      <w:pPr>
        <w:rPr>
          <w:sz w:val="24"/>
          <w:szCs w:val="24"/>
        </w:rPr>
      </w:pPr>
    </w:p>
    <w:p w14:paraId="0825E9FC" w14:textId="5D8C804A" w:rsidR="006C604A" w:rsidRPr="004E2CEF" w:rsidRDefault="006C604A" w:rsidP="006C604A">
      <w:pPr>
        <w:rPr>
          <w:sz w:val="24"/>
          <w:szCs w:val="24"/>
        </w:rPr>
      </w:pPr>
      <w:r w:rsidRPr="004E2CEF">
        <w:rPr>
          <w:sz w:val="24"/>
          <w:szCs w:val="24"/>
        </w:rPr>
        <w:t>Nella suddetta tabella, spiccano in particolar modo l’aliquota massima del 41% applicabile alla categoria dei concubini (contro una media svizzera del 15.19%)</w:t>
      </w:r>
      <w:r w:rsidR="008D7FAD">
        <w:rPr>
          <w:sz w:val="24"/>
          <w:szCs w:val="24"/>
        </w:rPr>
        <w:t>.</w:t>
      </w:r>
      <w:r w:rsidRPr="004E2CEF">
        <w:rPr>
          <w:sz w:val="24"/>
          <w:szCs w:val="24"/>
        </w:rPr>
        <w:t xml:space="preserve"> Facciamo inoltre notare come nella categoria degli </w:t>
      </w:r>
      <w:r w:rsidRPr="004E2CEF">
        <w:rPr>
          <w:i/>
          <w:sz w:val="24"/>
          <w:szCs w:val="24"/>
        </w:rPr>
        <w:t>“altri beneficiari e non parenti”</w:t>
      </w:r>
      <w:r w:rsidRPr="004E2CEF">
        <w:rPr>
          <w:sz w:val="24"/>
          <w:szCs w:val="24"/>
        </w:rPr>
        <w:t xml:space="preserve"> sono inclusi anche una serie di parenti non consanguinei per i quali la legge non prevede espressamente delle aliquote attenuate, i cosiddetti </w:t>
      </w:r>
      <w:r w:rsidRPr="004E2CEF">
        <w:rPr>
          <w:i/>
          <w:sz w:val="24"/>
          <w:szCs w:val="24"/>
        </w:rPr>
        <w:t>“parenti affini</w:t>
      </w:r>
      <w:r w:rsidRPr="004E2CEF">
        <w:rPr>
          <w:sz w:val="24"/>
          <w:szCs w:val="24"/>
        </w:rPr>
        <w:t>” (art. 164 cpv. 3 LT). L’aliquota massima del 41%, estremamente elevata, ci porta a coprire la terz’ultima posizione nella classifica intercantonale della categoria degli “</w:t>
      </w:r>
      <w:r w:rsidRPr="004E2CEF">
        <w:rPr>
          <w:i/>
          <w:sz w:val="24"/>
          <w:szCs w:val="24"/>
        </w:rPr>
        <w:t>altri beneficiari e non parenti”,</w:t>
      </w:r>
      <w:r w:rsidRPr="004E2CEF">
        <w:rPr>
          <w:sz w:val="24"/>
          <w:szCs w:val="24"/>
        </w:rPr>
        <w:t xml:space="preserve"> dietro solo al Canton Basilea Città (49.50%) e al Canton Neuchâtel (45%)</w:t>
      </w:r>
      <w:r w:rsidRPr="004E2CEF">
        <w:rPr>
          <w:rStyle w:val="Rimandonotaapidipagina"/>
          <w:sz w:val="24"/>
          <w:szCs w:val="24"/>
        </w:rPr>
        <w:footnoteReference w:id="11"/>
      </w:r>
      <w:r w:rsidRPr="004E2CEF">
        <w:rPr>
          <w:sz w:val="24"/>
          <w:szCs w:val="24"/>
        </w:rPr>
        <w:t>.</w:t>
      </w:r>
    </w:p>
    <w:p w14:paraId="3365C8E5" w14:textId="77777777" w:rsidR="006C604A" w:rsidRPr="004E2CEF" w:rsidRDefault="006C604A" w:rsidP="006C604A">
      <w:pPr>
        <w:rPr>
          <w:sz w:val="24"/>
          <w:szCs w:val="24"/>
          <w:u w:val="single"/>
        </w:rPr>
      </w:pPr>
    </w:p>
    <w:p w14:paraId="62D8D9D9" w14:textId="77777777" w:rsidR="006C604A" w:rsidRPr="004E2CEF" w:rsidRDefault="006C604A" w:rsidP="00100005">
      <w:pPr>
        <w:pStyle w:val="CAPITOLO3"/>
      </w:pPr>
      <w:bookmarkStart w:id="15" w:name="_Toc139991882"/>
      <w:r w:rsidRPr="004E2CEF">
        <w:t>Raffronto intercantonale</w:t>
      </w:r>
      <w:bookmarkEnd w:id="15"/>
    </w:p>
    <w:p w14:paraId="342A3FCF" w14:textId="77777777" w:rsidR="006C604A" w:rsidRPr="004E2CEF" w:rsidRDefault="006C604A" w:rsidP="006C604A">
      <w:pPr>
        <w:rPr>
          <w:sz w:val="24"/>
          <w:szCs w:val="24"/>
          <w:u w:val="single"/>
        </w:rPr>
      </w:pPr>
    </w:p>
    <w:p w14:paraId="53DECA34" w14:textId="0B27D268" w:rsidR="006C604A" w:rsidRPr="004E2CEF" w:rsidRDefault="006C604A" w:rsidP="006C604A">
      <w:pPr>
        <w:rPr>
          <w:sz w:val="24"/>
          <w:szCs w:val="24"/>
        </w:rPr>
      </w:pPr>
      <w:r w:rsidRPr="004E2CEF">
        <w:rPr>
          <w:sz w:val="24"/>
          <w:szCs w:val="24"/>
        </w:rPr>
        <w:t>Da non sottostimare anche l’aspetto di concorrenza fiscale intercantonale, in quanto tale riforma è un tassello essenziale per favorire l’insediamento di nuovi contribuenti (pensionati o meno) con una realtà familiare “allargata” che desiderano, tra le altre cose, pianificare la loro successione oppure ridistribuire il proprio patrimonio tramite determinate liberalità. Da un raffronto intercantonale più dettagliato, sulla base dei dati relativi al 2023</w:t>
      </w:r>
      <w:r w:rsidRPr="004E2CEF">
        <w:rPr>
          <w:rStyle w:val="Rimandonotaapidipagina"/>
          <w:sz w:val="24"/>
          <w:szCs w:val="24"/>
        </w:rPr>
        <w:footnoteReference w:id="12"/>
      </w:r>
      <w:r w:rsidR="008D7FAD">
        <w:rPr>
          <w:sz w:val="24"/>
          <w:szCs w:val="24"/>
        </w:rPr>
        <w:t xml:space="preserve"> </w:t>
      </w:r>
      <w:r w:rsidRPr="004E2CEF">
        <w:rPr>
          <w:sz w:val="24"/>
          <w:szCs w:val="24"/>
        </w:rPr>
        <w:t xml:space="preserve">risulta che i regimi fiscali cantonali in materia di imposte di successione e donazione risultano estremamente variegati. In sintesi, 23 Cantoni, di cui il Canton Ticino, prelevano sia l’imposta di successione che quella di donazione, 1 Cantone (LU) preleva solo l’imposta di successione e 2 Cantoni (SZ e OW) non prevedono nessuna delle predette imposte. Nessun Cantone della Svizzera prevede l’imposizione del coniuge o del partner registrato, mentre 3 Cantoni (AI, VD e NE) impongono ancora i discendenti diretti ma con aliquote molto basse che vanno dal 1 al 3%. </w:t>
      </w:r>
    </w:p>
    <w:p w14:paraId="25001D36" w14:textId="77777777" w:rsidR="006C604A" w:rsidRPr="004E2CEF" w:rsidRDefault="006C604A" w:rsidP="006C604A">
      <w:pPr>
        <w:rPr>
          <w:sz w:val="24"/>
          <w:szCs w:val="24"/>
        </w:rPr>
      </w:pPr>
    </w:p>
    <w:p w14:paraId="106D5ED0" w14:textId="67D1CBB6" w:rsidR="006C604A" w:rsidRPr="004E2CEF" w:rsidRDefault="006C604A" w:rsidP="006C604A">
      <w:pPr>
        <w:rPr>
          <w:sz w:val="24"/>
          <w:szCs w:val="24"/>
        </w:rPr>
      </w:pPr>
      <w:r w:rsidRPr="004E2CEF">
        <w:rPr>
          <w:sz w:val="24"/>
          <w:szCs w:val="24"/>
        </w:rPr>
        <w:t>Le aliquote per quanto attiene ai gradi di parentela orizzontali sono piuttosto diversificate a dipendenza dei Cantoni. Ciò che è importante rilevare in questo contesto è il fatto che il nostro Cantone risulta particolarmente oneroso per la categoria dei concubini, con un’aliquota ticinese massima del 41% a fronte della stragrande maggioranza degli altri Cantoni che prevedono delle aliquote attenuate tra il 0% (GR, LU, SZ, NW, OW, UR) e il 36%. Per quanto concerne invece gli altri parenti affini e i non parenti, fatta eccezione per NE (45%) e BS (49.5%), tutti gli altri Cantoni prevedono delle aliquote inferiori al 41% ticinese, con l’aliquota più bassa del 15% nei Cantoni GR e NW. Le aliquote ticinesi del 18.5% a carico dei nipoti, che sono generalmente i maggiori beneficiari in assenza di discendenti diretti, risultano invece solo leggermente superiori, alla media Svizzera del 17.33% e lo stesso discorso può valere, almeno in parte, per le aliquote cantonali a carico dei fratelli che si situano in Ticino al 15,50% contro una media svizzera del 11,67% con dei picchi di aliquote in diversi Cantoni che si situano tra il 15.5% e il 23%. Da notare che, sulla base delle attuali nostre conoscenze, la maggioranza degli altri cantoni danno anch’essi una definizione restrittiva della categoria dei nipoti, considerando unicamente i nipoti consanguinei e non quelli affini. Se il Ticino dovesse decidere di ampliare questa definizione, includendo gli affini, dimostrerebbe particolare sensibilità ai cambiamenti socio-demografici</w:t>
      </w:r>
      <w:r w:rsidR="008D7FAD">
        <w:rPr>
          <w:sz w:val="24"/>
          <w:szCs w:val="24"/>
        </w:rPr>
        <w:t>.</w:t>
      </w:r>
      <w:r w:rsidRPr="004E2CEF">
        <w:rPr>
          <w:sz w:val="24"/>
          <w:szCs w:val="24"/>
        </w:rPr>
        <w:t xml:space="preserve"> Per maggiori dettagli in merito al raffronto intercantonale, rimandiamo alla </w:t>
      </w:r>
      <w:r w:rsidRPr="0079665F">
        <w:rPr>
          <w:sz w:val="24"/>
          <w:szCs w:val="24"/>
        </w:rPr>
        <w:t>Tabella 4</w:t>
      </w:r>
      <w:r w:rsidRPr="004E2CEF">
        <w:rPr>
          <w:sz w:val="24"/>
          <w:szCs w:val="24"/>
        </w:rPr>
        <w:t xml:space="preserve"> allegata al presente Messaggio.</w:t>
      </w:r>
    </w:p>
    <w:p w14:paraId="4EDAFBE5" w14:textId="77777777" w:rsidR="006C604A" w:rsidRPr="004E2CEF" w:rsidRDefault="006C604A" w:rsidP="006C604A">
      <w:pPr>
        <w:rPr>
          <w:sz w:val="24"/>
          <w:szCs w:val="24"/>
        </w:rPr>
      </w:pPr>
    </w:p>
    <w:p w14:paraId="41FE7215" w14:textId="5A1821DB" w:rsidR="006C604A" w:rsidRPr="004E2CEF" w:rsidRDefault="006C604A" w:rsidP="006C604A">
      <w:pPr>
        <w:rPr>
          <w:sz w:val="24"/>
          <w:szCs w:val="24"/>
        </w:rPr>
      </w:pPr>
      <w:r w:rsidRPr="0083229F">
        <w:rPr>
          <w:sz w:val="24"/>
          <w:szCs w:val="24"/>
        </w:rPr>
        <w:t>A fronte di tutte queste considerazioni di ordine generale, il Consiglio di Stato ritiene che si</w:t>
      </w:r>
      <w:r w:rsidR="008D7FAD" w:rsidRPr="0083229F">
        <w:rPr>
          <w:sz w:val="24"/>
          <w:szCs w:val="24"/>
        </w:rPr>
        <w:t xml:space="preserve"> giustifichi</w:t>
      </w:r>
      <w:r w:rsidRPr="0083229F">
        <w:rPr>
          <w:sz w:val="24"/>
          <w:szCs w:val="24"/>
        </w:rPr>
        <w:t xml:space="preserve"> riformare il diritto fiscale in ambito di successioni e donazioni, adeguandolo maggiormente all’evoluzione sociodemografica del nostro Paese.</w:t>
      </w:r>
      <w:r w:rsidRPr="004E2CEF">
        <w:rPr>
          <w:sz w:val="24"/>
          <w:szCs w:val="24"/>
        </w:rPr>
        <w:t xml:space="preserve"> </w:t>
      </w:r>
    </w:p>
    <w:p w14:paraId="596B6D10" w14:textId="77777777" w:rsidR="006C604A" w:rsidRPr="004E2CEF" w:rsidRDefault="006C604A" w:rsidP="006C604A">
      <w:pPr>
        <w:rPr>
          <w:sz w:val="24"/>
          <w:szCs w:val="24"/>
        </w:rPr>
      </w:pPr>
    </w:p>
    <w:p w14:paraId="0DC3CED9" w14:textId="3C062B94" w:rsidR="006C604A" w:rsidRDefault="006C604A" w:rsidP="006C604A">
      <w:pPr>
        <w:rPr>
          <w:sz w:val="24"/>
          <w:szCs w:val="24"/>
        </w:rPr>
      </w:pPr>
      <w:r w:rsidRPr="004E2CEF">
        <w:rPr>
          <w:sz w:val="24"/>
          <w:szCs w:val="24"/>
        </w:rPr>
        <w:t>La presente riforma contiene delle misure di adeguamento che toccano essenzialment</w:t>
      </w:r>
      <w:r w:rsidR="00737825">
        <w:rPr>
          <w:sz w:val="24"/>
          <w:szCs w:val="24"/>
        </w:rPr>
        <w:t>e cinque campi della fiscalità:</w:t>
      </w:r>
    </w:p>
    <w:p w14:paraId="2BE314AE" w14:textId="77777777" w:rsidR="006C604A" w:rsidRPr="004E2CEF" w:rsidRDefault="006C604A" w:rsidP="006C604A">
      <w:pPr>
        <w:pStyle w:val="Paragrafoelenco"/>
        <w:numPr>
          <w:ilvl w:val="0"/>
          <w:numId w:val="20"/>
        </w:numPr>
        <w:tabs>
          <w:tab w:val="left" w:pos="540"/>
        </w:tabs>
        <w:rPr>
          <w:sz w:val="24"/>
          <w:szCs w:val="24"/>
        </w:rPr>
      </w:pPr>
      <w:r w:rsidRPr="004E2CEF">
        <w:rPr>
          <w:sz w:val="24"/>
          <w:szCs w:val="24"/>
        </w:rPr>
        <w:t>le categorie di contribuenti;</w:t>
      </w:r>
    </w:p>
    <w:p w14:paraId="419D1361" w14:textId="77777777" w:rsidR="006C604A" w:rsidRPr="004E2CEF" w:rsidRDefault="006C604A" w:rsidP="006C604A">
      <w:pPr>
        <w:pStyle w:val="Paragrafoelenco"/>
        <w:numPr>
          <w:ilvl w:val="0"/>
          <w:numId w:val="20"/>
        </w:numPr>
        <w:tabs>
          <w:tab w:val="left" w:pos="540"/>
        </w:tabs>
        <w:rPr>
          <w:sz w:val="24"/>
          <w:szCs w:val="24"/>
        </w:rPr>
      </w:pPr>
      <w:r w:rsidRPr="004E2CEF">
        <w:rPr>
          <w:sz w:val="24"/>
          <w:szCs w:val="24"/>
        </w:rPr>
        <w:t>le aliquote di imposta;</w:t>
      </w:r>
    </w:p>
    <w:p w14:paraId="41FD449C" w14:textId="77777777" w:rsidR="006C604A" w:rsidRPr="004E2CEF" w:rsidRDefault="006C604A" w:rsidP="006C604A">
      <w:pPr>
        <w:pStyle w:val="Paragrafoelenco"/>
        <w:numPr>
          <w:ilvl w:val="0"/>
          <w:numId w:val="20"/>
        </w:numPr>
        <w:tabs>
          <w:tab w:val="left" w:pos="540"/>
        </w:tabs>
        <w:rPr>
          <w:sz w:val="24"/>
          <w:szCs w:val="24"/>
        </w:rPr>
      </w:pPr>
      <w:r w:rsidRPr="004E2CEF">
        <w:rPr>
          <w:sz w:val="24"/>
          <w:szCs w:val="24"/>
        </w:rPr>
        <w:t>le quote di esenzione;</w:t>
      </w:r>
    </w:p>
    <w:p w14:paraId="2C3DDC61" w14:textId="77777777" w:rsidR="006C604A" w:rsidRPr="004E2CEF" w:rsidRDefault="006C604A" w:rsidP="006C604A">
      <w:pPr>
        <w:pStyle w:val="Paragrafoelenco"/>
        <w:numPr>
          <w:ilvl w:val="0"/>
          <w:numId w:val="20"/>
        </w:numPr>
        <w:tabs>
          <w:tab w:val="left" w:pos="540"/>
        </w:tabs>
        <w:rPr>
          <w:sz w:val="24"/>
          <w:szCs w:val="24"/>
        </w:rPr>
      </w:pPr>
      <w:r w:rsidRPr="004E2CEF">
        <w:rPr>
          <w:sz w:val="24"/>
          <w:szCs w:val="24"/>
        </w:rPr>
        <w:t>le agevolazioni in caso di successione aziendale;</w:t>
      </w:r>
    </w:p>
    <w:p w14:paraId="5C3C488F" w14:textId="77777777" w:rsidR="006C604A" w:rsidRPr="004E2CEF" w:rsidRDefault="006C604A" w:rsidP="006C604A">
      <w:pPr>
        <w:pStyle w:val="Paragrafoelenco"/>
        <w:numPr>
          <w:ilvl w:val="0"/>
          <w:numId w:val="20"/>
        </w:numPr>
        <w:tabs>
          <w:tab w:val="left" w:pos="540"/>
        </w:tabs>
        <w:rPr>
          <w:sz w:val="24"/>
          <w:szCs w:val="24"/>
        </w:rPr>
      </w:pPr>
      <w:r w:rsidRPr="004E2CEF">
        <w:rPr>
          <w:sz w:val="24"/>
          <w:szCs w:val="24"/>
        </w:rPr>
        <w:t xml:space="preserve">le semplificazioni procedurali. </w:t>
      </w:r>
    </w:p>
    <w:p w14:paraId="0FB86F31" w14:textId="77777777" w:rsidR="006C604A" w:rsidRPr="004E2CEF" w:rsidRDefault="006C604A" w:rsidP="006C604A">
      <w:pPr>
        <w:rPr>
          <w:sz w:val="24"/>
          <w:szCs w:val="24"/>
          <w:u w:val="single"/>
        </w:rPr>
      </w:pPr>
    </w:p>
    <w:p w14:paraId="318E6B17" w14:textId="77777777" w:rsidR="006C604A" w:rsidRPr="004E2CEF" w:rsidRDefault="006C604A" w:rsidP="00100005">
      <w:pPr>
        <w:pStyle w:val="CAPITOLO2"/>
      </w:pPr>
      <w:bookmarkStart w:id="16" w:name="_Toc139991883"/>
      <w:r w:rsidRPr="004E2CEF">
        <w:t>Nuovi paradigmi e disposizioni in ambito di imposte di successione e donazione</w:t>
      </w:r>
      <w:bookmarkEnd w:id="16"/>
    </w:p>
    <w:p w14:paraId="3FAF255A" w14:textId="77777777" w:rsidR="006C604A" w:rsidRPr="004E2CEF" w:rsidRDefault="006C604A" w:rsidP="00100005">
      <w:pPr>
        <w:pStyle w:val="CAPITOLO2"/>
        <w:numPr>
          <w:ilvl w:val="0"/>
          <w:numId w:val="0"/>
        </w:numPr>
        <w:ind w:left="1080"/>
      </w:pPr>
    </w:p>
    <w:p w14:paraId="3D38B8EC" w14:textId="77777777" w:rsidR="006C604A" w:rsidRPr="004E2CEF" w:rsidRDefault="006C604A" w:rsidP="00100005">
      <w:pPr>
        <w:pStyle w:val="CAPITOLO3"/>
      </w:pPr>
      <w:bookmarkStart w:id="17" w:name="_Toc139991884"/>
      <w:r w:rsidRPr="004E2CEF">
        <w:t>Categorie di contribuenti</w:t>
      </w:r>
      <w:bookmarkEnd w:id="17"/>
    </w:p>
    <w:p w14:paraId="6FCA9B03" w14:textId="77777777" w:rsidR="00B50B55" w:rsidRDefault="00B50B55" w:rsidP="006C604A">
      <w:pPr>
        <w:rPr>
          <w:sz w:val="24"/>
          <w:szCs w:val="24"/>
        </w:rPr>
      </w:pPr>
    </w:p>
    <w:p w14:paraId="5F4DB3C2" w14:textId="7A176D57" w:rsidR="006C604A" w:rsidRPr="004E2CEF" w:rsidRDefault="006C604A" w:rsidP="006C604A">
      <w:pPr>
        <w:rPr>
          <w:sz w:val="24"/>
          <w:szCs w:val="24"/>
        </w:rPr>
      </w:pPr>
      <w:r w:rsidRPr="004E2CEF">
        <w:rPr>
          <w:sz w:val="24"/>
          <w:szCs w:val="24"/>
        </w:rPr>
        <w:t xml:space="preserve">Il calcolo delle imposte di successione e donazione si basa su tre criteri fondamentali: il grado di parentela, i coefficienti per ogni grado e le conseguenti aliquote applicabili. Rispetto all’attuale sistema, la riforma qui presentata si prefigge di rivedere alcune aliquote e di riposizionare nella scala di queste aliquote alcuni gradi di parentela, in funzione delle nuove tipologie di famiglie “allargate” e delle casistiche reali con cui si trova confrontato l’Ufficio competente, senza toccare gli attuali coefficienti. </w:t>
      </w:r>
    </w:p>
    <w:p w14:paraId="42F611BD" w14:textId="77777777" w:rsidR="006C604A" w:rsidRPr="004E2CEF" w:rsidRDefault="006C604A" w:rsidP="006C604A">
      <w:pPr>
        <w:rPr>
          <w:sz w:val="24"/>
          <w:szCs w:val="24"/>
        </w:rPr>
      </w:pPr>
    </w:p>
    <w:p w14:paraId="75134797" w14:textId="77777777" w:rsidR="006C604A" w:rsidRPr="004E2CEF" w:rsidRDefault="006C604A" w:rsidP="006C604A">
      <w:pPr>
        <w:rPr>
          <w:sz w:val="24"/>
          <w:szCs w:val="24"/>
        </w:rPr>
      </w:pPr>
      <w:r w:rsidRPr="004E2CEF">
        <w:rPr>
          <w:sz w:val="24"/>
          <w:szCs w:val="24"/>
        </w:rPr>
        <w:t xml:space="preserve">Qui di seguito riportiamo uno schema che riassume le figure parentali che subiscono una modifica nella loro definizione e/o un riposizionamento nella scala delle aliquote, in considerazione di tutti i fattori descritti precedentemente. </w:t>
      </w:r>
    </w:p>
    <w:p w14:paraId="4C20500D" w14:textId="0A82FC88" w:rsidR="00D80AC3" w:rsidRDefault="00D80AC3" w:rsidP="006C604A">
      <w:pPr>
        <w:rPr>
          <w:sz w:val="24"/>
          <w:szCs w:val="24"/>
          <w:u w:val="single"/>
        </w:rPr>
      </w:pPr>
    </w:p>
    <w:tbl>
      <w:tblPr>
        <w:tblStyle w:val="Grigliatabella"/>
        <w:tblW w:w="9493" w:type="dxa"/>
        <w:tblLayout w:type="fixed"/>
        <w:tblLook w:val="04A0" w:firstRow="1" w:lastRow="0" w:firstColumn="1" w:lastColumn="0" w:noHBand="0" w:noVBand="1"/>
      </w:tblPr>
      <w:tblGrid>
        <w:gridCol w:w="1555"/>
        <w:gridCol w:w="4819"/>
        <w:gridCol w:w="1701"/>
        <w:gridCol w:w="1418"/>
      </w:tblGrid>
      <w:tr w:rsidR="006C604A" w:rsidRPr="00D80AC3" w14:paraId="45168257" w14:textId="77777777" w:rsidTr="00D80AC3">
        <w:tc>
          <w:tcPr>
            <w:tcW w:w="1555" w:type="dxa"/>
          </w:tcPr>
          <w:p w14:paraId="5DDC7694" w14:textId="77777777" w:rsidR="006C604A" w:rsidRPr="00D80AC3" w:rsidRDefault="006C604A" w:rsidP="000649D7">
            <w:pPr>
              <w:jc w:val="center"/>
              <w:rPr>
                <w:rFonts w:asciiTheme="minorHAnsi" w:hAnsiTheme="minorHAnsi" w:cstheme="minorHAnsi"/>
                <w:b/>
                <w:sz w:val="19"/>
                <w:szCs w:val="19"/>
              </w:rPr>
            </w:pPr>
            <w:r w:rsidRPr="00D80AC3">
              <w:rPr>
                <w:rFonts w:asciiTheme="minorHAnsi" w:hAnsiTheme="minorHAnsi" w:cstheme="minorHAnsi"/>
                <w:b/>
                <w:sz w:val="19"/>
                <w:szCs w:val="19"/>
              </w:rPr>
              <w:t>Figura parentale</w:t>
            </w:r>
          </w:p>
        </w:tc>
        <w:tc>
          <w:tcPr>
            <w:tcW w:w="4819" w:type="dxa"/>
          </w:tcPr>
          <w:p w14:paraId="6DBDFA95" w14:textId="77777777" w:rsidR="006C604A" w:rsidRPr="00D80AC3" w:rsidRDefault="006C604A" w:rsidP="000649D7">
            <w:pPr>
              <w:jc w:val="center"/>
              <w:rPr>
                <w:rFonts w:asciiTheme="minorHAnsi" w:hAnsiTheme="minorHAnsi" w:cstheme="minorHAnsi"/>
                <w:b/>
                <w:sz w:val="19"/>
                <w:szCs w:val="19"/>
              </w:rPr>
            </w:pPr>
            <w:r w:rsidRPr="00D80AC3">
              <w:rPr>
                <w:rFonts w:asciiTheme="minorHAnsi" w:hAnsiTheme="minorHAnsi" w:cstheme="minorHAnsi"/>
                <w:b/>
                <w:sz w:val="19"/>
                <w:szCs w:val="19"/>
              </w:rPr>
              <w:t>Nuova definizione e/o riposizionamento nella scala delle aliquote</w:t>
            </w:r>
          </w:p>
          <w:p w14:paraId="2C4318C5" w14:textId="77777777" w:rsidR="006C604A" w:rsidRPr="00D80AC3" w:rsidRDefault="006C604A" w:rsidP="000649D7">
            <w:pPr>
              <w:jc w:val="center"/>
              <w:rPr>
                <w:rFonts w:asciiTheme="minorHAnsi" w:hAnsiTheme="minorHAnsi" w:cstheme="minorHAnsi"/>
                <w:b/>
                <w:sz w:val="19"/>
                <w:szCs w:val="19"/>
              </w:rPr>
            </w:pPr>
            <w:r w:rsidRPr="00D80AC3">
              <w:rPr>
                <w:rFonts w:asciiTheme="minorHAnsi" w:hAnsiTheme="minorHAnsi" w:cstheme="minorHAnsi"/>
                <w:b/>
                <w:sz w:val="19"/>
                <w:szCs w:val="19"/>
              </w:rPr>
              <w:t>secondo la riforma</w:t>
            </w:r>
          </w:p>
        </w:tc>
        <w:tc>
          <w:tcPr>
            <w:tcW w:w="1701" w:type="dxa"/>
          </w:tcPr>
          <w:p w14:paraId="251A141C" w14:textId="77777777" w:rsidR="006C604A" w:rsidRPr="00D80AC3" w:rsidRDefault="006C604A" w:rsidP="000649D7">
            <w:pPr>
              <w:jc w:val="center"/>
              <w:rPr>
                <w:rFonts w:asciiTheme="minorHAnsi" w:hAnsiTheme="minorHAnsi" w:cstheme="minorHAnsi"/>
                <w:b/>
                <w:sz w:val="19"/>
                <w:szCs w:val="19"/>
              </w:rPr>
            </w:pPr>
            <w:r w:rsidRPr="00D80AC3">
              <w:rPr>
                <w:rFonts w:asciiTheme="minorHAnsi" w:hAnsiTheme="minorHAnsi" w:cstheme="minorHAnsi"/>
                <w:b/>
                <w:sz w:val="19"/>
                <w:szCs w:val="19"/>
              </w:rPr>
              <w:t xml:space="preserve">Attuale aliquota massima </w:t>
            </w:r>
          </w:p>
        </w:tc>
        <w:tc>
          <w:tcPr>
            <w:tcW w:w="1418" w:type="dxa"/>
          </w:tcPr>
          <w:p w14:paraId="74824824" w14:textId="77777777" w:rsidR="006C604A" w:rsidRPr="00D80AC3" w:rsidRDefault="006C604A" w:rsidP="000649D7">
            <w:pPr>
              <w:jc w:val="center"/>
              <w:rPr>
                <w:rFonts w:asciiTheme="minorHAnsi" w:hAnsiTheme="minorHAnsi" w:cstheme="minorHAnsi"/>
                <w:b/>
                <w:sz w:val="19"/>
                <w:szCs w:val="19"/>
              </w:rPr>
            </w:pPr>
            <w:r w:rsidRPr="00D80AC3">
              <w:rPr>
                <w:rFonts w:asciiTheme="minorHAnsi" w:hAnsiTheme="minorHAnsi" w:cstheme="minorHAnsi"/>
                <w:b/>
                <w:sz w:val="19"/>
                <w:szCs w:val="19"/>
              </w:rPr>
              <w:t>Scenario futuro</w:t>
            </w:r>
          </w:p>
        </w:tc>
      </w:tr>
      <w:tr w:rsidR="006C604A" w:rsidRPr="00D80AC3" w14:paraId="031E5939" w14:textId="77777777" w:rsidTr="00D80AC3">
        <w:tc>
          <w:tcPr>
            <w:tcW w:w="1555" w:type="dxa"/>
          </w:tcPr>
          <w:p w14:paraId="0B9327CA" w14:textId="77777777" w:rsidR="006C604A" w:rsidRPr="00D80AC3" w:rsidRDefault="006C604A" w:rsidP="000649D7">
            <w:pPr>
              <w:jc w:val="left"/>
              <w:rPr>
                <w:sz w:val="19"/>
                <w:szCs w:val="19"/>
              </w:rPr>
            </w:pPr>
            <w:r w:rsidRPr="00D80AC3">
              <w:rPr>
                <w:sz w:val="19"/>
                <w:szCs w:val="19"/>
              </w:rPr>
              <w:t>Partner consensuale (o concubino/a)</w:t>
            </w:r>
          </w:p>
        </w:tc>
        <w:tc>
          <w:tcPr>
            <w:tcW w:w="4819" w:type="dxa"/>
          </w:tcPr>
          <w:p w14:paraId="276A1E3E" w14:textId="77777777" w:rsidR="006C604A" w:rsidRPr="00D80AC3" w:rsidRDefault="006C604A" w:rsidP="000649D7">
            <w:pPr>
              <w:jc w:val="left"/>
              <w:rPr>
                <w:sz w:val="19"/>
                <w:szCs w:val="19"/>
              </w:rPr>
            </w:pPr>
            <w:r w:rsidRPr="00D80AC3">
              <w:rPr>
                <w:sz w:val="19"/>
                <w:szCs w:val="19"/>
              </w:rPr>
              <w:t>Persona che al momento della devoluzione successoria o della liberalità conviveva in unione libera con il/la proprio/a partner nella stessa economia domestica e con lo stesso domicilio fiscale:</w:t>
            </w:r>
          </w:p>
          <w:p w14:paraId="2D16EA4B" w14:textId="77777777" w:rsidR="006C604A" w:rsidRPr="00D80AC3" w:rsidRDefault="006C604A" w:rsidP="000649D7">
            <w:pPr>
              <w:jc w:val="left"/>
              <w:rPr>
                <w:sz w:val="19"/>
                <w:szCs w:val="19"/>
              </w:rPr>
            </w:pPr>
            <w:r w:rsidRPr="00D80AC3">
              <w:rPr>
                <w:sz w:val="19"/>
                <w:szCs w:val="19"/>
              </w:rPr>
              <w:t xml:space="preserve">- per un periodo di almeno cinque anni, senza interruzioni di rilievo oppure </w:t>
            </w:r>
          </w:p>
          <w:p w14:paraId="6E3C4FB0" w14:textId="6BFFD94A" w:rsidR="006C604A" w:rsidRPr="00D80AC3" w:rsidRDefault="006C604A" w:rsidP="00100005">
            <w:pPr>
              <w:jc w:val="left"/>
              <w:rPr>
                <w:sz w:val="19"/>
                <w:szCs w:val="19"/>
              </w:rPr>
            </w:pPr>
            <w:r w:rsidRPr="00D80AC3">
              <w:rPr>
                <w:sz w:val="19"/>
                <w:szCs w:val="19"/>
              </w:rPr>
              <w:t>- con figli minorenni in comune.</w:t>
            </w:r>
          </w:p>
        </w:tc>
        <w:tc>
          <w:tcPr>
            <w:tcW w:w="1701" w:type="dxa"/>
          </w:tcPr>
          <w:p w14:paraId="1ACA00A3" w14:textId="77777777" w:rsidR="006C604A" w:rsidRPr="00D80AC3" w:rsidRDefault="006C604A" w:rsidP="000649D7">
            <w:pPr>
              <w:jc w:val="left"/>
              <w:rPr>
                <w:sz w:val="19"/>
                <w:szCs w:val="19"/>
              </w:rPr>
            </w:pPr>
            <w:r w:rsidRPr="00D80AC3">
              <w:rPr>
                <w:sz w:val="19"/>
                <w:szCs w:val="19"/>
              </w:rPr>
              <w:t>41%</w:t>
            </w:r>
          </w:p>
        </w:tc>
        <w:tc>
          <w:tcPr>
            <w:tcW w:w="1418" w:type="dxa"/>
          </w:tcPr>
          <w:p w14:paraId="52871DB1" w14:textId="77777777" w:rsidR="006C604A" w:rsidRPr="00D80AC3" w:rsidRDefault="006C604A" w:rsidP="000649D7">
            <w:pPr>
              <w:jc w:val="left"/>
              <w:rPr>
                <w:sz w:val="19"/>
                <w:szCs w:val="19"/>
              </w:rPr>
            </w:pPr>
            <w:r w:rsidRPr="00D80AC3">
              <w:rPr>
                <w:sz w:val="19"/>
                <w:szCs w:val="19"/>
              </w:rPr>
              <w:t>Attenuazione</w:t>
            </w:r>
          </w:p>
          <w:p w14:paraId="248AFD26" w14:textId="77777777" w:rsidR="006C604A" w:rsidRPr="00D80AC3" w:rsidRDefault="006C604A" w:rsidP="000649D7">
            <w:pPr>
              <w:jc w:val="left"/>
              <w:rPr>
                <w:sz w:val="19"/>
                <w:szCs w:val="19"/>
              </w:rPr>
            </w:pPr>
            <w:r w:rsidRPr="00D80AC3">
              <w:rPr>
                <w:sz w:val="19"/>
                <w:szCs w:val="19"/>
              </w:rPr>
              <w:t>al 15.50%</w:t>
            </w:r>
          </w:p>
        </w:tc>
      </w:tr>
      <w:tr w:rsidR="006C604A" w:rsidRPr="00D80AC3" w14:paraId="6367B65D" w14:textId="77777777" w:rsidTr="00D80AC3">
        <w:tc>
          <w:tcPr>
            <w:tcW w:w="1555" w:type="dxa"/>
          </w:tcPr>
          <w:p w14:paraId="5C4B8F71" w14:textId="66A42213" w:rsidR="006C604A" w:rsidRPr="00D80AC3" w:rsidRDefault="006C604A" w:rsidP="00100005">
            <w:pPr>
              <w:jc w:val="left"/>
              <w:rPr>
                <w:sz w:val="19"/>
                <w:szCs w:val="19"/>
              </w:rPr>
            </w:pPr>
            <w:r w:rsidRPr="00D80AC3">
              <w:rPr>
                <w:sz w:val="19"/>
                <w:szCs w:val="19"/>
              </w:rPr>
              <w:t>Figli del partner consensuale (o concubino/a)</w:t>
            </w:r>
          </w:p>
        </w:tc>
        <w:tc>
          <w:tcPr>
            <w:tcW w:w="4819" w:type="dxa"/>
          </w:tcPr>
          <w:p w14:paraId="59CAD79D" w14:textId="77777777" w:rsidR="006C604A" w:rsidRPr="00D80AC3" w:rsidRDefault="006C604A" w:rsidP="000649D7">
            <w:pPr>
              <w:jc w:val="left"/>
              <w:rPr>
                <w:sz w:val="19"/>
                <w:szCs w:val="19"/>
              </w:rPr>
            </w:pPr>
            <w:r w:rsidRPr="00D80AC3">
              <w:rPr>
                <w:sz w:val="19"/>
                <w:szCs w:val="19"/>
              </w:rPr>
              <w:t xml:space="preserve">Figli del partner consensuale, ai sensi della LT. </w:t>
            </w:r>
          </w:p>
        </w:tc>
        <w:tc>
          <w:tcPr>
            <w:tcW w:w="1701" w:type="dxa"/>
          </w:tcPr>
          <w:p w14:paraId="55BE7BA6" w14:textId="77777777" w:rsidR="006C604A" w:rsidRPr="00D80AC3" w:rsidRDefault="006C604A" w:rsidP="000649D7">
            <w:pPr>
              <w:jc w:val="left"/>
              <w:rPr>
                <w:sz w:val="19"/>
                <w:szCs w:val="19"/>
              </w:rPr>
            </w:pPr>
            <w:r w:rsidRPr="00D80AC3">
              <w:rPr>
                <w:sz w:val="19"/>
                <w:szCs w:val="19"/>
              </w:rPr>
              <w:t>41%</w:t>
            </w:r>
          </w:p>
        </w:tc>
        <w:tc>
          <w:tcPr>
            <w:tcW w:w="1418" w:type="dxa"/>
          </w:tcPr>
          <w:p w14:paraId="079A7270" w14:textId="77777777" w:rsidR="006C604A" w:rsidRPr="00D80AC3" w:rsidRDefault="006C604A" w:rsidP="000649D7">
            <w:pPr>
              <w:jc w:val="left"/>
              <w:rPr>
                <w:sz w:val="19"/>
                <w:szCs w:val="19"/>
              </w:rPr>
            </w:pPr>
            <w:r w:rsidRPr="00D80AC3">
              <w:rPr>
                <w:sz w:val="19"/>
                <w:szCs w:val="19"/>
              </w:rPr>
              <w:t>Attenuazione</w:t>
            </w:r>
          </w:p>
          <w:p w14:paraId="4B24F214" w14:textId="77777777" w:rsidR="006C604A" w:rsidRPr="00D80AC3" w:rsidRDefault="006C604A" w:rsidP="000649D7">
            <w:pPr>
              <w:jc w:val="left"/>
              <w:rPr>
                <w:sz w:val="19"/>
                <w:szCs w:val="19"/>
              </w:rPr>
            </w:pPr>
            <w:r w:rsidRPr="00D80AC3">
              <w:rPr>
                <w:sz w:val="19"/>
                <w:szCs w:val="19"/>
              </w:rPr>
              <w:t>al 15.50%</w:t>
            </w:r>
          </w:p>
        </w:tc>
      </w:tr>
      <w:tr w:rsidR="006C604A" w:rsidRPr="00D80AC3" w14:paraId="54BA6BA0" w14:textId="77777777" w:rsidTr="00D80AC3">
        <w:tc>
          <w:tcPr>
            <w:tcW w:w="1555" w:type="dxa"/>
          </w:tcPr>
          <w:p w14:paraId="1CCC0A78" w14:textId="77777777" w:rsidR="006C604A" w:rsidRPr="00D80AC3" w:rsidRDefault="006C604A" w:rsidP="000649D7">
            <w:pPr>
              <w:jc w:val="left"/>
              <w:rPr>
                <w:sz w:val="19"/>
                <w:szCs w:val="19"/>
              </w:rPr>
            </w:pPr>
            <w:r w:rsidRPr="00D80AC3">
              <w:rPr>
                <w:sz w:val="19"/>
                <w:szCs w:val="19"/>
              </w:rPr>
              <w:t xml:space="preserve">Nipoti in linea diretta del partner consensuale (o concubino/a) </w:t>
            </w:r>
          </w:p>
        </w:tc>
        <w:tc>
          <w:tcPr>
            <w:tcW w:w="4819" w:type="dxa"/>
          </w:tcPr>
          <w:p w14:paraId="5ABA5AA9" w14:textId="77777777" w:rsidR="006C604A" w:rsidRPr="00D80AC3" w:rsidRDefault="006C604A" w:rsidP="000649D7">
            <w:pPr>
              <w:jc w:val="left"/>
              <w:rPr>
                <w:sz w:val="19"/>
                <w:szCs w:val="19"/>
              </w:rPr>
            </w:pPr>
            <w:r w:rsidRPr="00D80AC3">
              <w:rPr>
                <w:sz w:val="19"/>
                <w:szCs w:val="19"/>
              </w:rPr>
              <w:t xml:space="preserve">Nipoti discendenti (abiatici) del partner consensuale, ai sensi della LT. </w:t>
            </w:r>
          </w:p>
        </w:tc>
        <w:tc>
          <w:tcPr>
            <w:tcW w:w="1701" w:type="dxa"/>
          </w:tcPr>
          <w:p w14:paraId="3A34E0A8" w14:textId="77777777" w:rsidR="006C604A" w:rsidRPr="00D80AC3" w:rsidRDefault="006C604A" w:rsidP="000649D7">
            <w:pPr>
              <w:jc w:val="left"/>
              <w:rPr>
                <w:sz w:val="19"/>
                <w:szCs w:val="19"/>
              </w:rPr>
            </w:pPr>
            <w:r w:rsidRPr="00D80AC3">
              <w:rPr>
                <w:sz w:val="19"/>
                <w:szCs w:val="19"/>
              </w:rPr>
              <w:t>41%</w:t>
            </w:r>
          </w:p>
        </w:tc>
        <w:tc>
          <w:tcPr>
            <w:tcW w:w="1418" w:type="dxa"/>
          </w:tcPr>
          <w:p w14:paraId="199B7004" w14:textId="77777777" w:rsidR="006C604A" w:rsidRPr="00D80AC3" w:rsidRDefault="006C604A" w:rsidP="000649D7">
            <w:pPr>
              <w:jc w:val="left"/>
              <w:rPr>
                <w:sz w:val="19"/>
                <w:szCs w:val="19"/>
              </w:rPr>
            </w:pPr>
            <w:r w:rsidRPr="00D80AC3">
              <w:rPr>
                <w:sz w:val="19"/>
                <w:szCs w:val="19"/>
              </w:rPr>
              <w:t>Attenuazione</w:t>
            </w:r>
          </w:p>
          <w:p w14:paraId="7B24FAE7" w14:textId="77777777" w:rsidR="006C604A" w:rsidRPr="00D80AC3" w:rsidRDefault="006C604A" w:rsidP="000649D7">
            <w:pPr>
              <w:jc w:val="left"/>
              <w:rPr>
                <w:sz w:val="19"/>
                <w:szCs w:val="19"/>
              </w:rPr>
            </w:pPr>
            <w:r w:rsidRPr="00D80AC3">
              <w:rPr>
                <w:sz w:val="19"/>
                <w:szCs w:val="19"/>
              </w:rPr>
              <w:t>al 18.50%</w:t>
            </w:r>
          </w:p>
        </w:tc>
      </w:tr>
      <w:tr w:rsidR="006C604A" w:rsidRPr="00D80AC3" w14:paraId="5B07AEAF" w14:textId="77777777" w:rsidTr="00D80AC3">
        <w:tc>
          <w:tcPr>
            <w:tcW w:w="1555" w:type="dxa"/>
          </w:tcPr>
          <w:p w14:paraId="0EBFAEC5" w14:textId="77777777" w:rsidR="006C604A" w:rsidRPr="00D80AC3" w:rsidRDefault="006C604A" w:rsidP="000649D7">
            <w:pPr>
              <w:jc w:val="left"/>
              <w:rPr>
                <w:sz w:val="19"/>
                <w:szCs w:val="19"/>
              </w:rPr>
            </w:pPr>
            <w:r w:rsidRPr="00D80AC3">
              <w:rPr>
                <w:sz w:val="19"/>
                <w:szCs w:val="19"/>
              </w:rPr>
              <w:t xml:space="preserve">Fratellastri e sorellastre </w:t>
            </w:r>
          </w:p>
        </w:tc>
        <w:tc>
          <w:tcPr>
            <w:tcW w:w="4819" w:type="dxa"/>
          </w:tcPr>
          <w:p w14:paraId="6AA086A4" w14:textId="77777777" w:rsidR="006C604A" w:rsidRPr="00D80AC3" w:rsidRDefault="006C604A" w:rsidP="000649D7">
            <w:pPr>
              <w:jc w:val="left"/>
              <w:rPr>
                <w:color w:val="FF0000"/>
                <w:sz w:val="19"/>
                <w:szCs w:val="19"/>
              </w:rPr>
            </w:pPr>
            <w:r w:rsidRPr="00D80AC3">
              <w:rPr>
                <w:sz w:val="19"/>
                <w:szCs w:val="19"/>
              </w:rPr>
              <w:t>Persone che hanno entrambi i genitori diversi, senza legami di sangue, ma che acquisiscono un legame socio-familiare tra di loro in conseguenza del successivo matrimonio, partenariato registrato o partenariato consensuale ai sensi della LT, di un genitore dell’una con un genitore dell’altra.</w:t>
            </w:r>
            <w:r w:rsidRPr="00D80AC3">
              <w:rPr>
                <w:rStyle w:val="Rimandonotaapidipagina"/>
                <w:sz w:val="19"/>
                <w:szCs w:val="19"/>
              </w:rPr>
              <w:footnoteReference w:id="13"/>
            </w:r>
          </w:p>
        </w:tc>
        <w:tc>
          <w:tcPr>
            <w:tcW w:w="1701" w:type="dxa"/>
          </w:tcPr>
          <w:p w14:paraId="2B5A41EF" w14:textId="77777777" w:rsidR="006C604A" w:rsidRPr="00D80AC3" w:rsidRDefault="006C604A" w:rsidP="000649D7">
            <w:pPr>
              <w:jc w:val="left"/>
              <w:rPr>
                <w:sz w:val="19"/>
                <w:szCs w:val="19"/>
              </w:rPr>
            </w:pPr>
            <w:r w:rsidRPr="00D80AC3">
              <w:rPr>
                <w:sz w:val="19"/>
                <w:szCs w:val="19"/>
              </w:rPr>
              <w:t xml:space="preserve">27% se i rispettivi genitori sono coniugati o partner registrati oppure 41% se i rispettivi genitori sono concubini </w:t>
            </w:r>
          </w:p>
        </w:tc>
        <w:tc>
          <w:tcPr>
            <w:tcW w:w="1418" w:type="dxa"/>
          </w:tcPr>
          <w:p w14:paraId="40A02712" w14:textId="77777777" w:rsidR="006C604A" w:rsidRPr="00D80AC3" w:rsidRDefault="006C604A" w:rsidP="000649D7">
            <w:pPr>
              <w:jc w:val="left"/>
              <w:rPr>
                <w:sz w:val="19"/>
                <w:szCs w:val="19"/>
              </w:rPr>
            </w:pPr>
            <w:r w:rsidRPr="00D80AC3">
              <w:rPr>
                <w:sz w:val="19"/>
                <w:szCs w:val="19"/>
              </w:rPr>
              <w:t>Attenuazione  parificazione al 18.50%</w:t>
            </w:r>
          </w:p>
        </w:tc>
      </w:tr>
      <w:tr w:rsidR="006C604A" w:rsidRPr="00D80AC3" w14:paraId="44C3A4A9" w14:textId="77777777" w:rsidTr="00D80AC3">
        <w:tc>
          <w:tcPr>
            <w:tcW w:w="1555" w:type="dxa"/>
          </w:tcPr>
          <w:p w14:paraId="50C564E9" w14:textId="77777777" w:rsidR="006C604A" w:rsidRPr="00D80AC3" w:rsidRDefault="006C604A" w:rsidP="000649D7">
            <w:pPr>
              <w:jc w:val="left"/>
              <w:rPr>
                <w:sz w:val="19"/>
                <w:szCs w:val="19"/>
              </w:rPr>
            </w:pPr>
            <w:r w:rsidRPr="00D80AC3">
              <w:rPr>
                <w:sz w:val="19"/>
                <w:szCs w:val="19"/>
              </w:rPr>
              <w:t xml:space="preserve">Zii </w:t>
            </w:r>
          </w:p>
        </w:tc>
        <w:tc>
          <w:tcPr>
            <w:tcW w:w="4819" w:type="dxa"/>
          </w:tcPr>
          <w:p w14:paraId="3FBD29B8" w14:textId="77777777" w:rsidR="006C604A" w:rsidRPr="00D80AC3" w:rsidRDefault="006C604A" w:rsidP="000649D7">
            <w:pPr>
              <w:jc w:val="left"/>
              <w:rPr>
                <w:sz w:val="19"/>
                <w:szCs w:val="19"/>
              </w:rPr>
            </w:pPr>
            <w:r w:rsidRPr="00D80AC3">
              <w:rPr>
                <w:sz w:val="19"/>
                <w:szCs w:val="19"/>
              </w:rPr>
              <w:t>In questa categoria rientrano sia i fratelli e sorelle di uno dei genitori (zii consanguinei) che i loro coniugi (zii affini, acquisiti per matrimonio o partenariato registrato).</w:t>
            </w:r>
          </w:p>
        </w:tc>
        <w:tc>
          <w:tcPr>
            <w:tcW w:w="1701" w:type="dxa"/>
          </w:tcPr>
          <w:p w14:paraId="56F640F9" w14:textId="77777777" w:rsidR="006C604A" w:rsidRPr="00D80AC3" w:rsidRDefault="006C604A" w:rsidP="000649D7">
            <w:pPr>
              <w:jc w:val="left"/>
              <w:rPr>
                <w:sz w:val="19"/>
                <w:szCs w:val="19"/>
              </w:rPr>
            </w:pPr>
            <w:r w:rsidRPr="00D80AC3">
              <w:rPr>
                <w:sz w:val="19"/>
                <w:szCs w:val="19"/>
              </w:rPr>
              <w:t>18.50% (se zii consanguinei) 41% (se zii affini)</w:t>
            </w:r>
          </w:p>
        </w:tc>
        <w:tc>
          <w:tcPr>
            <w:tcW w:w="1418" w:type="dxa"/>
          </w:tcPr>
          <w:p w14:paraId="40277516" w14:textId="77777777" w:rsidR="006C604A" w:rsidRPr="00D80AC3" w:rsidRDefault="006C604A" w:rsidP="000649D7">
            <w:pPr>
              <w:jc w:val="left"/>
              <w:rPr>
                <w:sz w:val="19"/>
                <w:szCs w:val="19"/>
              </w:rPr>
            </w:pPr>
            <w:r w:rsidRPr="00D80AC3">
              <w:rPr>
                <w:sz w:val="19"/>
                <w:szCs w:val="19"/>
              </w:rPr>
              <w:t xml:space="preserve">Parificazione al 27% </w:t>
            </w:r>
          </w:p>
        </w:tc>
      </w:tr>
      <w:tr w:rsidR="006C604A" w:rsidRPr="00D80AC3" w14:paraId="7B323FE8" w14:textId="77777777" w:rsidTr="00D80AC3">
        <w:tc>
          <w:tcPr>
            <w:tcW w:w="1555" w:type="dxa"/>
          </w:tcPr>
          <w:p w14:paraId="2090AECE" w14:textId="77777777" w:rsidR="006C604A" w:rsidRPr="00D80AC3" w:rsidRDefault="006C604A" w:rsidP="000649D7">
            <w:pPr>
              <w:jc w:val="left"/>
              <w:rPr>
                <w:sz w:val="19"/>
                <w:szCs w:val="19"/>
              </w:rPr>
            </w:pPr>
            <w:r w:rsidRPr="00D80AC3">
              <w:rPr>
                <w:sz w:val="19"/>
                <w:szCs w:val="19"/>
              </w:rPr>
              <w:t xml:space="preserve">Prozii </w:t>
            </w:r>
          </w:p>
        </w:tc>
        <w:tc>
          <w:tcPr>
            <w:tcW w:w="4819" w:type="dxa"/>
          </w:tcPr>
          <w:p w14:paraId="698ECC48" w14:textId="77777777" w:rsidR="006C604A" w:rsidRPr="00D80AC3" w:rsidRDefault="006C604A" w:rsidP="000649D7">
            <w:pPr>
              <w:jc w:val="left"/>
              <w:rPr>
                <w:sz w:val="19"/>
                <w:szCs w:val="19"/>
              </w:rPr>
            </w:pPr>
            <w:r w:rsidRPr="00D80AC3">
              <w:rPr>
                <w:sz w:val="19"/>
                <w:szCs w:val="19"/>
              </w:rPr>
              <w:t>In questa categoria rientrano sia i fratelli e le sorelle di uno dei nonni (prozii consanguinei) sia i loro coniugi (prozii affini acquisiti per matrimonio o partenariato registrato).</w:t>
            </w:r>
          </w:p>
        </w:tc>
        <w:tc>
          <w:tcPr>
            <w:tcW w:w="1701" w:type="dxa"/>
          </w:tcPr>
          <w:p w14:paraId="263FCFE2" w14:textId="77777777" w:rsidR="006C604A" w:rsidRPr="00D80AC3" w:rsidRDefault="006C604A" w:rsidP="000649D7">
            <w:pPr>
              <w:jc w:val="left"/>
              <w:rPr>
                <w:sz w:val="19"/>
                <w:szCs w:val="19"/>
              </w:rPr>
            </w:pPr>
            <w:r w:rsidRPr="00D80AC3">
              <w:rPr>
                <w:sz w:val="19"/>
                <w:szCs w:val="19"/>
              </w:rPr>
              <w:t>27% (se prozii consanguinei) 41% (se prozii affini)</w:t>
            </w:r>
          </w:p>
        </w:tc>
        <w:tc>
          <w:tcPr>
            <w:tcW w:w="1418" w:type="dxa"/>
          </w:tcPr>
          <w:p w14:paraId="7916CFE3" w14:textId="77777777" w:rsidR="006C604A" w:rsidRPr="00D80AC3" w:rsidRDefault="006C604A" w:rsidP="000649D7">
            <w:pPr>
              <w:jc w:val="left"/>
              <w:rPr>
                <w:sz w:val="19"/>
                <w:szCs w:val="19"/>
              </w:rPr>
            </w:pPr>
            <w:r w:rsidRPr="00D80AC3">
              <w:rPr>
                <w:sz w:val="19"/>
                <w:szCs w:val="19"/>
              </w:rPr>
              <w:t>Parificazione al 35%</w:t>
            </w:r>
          </w:p>
        </w:tc>
      </w:tr>
      <w:tr w:rsidR="006C604A" w:rsidRPr="00D80AC3" w14:paraId="62BE1335" w14:textId="77777777" w:rsidTr="00D80AC3">
        <w:tc>
          <w:tcPr>
            <w:tcW w:w="1555" w:type="dxa"/>
          </w:tcPr>
          <w:p w14:paraId="51CA9EA4" w14:textId="77777777" w:rsidR="006C604A" w:rsidRPr="00D80AC3" w:rsidRDefault="006C604A" w:rsidP="000649D7">
            <w:pPr>
              <w:jc w:val="left"/>
              <w:rPr>
                <w:sz w:val="19"/>
                <w:szCs w:val="19"/>
              </w:rPr>
            </w:pPr>
            <w:r w:rsidRPr="00D80AC3">
              <w:rPr>
                <w:sz w:val="19"/>
                <w:szCs w:val="19"/>
              </w:rPr>
              <w:t>Nipoti (non in linea diretta)</w:t>
            </w:r>
          </w:p>
        </w:tc>
        <w:tc>
          <w:tcPr>
            <w:tcW w:w="4819" w:type="dxa"/>
          </w:tcPr>
          <w:p w14:paraId="6534E10D" w14:textId="77777777" w:rsidR="006C604A" w:rsidRPr="00D80AC3" w:rsidRDefault="006C604A" w:rsidP="000649D7">
            <w:pPr>
              <w:jc w:val="left"/>
              <w:rPr>
                <w:sz w:val="19"/>
                <w:szCs w:val="19"/>
              </w:rPr>
            </w:pPr>
            <w:r w:rsidRPr="00D80AC3">
              <w:rPr>
                <w:sz w:val="19"/>
                <w:szCs w:val="19"/>
              </w:rPr>
              <w:t>In questa categoria rientrano sia i figli di fratelli e sorelle (= nipoti consanguinei), sia i figli di fratelli o sorelle del proprio coniuge o partner registrato (= nipoti affini).</w:t>
            </w:r>
          </w:p>
        </w:tc>
        <w:tc>
          <w:tcPr>
            <w:tcW w:w="1701" w:type="dxa"/>
          </w:tcPr>
          <w:p w14:paraId="38AAAA02" w14:textId="77777777" w:rsidR="006C604A" w:rsidRPr="00D80AC3" w:rsidRDefault="006C604A" w:rsidP="000649D7">
            <w:pPr>
              <w:jc w:val="left"/>
              <w:rPr>
                <w:sz w:val="19"/>
                <w:szCs w:val="19"/>
              </w:rPr>
            </w:pPr>
            <w:r w:rsidRPr="00D80AC3">
              <w:rPr>
                <w:sz w:val="19"/>
                <w:szCs w:val="19"/>
              </w:rPr>
              <w:t>18.50 (se nipoti consanguinei)</w:t>
            </w:r>
          </w:p>
          <w:p w14:paraId="0648D2FD" w14:textId="77777777" w:rsidR="006C604A" w:rsidRPr="00D80AC3" w:rsidRDefault="006C604A" w:rsidP="000649D7">
            <w:pPr>
              <w:jc w:val="left"/>
              <w:rPr>
                <w:sz w:val="19"/>
                <w:szCs w:val="19"/>
              </w:rPr>
            </w:pPr>
            <w:r w:rsidRPr="00D80AC3">
              <w:rPr>
                <w:sz w:val="19"/>
                <w:szCs w:val="19"/>
              </w:rPr>
              <w:t>41% (se nipoti affini)</w:t>
            </w:r>
          </w:p>
        </w:tc>
        <w:tc>
          <w:tcPr>
            <w:tcW w:w="1418" w:type="dxa"/>
          </w:tcPr>
          <w:p w14:paraId="32D2F998" w14:textId="77777777" w:rsidR="006C604A" w:rsidRPr="00D80AC3" w:rsidRDefault="006C604A" w:rsidP="000649D7">
            <w:pPr>
              <w:jc w:val="left"/>
              <w:rPr>
                <w:sz w:val="19"/>
                <w:szCs w:val="19"/>
              </w:rPr>
            </w:pPr>
            <w:r w:rsidRPr="00D80AC3">
              <w:rPr>
                <w:sz w:val="19"/>
                <w:szCs w:val="19"/>
              </w:rPr>
              <w:t>Parificazione al 18.50%</w:t>
            </w:r>
          </w:p>
        </w:tc>
      </w:tr>
      <w:tr w:rsidR="006C604A" w:rsidRPr="00D80AC3" w14:paraId="6D8D7672" w14:textId="77777777" w:rsidTr="00D80AC3">
        <w:tc>
          <w:tcPr>
            <w:tcW w:w="1555" w:type="dxa"/>
          </w:tcPr>
          <w:p w14:paraId="30F3D409" w14:textId="77777777" w:rsidR="006C604A" w:rsidRPr="00D80AC3" w:rsidRDefault="006C604A" w:rsidP="000649D7">
            <w:pPr>
              <w:jc w:val="left"/>
              <w:rPr>
                <w:sz w:val="19"/>
                <w:szCs w:val="19"/>
              </w:rPr>
            </w:pPr>
            <w:r w:rsidRPr="00D80AC3">
              <w:rPr>
                <w:sz w:val="19"/>
                <w:szCs w:val="19"/>
              </w:rPr>
              <w:t>Pronipoti (non in linea diretta)</w:t>
            </w:r>
          </w:p>
        </w:tc>
        <w:tc>
          <w:tcPr>
            <w:tcW w:w="4819" w:type="dxa"/>
          </w:tcPr>
          <w:p w14:paraId="151A39CF" w14:textId="77777777" w:rsidR="006C604A" w:rsidRPr="00D80AC3" w:rsidRDefault="006C604A" w:rsidP="000649D7">
            <w:pPr>
              <w:jc w:val="left"/>
              <w:rPr>
                <w:sz w:val="19"/>
                <w:szCs w:val="19"/>
              </w:rPr>
            </w:pPr>
            <w:r w:rsidRPr="00D80AC3">
              <w:rPr>
                <w:sz w:val="19"/>
                <w:szCs w:val="19"/>
              </w:rPr>
              <w:t xml:space="preserve">In questa categoria rientrano sia i figli di nipoti consanguinei che i figli di nipoti affini. </w:t>
            </w:r>
          </w:p>
        </w:tc>
        <w:tc>
          <w:tcPr>
            <w:tcW w:w="1701" w:type="dxa"/>
          </w:tcPr>
          <w:p w14:paraId="2A287A31" w14:textId="77777777" w:rsidR="006C604A" w:rsidRPr="00D80AC3" w:rsidRDefault="006C604A" w:rsidP="000649D7">
            <w:pPr>
              <w:jc w:val="left"/>
              <w:rPr>
                <w:sz w:val="19"/>
                <w:szCs w:val="19"/>
              </w:rPr>
            </w:pPr>
            <w:r w:rsidRPr="00D80AC3">
              <w:rPr>
                <w:sz w:val="19"/>
                <w:szCs w:val="19"/>
              </w:rPr>
              <w:t>27% (se pronipoti consanguinei) 41% (se pronipoti affini)</w:t>
            </w:r>
          </w:p>
        </w:tc>
        <w:tc>
          <w:tcPr>
            <w:tcW w:w="1418" w:type="dxa"/>
          </w:tcPr>
          <w:p w14:paraId="6DE461EB" w14:textId="77777777" w:rsidR="006C604A" w:rsidRPr="00D80AC3" w:rsidRDefault="006C604A" w:rsidP="000649D7">
            <w:pPr>
              <w:jc w:val="left"/>
              <w:rPr>
                <w:sz w:val="19"/>
                <w:szCs w:val="19"/>
              </w:rPr>
            </w:pPr>
            <w:r w:rsidRPr="00D80AC3">
              <w:rPr>
                <w:sz w:val="19"/>
                <w:szCs w:val="19"/>
              </w:rPr>
              <w:t>Parificazione al 27%</w:t>
            </w:r>
          </w:p>
        </w:tc>
      </w:tr>
      <w:tr w:rsidR="006C604A" w:rsidRPr="00D80AC3" w14:paraId="4F1FADF5" w14:textId="77777777" w:rsidTr="00D80AC3">
        <w:tc>
          <w:tcPr>
            <w:tcW w:w="1555" w:type="dxa"/>
          </w:tcPr>
          <w:p w14:paraId="6705D9D7" w14:textId="77777777" w:rsidR="006C604A" w:rsidRPr="00D80AC3" w:rsidRDefault="006C604A" w:rsidP="000649D7">
            <w:pPr>
              <w:jc w:val="left"/>
              <w:rPr>
                <w:sz w:val="19"/>
                <w:szCs w:val="19"/>
              </w:rPr>
            </w:pPr>
            <w:r w:rsidRPr="00D80AC3">
              <w:rPr>
                <w:sz w:val="19"/>
                <w:szCs w:val="19"/>
              </w:rPr>
              <w:t xml:space="preserve">Affiliato e affidatario </w:t>
            </w:r>
          </w:p>
        </w:tc>
        <w:tc>
          <w:tcPr>
            <w:tcW w:w="4819" w:type="dxa"/>
          </w:tcPr>
          <w:p w14:paraId="6682F2A2" w14:textId="77777777" w:rsidR="006C604A" w:rsidRPr="00D80AC3" w:rsidRDefault="006C604A" w:rsidP="000649D7">
            <w:pPr>
              <w:jc w:val="left"/>
              <w:rPr>
                <w:sz w:val="19"/>
                <w:szCs w:val="19"/>
              </w:rPr>
            </w:pPr>
            <w:r w:rsidRPr="00D80AC3">
              <w:rPr>
                <w:sz w:val="19"/>
                <w:szCs w:val="19"/>
              </w:rPr>
              <w:t xml:space="preserve">L’affiliato è una persona che è affidata alle cure di una o più persone, denominati affidatari, ai sensi della legislazione sul diritto di affidamento. Per il calcolo dell’imposta si considera che l’affiliato, al momento della devoluzione o della liberalità, conviva o abbia in passato convissuto nella stessa economia domestica con i genitori affidatari per un periodo di almeno 5 anni senza interruzioni di rilievo. In caso di esistenza di un legame di parentela, l’aliquota applicata sarà quella più favorevole. </w:t>
            </w:r>
          </w:p>
        </w:tc>
        <w:tc>
          <w:tcPr>
            <w:tcW w:w="1701" w:type="dxa"/>
          </w:tcPr>
          <w:p w14:paraId="48A30F69" w14:textId="77777777" w:rsidR="006C604A" w:rsidRPr="00D80AC3" w:rsidRDefault="006C604A" w:rsidP="000649D7">
            <w:pPr>
              <w:jc w:val="left"/>
              <w:rPr>
                <w:sz w:val="19"/>
                <w:szCs w:val="19"/>
              </w:rPr>
            </w:pPr>
            <w:r w:rsidRPr="00D80AC3">
              <w:rPr>
                <w:sz w:val="19"/>
                <w:szCs w:val="19"/>
              </w:rPr>
              <w:t>41% o secondo grado di parentela più favorevole.</w:t>
            </w:r>
          </w:p>
        </w:tc>
        <w:tc>
          <w:tcPr>
            <w:tcW w:w="1418" w:type="dxa"/>
          </w:tcPr>
          <w:p w14:paraId="329311D4" w14:textId="77777777" w:rsidR="006C604A" w:rsidRPr="00D80AC3" w:rsidRDefault="006C604A" w:rsidP="000649D7">
            <w:pPr>
              <w:jc w:val="left"/>
              <w:rPr>
                <w:sz w:val="19"/>
                <w:szCs w:val="19"/>
              </w:rPr>
            </w:pPr>
            <w:r w:rsidRPr="00D80AC3">
              <w:rPr>
                <w:sz w:val="19"/>
                <w:szCs w:val="19"/>
              </w:rPr>
              <w:t>Attenuazione al 15.50% o secondo grado di parentela.</w:t>
            </w:r>
          </w:p>
        </w:tc>
      </w:tr>
    </w:tbl>
    <w:p w14:paraId="0D6175D6" w14:textId="77777777" w:rsidR="006C604A" w:rsidRPr="004E2CEF" w:rsidRDefault="006C604A" w:rsidP="006C604A">
      <w:pPr>
        <w:rPr>
          <w:sz w:val="24"/>
          <w:szCs w:val="24"/>
          <w:u w:val="single"/>
        </w:rPr>
      </w:pPr>
    </w:p>
    <w:p w14:paraId="6EF24072" w14:textId="46BBECCE" w:rsidR="006C604A" w:rsidRPr="004E2CEF" w:rsidRDefault="006C604A" w:rsidP="006C604A">
      <w:pPr>
        <w:rPr>
          <w:sz w:val="24"/>
          <w:szCs w:val="24"/>
        </w:rPr>
      </w:pPr>
      <w:r w:rsidRPr="004E2CEF">
        <w:rPr>
          <w:sz w:val="24"/>
          <w:szCs w:val="24"/>
        </w:rPr>
        <w:t xml:space="preserve">Da notare che </w:t>
      </w:r>
      <w:r w:rsidR="008D7FAD">
        <w:rPr>
          <w:rFonts w:ascii="Helvetica" w:hAnsi="Helvetica" w:cs="Helvetica"/>
          <w:sz w:val="23"/>
          <w:szCs w:val="23"/>
          <w:shd w:val="clear" w:color="auto" w:fill="FFFFFF"/>
        </w:rPr>
        <w:t>l</w:t>
      </w:r>
      <w:r w:rsidRPr="004E2CEF">
        <w:rPr>
          <w:rFonts w:ascii="Helvetica" w:hAnsi="Helvetica" w:cs="Helvetica"/>
          <w:sz w:val="23"/>
          <w:szCs w:val="23"/>
          <w:shd w:val="clear" w:color="auto" w:fill="FFFFFF"/>
        </w:rPr>
        <w:t>’affinità non cessa con lo scioglimento del matrimonio o dell’unione domestica registrata da cui deriva, conformemente all’art. 21 cpv. 2 CCS.</w:t>
      </w:r>
    </w:p>
    <w:p w14:paraId="5E9F4DF9" w14:textId="77777777" w:rsidR="006C604A" w:rsidRPr="004E2CEF" w:rsidRDefault="006C604A" w:rsidP="006C604A">
      <w:pPr>
        <w:rPr>
          <w:sz w:val="24"/>
          <w:szCs w:val="24"/>
        </w:rPr>
      </w:pPr>
    </w:p>
    <w:p w14:paraId="207F2D57" w14:textId="77777777" w:rsidR="006C604A" w:rsidRPr="004E2CEF" w:rsidRDefault="006C604A" w:rsidP="006C604A">
      <w:pPr>
        <w:rPr>
          <w:sz w:val="24"/>
          <w:szCs w:val="24"/>
        </w:rPr>
      </w:pPr>
      <w:r w:rsidRPr="004E2CEF">
        <w:rPr>
          <w:sz w:val="24"/>
          <w:szCs w:val="24"/>
        </w:rPr>
        <w:t>Le seguenti figure parentali restano per contro invariate nella loro definizione e portata pur, in alcuni casi, subendo dei co</w:t>
      </w:r>
      <w:r>
        <w:rPr>
          <w:sz w:val="24"/>
          <w:szCs w:val="24"/>
        </w:rPr>
        <w:t>rrettivi a livello di aliquote:</w:t>
      </w:r>
    </w:p>
    <w:p w14:paraId="49FB1AF4"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Coniuge e partner registrato </w:t>
      </w:r>
      <w:r w:rsidRPr="004E2CEF">
        <w:rPr>
          <w:sz w:val="24"/>
          <w:szCs w:val="24"/>
        </w:rPr>
        <w:sym w:font="Wingdings" w:char="F0E0"/>
      </w:r>
      <w:r w:rsidRPr="004E2CEF">
        <w:rPr>
          <w:sz w:val="24"/>
          <w:szCs w:val="24"/>
        </w:rPr>
        <w:t xml:space="preserve"> invariato (esente);</w:t>
      </w:r>
    </w:p>
    <w:p w14:paraId="4145CCE5"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Discendenti in linea diretta, inclusi gli adottivi </w:t>
      </w:r>
      <w:r w:rsidRPr="004E2CEF">
        <w:rPr>
          <w:sz w:val="24"/>
          <w:szCs w:val="24"/>
        </w:rPr>
        <w:sym w:font="Wingdings" w:char="F0E0"/>
      </w:r>
      <w:r w:rsidRPr="004E2CEF">
        <w:rPr>
          <w:sz w:val="24"/>
          <w:szCs w:val="24"/>
        </w:rPr>
        <w:t xml:space="preserve"> invariato (esente);</w:t>
      </w:r>
    </w:p>
    <w:p w14:paraId="2DD24742"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Ascendenti in linea diretta </w:t>
      </w:r>
      <w:r w:rsidRPr="004E2CEF">
        <w:rPr>
          <w:sz w:val="24"/>
          <w:szCs w:val="24"/>
        </w:rPr>
        <w:sym w:font="Wingdings" w:char="F0E0"/>
      </w:r>
      <w:r w:rsidRPr="004E2CEF">
        <w:rPr>
          <w:sz w:val="24"/>
          <w:szCs w:val="24"/>
        </w:rPr>
        <w:t xml:space="preserve"> invariato (esente);</w:t>
      </w:r>
    </w:p>
    <w:p w14:paraId="77046F30"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Matrigna e patrigno </w:t>
      </w:r>
      <w:r w:rsidRPr="004E2CEF">
        <w:rPr>
          <w:sz w:val="24"/>
          <w:szCs w:val="24"/>
        </w:rPr>
        <w:sym w:font="Wingdings" w:char="F0E0"/>
      </w:r>
      <w:r w:rsidRPr="004E2CEF">
        <w:rPr>
          <w:sz w:val="24"/>
          <w:szCs w:val="24"/>
        </w:rPr>
        <w:t xml:space="preserve"> nuova aliquota al 27% ;</w:t>
      </w:r>
    </w:p>
    <w:p w14:paraId="002A77D5"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Figliastri </w:t>
      </w:r>
      <w:r w:rsidRPr="004E2CEF">
        <w:rPr>
          <w:sz w:val="24"/>
          <w:szCs w:val="24"/>
        </w:rPr>
        <w:sym w:font="Wingdings" w:char="F0E0"/>
      </w:r>
      <w:r w:rsidRPr="004E2CEF">
        <w:rPr>
          <w:sz w:val="24"/>
          <w:szCs w:val="24"/>
        </w:rPr>
        <w:t xml:space="preserve"> aliquota invariata (15.50%);</w:t>
      </w:r>
    </w:p>
    <w:p w14:paraId="7843CF5D" w14:textId="77777777" w:rsidR="006C604A" w:rsidRPr="004E2CEF" w:rsidRDefault="006C604A" w:rsidP="006C604A">
      <w:pPr>
        <w:pStyle w:val="Paragrafoelenco"/>
        <w:numPr>
          <w:ilvl w:val="0"/>
          <w:numId w:val="21"/>
        </w:numPr>
        <w:tabs>
          <w:tab w:val="left" w:pos="709"/>
        </w:tabs>
        <w:rPr>
          <w:sz w:val="24"/>
          <w:szCs w:val="24"/>
        </w:rPr>
      </w:pPr>
      <w:r w:rsidRPr="004E2CEF">
        <w:rPr>
          <w:sz w:val="24"/>
          <w:szCs w:val="24"/>
        </w:rPr>
        <w:t xml:space="preserve">Figli di figliastri </w:t>
      </w:r>
      <w:r w:rsidRPr="004E2CEF">
        <w:rPr>
          <w:sz w:val="24"/>
          <w:szCs w:val="24"/>
        </w:rPr>
        <w:sym w:font="Wingdings" w:char="F0E0"/>
      </w:r>
      <w:r w:rsidRPr="004E2CEF">
        <w:rPr>
          <w:sz w:val="24"/>
          <w:szCs w:val="24"/>
        </w:rPr>
        <w:t xml:space="preserve"> nuova aliquota (15.50%);</w:t>
      </w:r>
    </w:p>
    <w:p w14:paraId="5C770A56"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Genero e Nuora </w:t>
      </w:r>
      <w:r w:rsidRPr="004E2CEF">
        <w:rPr>
          <w:sz w:val="24"/>
          <w:szCs w:val="24"/>
        </w:rPr>
        <w:sym w:font="Wingdings" w:char="F0E0"/>
      </w:r>
      <w:r w:rsidRPr="004E2CEF">
        <w:rPr>
          <w:sz w:val="24"/>
          <w:szCs w:val="24"/>
        </w:rPr>
        <w:t xml:space="preserve"> aliquota invariata (27%);</w:t>
      </w:r>
    </w:p>
    <w:p w14:paraId="5DD46E84" w14:textId="77777777" w:rsidR="006C604A" w:rsidRPr="004E2CEF" w:rsidRDefault="006C604A" w:rsidP="006C604A">
      <w:pPr>
        <w:pStyle w:val="Paragrafoelenco"/>
        <w:numPr>
          <w:ilvl w:val="0"/>
          <w:numId w:val="21"/>
        </w:numPr>
        <w:tabs>
          <w:tab w:val="left" w:pos="540"/>
        </w:tabs>
        <w:rPr>
          <w:sz w:val="24"/>
          <w:szCs w:val="24"/>
        </w:rPr>
      </w:pPr>
      <w:r w:rsidRPr="004E2CEF">
        <w:rPr>
          <w:sz w:val="24"/>
          <w:szCs w:val="24"/>
        </w:rPr>
        <w:t xml:space="preserve">Primi cugini </w:t>
      </w:r>
      <w:r w:rsidRPr="004E2CEF">
        <w:rPr>
          <w:sz w:val="24"/>
          <w:szCs w:val="24"/>
        </w:rPr>
        <w:sym w:font="Wingdings" w:char="F0E0"/>
      </w:r>
      <w:r w:rsidRPr="004E2CEF">
        <w:rPr>
          <w:sz w:val="24"/>
          <w:szCs w:val="24"/>
        </w:rPr>
        <w:t xml:space="preserve"> aliquota invariata (27%);</w:t>
      </w:r>
    </w:p>
    <w:p w14:paraId="39A09FA9" w14:textId="77777777" w:rsidR="006C604A" w:rsidRPr="004E2CEF" w:rsidRDefault="006C604A" w:rsidP="006C604A">
      <w:pPr>
        <w:pStyle w:val="Paragrafoelenco"/>
        <w:numPr>
          <w:ilvl w:val="0"/>
          <w:numId w:val="21"/>
        </w:numPr>
        <w:tabs>
          <w:tab w:val="left" w:pos="709"/>
        </w:tabs>
        <w:rPr>
          <w:sz w:val="24"/>
          <w:szCs w:val="24"/>
        </w:rPr>
      </w:pPr>
      <w:r w:rsidRPr="004E2CEF">
        <w:rPr>
          <w:sz w:val="24"/>
          <w:szCs w:val="24"/>
        </w:rPr>
        <w:t xml:space="preserve">Parenti di ogni altro grado e non parenti (inclusi prozii,cognati e suoceri) </w:t>
      </w:r>
      <w:r w:rsidRPr="004E2CEF">
        <w:rPr>
          <w:sz w:val="24"/>
          <w:szCs w:val="24"/>
        </w:rPr>
        <w:sym w:font="Wingdings" w:char="F0E0"/>
      </w:r>
      <w:r w:rsidRPr="004E2CEF">
        <w:rPr>
          <w:sz w:val="24"/>
          <w:szCs w:val="24"/>
        </w:rPr>
        <w:t xml:space="preserve"> nuova aliquota al 35%.</w:t>
      </w:r>
    </w:p>
    <w:p w14:paraId="6219EAD6" w14:textId="007614A0" w:rsidR="006C604A" w:rsidRDefault="006C604A" w:rsidP="006C604A">
      <w:pPr>
        <w:rPr>
          <w:sz w:val="24"/>
          <w:szCs w:val="24"/>
          <w:u w:val="single"/>
        </w:rPr>
      </w:pPr>
    </w:p>
    <w:p w14:paraId="4D01F13A" w14:textId="4258D3BD" w:rsidR="00737825" w:rsidRDefault="00737825" w:rsidP="006C604A">
      <w:pPr>
        <w:rPr>
          <w:sz w:val="24"/>
          <w:szCs w:val="24"/>
          <w:u w:val="single"/>
        </w:rPr>
      </w:pPr>
    </w:p>
    <w:p w14:paraId="64BFCBC8" w14:textId="77777777" w:rsidR="00737825" w:rsidRPr="004E2CEF" w:rsidRDefault="00737825" w:rsidP="006C604A">
      <w:pPr>
        <w:rPr>
          <w:sz w:val="24"/>
          <w:szCs w:val="24"/>
          <w:u w:val="single"/>
        </w:rPr>
      </w:pPr>
    </w:p>
    <w:p w14:paraId="175308C8" w14:textId="6711DE8C" w:rsidR="006C604A" w:rsidRPr="004E2CEF" w:rsidRDefault="006C604A" w:rsidP="00100005">
      <w:pPr>
        <w:pStyle w:val="CAPITOLO3"/>
      </w:pPr>
      <w:bookmarkStart w:id="18" w:name="_Toc139991885"/>
      <w:r w:rsidRPr="004E2CEF">
        <w:t>Aliquote d’imposta</w:t>
      </w:r>
      <w:bookmarkEnd w:id="18"/>
    </w:p>
    <w:p w14:paraId="6784AFDA" w14:textId="77777777" w:rsidR="006C604A" w:rsidRPr="004E2CEF" w:rsidRDefault="006C604A" w:rsidP="00100005">
      <w:pPr>
        <w:pStyle w:val="CAPITOLO1"/>
        <w:numPr>
          <w:ilvl w:val="0"/>
          <w:numId w:val="0"/>
        </w:numPr>
      </w:pPr>
    </w:p>
    <w:p w14:paraId="685B3E2C" w14:textId="77777777" w:rsidR="006C604A" w:rsidRPr="004E2CEF" w:rsidRDefault="006C604A" w:rsidP="006C604A">
      <w:pPr>
        <w:rPr>
          <w:sz w:val="24"/>
          <w:szCs w:val="24"/>
        </w:rPr>
      </w:pPr>
      <w:r w:rsidRPr="004E2CEF">
        <w:rPr>
          <w:sz w:val="24"/>
          <w:szCs w:val="24"/>
        </w:rPr>
        <w:t>Sulla base di quanto finora analizzato, il Consiglio di Stato presenta la seguente scala di aliquote massime, senza andare a toccare i vari coefficienti già esistenti.</w:t>
      </w:r>
    </w:p>
    <w:p w14:paraId="0F6D011E" w14:textId="77777777" w:rsidR="006C604A" w:rsidRPr="004E2CEF" w:rsidRDefault="006C604A" w:rsidP="006C604A">
      <w:pPr>
        <w:rPr>
          <w:sz w:val="24"/>
          <w:szCs w:val="24"/>
        </w:rPr>
      </w:pPr>
    </w:p>
    <w:tbl>
      <w:tblPr>
        <w:tblW w:w="9422" w:type="dxa"/>
        <w:tblCellMar>
          <w:left w:w="70" w:type="dxa"/>
          <w:right w:w="70" w:type="dxa"/>
        </w:tblCellMar>
        <w:tblLook w:val="04A0" w:firstRow="1" w:lastRow="0" w:firstColumn="1" w:lastColumn="0" w:noHBand="0" w:noVBand="1"/>
      </w:tblPr>
      <w:tblGrid>
        <w:gridCol w:w="805"/>
        <w:gridCol w:w="2255"/>
        <w:gridCol w:w="997"/>
        <w:gridCol w:w="952"/>
        <w:gridCol w:w="3416"/>
        <w:gridCol w:w="997"/>
      </w:tblGrid>
      <w:tr w:rsidR="006C604A" w:rsidRPr="004E2CEF" w14:paraId="54E232FC" w14:textId="77777777" w:rsidTr="000649D7">
        <w:trPr>
          <w:trHeight w:val="300"/>
        </w:trPr>
        <w:tc>
          <w:tcPr>
            <w:tcW w:w="9422"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D09B49"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Aliquote massime</w:t>
            </w:r>
          </w:p>
        </w:tc>
      </w:tr>
      <w:tr w:rsidR="006C604A" w:rsidRPr="004E2CEF" w14:paraId="412EBFBE" w14:textId="77777777" w:rsidTr="000649D7">
        <w:trPr>
          <w:trHeight w:val="300"/>
        </w:trPr>
        <w:tc>
          <w:tcPr>
            <w:tcW w:w="405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AC3DE"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Situazione attuale</w:t>
            </w:r>
          </w:p>
        </w:tc>
        <w:tc>
          <w:tcPr>
            <w:tcW w:w="5365" w:type="dxa"/>
            <w:gridSpan w:val="3"/>
            <w:tcBorders>
              <w:top w:val="single" w:sz="4" w:space="0" w:color="auto"/>
              <w:left w:val="nil"/>
              <w:bottom w:val="single" w:sz="4" w:space="0" w:color="auto"/>
              <w:right w:val="single" w:sz="4" w:space="0" w:color="auto"/>
            </w:tcBorders>
            <w:shd w:val="clear" w:color="auto" w:fill="auto"/>
            <w:noWrap/>
            <w:vAlign w:val="bottom"/>
            <w:hideMark/>
          </w:tcPr>
          <w:p w14:paraId="71C8D8B6"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Scenario futuro</w:t>
            </w:r>
          </w:p>
        </w:tc>
      </w:tr>
      <w:tr w:rsidR="006C604A" w:rsidRPr="004E2CEF" w14:paraId="23FB04E2" w14:textId="77777777" w:rsidTr="000649D7">
        <w:trPr>
          <w:trHeight w:val="600"/>
        </w:trPr>
        <w:tc>
          <w:tcPr>
            <w:tcW w:w="3060" w:type="dxa"/>
            <w:gridSpan w:val="2"/>
            <w:tcBorders>
              <w:top w:val="nil"/>
              <w:left w:val="single" w:sz="4" w:space="0" w:color="auto"/>
              <w:bottom w:val="single" w:sz="4" w:space="0" w:color="auto"/>
              <w:right w:val="single" w:sz="4" w:space="0" w:color="000000"/>
            </w:tcBorders>
            <w:shd w:val="clear" w:color="auto" w:fill="auto"/>
            <w:vAlign w:val="center"/>
            <w:hideMark/>
          </w:tcPr>
          <w:p w14:paraId="397EBF27"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Gradi di parentela imponibili</w:t>
            </w:r>
          </w:p>
        </w:tc>
        <w:tc>
          <w:tcPr>
            <w:tcW w:w="997" w:type="dxa"/>
            <w:tcBorders>
              <w:top w:val="nil"/>
              <w:left w:val="nil"/>
              <w:bottom w:val="single" w:sz="4" w:space="0" w:color="auto"/>
              <w:right w:val="single" w:sz="4" w:space="0" w:color="auto"/>
            </w:tcBorders>
            <w:shd w:val="clear" w:color="auto" w:fill="auto"/>
            <w:vAlign w:val="center"/>
            <w:hideMark/>
          </w:tcPr>
          <w:p w14:paraId="4E7820EC"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Aliquota massima</w:t>
            </w:r>
          </w:p>
        </w:tc>
        <w:tc>
          <w:tcPr>
            <w:tcW w:w="4368" w:type="dxa"/>
            <w:gridSpan w:val="2"/>
            <w:tcBorders>
              <w:top w:val="nil"/>
              <w:left w:val="nil"/>
              <w:bottom w:val="single" w:sz="4" w:space="0" w:color="auto"/>
              <w:right w:val="single" w:sz="4" w:space="0" w:color="000000"/>
            </w:tcBorders>
            <w:shd w:val="clear" w:color="auto" w:fill="auto"/>
            <w:vAlign w:val="center"/>
            <w:hideMark/>
          </w:tcPr>
          <w:p w14:paraId="7193CAD5"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Gradi di parentela imponibili</w:t>
            </w:r>
          </w:p>
        </w:tc>
        <w:tc>
          <w:tcPr>
            <w:tcW w:w="997" w:type="dxa"/>
            <w:tcBorders>
              <w:top w:val="nil"/>
              <w:left w:val="nil"/>
              <w:bottom w:val="nil"/>
              <w:right w:val="single" w:sz="4" w:space="0" w:color="auto"/>
            </w:tcBorders>
            <w:shd w:val="clear" w:color="auto" w:fill="auto"/>
            <w:vAlign w:val="center"/>
            <w:hideMark/>
          </w:tcPr>
          <w:p w14:paraId="4DD94A0F"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Aliquota massima</w:t>
            </w:r>
          </w:p>
        </w:tc>
      </w:tr>
      <w:tr w:rsidR="006C604A" w:rsidRPr="004E2CEF" w14:paraId="51D63E34" w14:textId="77777777" w:rsidTr="000649D7">
        <w:trPr>
          <w:trHeight w:val="300"/>
        </w:trPr>
        <w:tc>
          <w:tcPr>
            <w:tcW w:w="805" w:type="dxa"/>
            <w:vMerge w:val="restart"/>
            <w:tcBorders>
              <w:top w:val="nil"/>
              <w:left w:val="single" w:sz="4" w:space="0" w:color="auto"/>
              <w:bottom w:val="single" w:sz="4" w:space="0" w:color="auto"/>
              <w:right w:val="nil"/>
            </w:tcBorders>
            <w:shd w:val="clear" w:color="000000" w:fill="C6E0B4"/>
            <w:noWrap/>
            <w:vAlign w:val="center"/>
            <w:hideMark/>
          </w:tcPr>
          <w:p w14:paraId="6FF70700"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Grado 1</w:t>
            </w:r>
          </w:p>
        </w:tc>
        <w:tc>
          <w:tcPr>
            <w:tcW w:w="2255" w:type="dxa"/>
            <w:tcBorders>
              <w:top w:val="nil"/>
              <w:left w:val="single" w:sz="4" w:space="0" w:color="auto"/>
              <w:bottom w:val="nil"/>
              <w:right w:val="single" w:sz="4" w:space="0" w:color="auto"/>
            </w:tcBorders>
            <w:shd w:val="clear" w:color="auto" w:fill="auto"/>
            <w:noWrap/>
            <w:vAlign w:val="bottom"/>
            <w:hideMark/>
          </w:tcPr>
          <w:p w14:paraId="72D46DFA"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Fratelli / sorelle</w:t>
            </w:r>
          </w:p>
        </w:tc>
        <w:tc>
          <w:tcPr>
            <w:tcW w:w="997" w:type="dxa"/>
            <w:tcBorders>
              <w:top w:val="nil"/>
              <w:left w:val="nil"/>
              <w:bottom w:val="nil"/>
              <w:right w:val="single" w:sz="4" w:space="0" w:color="auto"/>
            </w:tcBorders>
            <w:shd w:val="clear" w:color="auto" w:fill="auto"/>
            <w:noWrap/>
            <w:vAlign w:val="bottom"/>
            <w:hideMark/>
          </w:tcPr>
          <w:p w14:paraId="5A8C0E13"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15.5%</w:t>
            </w:r>
          </w:p>
        </w:tc>
        <w:tc>
          <w:tcPr>
            <w:tcW w:w="952" w:type="dxa"/>
            <w:vMerge w:val="restart"/>
            <w:tcBorders>
              <w:top w:val="nil"/>
              <w:left w:val="single" w:sz="4" w:space="0" w:color="auto"/>
              <w:bottom w:val="single" w:sz="4" w:space="0" w:color="000000"/>
              <w:right w:val="single" w:sz="4" w:space="0" w:color="auto"/>
            </w:tcBorders>
            <w:shd w:val="clear" w:color="000000" w:fill="C6E0B4"/>
            <w:noWrap/>
            <w:vAlign w:val="center"/>
            <w:hideMark/>
          </w:tcPr>
          <w:p w14:paraId="4A04CB4A"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1</w:t>
            </w:r>
          </w:p>
        </w:tc>
        <w:tc>
          <w:tcPr>
            <w:tcW w:w="3416" w:type="dxa"/>
            <w:tcBorders>
              <w:top w:val="nil"/>
              <w:left w:val="nil"/>
              <w:bottom w:val="nil"/>
              <w:right w:val="nil"/>
            </w:tcBorders>
            <w:shd w:val="clear" w:color="auto" w:fill="auto"/>
            <w:noWrap/>
            <w:vAlign w:val="bottom"/>
            <w:hideMark/>
          </w:tcPr>
          <w:p w14:paraId="34F7AE4D"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Fratelli / sorelle</w:t>
            </w:r>
          </w:p>
        </w:tc>
        <w:tc>
          <w:tcPr>
            <w:tcW w:w="997" w:type="dxa"/>
            <w:tcBorders>
              <w:top w:val="single" w:sz="4" w:space="0" w:color="auto"/>
              <w:left w:val="single" w:sz="4" w:space="0" w:color="auto"/>
              <w:bottom w:val="nil"/>
              <w:right w:val="single" w:sz="4" w:space="0" w:color="auto"/>
            </w:tcBorders>
            <w:shd w:val="clear" w:color="auto" w:fill="auto"/>
            <w:noWrap/>
            <w:vAlign w:val="bottom"/>
            <w:hideMark/>
          </w:tcPr>
          <w:p w14:paraId="1CE68057"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15.5%</w:t>
            </w:r>
          </w:p>
        </w:tc>
      </w:tr>
      <w:tr w:rsidR="006C604A" w:rsidRPr="004E2CEF" w14:paraId="7AC7CCF9" w14:textId="77777777" w:rsidTr="000649D7">
        <w:trPr>
          <w:trHeight w:val="300"/>
        </w:trPr>
        <w:tc>
          <w:tcPr>
            <w:tcW w:w="805" w:type="dxa"/>
            <w:vMerge/>
            <w:tcBorders>
              <w:top w:val="nil"/>
              <w:left w:val="single" w:sz="4" w:space="0" w:color="auto"/>
              <w:bottom w:val="single" w:sz="4" w:space="0" w:color="auto"/>
              <w:right w:val="nil"/>
            </w:tcBorders>
            <w:vAlign w:val="center"/>
            <w:hideMark/>
          </w:tcPr>
          <w:p w14:paraId="231D3E5D"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single" w:sz="4" w:space="0" w:color="auto"/>
              <w:bottom w:val="single" w:sz="4" w:space="0" w:color="auto"/>
              <w:right w:val="single" w:sz="4" w:space="0" w:color="auto"/>
            </w:tcBorders>
            <w:shd w:val="clear" w:color="auto" w:fill="auto"/>
            <w:noWrap/>
            <w:vAlign w:val="bottom"/>
            <w:hideMark/>
          </w:tcPr>
          <w:p w14:paraId="33EE37B9"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Figliastri/e</w:t>
            </w:r>
          </w:p>
        </w:tc>
        <w:tc>
          <w:tcPr>
            <w:tcW w:w="997" w:type="dxa"/>
            <w:tcBorders>
              <w:top w:val="nil"/>
              <w:left w:val="nil"/>
              <w:bottom w:val="single" w:sz="4" w:space="0" w:color="auto"/>
              <w:right w:val="single" w:sz="4" w:space="0" w:color="auto"/>
            </w:tcBorders>
            <w:shd w:val="clear" w:color="auto" w:fill="auto"/>
            <w:noWrap/>
            <w:vAlign w:val="bottom"/>
            <w:hideMark/>
          </w:tcPr>
          <w:p w14:paraId="54DC880D"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15.5%</w:t>
            </w:r>
          </w:p>
        </w:tc>
        <w:tc>
          <w:tcPr>
            <w:tcW w:w="952" w:type="dxa"/>
            <w:vMerge/>
            <w:tcBorders>
              <w:top w:val="nil"/>
              <w:left w:val="single" w:sz="4" w:space="0" w:color="auto"/>
              <w:bottom w:val="single" w:sz="4" w:space="0" w:color="000000"/>
              <w:right w:val="single" w:sz="4" w:space="0" w:color="auto"/>
            </w:tcBorders>
            <w:vAlign w:val="center"/>
            <w:hideMark/>
          </w:tcPr>
          <w:p w14:paraId="2B5C3E61"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nil"/>
            </w:tcBorders>
            <w:shd w:val="clear" w:color="auto" w:fill="auto"/>
            <w:noWrap/>
            <w:vAlign w:val="bottom"/>
            <w:hideMark/>
          </w:tcPr>
          <w:p w14:paraId="0CD1D90C"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Figliastri/e</w:t>
            </w:r>
          </w:p>
        </w:tc>
        <w:tc>
          <w:tcPr>
            <w:tcW w:w="997" w:type="dxa"/>
            <w:tcBorders>
              <w:top w:val="nil"/>
              <w:left w:val="single" w:sz="4" w:space="0" w:color="auto"/>
              <w:bottom w:val="nil"/>
              <w:right w:val="single" w:sz="4" w:space="0" w:color="auto"/>
            </w:tcBorders>
            <w:shd w:val="clear" w:color="auto" w:fill="auto"/>
            <w:noWrap/>
            <w:vAlign w:val="bottom"/>
            <w:hideMark/>
          </w:tcPr>
          <w:p w14:paraId="6980519C"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15.5%</w:t>
            </w:r>
          </w:p>
        </w:tc>
      </w:tr>
      <w:tr w:rsidR="006C604A" w:rsidRPr="004E2CEF" w14:paraId="70EC9B84" w14:textId="77777777" w:rsidTr="000649D7">
        <w:trPr>
          <w:trHeight w:val="300"/>
        </w:trPr>
        <w:tc>
          <w:tcPr>
            <w:tcW w:w="805" w:type="dxa"/>
            <w:vMerge w:val="restart"/>
            <w:tcBorders>
              <w:top w:val="nil"/>
              <w:left w:val="single" w:sz="4" w:space="0" w:color="auto"/>
              <w:bottom w:val="nil"/>
              <w:right w:val="single" w:sz="4" w:space="0" w:color="auto"/>
            </w:tcBorders>
            <w:shd w:val="clear" w:color="000000" w:fill="BDD7EE"/>
            <w:noWrap/>
            <w:vAlign w:val="center"/>
            <w:hideMark/>
          </w:tcPr>
          <w:p w14:paraId="5E0F5D99"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Grado 2</w:t>
            </w:r>
          </w:p>
        </w:tc>
        <w:tc>
          <w:tcPr>
            <w:tcW w:w="2255" w:type="dxa"/>
            <w:tcBorders>
              <w:top w:val="nil"/>
              <w:left w:val="nil"/>
              <w:bottom w:val="nil"/>
              <w:right w:val="single" w:sz="4" w:space="0" w:color="auto"/>
            </w:tcBorders>
            <w:shd w:val="clear" w:color="auto" w:fill="auto"/>
            <w:noWrap/>
            <w:vAlign w:val="bottom"/>
            <w:hideMark/>
          </w:tcPr>
          <w:p w14:paraId="0E869B37"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Figli di figliastri</w:t>
            </w:r>
          </w:p>
        </w:tc>
        <w:tc>
          <w:tcPr>
            <w:tcW w:w="997" w:type="dxa"/>
            <w:tcBorders>
              <w:top w:val="nil"/>
              <w:left w:val="nil"/>
              <w:bottom w:val="nil"/>
              <w:right w:val="single" w:sz="4" w:space="0" w:color="auto"/>
            </w:tcBorders>
            <w:shd w:val="clear" w:color="auto" w:fill="auto"/>
            <w:noWrap/>
            <w:vAlign w:val="bottom"/>
            <w:hideMark/>
          </w:tcPr>
          <w:p w14:paraId="5CFD3E48"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18.5%</w:t>
            </w:r>
          </w:p>
        </w:tc>
        <w:tc>
          <w:tcPr>
            <w:tcW w:w="952" w:type="dxa"/>
            <w:vMerge/>
            <w:tcBorders>
              <w:top w:val="nil"/>
              <w:left w:val="single" w:sz="4" w:space="0" w:color="auto"/>
              <w:bottom w:val="single" w:sz="4" w:space="0" w:color="000000"/>
              <w:right w:val="single" w:sz="4" w:space="0" w:color="auto"/>
            </w:tcBorders>
            <w:vAlign w:val="center"/>
            <w:hideMark/>
          </w:tcPr>
          <w:p w14:paraId="7A4B3DEC"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single" w:sz="4" w:space="0" w:color="auto"/>
              <w:right w:val="single" w:sz="4" w:space="0" w:color="auto"/>
            </w:tcBorders>
            <w:shd w:val="clear" w:color="auto" w:fill="auto"/>
            <w:noWrap/>
            <w:vAlign w:val="bottom"/>
            <w:hideMark/>
          </w:tcPr>
          <w:p w14:paraId="33938AE9"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Figli di figliastri</w:t>
            </w:r>
          </w:p>
        </w:tc>
        <w:tc>
          <w:tcPr>
            <w:tcW w:w="997" w:type="dxa"/>
            <w:tcBorders>
              <w:top w:val="nil"/>
              <w:left w:val="nil"/>
              <w:bottom w:val="single" w:sz="4" w:space="0" w:color="auto"/>
              <w:right w:val="single" w:sz="4" w:space="0" w:color="auto"/>
            </w:tcBorders>
            <w:shd w:val="clear" w:color="auto" w:fill="auto"/>
            <w:noWrap/>
            <w:vAlign w:val="bottom"/>
            <w:hideMark/>
          </w:tcPr>
          <w:p w14:paraId="3E44D001"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15.5%</w:t>
            </w:r>
          </w:p>
        </w:tc>
      </w:tr>
      <w:tr w:rsidR="006C604A" w:rsidRPr="004E2CEF" w14:paraId="1A7D4FF8" w14:textId="77777777" w:rsidTr="000649D7">
        <w:trPr>
          <w:trHeight w:val="300"/>
        </w:trPr>
        <w:tc>
          <w:tcPr>
            <w:tcW w:w="805" w:type="dxa"/>
            <w:vMerge/>
            <w:tcBorders>
              <w:top w:val="nil"/>
              <w:left w:val="single" w:sz="4" w:space="0" w:color="auto"/>
              <w:bottom w:val="nil"/>
              <w:right w:val="single" w:sz="4" w:space="0" w:color="auto"/>
            </w:tcBorders>
            <w:vAlign w:val="center"/>
            <w:hideMark/>
          </w:tcPr>
          <w:p w14:paraId="4016F909"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nil"/>
              <w:right w:val="single" w:sz="4" w:space="0" w:color="auto"/>
            </w:tcBorders>
            <w:shd w:val="clear" w:color="auto" w:fill="auto"/>
            <w:noWrap/>
            <w:vAlign w:val="bottom"/>
            <w:hideMark/>
          </w:tcPr>
          <w:p w14:paraId="4C5C9F44"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Nipoti consanguinei</w:t>
            </w:r>
          </w:p>
        </w:tc>
        <w:tc>
          <w:tcPr>
            <w:tcW w:w="997" w:type="dxa"/>
            <w:tcBorders>
              <w:top w:val="nil"/>
              <w:left w:val="nil"/>
              <w:bottom w:val="nil"/>
              <w:right w:val="single" w:sz="4" w:space="0" w:color="auto"/>
            </w:tcBorders>
            <w:shd w:val="clear" w:color="auto" w:fill="auto"/>
            <w:noWrap/>
            <w:vAlign w:val="bottom"/>
            <w:hideMark/>
          </w:tcPr>
          <w:p w14:paraId="1856DB1B"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18.5%</w:t>
            </w:r>
          </w:p>
        </w:tc>
        <w:tc>
          <w:tcPr>
            <w:tcW w:w="952" w:type="dxa"/>
            <w:tcBorders>
              <w:top w:val="nil"/>
              <w:left w:val="nil"/>
              <w:bottom w:val="single" w:sz="4" w:space="0" w:color="auto"/>
              <w:right w:val="single" w:sz="4" w:space="0" w:color="auto"/>
            </w:tcBorders>
            <w:shd w:val="clear" w:color="000000" w:fill="BDD7EE"/>
            <w:noWrap/>
            <w:vAlign w:val="center"/>
            <w:hideMark/>
          </w:tcPr>
          <w:p w14:paraId="572067C2" w14:textId="77777777" w:rsidR="006C604A" w:rsidRPr="004E2CEF" w:rsidRDefault="006C604A" w:rsidP="000649D7">
            <w:pPr>
              <w:jc w:val="left"/>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2</w:t>
            </w:r>
          </w:p>
        </w:tc>
        <w:tc>
          <w:tcPr>
            <w:tcW w:w="3416" w:type="dxa"/>
            <w:tcBorders>
              <w:top w:val="nil"/>
              <w:left w:val="nil"/>
              <w:bottom w:val="single" w:sz="4" w:space="0" w:color="auto"/>
              <w:right w:val="nil"/>
            </w:tcBorders>
            <w:shd w:val="clear" w:color="auto" w:fill="auto"/>
            <w:noWrap/>
            <w:vAlign w:val="bottom"/>
            <w:hideMark/>
          </w:tcPr>
          <w:p w14:paraId="11396C39"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Nipoti consanguinei e affini</w:t>
            </w:r>
          </w:p>
        </w:tc>
        <w:tc>
          <w:tcPr>
            <w:tcW w:w="997" w:type="dxa"/>
            <w:tcBorders>
              <w:top w:val="nil"/>
              <w:left w:val="single" w:sz="4" w:space="0" w:color="auto"/>
              <w:bottom w:val="single" w:sz="4" w:space="0" w:color="auto"/>
              <w:right w:val="single" w:sz="4" w:space="0" w:color="auto"/>
            </w:tcBorders>
            <w:shd w:val="clear" w:color="auto" w:fill="auto"/>
            <w:noWrap/>
            <w:vAlign w:val="bottom"/>
            <w:hideMark/>
          </w:tcPr>
          <w:p w14:paraId="62F98C04"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18.5%</w:t>
            </w:r>
          </w:p>
        </w:tc>
      </w:tr>
      <w:tr w:rsidR="006C604A" w:rsidRPr="004E2CEF" w14:paraId="7DBFC7BC" w14:textId="77777777" w:rsidTr="000649D7">
        <w:trPr>
          <w:trHeight w:val="300"/>
        </w:trPr>
        <w:tc>
          <w:tcPr>
            <w:tcW w:w="805" w:type="dxa"/>
            <w:vMerge/>
            <w:tcBorders>
              <w:top w:val="nil"/>
              <w:left w:val="single" w:sz="4" w:space="0" w:color="auto"/>
              <w:bottom w:val="nil"/>
              <w:right w:val="single" w:sz="4" w:space="0" w:color="auto"/>
            </w:tcBorders>
            <w:vAlign w:val="center"/>
            <w:hideMark/>
          </w:tcPr>
          <w:p w14:paraId="5471A0C1"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nil"/>
              <w:right w:val="single" w:sz="4" w:space="0" w:color="auto"/>
            </w:tcBorders>
            <w:shd w:val="clear" w:color="auto" w:fill="auto"/>
            <w:noWrap/>
            <w:vAlign w:val="bottom"/>
            <w:hideMark/>
          </w:tcPr>
          <w:p w14:paraId="2630E6C7"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Zii</w:t>
            </w:r>
          </w:p>
        </w:tc>
        <w:tc>
          <w:tcPr>
            <w:tcW w:w="997" w:type="dxa"/>
            <w:tcBorders>
              <w:top w:val="nil"/>
              <w:left w:val="nil"/>
              <w:bottom w:val="nil"/>
              <w:right w:val="single" w:sz="4" w:space="0" w:color="auto"/>
            </w:tcBorders>
            <w:shd w:val="clear" w:color="auto" w:fill="auto"/>
            <w:noWrap/>
            <w:vAlign w:val="bottom"/>
            <w:hideMark/>
          </w:tcPr>
          <w:p w14:paraId="3D1231E4"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18.5%</w:t>
            </w:r>
          </w:p>
        </w:tc>
        <w:tc>
          <w:tcPr>
            <w:tcW w:w="952" w:type="dxa"/>
            <w:vMerge w:val="restart"/>
            <w:tcBorders>
              <w:top w:val="nil"/>
              <w:left w:val="single" w:sz="4" w:space="0" w:color="auto"/>
              <w:bottom w:val="nil"/>
              <w:right w:val="single" w:sz="4" w:space="0" w:color="auto"/>
            </w:tcBorders>
            <w:shd w:val="clear" w:color="000000" w:fill="FCE4D6"/>
            <w:noWrap/>
            <w:vAlign w:val="center"/>
            <w:hideMark/>
          </w:tcPr>
          <w:p w14:paraId="7E10CA3F"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3</w:t>
            </w:r>
          </w:p>
        </w:tc>
        <w:tc>
          <w:tcPr>
            <w:tcW w:w="3416" w:type="dxa"/>
            <w:tcBorders>
              <w:top w:val="nil"/>
              <w:left w:val="nil"/>
              <w:bottom w:val="nil"/>
              <w:right w:val="nil"/>
            </w:tcBorders>
            <w:shd w:val="clear" w:color="auto" w:fill="auto"/>
            <w:noWrap/>
            <w:vAlign w:val="bottom"/>
            <w:hideMark/>
          </w:tcPr>
          <w:p w14:paraId="652BCB98"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Zii consanguinei e affini</w:t>
            </w:r>
          </w:p>
        </w:tc>
        <w:tc>
          <w:tcPr>
            <w:tcW w:w="997" w:type="dxa"/>
            <w:tcBorders>
              <w:top w:val="nil"/>
              <w:left w:val="single" w:sz="4" w:space="0" w:color="auto"/>
              <w:bottom w:val="nil"/>
              <w:right w:val="single" w:sz="4" w:space="0" w:color="auto"/>
            </w:tcBorders>
            <w:shd w:val="clear" w:color="auto" w:fill="auto"/>
            <w:noWrap/>
            <w:vAlign w:val="bottom"/>
            <w:hideMark/>
          </w:tcPr>
          <w:p w14:paraId="5C2E7809"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27.0%</w:t>
            </w:r>
          </w:p>
        </w:tc>
      </w:tr>
      <w:tr w:rsidR="006C604A" w:rsidRPr="004E2CEF" w14:paraId="7AFE5811" w14:textId="77777777" w:rsidTr="000649D7">
        <w:trPr>
          <w:trHeight w:val="300"/>
        </w:trPr>
        <w:tc>
          <w:tcPr>
            <w:tcW w:w="805" w:type="dxa"/>
            <w:vMerge/>
            <w:tcBorders>
              <w:top w:val="nil"/>
              <w:left w:val="single" w:sz="4" w:space="0" w:color="auto"/>
              <w:bottom w:val="nil"/>
              <w:right w:val="single" w:sz="4" w:space="0" w:color="auto"/>
            </w:tcBorders>
            <w:vAlign w:val="center"/>
            <w:hideMark/>
          </w:tcPr>
          <w:p w14:paraId="415E68AA"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nil"/>
              <w:right w:val="single" w:sz="4" w:space="0" w:color="auto"/>
            </w:tcBorders>
            <w:shd w:val="clear" w:color="auto" w:fill="auto"/>
            <w:noWrap/>
            <w:vAlign w:val="bottom"/>
            <w:hideMark/>
          </w:tcPr>
          <w:p w14:paraId="5DE214DA"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Patrigni / matrigne</w:t>
            </w:r>
          </w:p>
        </w:tc>
        <w:tc>
          <w:tcPr>
            <w:tcW w:w="997" w:type="dxa"/>
            <w:tcBorders>
              <w:top w:val="nil"/>
              <w:left w:val="nil"/>
              <w:bottom w:val="nil"/>
              <w:right w:val="single" w:sz="4" w:space="0" w:color="auto"/>
            </w:tcBorders>
            <w:shd w:val="clear" w:color="auto" w:fill="auto"/>
            <w:noWrap/>
            <w:vAlign w:val="bottom"/>
            <w:hideMark/>
          </w:tcPr>
          <w:p w14:paraId="4546D9E5"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18.5%</w:t>
            </w:r>
          </w:p>
        </w:tc>
        <w:tc>
          <w:tcPr>
            <w:tcW w:w="952" w:type="dxa"/>
            <w:vMerge/>
            <w:tcBorders>
              <w:top w:val="nil"/>
              <w:left w:val="single" w:sz="4" w:space="0" w:color="auto"/>
              <w:bottom w:val="nil"/>
              <w:right w:val="single" w:sz="4" w:space="0" w:color="auto"/>
            </w:tcBorders>
            <w:vAlign w:val="center"/>
            <w:hideMark/>
          </w:tcPr>
          <w:p w14:paraId="4A21F2D8"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single" w:sz="4" w:space="0" w:color="auto"/>
            </w:tcBorders>
            <w:shd w:val="clear" w:color="auto" w:fill="auto"/>
            <w:noWrap/>
            <w:vAlign w:val="bottom"/>
            <w:hideMark/>
          </w:tcPr>
          <w:p w14:paraId="136E1B58"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Patrigni / matrigne</w:t>
            </w:r>
          </w:p>
        </w:tc>
        <w:tc>
          <w:tcPr>
            <w:tcW w:w="997" w:type="dxa"/>
            <w:tcBorders>
              <w:top w:val="nil"/>
              <w:left w:val="nil"/>
              <w:bottom w:val="nil"/>
              <w:right w:val="single" w:sz="4" w:space="0" w:color="auto"/>
            </w:tcBorders>
            <w:shd w:val="clear" w:color="auto" w:fill="auto"/>
            <w:noWrap/>
            <w:vAlign w:val="bottom"/>
            <w:hideMark/>
          </w:tcPr>
          <w:p w14:paraId="021BAE67"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27.0%</w:t>
            </w:r>
          </w:p>
        </w:tc>
      </w:tr>
      <w:tr w:rsidR="006C604A" w:rsidRPr="004E2CEF" w14:paraId="26B1F164" w14:textId="77777777" w:rsidTr="000649D7">
        <w:trPr>
          <w:trHeight w:val="300"/>
        </w:trPr>
        <w:tc>
          <w:tcPr>
            <w:tcW w:w="805" w:type="dxa"/>
            <w:vMerge w:val="restart"/>
            <w:tcBorders>
              <w:top w:val="single" w:sz="4" w:space="0" w:color="auto"/>
              <w:left w:val="single" w:sz="4" w:space="0" w:color="auto"/>
              <w:bottom w:val="single" w:sz="4" w:space="0" w:color="000000"/>
              <w:right w:val="single" w:sz="4" w:space="0" w:color="auto"/>
            </w:tcBorders>
            <w:shd w:val="clear" w:color="000000" w:fill="FCE4D6"/>
            <w:noWrap/>
            <w:vAlign w:val="center"/>
            <w:hideMark/>
          </w:tcPr>
          <w:p w14:paraId="0A857C4B"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Grado 3</w:t>
            </w:r>
          </w:p>
        </w:tc>
        <w:tc>
          <w:tcPr>
            <w:tcW w:w="2255" w:type="dxa"/>
            <w:tcBorders>
              <w:top w:val="single" w:sz="4" w:space="0" w:color="auto"/>
              <w:left w:val="nil"/>
              <w:bottom w:val="nil"/>
              <w:right w:val="single" w:sz="4" w:space="0" w:color="auto"/>
            </w:tcBorders>
            <w:shd w:val="clear" w:color="auto" w:fill="auto"/>
            <w:noWrap/>
            <w:vAlign w:val="bottom"/>
            <w:hideMark/>
          </w:tcPr>
          <w:p w14:paraId="3DFDF3E1"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Primi cugini</w:t>
            </w:r>
          </w:p>
        </w:tc>
        <w:tc>
          <w:tcPr>
            <w:tcW w:w="997" w:type="dxa"/>
            <w:tcBorders>
              <w:top w:val="single" w:sz="4" w:space="0" w:color="auto"/>
              <w:left w:val="nil"/>
              <w:bottom w:val="nil"/>
              <w:right w:val="single" w:sz="4" w:space="0" w:color="auto"/>
            </w:tcBorders>
            <w:shd w:val="clear" w:color="auto" w:fill="auto"/>
            <w:noWrap/>
            <w:vAlign w:val="bottom"/>
            <w:hideMark/>
          </w:tcPr>
          <w:p w14:paraId="5281E623"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27.0%</w:t>
            </w:r>
          </w:p>
        </w:tc>
        <w:tc>
          <w:tcPr>
            <w:tcW w:w="952" w:type="dxa"/>
            <w:vMerge/>
            <w:tcBorders>
              <w:top w:val="nil"/>
              <w:left w:val="single" w:sz="4" w:space="0" w:color="auto"/>
              <w:bottom w:val="nil"/>
              <w:right w:val="single" w:sz="4" w:space="0" w:color="auto"/>
            </w:tcBorders>
            <w:vAlign w:val="center"/>
            <w:hideMark/>
          </w:tcPr>
          <w:p w14:paraId="5C66C007"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nil"/>
            </w:tcBorders>
            <w:shd w:val="clear" w:color="auto" w:fill="auto"/>
            <w:noWrap/>
            <w:vAlign w:val="bottom"/>
            <w:hideMark/>
          </w:tcPr>
          <w:p w14:paraId="6CE1BB49"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Primi cugini</w:t>
            </w:r>
          </w:p>
        </w:tc>
        <w:tc>
          <w:tcPr>
            <w:tcW w:w="997" w:type="dxa"/>
            <w:tcBorders>
              <w:top w:val="nil"/>
              <w:left w:val="single" w:sz="4" w:space="0" w:color="auto"/>
              <w:bottom w:val="nil"/>
              <w:right w:val="single" w:sz="4" w:space="0" w:color="auto"/>
            </w:tcBorders>
            <w:shd w:val="clear" w:color="auto" w:fill="auto"/>
            <w:noWrap/>
            <w:vAlign w:val="bottom"/>
            <w:hideMark/>
          </w:tcPr>
          <w:p w14:paraId="2ADACB31"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27.0%</w:t>
            </w:r>
          </w:p>
        </w:tc>
      </w:tr>
      <w:tr w:rsidR="006C604A" w:rsidRPr="004E2CEF" w14:paraId="74684816" w14:textId="77777777" w:rsidTr="000649D7">
        <w:trPr>
          <w:trHeight w:val="300"/>
        </w:trPr>
        <w:tc>
          <w:tcPr>
            <w:tcW w:w="805" w:type="dxa"/>
            <w:vMerge/>
            <w:tcBorders>
              <w:top w:val="single" w:sz="4" w:space="0" w:color="auto"/>
              <w:left w:val="single" w:sz="4" w:space="0" w:color="auto"/>
              <w:bottom w:val="single" w:sz="4" w:space="0" w:color="000000"/>
              <w:right w:val="single" w:sz="4" w:space="0" w:color="auto"/>
            </w:tcBorders>
            <w:vAlign w:val="center"/>
            <w:hideMark/>
          </w:tcPr>
          <w:p w14:paraId="138653F6"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nil"/>
              <w:right w:val="single" w:sz="4" w:space="0" w:color="auto"/>
            </w:tcBorders>
            <w:shd w:val="clear" w:color="auto" w:fill="auto"/>
            <w:noWrap/>
            <w:vAlign w:val="bottom"/>
            <w:hideMark/>
          </w:tcPr>
          <w:p w14:paraId="234FB48C"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Pronipoti</w:t>
            </w:r>
          </w:p>
        </w:tc>
        <w:tc>
          <w:tcPr>
            <w:tcW w:w="997" w:type="dxa"/>
            <w:tcBorders>
              <w:top w:val="nil"/>
              <w:left w:val="nil"/>
              <w:bottom w:val="nil"/>
              <w:right w:val="single" w:sz="4" w:space="0" w:color="auto"/>
            </w:tcBorders>
            <w:shd w:val="clear" w:color="auto" w:fill="auto"/>
            <w:noWrap/>
            <w:vAlign w:val="bottom"/>
            <w:hideMark/>
          </w:tcPr>
          <w:p w14:paraId="43CE30D5"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27.0%</w:t>
            </w:r>
          </w:p>
        </w:tc>
        <w:tc>
          <w:tcPr>
            <w:tcW w:w="952" w:type="dxa"/>
            <w:vMerge/>
            <w:tcBorders>
              <w:top w:val="nil"/>
              <w:left w:val="single" w:sz="4" w:space="0" w:color="auto"/>
              <w:bottom w:val="nil"/>
              <w:right w:val="single" w:sz="4" w:space="0" w:color="auto"/>
            </w:tcBorders>
            <w:vAlign w:val="center"/>
            <w:hideMark/>
          </w:tcPr>
          <w:p w14:paraId="58342A47"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nil"/>
            </w:tcBorders>
            <w:shd w:val="clear" w:color="auto" w:fill="auto"/>
            <w:noWrap/>
            <w:vAlign w:val="bottom"/>
            <w:hideMark/>
          </w:tcPr>
          <w:p w14:paraId="6446C9E5"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Pronipoti consanguinei e affini</w:t>
            </w:r>
          </w:p>
        </w:tc>
        <w:tc>
          <w:tcPr>
            <w:tcW w:w="997" w:type="dxa"/>
            <w:tcBorders>
              <w:top w:val="nil"/>
              <w:left w:val="single" w:sz="4" w:space="0" w:color="auto"/>
              <w:bottom w:val="nil"/>
              <w:right w:val="single" w:sz="4" w:space="0" w:color="auto"/>
            </w:tcBorders>
            <w:shd w:val="clear" w:color="auto" w:fill="auto"/>
            <w:noWrap/>
            <w:vAlign w:val="bottom"/>
            <w:hideMark/>
          </w:tcPr>
          <w:p w14:paraId="0ABC49CF"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27.0%</w:t>
            </w:r>
          </w:p>
        </w:tc>
      </w:tr>
      <w:tr w:rsidR="006C604A" w:rsidRPr="004E2CEF" w14:paraId="26EEC6D1" w14:textId="77777777" w:rsidTr="000649D7">
        <w:trPr>
          <w:trHeight w:val="300"/>
        </w:trPr>
        <w:tc>
          <w:tcPr>
            <w:tcW w:w="805" w:type="dxa"/>
            <w:vMerge/>
            <w:tcBorders>
              <w:top w:val="single" w:sz="4" w:space="0" w:color="auto"/>
              <w:left w:val="single" w:sz="4" w:space="0" w:color="auto"/>
              <w:bottom w:val="single" w:sz="4" w:space="0" w:color="000000"/>
              <w:right w:val="single" w:sz="4" w:space="0" w:color="auto"/>
            </w:tcBorders>
            <w:vAlign w:val="center"/>
            <w:hideMark/>
          </w:tcPr>
          <w:p w14:paraId="5FA2758B"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nil"/>
              <w:right w:val="single" w:sz="4" w:space="0" w:color="auto"/>
            </w:tcBorders>
            <w:shd w:val="clear" w:color="auto" w:fill="auto"/>
            <w:noWrap/>
            <w:vAlign w:val="bottom"/>
            <w:hideMark/>
          </w:tcPr>
          <w:p w14:paraId="76843194"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Cognati</w:t>
            </w:r>
          </w:p>
        </w:tc>
        <w:tc>
          <w:tcPr>
            <w:tcW w:w="997" w:type="dxa"/>
            <w:tcBorders>
              <w:top w:val="nil"/>
              <w:left w:val="nil"/>
              <w:bottom w:val="nil"/>
              <w:right w:val="single" w:sz="4" w:space="0" w:color="auto"/>
            </w:tcBorders>
            <w:shd w:val="clear" w:color="auto" w:fill="auto"/>
            <w:noWrap/>
            <w:vAlign w:val="bottom"/>
            <w:hideMark/>
          </w:tcPr>
          <w:p w14:paraId="486F0409"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27.0%</w:t>
            </w:r>
          </w:p>
        </w:tc>
        <w:tc>
          <w:tcPr>
            <w:tcW w:w="952" w:type="dxa"/>
            <w:vMerge w:val="restart"/>
            <w:tcBorders>
              <w:top w:val="single" w:sz="4" w:space="0" w:color="auto"/>
              <w:left w:val="single" w:sz="4" w:space="0" w:color="auto"/>
              <w:bottom w:val="single" w:sz="4" w:space="0" w:color="000000"/>
              <w:right w:val="single" w:sz="4" w:space="0" w:color="auto"/>
            </w:tcBorders>
            <w:shd w:val="clear" w:color="000000" w:fill="E7E6E6"/>
            <w:noWrap/>
            <w:vAlign w:val="center"/>
            <w:hideMark/>
          </w:tcPr>
          <w:p w14:paraId="65FA9E1D"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4</w:t>
            </w:r>
          </w:p>
        </w:tc>
        <w:tc>
          <w:tcPr>
            <w:tcW w:w="3416" w:type="dxa"/>
            <w:tcBorders>
              <w:top w:val="single" w:sz="4" w:space="0" w:color="auto"/>
              <w:left w:val="nil"/>
              <w:bottom w:val="nil"/>
              <w:right w:val="single" w:sz="4" w:space="0" w:color="auto"/>
            </w:tcBorders>
            <w:shd w:val="clear" w:color="auto" w:fill="auto"/>
            <w:noWrap/>
            <w:vAlign w:val="bottom"/>
            <w:hideMark/>
          </w:tcPr>
          <w:p w14:paraId="5A90BE5D"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 xml:space="preserve">Cognati </w:t>
            </w:r>
            <w:r w:rsidRPr="004E2CEF">
              <w:rPr>
                <w:rFonts w:asciiTheme="minorHAnsi" w:eastAsia="Times New Roman" w:hAnsiTheme="minorHAnsi" w:cstheme="minorHAnsi"/>
                <w:sz w:val="18"/>
                <w:szCs w:val="18"/>
                <w:lang w:eastAsia="it-CH"/>
              </w:rPr>
              <w:t>(come altri parenti per affinità)</w:t>
            </w:r>
          </w:p>
        </w:tc>
        <w:tc>
          <w:tcPr>
            <w:tcW w:w="997" w:type="dxa"/>
            <w:tcBorders>
              <w:top w:val="single" w:sz="4" w:space="0" w:color="auto"/>
              <w:left w:val="nil"/>
              <w:bottom w:val="nil"/>
              <w:right w:val="single" w:sz="4" w:space="0" w:color="auto"/>
            </w:tcBorders>
            <w:shd w:val="clear" w:color="auto" w:fill="auto"/>
            <w:noWrap/>
            <w:vAlign w:val="bottom"/>
            <w:hideMark/>
          </w:tcPr>
          <w:p w14:paraId="7DE3CAFA"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35.0%</w:t>
            </w:r>
          </w:p>
        </w:tc>
      </w:tr>
      <w:tr w:rsidR="006C604A" w:rsidRPr="004E2CEF" w14:paraId="79A29074" w14:textId="77777777" w:rsidTr="000649D7">
        <w:trPr>
          <w:trHeight w:val="300"/>
        </w:trPr>
        <w:tc>
          <w:tcPr>
            <w:tcW w:w="805" w:type="dxa"/>
            <w:vMerge/>
            <w:tcBorders>
              <w:top w:val="single" w:sz="4" w:space="0" w:color="auto"/>
              <w:left w:val="single" w:sz="4" w:space="0" w:color="auto"/>
              <w:bottom w:val="single" w:sz="4" w:space="0" w:color="000000"/>
              <w:right w:val="single" w:sz="4" w:space="0" w:color="auto"/>
            </w:tcBorders>
            <w:vAlign w:val="center"/>
            <w:hideMark/>
          </w:tcPr>
          <w:p w14:paraId="314E0C47"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nil"/>
              <w:right w:val="single" w:sz="4" w:space="0" w:color="auto"/>
            </w:tcBorders>
            <w:shd w:val="clear" w:color="auto" w:fill="auto"/>
            <w:noWrap/>
            <w:vAlign w:val="bottom"/>
            <w:hideMark/>
          </w:tcPr>
          <w:p w14:paraId="1A39DD28"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Suoceri</w:t>
            </w:r>
          </w:p>
        </w:tc>
        <w:tc>
          <w:tcPr>
            <w:tcW w:w="997" w:type="dxa"/>
            <w:tcBorders>
              <w:top w:val="nil"/>
              <w:left w:val="nil"/>
              <w:bottom w:val="nil"/>
              <w:right w:val="single" w:sz="4" w:space="0" w:color="auto"/>
            </w:tcBorders>
            <w:shd w:val="clear" w:color="auto" w:fill="auto"/>
            <w:noWrap/>
            <w:vAlign w:val="bottom"/>
            <w:hideMark/>
          </w:tcPr>
          <w:p w14:paraId="38E60772"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27.0%</w:t>
            </w:r>
          </w:p>
        </w:tc>
        <w:tc>
          <w:tcPr>
            <w:tcW w:w="952" w:type="dxa"/>
            <w:vMerge/>
            <w:tcBorders>
              <w:top w:val="single" w:sz="4" w:space="0" w:color="auto"/>
              <w:left w:val="single" w:sz="4" w:space="0" w:color="auto"/>
              <w:bottom w:val="single" w:sz="4" w:space="0" w:color="000000"/>
              <w:right w:val="single" w:sz="4" w:space="0" w:color="auto"/>
            </w:tcBorders>
            <w:vAlign w:val="center"/>
            <w:hideMark/>
          </w:tcPr>
          <w:p w14:paraId="6BB877EE"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single" w:sz="4" w:space="0" w:color="auto"/>
              <w:right w:val="single" w:sz="4" w:space="0" w:color="auto"/>
            </w:tcBorders>
            <w:shd w:val="clear" w:color="auto" w:fill="auto"/>
            <w:noWrap/>
            <w:vAlign w:val="bottom"/>
            <w:hideMark/>
          </w:tcPr>
          <w:p w14:paraId="1EDDC54C"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Suoceri (</w:t>
            </w:r>
            <w:r w:rsidRPr="004E2CEF">
              <w:rPr>
                <w:rFonts w:asciiTheme="minorHAnsi" w:eastAsia="Times New Roman" w:hAnsiTheme="minorHAnsi" w:cstheme="minorHAnsi"/>
                <w:sz w:val="18"/>
                <w:szCs w:val="18"/>
                <w:lang w:eastAsia="it-CH"/>
              </w:rPr>
              <w:t>come altri parenti per affinità</w:t>
            </w:r>
            <w:r w:rsidRPr="004E2CEF">
              <w:rPr>
                <w:rFonts w:asciiTheme="minorHAnsi" w:eastAsia="Times New Roman" w:hAnsiTheme="minorHAnsi" w:cstheme="minorHAnsi"/>
                <w:sz w:val="20"/>
                <w:szCs w:val="20"/>
                <w:lang w:eastAsia="it-CH"/>
              </w:rPr>
              <w:t>)</w:t>
            </w:r>
          </w:p>
        </w:tc>
        <w:tc>
          <w:tcPr>
            <w:tcW w:w="997" w:type="dxa"/>
            <w:tcBorders>
              <w:top w:val="nil"/>
              <w:left w:val="nil"/>
              <w:bottom w:val="single" w:sz="4" w:space="0" w:color="auto"/>
              <w:right w:val="single" w:sz="4" w:space="0" w:color="auto"/>
            </w:tcBorders>
            <w:shd w:val="clear" w:color="auto" w:fill="auto"/>
            <w:noWrap/>
            <w:vAlign w:val="bottom"/>
            <w:hideMark/>
          </w:tcPr>
          <w:p w14:paraId="3CE6B460"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35.0%</w:t>
            </w:r>
          </w:p>
        </w:tc>
      </w:tr>
      <w:tr w:rsidR="006C604A" w:rsidRPr="004E2CEF" w14:paraId="608FD3AD" w14:textId="77777777" w:rsidTr="000649D7">
        <w:trPr>
          <w:trHeight w:val="300"/>
        </w:trPr>
        <w:tc>
          <w:tcPr>
            <w:tcW w:w="805" w:type="dxa"/>
            <w:vMerge/>
            <w:tcBorders>
              <w:top w:val="single" w:sz="4" w:space="0" w:color="auto"/>
              <w:left w:val="single" w:sz="4" w:space="0" w:color="auto"/>
              <w:bottom w:val="single" w:sz="4" w:space="0" w:color="000000"/>
              <w:right w:val="single" w:sz="4" w:space="0" w:color="auto"/>
            </w:tcBorders>
            <w:vAlign w:val="center"/>
            <w:hideMark/>
          </w:tcPr>
          <w:p w14:paraId="6C8C9A37"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nil"/>
              <w:bottom w:val="single" w:sz="4" w:space="0" w:color="auto"/>
              <w:right w:val="single" w:sz="4" w:space="0" w:color="auto"/>
            </w:tcBorders>
            <w:shd w:val="clear" w:color="auto" w:fill="auto"/>
            <w:noWrap/>
            <w:vAlign w:val="bottom"/>
            <w:hideMark/>
          </w:tcPr>
          <w:p w14:paraId="6905155B"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Fratellastri / sorellastre</w:t>
            </w:r>
          </w:p>
        </w:tc>
        <w:tc>
          <w:tcPr>
            <w:tcW w:w="997" w:type="dxa"/>
            <w:tcBorders>
              <w:top w:val="nil"/>
              <w:left w:val="nil"/>
              <w:bottom w:val="single" w:sz="4" w:space="0" w:color="auto"/>
              <w:right w:val="single" w:sz="4" w:space="0" w:color="auto"/>
            </w:tcBorders>
            <w:shd w:val="clear" w:color="auto" w:fill="auto"/>
            <w:noWrap/>
            <w:vAlign w:val="bottom"/>
            <w:hideMark/>
          </w:tcPr>
          <w:p w14:paraId="03113B20"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27.0%</w:t>
            </w:r>
          </w:p>
        </w:tc>
        <w:tc>
          <w:tcPr>
            <w:tcW w:w="952" w:type="dxa"/>
            <w:tcBorders>
              <w:top w:val="nil"/>
              <w:left w:val="nil"/>
              <w:bottom w:val="single" w:sz="4" w:space="0" w:color="auto"/>
              <w:right w:val="single" w:sz="4" w:space="0" w:color="auto"/>
            </w:tcBorders>
            <w:shd w:val="clear" w:color="000000" w:fill="BDD7EE"/>
            <w:noWrap/>
            <w:vAlign w:val="center"/>
            <w:hideMark/>
          </w:tcPr>
          <w:p w14:paraId="4715DFCA"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2</w:t>
            </w:r>
          </w:p>
        </w:tc>
        <w:tc>
          <w:tcPr>
            <w:tcW w:w="3416" w:type="dxa"/>
            <w:tcBorders>
              <w:top w:val="nil"/>
              <w:left w:val="nil"/>
              <w:bottom w:val="single" w:sz="4" w:space="0" w:color="auto"/>
              <w:right w:val="nil"/>
            </w:tcBorders>
            <w:shd w:val="clear" w:color="auto" w:fill="auto"/>
            <w:noWrap/>
            <w:vAlign w:val="bottom"/>
            <w:hideMark/>
          </w:tcPr>
          <w:p w14:paraId="2D3725D2"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Fratellastri / sorellastre</w:t>
            </w:r>
          </w:p>
        </w:tc>
        <w:tc>
          <w:tcPr>
            <w:tcW w:w="997" w:type="dxa"/>
            <w:tcBorders>
              <w:top w:val="nil"/>
              <w:left w:val="single" w:sz="4" w:space="0" w:color="auto"/>
              <w:bottom w:val="single" w:sz="4" w:space="0" w:color="auto"/>
              <w:right w:val="single" w:sz="4" w:space="0" w:color="auto"/>
            </w:tcBorders>
            <w:shd w:val="clear" w:color="auto" w:fill="auto"/>
            <w:noWrap/>
            <w:vAlign w:val="bottom"/>
            <w:hideMark/>
          </w:tcPr>
          <w:p w14:paraId="37B2C72D"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18.5%</w:t>
            </w:r>
          </w:p>
        </w:tc>
      </w:tr>
      <w:tr w:rsidR="006C604A" w:rsidRPr="004E2CEF" w14:paraId="432FAD35" w14:textId="77777777" w:rsidTr="000649D7">
        <w:trPr>
          <w:trHeight w:val="300"/>
        </w:trPr>
        <w:tc>
          <w:tcPr>
            <w:tcW w:w="805" w:type="dxa"/>
            <w:vMerge w:val="restart"/>
            <w:tcBorders>
              <w:top w:val="nil"/>
              <w:left w:val="single" w:sz="4" w:space="0" w:color="auto"/>
              <w:bottom w:val="single" w:sz="4" w:space="0" w:color="auto"/>
              <w:right w:val="nil"/>
            </w:tcBorders>
            <w:shd w:val="clear" w:color="000000" w:fill="E7E6E6"/>
            <w:noWrap/>
            <w:vAlign w:val="center"/>
            <w:hideMark/>
          </w:tcPr>
          <w:p w14:paraId="08B874E2" w14:textId="77777777" w:rsidR="006C604A" w:rsidRPr="004E2CEF" w:rsidRDefault="006C604A" w:rsidP="000649D7">
            <w:pPr>
              <w:jc w:val="center"/>
              <w:rPr>
                <w:rFonts w:asciiTheme="minorHAnsi" w:eastAsia="Times New Roman" w:hAnsiTheme="minorHAnsi" w:cstheme="minorHAnsi"/>
                <w:b/>
                <w:bCs/>
                <w:color w:val="000000"/>
                <w:sz w:val="20"/>
                <w:szCs w:val="20"/>
                <w:lang w:eastAsia="it-CH"/>
              </w:rPr>
            </w:pPr>
            <w:r w:rsidRPr="004E2CEF">
              <w:rPr>
                <w:rFonts w:asciiTheme="minorHAnsi" w:eastAsia="Times New Roman" w:hAnsiTheme="minorHAnsi" w:cstheme="minorHAnsi"/>
                <w:b/>
                <w:bCs/>
                <w:color w:val="000000"/>
                <w:sz w:val="20"/>
                <w:szCs w:val="20"/>
                <w:lang w:eastAsia="it-CH"/>
              </w:rPr>
              <w:t>Grado 4</w:t>
            </w:r>
          </w:p>
        </w:tc>
        <w:tc>
          <w:tcPr>
            <w:tcW w:w="2255" w:type="dxa"/>
            <w:tcBorders>
              <w:top w:val="nil"/>
              <w:left w:val="single" w:sz="4" w:space="0" w:color="auto"/>
              <w:bottom w:val="nil"/>
              <w:right w:val="single" w:sz="4" w:space="0" w:color="auto"/>
            </w:tcBorders>
            <w:shd w:val="clear" w:color="auto" w:fill="auto"/>
            <w:noWrap/>
            <w:vAlign w:val="bottom"/>
            <w:hideMark/>
          </w:tcPr>
          <w:p w14:paraId="2768BE32"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Parenti di altro grado</w:t>
            </w:r>
          </w:p>
        </w:tc>
        <w:tc>
          <w:tcPr>
            <w:tcW w:w="997" w:type="dxa"/>
            <w:tcBorders>
              <w:top w:val="nil"/>
              <w:left w:val="nil"/>
              <w:bottom w:val="nil"/>
              <w:right w:val="single" w:sz="4" w:space="0" w:color="auto"/>
            </w:tcBorders>
            <w:shd w:val="clear" w:color="auto" w:fill="auto"/>
            <w:noWrap/>
            <w:vAlign w:val="bottom"/>
            <w:hideMark/>
          </w:tcPr>
          <w:p w14:paraId="78555190"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41.0%</w:t>
            </w:r>
          </w:p>
        </w:tc>
        <w:tc>
          <w:tcPr>
            <w:tcW w:w="952" w:type="dxa"/>
            <w:vMerge w:val="restart"/>
            <w:tcBorders>
              <w:top w:val="nil"/>
              <w:left w:val="single" w:sz="4" w:space="0" w:color="auto"/>
              <w:bottom w:val="single" w:sz="4" w:space="0" w:color="auto"/>
              <w:right w:val="single" w:sz="4" w:space="0" w:color="auto"/>
            </w:tcBorders>
            <w:shd w:val="clear" w:color="000000" w:fill="E7E6E6"/>
            <w:noWrap/>
            <w:vAlign w:val="center"/>
            <w:hideMark/>
          </w:tcPr>
          <w:p w14:paraId="7C26F380"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4</w:t>
            </w:r>
          </w:p>
        </w:tc>
        <w:tc>
          <w:tcPr>
            <w:tcW w:w="3416" w:type="dxa"/>
            <w:tcBorders>
              <w:top w:val="nil"/>
              <w:left w:val="nil"/>
              <w:bottom w:val="nil"/>
              <w:right w:val="single" w:sz="4" w:space="0" w:color="auto"/>
            </w:tcBorders>
            <w:shd w:val="clear" w:color="auto" w:fill="auto"/>
            <w:noWrap/>
            <w:vAlign w:val="bottom"/>
            <w:hideMark/>
          </w:tcPr>
          <w:p w14:paraId="7D586ECE"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Parenti di altro grado</w:t>
            </w:r>
          </w:p>
        </w:tc>
        <w:tc>
          <w:tcPr>
            <w:tcW w:w="997" w:type="dxa"/>
            <w:tcBorders>
              <w:top w:val="nil"/>
              <w:left w:val="nil"/>
              <w:bottom w:val="nil"/>
              <w:right w:val="single" w:sz="4" w:space="0" w:color="auto"/>
            </w:tcBorders>
            <w:shd w:val="clear" w:color="auto" w:fill="auto"/>
            <w:noWrap/>
            <w:vAlign w:val="bottom"/>
            <w:hideMark/>
          </w:tcPr>
          <w:p w14:paraId="449FD809"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35.0%</w:t>
            </w:r>
          </w:p>
        </w:tc>
      </w:tr>
      <w:tr w:rsidR="006C604A" w:rsidRPr="004E2CEF" w14:paraId="5263844A" w14:textId="77777777" w:rsidTr="000649D7">
        <w:trPr>
          <w:trHeight w:val="300"/>
        </w:trPr>
        <w:tc>
          <w:tcPr>
            <w:tcW w:w="805" w:type="dxa"/>
            <w:vMerge/>
            <w:tcBorders>
              <w:top w:val="nil"/>
              <w:left w:val="single" w:sz="4" w:space="0" w:color="auto"/>
              <w:bottom w:val="single" w:sz="4" w:space="0" w:color="auto"/>
              <w:right w:val="nil"/>
            </w:tcBorders>
            <w:vAlign w:val="center"/>
            <w:hideMark/>
          </w:tcPr>
          <w:p w14:paraId="17149F3A"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single" w:sz="4" w:space="0" w:color="auto"/>
              <w:bottom w:val="nil"/>
              <w:right w:val="single" w:sz="4" w:space="0" w:color="auto"/>
            </w:tcBorders>
            <w:shd w:val="clear" w:color="auto" w:fill="auto"/>
            <w:noWrap/>
            <w:vAlign w:val="bottom"/>
            <w:hideMark/>
          </w:tcPr>
          <w:p w14:paraId="0D2D26CD"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Parente per affinità</w:t>
            </w:r>
          </w:p>
        </w:tc>
        <w:tc>
          <w:tcPr>
            <w:tcW w:w="997" w:type="dxa"/>
            <w:tcBorders>
              <w:top w:val="nil"/>
              <w:left w:val="nil"/>
              <w:bottom w:val="nil"/>
              <w:right w:val="single" w:sz="4" w:space="0" w:color="auto"/>
            </w:tcBorders>
            <w:shd w:val="clear" w:color="auto" w:fill="auto"/>
            <w:noWrap/>
            <w:vAlign w:val="bottom"/>
            <w:hideMark/>
          </w:tcPr>
          <w:p w14:paraId="183638D4"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41.0%</w:t>
            </w:r>
          </w:p>
        </w:tc>
        <w:tc>
          <w:tcPr>
            <w:tcW w:w="952" w:type="dxa"/>
            <w:vMerge/>
            <w:tcBorders>
              <w:top w:val="nil"/>
              <w:left w:val="single" w:sz="4" w:space="0" w:color="auto"/>
              <w:bottom w:val="single" w:sz="4" w:space="0" w:color="auto"/>
              <w:right w:val="single" w:sz="4" w:space="0" w:color="auto"/>
            </w:tcBorders>
            <w:vAlign w:val="center"/>
            <w:hideMark/>
          </w:tcPr>
          <w:p w14:paraId="732ED2E3"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single" w:sz="4" w:space="0" w:color="auto"/>
            </w:tcBorders>
            <w:shd w:val="clear" w:color="auto" w:fill="auto"/>
            <w:noWrap/>
            <w:vAlign w:val="bottom"/>
            <w:hideMark/>
          </w:tcPr>
          <w:p w14:paraId="665D3F4E"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Altri parenti per affinità</w:t>
            </w:r>
          </w:p>
        </w:tc>
        <w:tc>
          <w:tcPr>
            <w:tcW w:w="997" w:type="dxa"/>
            <w:tcBorders>
              <w:top w:val="nil"/>
              <w:left w:val="nil"/>
              <w:bottom w:val="nil"/>
              <w:right w:val="single" w:sz="4" w:space="0" w:color="auto"/>
            </w:tcBorders>
            <w:shd w:val="clear" w:color="auto" w:fill="auto"/>
            <w:noWrap/>
            <w:vAlign w:val="bottom"/>
            <w:hideMark/>
          </w:tcPr>
          <w:p w14:paraId="22528275"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35.0%</w:t>
            </w:r>
          </w:p>
        </w:tc>
      </w:tr>
      <w:tr w:rsidR="006C604A" w:rsidRPr="004E2CEF" w14:paraId="7EB3544E" w14:textId="77777777" w:rsidTr="000649D7">
        <w:trPr>
          <w:trHeight w:val="300"/>
        </w:trPr>
        <w:tc>
          <w:tcPr>
            <w:tcW w:w="805" w:type="dxa"/>
            <w:vMerge/>
            <w:tcBorders>
              <w:top w:val="nil"/>
              <w:left w:val="single" w:sz="4" w:space="0" w:color="auto"/>
              <w:bottom w:val="single" w:sz="4" w:space="0" w:color="auto"/>
              <w:right w:val="nil"/>
            </w:tcBorders>
            <w:vAlign w:val="center"/>
            <w:hideMark/>
          </w:tcPr>
          <w:p w14:paraId="4ED6F727" w14:textId="77777777" w:rsidR="006C604A" w:rsidRPr="004E2CEF" w:rsidRDefault="006C604A" w:rsidP="000649D7">
            <w:pPr>
              <w:jc w:val="left"/>
              <w:rPr>
                <w:rFonts w:asciiTheme="minorHAnsi" w:eastAsia="Times New Roman" w:hAnsiTheme="minorHAnsi" w:cstheme="minorHAnsi"/>
                <w:b/>
                <w:bCs/>
                <w:color w:val="000000"/>
                <w:sz w:val="20"/>
                <w:szCs w:val="20"/>
                <w:lang w:eastAsia="it-CH"/>
              </w:rPr>
            </w:pPr>
          </w:p>
        </w:tc>
        <w:tc>
          <w:tcPr>
            <w:tcW w:w="2255" w:type="dxa"/>
            <w:tcBorders>
              <w:top w:val="nil"/>
              <w:left w:val="single" w:sz="4" w:space="0" w:color="auto"/>
              <w:bottom w:val="single" w:sz="4" w:space="0" w:color="auto"/>
              <w:right w:val="single" w:sz="4" w:space="0" w:color="auto"/>
            </w:tcBorders>
            <w:shd w:val="clear" w:color="auto" w:fill="auto"/>
            <w:noWrap/>
            <w:vAlign w:val="bottom"/>
            <w:hideMark/>
          </w:tcPr>
          <w:p w14:paraId="27D47F11"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Non parenti</w:t>
            </w:r>
          </w:p>
        </w:tc>
        <w:tc>
          <w:tcPr>
            <w:tcW w:w="997" w:type="dxa"/>
            <w:tcBorders>
              <w:top w:val="nil"/>
              <w:left w:val="nil"/>
              <w:bottom w:val="single" w:sz="4" w:space="0" w:color="auto"/>
              <w:right w:val="single" w:sz="4" w:space="0" w:color="auto"/>
            </w:tcBorders>
            <w:shd w:val="clear" w:color="auto" w:fill="auto"/>
            <w:noWrap/>
            <w:vAlign w:val="bottom"/>
            <w:hideMark/>
          </w:tcPr>
          <w:p w14:paraId="1E1B783C" w14:textId="77777777" w:rsidR="006C604A" w:rsidRPr="004E2CEF" w:rsidRDefault="006C604A" w:rsidP="000649D7">
            <w:pPr>
              <w:jc w:val="righ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41.0%</w:t>
            </w:r>
          </w:p>
        </w:tc>
        <w:tc>
          <w:tcPr>
            <w:tcW w:w="952" w:type="dxa"/>
            <w:vMerge/>
            <w:tcBorders>
              <w:top w:val="nil"/>
              <w:left w:val="single" w:sz="4" w:space="0" w:color="auto"/>
              <w:bottom w:val="single" w:sz="4" w:space="0" w:color="auto"/>
              <w:right w:val="single" w:sz="4" w:space="0" w:color="auto"/>
            </w:tcBorders>
            <w:vAlign w:val="center"/>
            <w:hideMark/>
          </w:tcPr>
          <w:p w14:paraId="1EE04D19"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nil"/>
            </w:tcBorders>
            <w:shd w:val="clear" w:color="auto" w:fill="auto"/>
            <w:noWrap/>
            <w:vAlign w:val="bottom"/>
            <w:hideMark/>
          </w:tcPr>
          <w:p w14:paraId="1DFA6D82"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Non parenti</w:t>
            </w:r>
          </w:p>
        </w:tc>
        <w:tc>
          <w:tcPr>
            <w:tcW w:w="997" w:type="dxa"/>
            <w:tcBorders>
              <w:top w:val="nil"/>
              <w:left w:val="single" w:sz="4" w:space="0" w:color="auto"/>
              <w:bottom w:val="nil"/>
              <w:right w:val="single" w:sz="4" w:space="0" w:color="auto"/>
            </w:tcBorders>
            <w:shd w:val="clear" w:color="auto" w:fill="auto"/>
            <w:noWrap/>
            <w:vAlign w:val="bottom"/>
            <w:hideMark/>
          </w:tcPr>
          <w:p w14:paraId="2B47DB43"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35.0%</w:t>
            </w:r>
          </w:p>
        </w:tc>
      </w:tr>
      <w:tr w:rsidR="006C604A" w:rsidRPr="004E2CEF" w14:paraId="57C60BBF" w14:textId="77777777" w:rsidTr="000649D7">
        <w:trPr>
          <w:trHeight w:val="300"/>
        </w:trPr>
        <w:tc>
          <w:tcPr>
            <w:tcW w:w="805" w:type="dxa"/>
            <w:tcBorders>
              <w:top w:val="nil"/>
              <w:left w:val="single" w:sz="4" w:space="0" w:color="auto"/>
              <w:bottom w:val="nil"/>
              <w:right w:val="nil"/>
            </w:tcBorders>
            <w:shd w:val="clear" w:color="auto" w:fill="auto"/>
            <w:noWrap/>
            <w:vAlign w:val="bottom"/>
            <w:hideMark/>
          </w:tcPr>
          <w:p w14:paraId="40B632AA"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2255" w:type="dxa"/>
            <w:tcBorders>
              <w:top w:val="nil"/>
              <w:left w:val="single" w:sz="4" w:space="0" w:color="auto"/>
              <w:bottom w:val="nil"/>
              <w:right w:val="single" w:sz="4" w:space="0" w:color="auto"/>
            </w:tcBorders>
            <w:shd w:val="clear" w:color="auto" w:fill="auto"/>
            <w:noWrap/>
            <w:vAlign w:val="bottom"/>
            <w:hideMark/>
          </w:tcPr>
          <w:p w14:paraId="28C28730"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97" w:type="dxa"/>
            <w:tcBorders>
              <w:top w:val="nil"/>
              <w:left w:val="nil"/>
              <w:bottom w:val="nil"/>
              <w:right w:val="single" w:sz="4" w:space="0" w:color="auto"/>
            </w:tcBorders>
            <w:shd w:val="clear" w:color="auto" w:fill="auto"/>
            <w:noWrap/>
            <w:vAlign w:val="bottom"/>
            <w:hideMark/>
          </w:tcPr>
          <w:p w14:paraId="49C917B3"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52" w:type="dxa"/>
            <w:vMerge w:val="restart"/>
            <w:tcBorders>
              <w:top w:val="nil"/>
              <w:left w:val="single" w:sz="4" w:space="0" w:color="auto"/>
              <w:bottom w:val="single" w:sz="4" w:space="0" w:color="000000"/>
              <w:right w:val="single" w:sz="4" w:space="0" w:color="auto"/>
            </w:tcBorders>
            <w:shd w:val="clear" w:color="000000" w:fill="C6E0B4"/>
            <w:noWrap/>
            <w:vAlign w:val="center"/>
            <w:hideMark/>
          </w:tcPr>
          <w:p w14:paraId="429F1102"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1</w:t>
            </w:r>
          </w:p>
        </w:tc>
        <w:tc>
          <w:tcPr>
            <w:tcW w:w="3416" w:type="dxa"/>
            <w:tcBorders>
              <w:top w:val="single" w:sz="4" w:space="0" w:color="auto"/>
              <w:left w:val="nil"/>
              <w:bottom w:val="nil"/>
              <w:right w:val="single" w:sz="4" w:space="0" w:color="auto"/>
            </w:tcBorders>
            <w:shd w:val="clear" w:color="auto" w:fill="auto"/>
            <w:noWrap/>
            <w:vAlign w:val="bottom"/>
            <w:hideMark/>
          </w:tcPr>
          <w:p w14:paraId="6B5C518A"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 xml:space="preserve">Affiliati e affidatari </w:t>
            </w:r>
          </w:p>
        </w:tc>
        <w:tc>
          <w:tcPr>
            <w:tcW w:w="997" w:type="dxa"/>
            <w:tcBorders>
              <w:top w:val="single" w:sz="4" w:space="0" w:color="auto"/>
              <w:left w:val="nil"/>
              <w:bottom w:val="nil"/>
              <w:right w:val="single" w:sz="4" w:space="0" w:color="auto"/>
            </w:tcBorders>
            <w:shd w:val="clear" w:color="auto" w:fill="auto"/>
            <w:noWrap/>
            <w:vAlign w:val="bottom"/>
            <w:hideMark/>
          </w:tcPr>
          <w:p w14:paraId="4FB116D7"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15.5%</w:t>
            </w:r>
          </w:p>
        </w:tc>
      </w:tr>
      <w:tr w:rsidR="006C604A" w:rsidRPr="004E2CEF" w14:paraId="7BAD568F" w14:textId="77777777" w:rsidTr="000649D7">
        <w:trPr>
          <w:trHeight w:val="300"/>
        </w:trPr>
        <w:tc>
          <w:tcPr>
            <w:tcW w:w="805" w:type="dxa"/>
            <w:tcBorders>
              <w:top w:val="nil"/>
              <w:left w:val="single" w:sz="4" w:space="0" w:color="auto"/>
              <w:bottom w:val="nil"/>
              <w:right w:val="nil"/>
            </w:tcBorders>
            <w:shd w:val="clear" w:color="auto" w:fill="auto"/>
            <w:noWrap/>
            <w:vAlign w:val="bottom"/>
            <w:hideMark/>
          </w:tcPr>
          <w:p w14:paraId="63BD8FD4"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2255" w:type="dxa"/>
            <w:tcBorders>
              <w:top w:val="nil"/>
              <w:left w:val="single" w:sz="4" w:space="0" w:color="auto"/>
              <w:bottom w:val="nil"/>
              <w:right w:val="single" w:sz="4" w:space="0" w:color="auto"/>
            </w:tcBorders>
            <w:shd w:val="clear" w:color="auto" w:fill="auto"/>
            <w:noWrap/>
            <w:vAlign w:val="bottom"/>
            <w:hideMark/>
          </w:tcPr>
          <w:p w14:paraId="7A439200"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97" w:type="dxa"/>
            <w:tcBorders>
              <w:top w:val="nil"/>
              <w:left w:val="nil"/>
              <w:bottom w:val="nil"/>
              <w:right w:val="single" w:sz="4" w:space="0" w:color="auto"/>
            </w:tcBorders>
            <w:shd w:val="clear" w:color="auto" w:fill="auto"/>
            <w:noWrap/>
            <w:vAlign w:val="bottom"/>
            <w:hideMark/>
          </w:tcPr>
          <w:p w14:paraId="0D450FFA"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52" w:type="dxa"/>
            <w:vMerge/>
            <w:tcBorders>
              <w:top w:val="nil"/>
              <w:left w:val="single" w:sz="4" w:space="0" w:color="auto"/>
              <w:bottom w:val="single" w:sz="4" w:space="0" w:color="000000"/>
              <w:right w:val="single" w:sz="4" w:space="0" w:color="auto"/>
            </w:tcBorders>
            <w:vAlign w:val="center"/>
            <w:hideMark/>
          </w:tcPr>
          <w:p w14:paraId="2D82949B"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nil"/>
              <w:right w:val="single" w:sz="4" w:space="0" w:color="auto"/>
            </w:tcBorders>
            <w:shd w:val="clear" w:color="auto" w:fill="auto"/>
            <w:noWrap/>
            <w:vAlign w:val="bottom"/>
            <w:hideMark/>
          </w:tcPr>
          <w:p w14:paraId="058BCD49"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Partner consensuale</w:t>
            </w:r>
          </w:p>
        </w:tc>
        <w:tc>
          <w:tcPr>
            <w:tcW w:w="997" w:type="dxa"/>
            <w:tcBorders>
              <w:top w:val="nil"/>
              <w:left w:val="nil"/>
              <w:bottom w:val="nil"/>
              <w:right w:val="single" w:sz="4" w:space="0" w:color="auto"/>
            </w:tcBorders>
            <w:shd w:val="clear" w:color="auto" w:fill="auto"/>
            <w:noWrap/>
            <w:vAlign w:val="bottom"/>
            <w:hideMark/>
          </w:tcPr>
          <w:p w14:paraId="5F4F2E3A"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15.5%</w:t>
            </w:r>
          </w:p>
        </w:tc>
      </w:tr>
      <w:tr w:rsidR="006C604A" w:rsidRPr="004E2CEF" w14:paraId="40C6E134" w14:textId="77777777" w:rsidTr="000649D7">
        <w:trPr>
          <w:trHeight w:val="300"/>
        </w:trPr>
        <w:tc>
          <w:tcPr>
            <w:tcW w:w="805" w:type="dxa"/>
            <w:tcBorders>
              <w:top w:val="nil"/>
              <w:left w:val="single" w:sz="4" w:space="0" w:color="auto"/>
              <w:bottom w:val="nil"/>
              <w:right w:val="nil"/>
            </w:tcBorders>
            <w:shd w:val="clear" w:color="auto" w:fill="auto"/>
            <w:noWrap/>
            <w:vAlign w:val="bottom"/>
            <w:hideMark/>
          </w:tcPr>
          <w:p w14:paraId="43DEB6F1"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2255" w:type="dxa"/>
            <w:tcBorders>
              <w:top w:val="nil"/>
              <w:left w:val="single" w:sz="4" w:space="0" w:color="auto"/>
              <w:bottom w:val="nil"/>
              <w:right w:val="single" w:sz="4" w:space="0" w:color="auto"/>
            </w:tcBorders>
            <w:shd w:val="clear" w:color="auto" w:fill="auto"/>
            <w:noWrap/>
            <w:vAlign w:val="bottom"/>
            <w:hideMark/>
          </w:tcPr>
          <w:p w14:paraId="521D134B"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97" w:type="dxa"/>
            <w:tcBorders>
              <w:top w:val="nil"/>
              <w:left w:val="nil"/>
              <w:bottom w:val="nil"/>
              <w:right w:val="single" w:sz="4" w:space="0" w:color="auto"/>
            </w:tcBorders>
            <w:shd w:val="clear" w:color="auto" w:fill="auto"/>
            <w:noWrap/>
            <w:vAlign w:val="bottom"/>
            <w:hideMark/>
          </w:tcPr>
          <w:p w14:paraId="4079F29F"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52" w:type="dxa"/>
            <w:vMerge/>
            <w:tcBorders>
              <w:top w:val="nil"/>
              <w:left w:val="single" w:sz="4" w:space="0" w:color="auto"/>
              <w:bottom w:val="single" w:sz="4" w:space="0" w:color="000000"/>
              <w:right w:val="single" w:sz="4" w:space="0" w:color="auto"/>
            </w:tcBorders>
            <w:vAlign w:val="center"/>
            <w:hideMark/>
          </w:tcPr>
          <w:p w14:paraId="215D9774" w14:textId="77777777" w:rsidR="006C604A" w:rsidRPr="004E2CEF" w:rsidRDefault="006C604A" w:rsidP="000649D7">
            <w:pPr>
              <w:jc w:val="left"/>
              <w:rPr>
                <w:rFonts w:asciiTheme="minorHAnsi" w:eastAsia="Times New Roman" w:hAnsiTheme="minorHAnsi" w:cstheme="minorHAnsi"/>
                <w:b/>
                <w:bCs/>
                <w:sz w:val="20"/>
                <w:szCs w:val="20"/>
                <w:lang w:eastAsia="it-CH"/>
              </w:rPr>
            </w:pPr>
          </w:p>
        </w:tc>
        <w:tc>
          <w:tcPr>
            <w:tcW w:w="3416" w:type="dxa"/>
            <w:tcBorders>
              <w:top w:val="nil"/>
              <w:left w:val="nil"/>
              <w:bottom w:val="single" w:sz="4" w:space="0" w:color="auto"/>
              <w:right w:val="single" w:sz="4" w:space="0" w:color="auto"/>
            </w:tcBorders>
            <w:shd w:val="clear" w:color="auto" w:fill="auto"/>
            <w:noWrap/>
            <w:vAlign w:val="bottom"/>
            <w:hideMark/>
          </w:tcPr>
          <w:p w14:paraId="1E8800E1"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Figli del partner consensuale</w:t>
            </w:r>
          </w:p>
        </w:tc>
        <w:tc>
          <w:tcPr>
            <w:tcW w:w="997" w:type="dxa"/>
            <w:tcBorders>
              <w:top w:val="nil"/>
              <w:left w:val="nil"/>
              <w:bottom w:val="single" w:sz="4" w:space="0" w:color="auto"/>
              <w:right w:val="single" w:sz="4" w:space="0" w:color="auto"/>
            </w:tcBorders>
            <w:shd w:val="clear" w:color="auto" w:fill="auto"/>
            <w:noWrap/>
            <w:vAlign w:val="bottom"/>
            <w:hideMark/>
          </w:tcPr>
          <w:p w14:paraId="62967301"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15.5%</w:t>
            </w:r>
          </w:p>
        </w:tc>
      </w:tr>
      <w:tr w:rsidR="006C604A" w:rsidRPr="004E2CEF" w14:paraId="0A83C8C6" w14:textId="77777777" w:rsidTr="000649D7">
        <w:trPr>
          <w:trHeight w:val="300"/>
        </w:trPr>
        <w:tc>
          <w:tcPr>
            <w:tcW w:w="805" w:type="dxa"/>
            <w:tcBorders>
              <w:top w:val="nil"/>
              <w:left w:val="single" w:sz="4" w:space="0" w:color="auto"/>
              <w:bottom w:val="single" w:sz="4" w:space="0" w:color="auto"/>
              <w:right w:val="nil"/>
            </w:tcBorders>
            <w:shd w:val="clear" w:color="auto" w:fill="auto"/>
            <w:noWrap/>
            <w:vAlign w:val="bottom"/>
            <w:hideMark/>
          </w:tcPr>
          <w:p w14:paraId="28BA5AB0"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2255" w:type="dxa"/>
            <w:tcBorders>
              <w:top w:val="nil"/>
              <w:left w:val="single" w:sz="4" w:space="0" w:color="auto"/>
              <w:bottom w:val="single" w:sz="4" w:space="0" w:color="auto"/>
              <w:right w:val="single" w:sz="4" w:space="0" w:color="auto"/>
            </w:tcBorders>
            <w:shd w:val="clear" w:color="auto" w:fill="auto"/>
            <w:noWrap/>
            <w:vAlign w:val="bottom"/>
            <w:hideMark/>
          </w:tcPr>
          <w:p w14:paraId="1035E0C4"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97" w:type="dxa"/>
            <w:tcBorders>
              <w:top w:val="nil"/>
              <w:left w:val="nil"/>
              <w:bottom w:val="single" w:sz="4" w:space="0" w:color="auto"/>
              <w:right w:val="single" w:sz="4" w:space="0" w:color="auto"/>
            </w:tcBorders>
            <w:shd w:val="clear" w:color="auto" w:fill="auto"/>
            <w:noWrap/>
            <w:vAlign w:val="bottom"/>
            <w:hideMark/>
          </w:tcPr>
          <w:p w14:paraId="7DFC75F9" w14:textId="77777777" w:rsidR="006C604A" w:rsidRPr="004E2CEF" w:rsidRDefault="006C604A" w:rsidP="000649D7">
            <w:pPr>
              <w:jc w:val="left"/>
              <w:rPr>
                <w:rFonts w:asciiTheme="minorHAnsi" w:eastAsia="Times New Roman" w:hAnsiTheme="minorHAnsi" w:cstheme="minorHAnsi"/>
                <w:color w:val="000000"/>
                <w:sz w:val="20"/>
                <w:szCs w:val="20"/>
                <w:lang w:eastAsia="it-CH"/>
              </w:rPr>
            </w:pPr>
            <w:r w:rsidRPr="004E2CEF">
              <w:rPr>
                <w:rFonts w:asciiTheme="minorHAnsi" w:eastAsia="Times New Roman" w:hAnsiTheme="minorHAnsi" w:cstheme="minorHAnsi"/>
                <w:color w:val="000000"/>
                <w:sz w:val="20"/>
                <w:szCs w:val="20"/>
                <w:lang w:eastAsia="it-CH"/>
              </w:rPr>
              <w:t> </w:t>
            </w:r>
          </w:p>
        </w:tc>
        <w:tc>
          <w:tcPr>
            <w:tcW w:w="952" w:type="dxa"/>
            <w:tcBorders>
              <w:top w:val="nil"/>
              <w:left w:val="nil"/>
              <w:bottom w:val="single" w:sz="4" w:space="0" w:color="auto"/>
              <w:right w:val="single" w:sz="4" w:space="0" w:color="auto"/>
            </w:tcBorders>
            <w:shd w:val="clear" w:color="000000" w:fill="BDD7EE"/>
            <w:noWrap/>
            <w:vAlign w:val="center"/>
            <w:hideMark/>
          </w:tcPr>
          <w:p w14:paraId="5946C931" w14:textId="77777777" w:rsidR="006C604A" w:rsidRPr="004E2CEF" w:rsidRDefault="006C604A" w:rsidP="000649D7">
            <w:pPr>
              <w:jc w:val="center"/>
              <w:rPr>
                <w:rFonts w:asciiTheme="minorHAnsi" w:eastAsia="Times New Roman" w:hAnsiTheme="minorHAnsi" w:cstheme="minorHAnsi"/>
                <w:b/>
                <w:bCs/>
                <w:sz w:val="20"/>
                <w:szCs w:val="20"/>
                <w:lang w:eastAsia="it-CH"/>
              </w:rPr>
            </w:pPr>
            <w:r w:rsidRPr="004E2CEF">
              <w:rPr>
                <w:rFonts w:asciiTheme="minorHAnsi" w:eastAsia="Times New Roman" w:hAnsiTheme="minorHAnsi" w:cstheme="minorHAnsi"/>
                <w:b/>
                <w:bCs/>
                <w:sz w:val="20"/>
                <w:szCs w:val="20"/>
                <w:lang w:eastAsia="it-CH"/>
              </w:rPr>
              <w:t>Grado 2</w:t>
            </w:r>
          </w:p>
        </w:tc>
        <w:tc>
          <w:tcPr>
            <w:tcW w:w="3416" w:type="dxa"/>
            <w:tcBorders>
              <w:top w:val="nil"/>
              <w:left w:val="nil"/>
              <w:bottom w:val="single" w:sz="4" w:space="0" w:color="auto"/>
              <w:right w:val="nil"/>
            </w:tcBorders>
            <w:shd w:val="clear" w:color="auto" w:fill="auto"/>
            <w:noWrap/>
            <w:vAlign w:val="bottom"/>
            <w:hideMark/>
          </w:tcPr>
          <w:p w14:paraId="0BA140D5" w14:textId="77777777" w:rsidR="006C604A" w:rsidRPr="004E2CEF" w:rsidRDefault="006C604A" w:rsidP="000649D7">
            <w:pPr>
              <w:jc w:val="lef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Abiatici del partner consensuale</w:t>
            </w:r>
          </w:p>
        </w:tc>
        <w:tc>
          <w:tcPr>
            <w:tcW w:w="997" w:type="dxa"/>
            <w:tcBorders>
              <w:top w:val="nil"/>
              <w:left w:val="single" w:sz="4" w:space="0" w:color="auto"/>
              <w:bottom w:val="single" w:sz="4" w:space="0" w:color="auto"/>
              <w:right w:val="single" w:sz="4" w:space="0" w:color="auto"/>
            </w:tcBorders>
            <w:shd w:val="clear" w:color="auto" w:fill="auto"/>
            <w:noWrap/>
            <w:vAlign w:val="bottom"/>
            <w:hideMark/>
          </w:tcPr>
          <w:p w14:paraId="4440F1A9" w14:textId="77777777" w:rsidR="006C604A" w:rsidRPr="004E2CEF" w:rsidRDefault="006C604A" w:rsidP="000649D7">
            <w:pPr>
              <w:jc w:val="right"/>
              <w:rPr>
                <w:rFonts w:asciiTheme="minorHAnsi" w:eastAsia="Times New Roman" w:hAnsiTheme="minorHAnsi" w:cstheme="minorHAnsi"/>
                <w:sz w:val="20"/>
                <w:szCs w:val="20"/>
                <w:lang w:eastAsia="it-CH"/>
              </w:rPr>
            </w:pPr>
            <w:r w:rsidRPr="004E2CEF">
              <w:rPr>
                <w:rFonts w:asciiTheme="minorHAnsi" w:eastAsia="Times New Roman" w:hAnsiTheme="minorHAnsi" w:cstheme="minorHAnsi"/>
                <w:sz w:val="20"/>
                <w:szCs w:val="20"/>
                <w:lang w:eastAsia="it-CH"/>
              </w:rPr>
              <w:t>18.5%</w:t>
            </w:r>
          </w:p>
        </w:tc>
      </w:tr>
    </w:tbl>
    <w:p w14:paraId="3D48E50C" w14:textId="77777777" w:rsidR="005813EF" w:rsidRDefault="005813EF" w:rsidP="006C604A">
      <w:pPr>
        <w:rPr>
          <w:i/>
          <w:sz w:val="24"/>
          <w:szCs w:val="24"/>
          <w:u w:val="single"/>
        </w:rPr>
      </w:pPr>
    </w:p>
    <w:p w14:paraId="41339323" w14:textId="7EA5E4D6" w:rsidR="006C604A" w:rsidRPr="004E2CEF" w:rsidRDefault="006C604A" w:rsidP="006C604A">
      <w:pPr>
        <w:rPr>
          <w:i/>
          <w:sz w:val="24"/>
          <w:szCs w:val="24"/>
          <w:u w:val="single"/>
        </w:rPr>
      </w:pPr>
      <w:r w:rsidRPr="004E2CEF">
        <w:rPr>
          <w:i/>
          <w:sz w:val="24"/>
          <w:szCs w:val="24"/>
          <w:u w:val="single"/>
        </w:rPr>
        <w:t>Grado 1 e aliquota del 15.5%</w:t>
      </w:r>
    </w:p>
    <w:p w14:paraId="72A08C4A" w14:textId="77777777" w:rsidR="006C604A" w:rsidRPr="004E2CEF" w:rsidRDefault="006C604A" w:rsidP="006C604A">
      <w:pPr>
        <w:rPr>
          <w:sz w:val="24"/>
          <w:szCs w:val="24"/>
          <w:u w:val="single"/>
        </w:rPr>
      </w:pPr>
    </w:p>
    <w:p w14:paraId="1432E646" w14:textId="77777777" w:rsidR="006C604A" w:rsidRPr="004E2CEF" w:rsidRDefault="006C604A" w:rsidP="006C604A">
      <w:pPr>
        <w:rPr>
          <w:sz w:val="24"/>
          <w:szCs w:val="24"/>
        </w:rPr>
      </w:pPr>
      <w:r w:rsidRPr="004E2CEF">
        <w:rPr>
          <w:sz w:val="24"/>
          <w:szCs w:val="24"/>
        </w:rPr>
        <w:t xml:space="preserve">Il Grado 1 di parentela, vale a dire il grado che include i legami di parentela imponibili considerati come più stretti, è stato notevolmente ampliato. In questa categoria sono stati aggiunti - oltre ai già presenti fratelli (consanguinei, germani e uterini) e figliastri - i figli di figliastri, i partner consensuali ai sensi della LT, i figli del proprio partner consensuale (in linea con la categoria dei figliastri), nonché gli affiliati e gli affidatari ai sensi delle definizioni poste dalla LT. </w:t>
      </w:r>
    </w:p>
    <w:p w14:paraId="7FB8DAC6" w14:textId="77777777" w:rsidR="006C604A" w:rsidRPr="004E2CEF" w:rsidRDefault="006C604A" w:rsidP="006C604A">
      <w:pPr>
        <w:rPr>
          <w:sz w:val="24"/>
          <w:szCs w:val="24"/>
        </w:rPr>
      </w:pPr>
    </w:p>
    <w:p w14:paraId="71ADEBD7" w14:textId="77777777" w:rsidR="006C604A" w:rsidRPr="004E2CEF" w:rsidRDefault="006C604A" w:rsidP="006C604A">
      <w:pPr>
        <w:rPr>
          <w:i/>
          <w:sz w:val="24"/>
          <w:szCs w:val="24"/>
          <w:u w:val="single"/>
        </w:rPr>
      </w:pPr>
      <w:r w:rsidRPr="004E2CEF">
        <w:rPr>
          <w:i/>
          <w:sz w:val="24"/>
          <w:szCs w:val="24"/>
          <w:u w:val="single"/>
        </w:rPr>
        <w:t>Grado 2 e aliquota del 18.5%</w:t>
      </w:r>
    </w:p>
    <w:p w14:paraId="383D9882" w14:textId="77777777" w:rsidR="006C604A" w:rsidRPr="004E2CEF" w:rsidRDefault="006C604A" w:rsidP="006C604A">
      <w:pPr>
        <w:rPr>
          <w:sz w:val="24"/>
          <w:szCs w:val="24"/>
          <w:u w:val="single"/>
        </w:rPr>
      </w:pPr>
    </w:p>
    <w:p w14:paraId="2E108161" w14:textId="77777777" w:rsidR="006C604A" w:rsidRPr="004E2CEF" w:rsidRDefault="006C604A" w:rsidP="006C604A">
      <w:pPr>
        <w:rPr>
          <w:sz w:val="24"/>
          <w:szCs w:val="24"/>
        </w:rPr>
      </w:pPr>
      <w:r w:rsidRPr="004E2CEF">
        <w:rPr>
          <w:sz w:val="24"/>
          <w:szCs w:val="24"/>
        </w:rPr>
        <w:t>Il grado 2 è stato leggermente ampliato e comprende ora anche legami di parentela che antecedentemente erano inclusi nel grado 3 o 4, in particolare i fratellastri e le sorellastre (che ai sensi della LT non hanno legami consanguineità), nonché i nipoti affini (in aggiunta ai consanguinei). In questa categoria è stato inoltre inserito il nuovo grado parentale dei nipoti in linea diretta (abiatici) del partner consensuale.</w:t>
      </w:r>
    </w:p>
    <w:p w14:paraId="3411DA42" w14:textId="374FF148" w:rsidR="007D14DF" w:rsidRDefault="007D14DF" w:rsidP="006C604A">
      <w:pPr>
        <w:rPr>
          <w:sz w:val="24"/>
          <w:szCs w:val="24"/>
        </w:rPr>
      </w:pPr>
    </w:p>
    <w:p w14:paraId="10E81C8B" w14:textId="24E836F6" w:rsidR="00737825" w:rsidRDefault="00737825" w:rsidP="006C604A">
      <w:pPr>
        <w:rPr>
          <w:sz w:val="24"/>
          <w:szCs w:val="24"/>
        </w:rPr>
      </w:pPr>
    </w:p>
    <w:p w14:paraId="1ABF5548" w14:textId="60C6EB71" w:rsidR="006C604A" w:rsidRPr="004E2CEF" w:rsidRDefault="006C604A" w:rsidP="006C604A">
      <w:pPr>
        <w:rPr>
          <w:i/>
          <w:sz w:val="24"/>
          <w:szCs w:val="24"/>
          <w:u w:val="single"/>
        </w:rPr>
      </w:pPr>
      <w:r w:rsidRPr="004E2CEF">
        <w:rPr>
          <w:i/>
          <w:sz w:val="24"/>
          <w:szCs w:val="24"/>
          <w:u w:val="single"/>
        </w:rPr>
        <w:t>Grado 3 e aliquota del 27%</w:t>
      </w:r>
    </w:p>
    <w:p w14:paraId="3937654D" w14:textId="77777777" w:rsidR="006C604A" w:rsidRPr="004E2CEF" w:rsidRDefault="006C604A" w:rsidP="006C604A">
      <w:pPr>
        <w:rPr>
          <w:sz w:val="24"/>
          <w:szCs w:val="24"/>
        </w:rPr>
      </w:pPr>
    </w:p>
    <w:p w14:paraId="1D361304" w14:textId="77777777" w:rsidR="006C604A" w:rsidRPr="004E2CEF" w:rsidRDefault="006C604A" w:rsidP="006C604A">
      <w:pPr>
        <w:rPr>
          <w:sz w:val="24"/>
          <w:szCs w:val="24"/>
        </w:rPr>
      </w:pPr>
      <w:r w:rsidRPr="004E2CEF">
        <w:rPr>
          <w:sz w:val="24"/>
          <w:szCs w:val="24"/>
        </w:rPr>
        <w:t>Il grado 3 di parentela include ora tutta una serie di parenti consanguinei o affini che includono generalmente legami meno stretti e/o che, nella pratica, sono raramente soggetti beneficiari di donazioni o di devoluzioni successorie. Ci riferiamo in particolar modo agli zii, ai pronipoti, ai primi cugini, al genero e alla nuora, nonché alla matrigna e patrigno.</w:t>
      </w:r>
    </w:p>
    <w:p w14:paraId="3E844457" w14:textId="77777777" w:rsidR="006C604A" w:rsidRPr="004E2CEF" w:rsidRDefault="006C604A" w:rsidP="006C604A">
      <w:pPr>
        <w:rPr>
          <w:sz w:val="24"/>
          <w:szCs w:val="24"/>
        </w:rPr>
      </w:pPr>
    </w:p>
    <w:p w14:paraId="733E86CF" w14:textId="77777777" w:rsidR="006C604A" w:rsidRPr="004E2CEF" w:rsidRDefault="006C604A" w:rsidP="006C604A">
      <w:pPr>
        <w:rPr>
          <w:i/>
          <w:sz w:val="24"/>
          <w:szCs w:val="24"/>
          <w:u w:val="single"/>
        </w:rPr>
      </w:pPr>
      <w:r w:rsidRPr="004E2CEF">
        <w:rPr>
          <w:i/>
          <w:sz w:val="24"/>
          <w:szCs w:val="24"/>
          <w:u w:val="single"/>
        </w:rPr>
        <w:t>Grado 4 e aliquota del 35%</w:t>
      </w:r>
    </w:p>
    <w:p w14:paraId="40C69ECC" w14:textId="77777777" w:rsidR="006C604A" w:rsidRPr="004E2CEF" w:rsidRDefault="006C604A" w:rsidP="006C604A">
      <w:pPr>
        <w:rPr>
          <w:i/>
          <w:sz w:val="24"/>
          <w:szCs w:val="24"/>
          <w:u w:val="single"/>
        </w:rPr>
      </w:pPr>
    </w:p>
    <w:p w14:paraId="1EC6CBA8" w14:textId="77777777" w:rsidR="006C604A" w:rsidRPr="004E2CEF" w:rsidRDefault="006C604A" w:rsidP="006C604A">
      <w:pPr>
        <w:rPr>
          <w:sz w:val="24"/>
          <w:szCs w:val="24"/>
        </w:rPr>
      </w:pPr>
      <w:r w:rsidRPr="004E2CEF">
        <w:rPr>
          <w:sz w:val="24"/>
          <w:szCs w:val="24"/>
        </w:rPr>
        <w:t>Il grado 4 include infine tutti gli altri parenti imponibili (consanguinei o per affinità) che non sono contemplati nelle precedenti categorie, nonché i terzi non parenti. Abbiamo già avuto modo di precisare che il grado di altri parenti per affinità è stato ridimensionato, in quanto esso non comprende ormai più tutti quei parenti affini che sono stati inclusi nei due gradi precedenti (in particolare nipoti, zii, pronipoti). I gradi di parentela riferiti ai prozii, suoceri e ai cognati rientrano nella nuova classificazione, in quanto casistiche estremamente rare, nella definizione generale di parenti di altro grado o di altri parenti per affinità imposti all’aliquota massima del 35% e non costituiscono più dei gradi di parentela a sé stanti come nella legislazione in vigore al momento. Per finire, la categoria dei non parenti si è ridotta, non prevedendo più i partner consensuali e i loro discendenti fino al grado di nipoti.</w:t>
      </w:r>
    </w:p>
    <w:p w14:paraId="4B7FB3D0" w14:textId="77777777" w:rsidR="006C604A" w:rsidRPr="004E2CEF" w:rsidRDefault="006C604A" w:rsidP="006C604A">
      <w:pPr>
        <w:rPr>
          <w:sz w:val="24"/>
          <w:szCs w:val="24"/>
          <w:u w:val="single"/>
        </w:rPr>
      </w:pPr>
    </w:p>
    <w:p w14:paraId="7D220CD9" w14:textId="77777777" w:rsidR="006C604A" w:rsidRPr="004E2CEF" w:rsidRDefault="006C604A" w:rsidP="00100005">
      <w:pPr>
        <w:pStyle w:val="CAPITOLO3"/>
      </w:pPr>
      <w:bookmarkStart w:id="19" w:name="_Toc139991886"/>
      <w:r w:rsidRPr="004E2CEF">
        <w:t>Casi particolari di esenzione</w:t>
      </w:r>
      <w:bookmarkEnd w:id="19"/>
    </w:p>
    <w:p w14:paraId="1E53DC51" w14:textId="77777777" w:rsidR="006C604A" w:rsidRPr="004E2CEF" w:rsidRDefault="006C604A" w:rsidP="006C604A">
      <w:pPr>
        <w:rPr>
          <w:sz w:val="24"/>
          <w:szCs w:val="24"/>
          <w:u w:val="single"/>
        </w:rPr>
      </w:pPr>
    </w:p>
    <w:p w14:paraId="1237D018" w14:textId="77777777" w:rsidR="006C604A" w:rsidRPr="004E2CEF" w:rsidRDefault="006C604A" w:rsidP="006C604A">
      <w:pPr>
        <w:pStyle w:val="Paragrafoelenco"/>
        <w:numPr>
          <w:ilvl w:val="0"/>
          <w:numId w:val="23"/>
        </w:numPr>
        <w:tabs>
          <w:tab w:val="left" w:pos="540"/>
        </w:tabs>
        <w:rPr>
          <w:sz w:val="24"/>
          <w:szCs w:val="24"/>
          <w:u w:val="single"/>
        </w:rPr>
      </w:pPr>
      <w:r w:rsidRPr="004E2CEF">
        <w:rPr>
          <w:sz w:val="24"/>
          <w:szCs w:val="24"/>
          <w:u w:val="single"/>
        </w:rPr>
        <w:t>Introduzione generalizzata di una quota esente</w:t>
      </w:r>
    </w:p>
    <w:p w14:paraId="0236D2D5" w14:textId="77777777" w:rsidR="006C604A" w:rsidRPr="004E2CEF" w:rsidRDefault="006C604A" w:rsidP="006C604A">
      <w:pPr>
        <w:rPr>
          <w:i/>
          <w:sz w:val="24"/>
          <w:szCs w:val="24"/>
          <w:u w:val="single"/>
        </w:rPr>
      </w:pPr>
    </w:p>
    <w:p w14:paraId="0C42EC01" w14:textId="77777777" w:rsidR="006C604A" w:rsidRPr="004E2CEF" w:rsidRDefault="006C604A" w:rsidP="006C604A">
      <w:pPr>
        <w:rPr>
          <w:sz w:val="24"/>
          <w:szCs w:val="24"/>
        </w:rPr>
      </w:pPr>
      <w:r w:rsidRPr="004E2CEF">
        <w:rPr>
          <w:sz w:val="24"/>
          <w:szCs w:val="24"/>
        </w:rPr>
        <w:t>L’attuale legislazione in materia di imposte di successione e donazione prevede al suo art. 155 LT due casi di esenzione particolari correlati agli importi devoluti:</w:t>
      </w:r>
    </w:p>
    <w:p w14:paraId="7E64A5CC" w14:textId="77777777" w:rsidR="006C604A" w:rsidRPr="004E2CEF" w:rsidRDefault="006C604A" w:rsidP="006C604A">
      <w:pPr>
        <w:rPr>
          <w:sz w:val="24"/>
          <w:szCs w:val="24"/>
        </w:rPr>
      </w:pPr>
    </w:p>
    <w:p w14:paraId="76398639" w14:textId="212A163A" w:rsidR="006C604A" w:rsidRPr="004E2CEF" w:rsidRDefault="006C604A" w:rsidP="006C604A">
      <w:pPr>
        <w:pStyle w:val="Paragrafoelenco"/>
        <w:numPr>
          <w:ilvl w:val="0"/>
          <w:numId w:val="19"/>
        </w:numPr>
        <w:tabs>
          <w:tab w:val="left" w:pos="540"/>
        </w:tabs>
        <w:rPr>
          <w:sz w:val="24"/>
          <w:szCs w:val="24"/>
        </w:rPr>
      </w:pPr>
      <w:r w:rsidRPr="004E2CEF">
        <w:rPr>
          <w:sz w:val="24"/>
          <w:szCs w:val="24"/>
        </w:rPr>
        <w:t>i doni usuali e di beneficenza, nonché i regali occa</w:t>
      </w:r>
      <w:r w:rsidR="0017142E">
        <w:rPr>
          <w:sz w:val="24"/>
          <w:szCs w:val="24"/>
        </w:rPr>
        <w:t>sionali, fino a un importo</w:t>
      </w:r>
      <w:r w:rsidRPr="004E2CEF">
        <w:rPr>
          <w:sz w:val="24"/>
          <w:szCs w:val="24"/>
        </w:rPr>
        <w:t xml:space="preserve"> di CHF 10'000.-- all’anno per donatario;</w:t>
      </w:r>
    </w:p>
    <w:p w14:paraId="17DF24D5" w14:textId="77777777" w:rsidR="006C604A" w:rsidRPr="004E2CEF" w:rsidRDefault="006C604A" w:rsidP="006C604A">
      <w:pPr>
        <w:pStyle w:val="Paragrafoelenco"/>
        <w:numPr>
          <w:ilvl w:val="0"/>
          <w:numId w:val="19"/>
        </w:numPr>
        <w:tabs>
          <w:tab w:val="left" w:pos="540"/>
        </w:tabs>
        <w:rPr>
          <w:sz w:val="24"/>
          <w:szCs w:val="24"/>
        </w:rPr>
      </w:pPr>
      <w:r w:rsidRPr="004E2CEF">
        <w:rPr>
          <w:sz w:val="24"/>
          <w:szCs w:val="24"/>
        </w:rPr>
        <w:t xml:space="preserve">per le successioni apertesi a partire dal 1. gennaio 1987, i capitali depositati su libretti o conti di risparmio o di deposito o di stipendio, fino a CHF 50'000.--. </w:t>
      </w:r>
    </w:p>
    <w:p w14:paraId="6694B70C" w14:textId="77777777" w:rsidR="006C604A" w:rsidRPr="004E2CEF" w:rsidRDefault="006C604A" w:rsidP="006C604A">
      <w:pPr>
        <w:rPr>
          <w:sz w:val="24"/>
          <w:szCs w:val="24"/>
        </w:rPr>
      </w:pPr>
    </w:p>
    <w:p w14:paraId="723F45FC" w14:textId="741F7DFC" w:rsidR="006C604A" w:rsidRDefault="006C604A" w:rsidP="006C604A">
      <w:pPr>
        <w:rPr>
          <w:sz w:val="24"/>
          <w:szCs w:val="24"/>
        </w:rPr>
      </w:pPr>
      <w:r w:rsidRPr="004E2CEF">
        <w:rPr>
          <w:sz w:val="24"/>
          <w:szCs w:val="24"/>
        </w:rPr>
        <w:t>La giurisprudenza è sempre stata restrittiva nell’interpretazione di queste norme.</w:t>
      </w:r>
    </w:p>
    <w:p w14:paraId="77310F39" w14:textId="7C77242C" w:rsidR="00085795" w:rsidRDefault="00085795" w:rsidP="006C604A">
      <w:pPr>
        <w:rPr>
          <w:sz w:val="24"/>
          <w:szCs w:val="24"/>
        </w:rPr>
      </w:pPr>
    </w:p>
    <w:p w14:paraId="138D51F4" w14:textId="3D053113" w:rsidR="00803D2B" w:rsidRPr="002A48B0" w:rsidRDefault="00803D2B" w:rsidP="00803D2B">
      <w:pPr>
        <w:rPr>
          <w:rFonts w:cs="Arial"/>
          <w:sz w:val="24"/>
          <w:szCs w:val="24"/>
        </w:rPr>
      </w:pPr>
      <w:r w:rsidRPr="0083229F">
        <w:rPr>
          <w:rFonts w:cs="Arial"/>
          <w:sz w:val="24"/>
          <w:szCs w:val="24"/>
        </w:rPr>
        <w:t>Al fine di unificare le modalità di esenzione e semplificare il lavoro dell’ufficio preposto all’accertamento, si propone di introdurre una quota esente generalizzata pari ai primi 10'000 franchi netti o controvalore all’anno, valida per singolo beneficiario che riceve devoluzioni dalla medesima persona (in ambito di successione o donazione), indipendentemente se tale importo è raggiunto tramite una o più devoluzioni. In caso di presenza di singole devoluzioni effettuate da diversi disponenti o donanti in favore del medesimo beneficiario, la quota esente si applica a ciascun rapporto interpersonale tra disponente (o donante) e beneficiario. Nel caso di più beneficiari di un medesimo conferimento effettuato da un singolo disponente (o donante), ogni singolo beneficiario potrà godere della sua quota esente annuale sino a un importo netto massimo di 10'000 franchi. Per quota esente si intende che solo la parte di importo che supera la predetta cifra potrà essere imposta. L’autorità fiscale si riserva la facoltà di intervenire, se necessario tramite la procedura</w:t>
      </w:r>
      <w:r w:rsidRPr="002A48B0">
        <w:rPr>
          <w:rFonts w:cs="Arial"/>
          <w:sz w:val="24"/>
          <w:szCs w:val="24"/>
        </w:rPr>
        <w:t xml:space="preserve"> di recupero di imposta, qualora dovesse accertare delle situazioni di abuso. </w:t>
      </w:r>
    </w:p>
    <w:p w14:paraId="78DD75DD" w14:textId="558AA8DE" w:rsidR="006C604A" w:rsidRPr="004E2CEF" w:rsidRDefault="006C604A" w:rsidP="006C604A">
      <w:pPr>
        <w:rPr>
          <w:sz w:val="24"/>
          <w:szCs w:val="24"/>
        </w:rPr>
      </w:pPr>
    </w:p>
    <w:p w14:paraId="30F25EA3" w14:textId="77777777" w:rsidR="006C604A" w:rsidRPr="004E2CEF" w:rsidRDefault="006C604A" w:rsidP="006C604A">
      <w:pPr>
        <w:pStyle w:val="Paragrafoelenco"/>
        <w:numPr>
          <w:ilvl w:val="0"/>
          <w:numId w:val="23"/>
        </w:numPr>
        <w:tabs>
          <w:tab w:val="left" w:pos="540"/>
        </w:tabs>
        <w:rPr>
          <w:sz w:val="24"/>
          <w:szCs w:val="24"/>
          <w:u w:val="single"/>
        </w:rPr>
      </w:pPr>
      <w:r w:rsidRPr="004E2CEF">
        <w:rPr>
          <w:sz w:val="24"/>
          <w:szCs w:val="24"/>
          <w:u w:val="single"/>
        </w:rPr>
        <w:t>Adeguamento delle norme relative all’esenzione di persone giuridiche</w:t>
      </w:r>
    </w:p>
    <w:p w14:paraId="5D254DBC" w14:textId="77777777" w:rsidR="006C604A" w:rsidRPr="004E2CEF" w:rsidRDefault="006C604A" w:rsidP="006C604A">
      <w:pPr>
        <w:rPr>
          <w:sz w:val="24"/>
          <w:szCs w:val="24"/>
        </w:rPr>
      </w:pPr>
    </w:p>
    <w:p w14:paraId="7B2410D1" w14:textId="77777777" w:rsidR="006C604A" w:rsidRPr="004E2CEF" w:rsidRDefault="006C604A" w:rsidP="006C604A">
      <w:pPr>
        <w:rPr>
          <w:sz w:val="24"/>
          <w:szCs w:val="24"/>
        </w:rPr>
      </w:pPr>
      <w:r w:rsidRPr="004E2CEF">
        <w:rPr>
          <w:sz w:val="24"/>
          <w:szCs w:val="24"/>
        </w:rPr>
        <w:t>L’attuale legislazione in materia di imposte di successione e donazione prevede al suo art. 154 cpv. 1 lett. d) LT che le persone giuridiche con sede nel Cantone che perseguono uno scopo pubblico o di esclusiva pubblica utilità oppure scopi ideali nel Cantone o di interesse della comunità svizzera, sono esenti dall’imposta di successione e donazione per le devoluzioni e le liberalità esclusivamente e irrevocabilmente destinate a tali fini.</w:t>
      </w:r>
    </w:p>
    <w:p w14:paraId="31A614DE" w14:textId="77777777" w:rsidR="006C604A" w:rsidRPr="004E2CEF" w:rsidRDefault="006C604A" w:rsidP="006C604A">
      <w:pPr>
        <w:rPr>
          <w:sz w:val="24"/>
          <w:szCs w:val="24"/>
        </w:rPr>
      </w:pPr>
    </w:p>
    <w:p w14:paraId="4B7B54B3" w14:textId="77777777" w:rsidR="006C604A" w:rsidRPr="004E2CEF" w:rsidRDefault="006C604A" w:rsidP="006C604A">
      <w:pPr>
        <w:rPr>
          <w:sz w:val="24"/>
          <w:szCs w:val="24"/>
        </w:rPr>
      </w:pPr>
      <w:r w:rsidRPr="004E2CEF">
        <w:rPr>
          <w:sz w:val="24"/>
          <w:szCs w:val="24"/>
        </w:rPr>
        <w:t xml:space="preserve">Lo stesso articolo al suo capoverso 3 prevede inoltre che l’autorità fiscale può esonerare in tutto o in parte le istituzioni di pubblica utilità con sede nel Cantone, se la loro attività riveste carattere internazionale e le istituzioni di pubblica utilità con sede in altro Cantone, se la loro attività riveste carattere nazionale o internazionale. </w:t>
      </w:r>
    </w:p>
    <w:p w14:paraId="556D3EE1" w14:textId="77777777" w:rsidR="006C604A" w:rsidRPr="004E2CEF" w:rsidRDefault="006C604A" w:rsidP="006C604A">
      <w:pPr>
        <w:rPr>
          <w:sz w:val="24"/>
          <w:szCs w:val="24"/>
        </w:rPr>
      </w:pPr>
    </w:p>
    <w:p w14:paraId="5B120E23" w14:textId="77777777" w:rsidR="006C604A" w:rsidRPr="004E2CEF" w:rsidRDefault="006C604A" w:rsidP="006C604A">
      <w:pPr>
        <w:rPr>
          <w:sz w:val="24"/>
          <w:szCs w:val="24"/>
        </w:rPr>
      </w:pPr>
      <w:r w:rsidRPr="004E2CEF">
        <w:rPr>
          <w:sz w:val="24"/>
          <w:szCs w:val="24"/>
        </w:rPr>
        <w:t>Rispetto alle predette norme, la Riforma si prefigge due obiettivi:</w:t>
      </w:r>
    </w:p>
    <w:p w14:paraId="5EB52ABB" w14:textId="77777777" w:rsidR="006C604A" w:rsidRPr="004E2CEF" w:rsidRDefault="006C604A" w:rsidP="006C604A">
      <w:pPr>
        <w:rPr>
          <w:sz w:val="24"/>
          <w:szCs w:val="24"/>
        </w:rPr>
      </w:pPr>
    </w:p>
    <w:p w14:paraId="673535DA" w14:textId="77777777" w:rsidR="006C604A" w:rsidRPr="004E2CEF" w:rsidRDefault="006C604A" w:rsidP="006C604A">
      <w:pPr>
        <w:pStyle w:val="Paragrafoelenco"/>
        <w:numPr>
          <w:ilvl w:val="0"/>
          <w:numId w:val="22"/>
        </w:numPr>
        <w:tabs>
          <w:tab w:val="left" w:pos="540"/>
        </w:tabs>
        <w:rPr>
          <w:sz w:val="24"/>
          <w:szCs w:val="24"/>
        </w:rPr>
      </w:pPr>
      <w:r w:rsidRPr="004E2CEF">
        <w:rPr>
          <w:sz w:val="24"/>
          <w:szCs w:val="24"/>
        </w:rPr>
        <w:t xml:space="preserve">semplificare la dicitura del capoverso 1 esentando tutte le persone giuridiche con sede in Ticino che perseguono uno scopo pubblico, di utilità pubblica o scopi ideali </w:t>
      </w:r>
      <w:r w:rsidRPr="0079665F">
        <w:rPr>
          <w:sz w:val="24"/>
          <w:szCs w:val="24"/>
        </w:rPr>
        <w:t>in Svizzera</w:t>
      </w:r>
      <w:r w:rsidRPr="004E2CEF">
        <w:rPr>
          <w:sz w:val="24"/>
          <w:szCs w:val="24"/>
        </w:rPr>
        <w:t>, senza distinzione tra interesse della comunità ticinese e resto del territorio nazionale.</w:t>
      </w:r>
    </w:p>
    <w:p w14:paraId="7F5FD7F0" w14:textId="647E242A" w:rsidR="006C604A" w:rsidRDefault="006C604A" w:rsidP="006C604A">
      <w:pPr>
        <w:ind w:left="708"/>
        <w:rPr>
          <w:sz w:val="24"/>
          <w:szCs w:val="24"/>
        </w:rPr>
      </w:pPr>
      <w:r w:rsidRPr="004E2CEF">
        <w:rPr>
          <w:sz w:val="24"/>
          <w:szCs w:val="24"/>
        </w:rPr>
        <w:t>Enti o persone giuridiche con attività a carattere internazionale e che si rivolgono a destinatari prevalentemente al di fuori della Svizzera dovrebbero rientrare piuttosto nel capoverso 3 della norma;</w:t>
      </w:r>
    </w:p>
    <w:p w14:paraId="563E3AF8" w14:textId="77777777" w:rsidR="00D9729A" w:rsidRPr="004E2CEF" w:rsidRDefault="00D9729A" w:rsidP="006C604A">
      <w:pPr>
        <w:ind w:left="708"/>
        <w:rPr>
          <w:sz w:val="24"/>
          <w:szCs w:val="24"/>
        </w:rPr>
      </w:pPr>
    </w:p>
    <w:p w14:paraId="1AEC1A09" w14:textId="77777777" w:rsidR="006C604A" w:rsidRPr="004E2CEF" w:rsidRDefault="006C604A" w:rsidP="006C604A">
      <w:pPr>
        <w:pStyle w:val="Paragrafoelenco"/>
        <w:numPr>
          <w:ilvl w:val="0"/>
          <w:numId w:val="22"/>
        </w:numPr>
        <w:tabs>
          <w:tab w:val="left" w:pos="540"/>
        </w:tabs>
        <w:rPr>
          <w:sz w:val="24"/>
          <w:szCs w:val="24"/>
        </w:rPr>
      </w:pPr>
      <w:r w:rsidRPr="004E2CEF">
        <w:rPr>
          <w:sz w:val="24"/>
          <w:szCs w:val="24"/>
        </w:rPr>
        <w:t>prevedere espressamente la facoltà, e non l’obbligo, per l’autorità fiscale di decidere l’esenzione di cui al capoverso 3 per le seguenti casistiche:</w:t>
      </w:r>
    </w:p>
    <w:p w14:paraId="62421620" w14:textId="27099718" w:rsidR="006C604A" w:rsidRDefault="006C604A" w:rsidP="00D9729A">
      <w:pPr>
        <w:pStyle w:val="Paragrafoelenco"/>
        <w:numPr>
          <w:ilvl w:val="1"/>
          <w:numId w:val="22"/>
        </w:numPr>
        <w:tabs>
          <w:tab w:val="left" w:pos="540"/>
        </w:tabs>
        <w:spacing w:before="120"/>
        <w:ind w:left="1434" w:hanging="357"/>
        <w:contextualSpacing w:val="0"/>
        <w:rPr>
          <w:sz w:val="24"/>
          <w:szCs w:val="24"/>
        </w:rPr>
      </w:pPr>
      <w:r w:rsidRPr="004E2CEF">
        <w:rPr>
          <w:sz w:val="24"/>
          <w:szCs w:val="24"/>
        </w:rPr>
        <w:t xml:space="preserve"> le istituzioni e le persone giuridiche con sede nel Cantone che perseguono uno scopo pubblico, di pubblica utilità oppure scopi ideali per le devoluzioni o liberalità esclusivamente e irrevocabilmente destinate a tali fini e che </w:t>
      </w:r>
      <w:r w:rsidRPr="0079665F">
        <w:rPr>
          <w:sz w:val="24"/>
          <w:szCs w:val="24"/>
        </w:rPr>
        <w:t>rivestono carattere internazionale;</w:t>
      </w:r>
    </w:p>
    <w:p w14:paraId="35F62A31" w14:textId="77777777" w:rsidR="00737825" w:rsidRPr="007D14DF" w:rsidRDefault="00737825" w:rsidP="00737825">
      <w:pPr>
        <w:pStyle w:val="Paragrafoelenco"/>
        <w:tabs>
          <w:tab w:val="left" w:pos="540"/>
        </w:tabs>
        <w:ind w:left="1435"/>
        <w:contextualSpacing w:val="0"/>
        <w:rPr>
          <w:sz w:val="24"/>
          <w:szCs w:val="24"/>
        </w:rPr>
      </w:pPr>
    </w:p>
    <w:p w14:paraId="1C57AE2E" w14:textId="77777777" w:rsidR="006C604A" w:rsidRPr="0079665F" w:rsidRDefault="006C604A" w:rsidP="00737825">
      <w:pPr>
        <w:pStyle w:val="Paragrafoelenco"/>
        <w:numPr>
          <w:ilvl w:val="1"/>
          <w:numId w:val="22"/>
        </w:numPr>
        <w:tabs>
          <w:tab w:val="left" w:pos="540"/>
        </w:tabs>
        <w:ind w:left="1434" w:hanging="357"/>
        <w:contextualSpacing w:val="0"/>
        <w:rPr>
          <w:sz w:val="24"/>
          <w:szCs w:val="24"/>
        </w:rPr>
      </w:pPr>
      <w:r w:rsidRPr="0079665F">
        <w:rPr>
          <w:sz w:val="24"/>
          <w:szCs w:val="24"/>
        </w:rPr>
        <w:t>su loro espressa richiesta, le istituzioni e le persone giuridiche con sede in altro Cantone che perseguono uno scopo pubblico, di pubblica utilità oppure scopi ideali per le devoluzioni o liberalità esclusivamente e irrevocabilmente destinate a tali fini, quando le stesse sono esenti presso il Cantone di sede e quest’ultimo accorda la reciprocità in materia di esenzione.</w:t>
      </w:r>
    </w:p>
    <w:p w14:paraId="6AC1EB68" w14:textId="77777777" w:rsidR="006C604A" w:rsidRPr="004E2CEF" w:rsidRDefault="006C604A" w:rsidP="006C604A">
      <w:pPr>
        <w:rPr>
          <w:sz w:val="24"/>
          <w:szCs w:val="24"/>
          <w:u w:val="single"/>
        </w:rPr>
      </w:pPr>
    </w:p>
    <w:p w14:paraId="2C70E6AC" w14:textId="77777777" w:rsidR="006C604A" w:rsidRPr="004E2CEF" w:rsidRDefault="006C604A" w:rsidP="006C604A">
      <w:pPr>
        <w:rPr>
          <w:sz w:val="24"/>
          <w:szCs w:val="24"/>
        </w:rPr>
      </w:pPr>
      <w:r w:rsidRPr="004E2CEF">
        <w:rPr>
          <w:sz w:val="24"/>
          <w:szCs w:val="24"/>
        </w:rPr>
        <w:t>In concreto, la reciprocità è data dal fatto che i Cantoni prevedano nella loro legislazione una norma di esenzione parificata alla nostra (di principio v. Cantoni ZH, OW, GL, BS, AR, GR, TG, VD, VS, NE, JU, LU e UR). Sarà quindi compito principale del contribuente istituzione o persona giuridica che richiede l’ottenimento dell’esenzione fiscale in Ticino di una determinata devoluzione o liberalità, comprovare il proprio status di soggetto esente nel proprio Cantone di sede, nonché indicare la base legale su cui si fonda tale esenzione. L’autorità fiscale avrà, da parte sua, il compito di verificare l’effettiva concessione da parte dell’altro Cantone di un accordo di reciprocità in situazioni comparabili a quella per cui è richiesta l’esenzione in Ticino.</w:t>
      </w:r>
    </w:p>
    <w:p w14:paraId="024E31ED" w14:textId="77777777" w:rsidR="006C604A" w:rsidRPr="004E2CEF" w:rsidRDefault="006C604A" w:rsidP="006C604A">
      <w:pPr>
        <w:rPr>
          <w:sz w:val="24"/>
          <w:szCs w:val="24"/>
        </w:rPr>
      </w:pPr>
    </w:p>
    <w:p w14:paraId="0CDDF19F" w14:textId="77777777" w:rsidR="006C604A" w:rsidRPr="004E2CEF" w:rsidRDefault="006C604A" w:rsidP="006C604A">
      <w:pPr>
        <w:rPr>
          <w:sz w:val="24"/>
          <w:szCs w:val="24"/>
        </w:rPr>
      </w:pPr>
      <w:r w:rsidRPr="004E2CEF">
        <w:rPr>
          <w:sz w:val="24"/>
          <w:szCs w:val="24"/>
        </w:rPr>
        <w:t>Questo modus operandi, da ancorare nella legge ma già presente in rari casi nella prassi, permetterà di evitare di dover concludere degli specifici accordi di reciprocità in materia di esenzione con ogni singolo Cantone</w:t>
      </w:r>
      <w:r w:rsidRPr="004E2CEF">
        <w:rPr>
          <w:rStyle w:val="Rimandonotaapidipagina"/>
          <w:sz w:val="24"/>
          <w:szCs w:val="24"/>
        </w:rPr>
        <w:footnoteReference w:id="14"/>
      </w:r>
      <w:r w:rsidRPr="004E2CEF">
        <w:rPr>
          <w:sz w:val="24"/>
          <w:szCs w:val="24"/>
        </w:rPr>
        <w:t xml:space="preserve">, semplificando le procedure per l’ottenimento di tale esenzione, se richiesta espressamente dal contribuente. </w:t>
      </w:r>
    </w:p>
    <w:p w14:paraId="398B0DCC" w14:textId="77777777" w:rsidR="006C604A" w:rsidRPr="004E2CEF" w:rsidRDefault="006C604A" w:rsidP="006C604A">
      <w:pPr>
        <w:rPr>
          <w:sz w:val="24"/>
          <w:szCs w:val="24"/>
          <w:u w:val="single"/>
        </w:rPr>
      </w:pPr>
    </w:p>
    <w:p w14:paraId="269D1BF3" w14:textId="77777777" w:rsidR="006C604A" w:rsidRPr="004E2CEF" w:rsidRDefault="006C604A" w:rsidP="00100005">
      <w:pPr>
        <w:pStyle w:val="CAPITOLO3"/>
      </w:pPr>
      <w:bookmarkStart w:id="20" w:name="_Toc139991887"/>
      <w:r w:rsidRPr="004E2CEF">
        <w:t>Agevolazioni in caso di successione aziendale</w:t>
      </w:r>
      <w:bookmarkEnd w:id="20"/>
      <w:r w:rsidRPr="004E2CEF">
        <w:t xml:space="preserve"> </w:t>
      </w:r>
    </w:p>
    <w:p w14:paraId="74460374" w14:textId="77777777" w:rsidR="006C604A" w:rsidRPr="004E2CEF" w:rsidRDefault="006C604A" w:rsidP="006C604A">
      <w:pPr>
        <w:pStyle w:val="Paragrafoelenco"/>
        <w:ind w:left="1080"/>
        <w:rPr>
          <w:b/>
          <w:sz w:val="24"/>
          <w:szCs w:val="24"/>
        </w:rPr>
      </w:pPr>
    </w:p>
    <w:p w14:paraId="3CFF729A" w14:textId="77777777" w:rsidR="006C604A" w:rsidRPr="004E2CEF" w:rsidRDefault="006C604A" w:rsidP="006C604A">
      <w:pPr>
        <w:rPr>
          <w:sz w:val="24"/>
          <w:szCs w:val="24"/>
        </w:rPr>
      </w:pPr>
      <w:r w:rsidRPr="004E2CEF">
        <w:rPr>
          <w:sz w:val="24"/>
          <w:szCs w:val="24"/>
        </w:rPr>
        <w:t>A partire dall’implementazione della Riforma delle imprese II, nel 2011, sono state introdotte nella nostra legislazione tributaria cantonale alcune misure volte a facilitare il trasferimento aziendale “</w:t>
      </w:r>
      <w:r w:rsidRPr="004E2CEF">
        <w:rPr>
          <w:i/>
          <w:sz w:val="24"/>
          <w:szCs w:val="24"/>
        </w:rPr>
        <w:t>inter vivos</w:t>
      </w:r>
      <w:r w:rsidRPr="004E2CEF">
        <w:rPr>
          <w:sz w:val="24"/>
          <w:szCs w:val="24"/>
        </w:rPr>
        <w:t>” o “</w:t>
      </w:r>
      <w:r w:rsidRPr="004E2CEF">
        <w:rPr>
          <w:i/>
          <w:sz w:val="24"/>
          <w:szCs w:val="24"/>
        </w:rPr>
        <w:t>mortis causa</w:t>
      </w:r>
      <w:r w:rsidRPr="004E2CEF">
        <w:rPr>
          <w:sz w:val="24"/>
          <w:szCs w:val="24"/>
        </w:rPr>
        <w:t>”, definito anche come successione aziendale. Ci riferiamo in particolar modo:</w:t>
      </w:r>
    </w:p>
    <w:p w14:paraId="2EDC425B" w14:textId="77777777" w:rsidR="006C604A" w:rsidRPr="004E2CEF" w:rsidRDefault="006C604A" w:rsidP="006C604A">
      <w:pPr>
        <w:pStyle w:val="Paragrafoelenco"/>
        <w:rPr>
          <w:sz w:val="24"/>
          <w:szCs w:val="24"/>
        </w:rPr>
      </w:pPr>
    </w:p>
    <w:p w14:paraId="52EA70AE" w14:textId="77777777" w:rsidR="006C604A" w:rsidRPr="004E2CEF" w:rsidRDefault="006C604A" w:rsidP="006C604A">
      <w:pPr>
        <w:pStyle w:val="Paragrafoelenco"/>
        <w:numPr>
          <w:ilvl w:val="0"/>
          <w:numId w:val="24"/>
        </w:numPr>
        <w:tabs>
          <w:tab w:val="left" w:pos="540"/>
        </w:tabs>
        <w:ind w:left="567" w:hanging="425"/>
        <w:rPr>
          <w:sz w:val="24"/>
          <w:szCs w:val="24"/>
        </w:rPr>
      </w:pPr>
      <w:r w:rsidRPr="004E2CEF">
        <w:rPr>
          <w:sz w:val="24"/>
          <w:szCs w:val="24"/>
        </w:rPr>
        <w:t>al differimento dell’imposizione delle riserve occulte in caso di divisione ereditaria ove solo una parte degli eredi riprendono l’azienda ex art. 17a cpv. 2 LT;</w:t>
      </w:r>
    </w:p>
    <w:p w14:paraId="06F191F7" w14:textId="77777777" w:rsidR="006C604A" w:rsidRPr="004E2CEF" w:rsidRDefault="006C604A" w:rsidP="006C604A">
      <w:pPr>
        <w:pStyle w:val="Paragrafoelenco"/>
        <w:tabs>
          <w:tab w:val="left" w:pos="540"/>
        </w:tabs>
        <w:ind w:left="567"/>
        <w:rPr>
          <w:sz w:val="24"/>
          <w:szCs w:val="24"/>
        </w:rPr>
      </w:pPr>
    </w:p>
    <w:p w14:paraId="7C796088" w14:textId="77777777" w:rsidR="006C604A" w:rsidRPr="004E2CEF" w:rsidRDefault="006C604A" w:rsidP="006C604A">
      <w:pPr>
        <w:pStyle w:val="Paragrafoelenco"/>
        <w:numPr>
          <w:ilvl w:val="0"/>
          <w:numId w:val="24"/>
        </w:numPr>
        <w:tabs>
          <w:tab w:val="left" w:pos="540"/>
        </w:tabs>
        <w:ind w:left="567" w:hanging="425"/>
        <w:rPr>
          <w:sz w:val="24"/>
          <w:szCs w:val="24"/>
        </w:rPr>
      </w:pPr>
      <w:r w:rsidRPr="004E2CEF">
        <w:rPr>
          <w:sz w:val="24"/>
          <w:szCs w:val="24"/>
        </w:rPr>
        <w:t>allo sgravio degli utili di liquidazione nel caso in cui la cessazione definitiva dell’attività indipendente avviene dopo il raggiungimento dei 55 anni di età o per ragioni di invalidità ex art. 37b LT.</w:t>
      </w:r>
    </w:p>
    <w:p w14:paraId="57793D43" w14:textId="77777777" w:rsidR="006C604A" w:rsidRPr="004E2CEF" w:rsidRDefault="006C604A" w:rsidP="006C604A">
      <w:pPr>
        <w:pStyle w:val="Paragrafoelenco"/>
        <w:tabs>
          <w:tab w:val="left" w:pos="540"/>
        </w:tabs>
        <w:ind w:left="1080"/>
        <w:rPr>
          <w:sz w:val="24"/>
          <w:szCs w:val="24"/>
        </w:rPr>
      </w:pPr>
    </w:p>
    <w:p w14:paraId="613016EB" w14:textId="77777777" w:rsidR="006C604A" w:rsidRPr="004E2CEF" w:rsidRDefault="006C604A" w:rsidP="006C604A">
      <w:pPr>
        <w:rPr>
          <w:sz w:val="24"/>
          <w:szCs w:val="24"/>
        </w:rPr>
      </w:pPr>
      <w:r w:rsidRPr="0083229F">
        <w:rPr>
          <w:sz w:val="24"/>
          <w:szCs w:val="24"/>
        </w:rPr>
        <w:t>Si può pertanto sostenere che già oggi, se adeguatamente pianificata, la successione aziendale può avvenire in Ticino in maniera interessante a livello fiscale.</w:t>
      </w:r>
      <w:r w:rsidRPr="004E2CEF">
        <w:rPr>
          <w:sz w:val="24"/>
          <w:szCs w:val="24"/>
        </w:rPr>
        <w:t xml:space="preserve"> </w:t>
      </w:r>
    </w:p>
    <w:p w14:paraId="0CEC1E93" w14:textId="77777777" w:rsidR="006C604A" w:rsidRPr="004E2CEF" w:rsidRDefault="006C604A" w:rsidP="006C604A">
      <w:pPr>
        <w:rPr>
          <w:sz w:val="24"/>
          <w:szCs w:val="24"/>
        </w:rPr>
      </w:pPr>
    </w:p>
    <w:p w14:paraId="595DA1C7" w14:textId="77777777" w:rsidR="006C604A" w:rsidRPr="004E2CEF" w:rsidRDefault="006C604A" w:rsidP="006C604A">
      <w:pPr>
        <w:rPr>
          <w:sz w:val="24"/>
          <w:szCs w:val="24"/>
        </w:rPr>
      </w:pPr>
      <w:r w:rsidRPr="004E2CEF">
        <w:rPr>
          <w:sz w:val="24"/>
          <w:szCs w:val="24"/>
        </w:rPr>
        <w:t>Il Canton Ticino non conosce, per contro, ulteriori agevolazioni fiscali in caso di successioni aziendali presenti attualmente in numerose legislazioni di altri Cantoni. Ci riferiamo in particolar modo alla possibilità di ridurre percentualmente le relative imposte in caso di trasferimento a titolo gratuito o per successione dell’attività aziendale, di quote sociali oppure di quote azionarie. E’ utile innanzitutto precisare che, secondo la giurisprudenza, il concetto di “trasferimento gratuito” non include solo l’atto di attribuzione di un’impresa o di quote societarie a titolo interamente gratuito ma comprende anche il concetto di cessione di un’impresa ad un prezzo di favore rispetto al valore fiscale dei beni</w:t>
      </w:r>
      <w:r w:rsidRPr="004E2CEF">
        <w:rPr>
          <w:rStyle w:val="Rimandonotaapidipagina"/>
          <w:sz w:val="24"/>
          <w:szCs w:val="24"/>
        </w:rPr>
        <w:footnoteReference w:id="15"/>
      </w:r>
      <w:r w:rsidRPr="004E2CEF">
        <w:rPr>
          <w:sz w:val="24"/>
          <w:szCs w:val="24"/>
        </w:rPr>
        <w:t>, rispettivamente ad un prezzo manifestamente sproporzionato rispetto al valore della controprestazione in caso di cessione a terze persone non parenti. In questi casi, si configura di principio un contratto misto a donazione (art. 142 cpv. 2 lett. e LT) e si può presumere in determinate circostanze l’esistenza di un “</w:t>
      </w:r>
      <w:r w:rsidRPr="004E2CEF">
        <w:rPr>
          <w:i/>
          <w:sz w:val="24"/>
          <w:szCs w:val="24"/>
        </w:rPr>
        <w:t>animus donandi</w:t>
      </w:r>
      <w:r w:rsidRPr="004E2CEF">
        <w:rPr>
          <w:sz w:val="24"/>
          <w:szCs w:val="24"/>
        </w:rPr>
        <w:t>” da parte del cedente</w:t>
      </w:r>
      <w:r w:rsidRPr="004E2CEF">
        <w:rPr>
          <w:rStyle w:val="Rimandonotaapidipagina"/>
          <w:sz w:val="24"/>
          <w:szCs w:val="24"/>
        </w:rPr>
        <w:footnoteReference w:id="16"/>
      </w:r>
      <w:r w:rsidRPr="004E2CEF">
        <w:rPr>
          <w:sz w:val="24"/>
          <w:szCs w:val="24"/>
        </w:rPr>
        <w:t>. Per qualificare correttamente una fattispecie da un punto di vista fiscale, é inoltre ancora necessario differenziare bene il concetto di successione di impresa rispetto al concetto di partecipazione di un collaboratore all’impresa, in quanto le conseguenze fiscali possono essere alquanto differenti. Per successione di impresa si intende generalmente il trasferimento dell’intera attività aziendale oppure il trasferimento almeno della maggioranza delle quote o azioni di una società, il quale porta a un cambiamento del controllo sulla stessa. Possono venire donate o lasciate in eredità sia la ditta individuale, sia le quote di società di persone, come pure le quote di società di capitali. Sono per contro partecipazioni di collaboratore le azioni o quote minoritarie acquisite in virtù di un rapporto di lavoro presente, futuro o che ha avuto luogo nel passato, a condizioni privilegiate (non al prezzo che verrebbe fissato a una terza parte in una situazione di libero mercato), dalla società stessa, da altre società del gruppo oppure direttamente da un’azionista. Il Tribunale federale non ha ancora avuto modo di esprimersi chiaramente sulla percentuale massima di quote trasferibili per rientrare ancora nella qualifica giuridica delle partecipazioni di collaboratore ma in una sentenza abbastanza recente l’Alta Corte ha lasciato intendere che anche un pacchetto azionario pari al 50% può essere considerato come partecipazione di collaboratore se vi è un nesso diretto con l’attività professionale del dipendente</w:t>
      </w:r>
      <w:r w:rsidRPr="004E2CEF">
        <w:rPr>
          <w:rStyle w:val="Rimandonotaapidipagina"/>
          <w:sz w:val="24"/>
          <w:szCs w:val="24"/>
        </w:rPr>
        <w:footnoteReference w:id="17"/>
      </w:r>
      <w:r w:rsidRPr="004E2CEF">
        <w:rPr>
          <w:sz w:val="24"/>
          <w:szCs w:val="24"/>
        </w:rPr>
        <w:t xml:space="preserve">. Si può pertanto desumere, dalle attuali prassi e giurisprudenza in vigore, che ove vi è cambiamento nel controllo dell’azienda tramite il trasferimento a titolo gratuito dell’intera attività o del pacchetto maggioritario di quote, vi è una successione aziendale imponibile, </w:t>
      </w:r>
      <w:r w:rsidRPr="0079665F">
        <w:rPr>
          <w:sz w:val="24"/>
          <w:szCs w:val="24"/>
        </w:rPr>
        <w:t>di regola</w:t>
      </w:r>
      <w:r w:rsidRPr="004E2CEF">
        <w:rPr>
          <w:sz w:val="24"/>
          <w:szCs w:val="24"/>
        </w:rPr>
        <w:t>, tramite imposta di donazione o successione, mentre che ove non vi è un cambiamento nel controllo dell’azienda ma un semplice trasferimento a titolo gratuito oppure a un prezzo di favore di una quota minoritaria dell’azienda a un dipendente della stessa, siamo generalmente in presenza di una cosiddetta partecipazione di collaboratore sottoposta alla Circolare no. 37 dell’AFC</w:t>
      </w:r>
      <w:r w:rsidRPr="004E2CEF">
        <w:rPr>
          <w:rStyle w:val="Rimandonotaapidipagina"/>
          <w:sz w:val="24"/>
          <w:szCs w:val="24"/>
        </w:rPr>
        <w:footnoteReference w:id="18"/>
      </w:r>
      <w:r w:rsidRPr="004E2CEF">
        <w:rPr>
          <w:sz w:val="24"/>
          <w:szCs w:val="24"/>
        </w:rPr>
        <w:t xml:space="preserve"> e imponibile, a determinate condizioni, in qualità di reddito da attività lucrativa dipendente tramite le imposte sul reddito. Si tratta in ogni caso di regole interpretative generiche da esaminare in ogni singolo caso, in quanto non si può escludere a priori che in una operazione qualificata come successione aziendale in favore di un collaboratore, prevalga in maniera evidente il fattore “retributivo” per prestazioni lavorative effettuate, il quale potrebbe portare ad una imposizione ordinaria sul reddito invece che a un’imposizione tramite imposta di donazione. </w:t>
      </w:r>
    </w:p>
    <w:p w14:paraId="045C4795" w14:textId="77777777" w:rsidR="00D80AC3" w:rsidRDefault="00D80AC3" w:rsidP="006C604A">
      <w:pPr>
        <w:rPr>
          <w:sz w:val="24"/>
          <w:szCs w:val="24"/>
        </w:rPr>
      </w:pPr>
    </w:p>
    <w:p w14:paraId="781427DB" w14:textId="289201D0" w:rsidR="006C604A" w:rsidRPr="004E2CEF" w:rsidRDefault="006C604A" w:rsidP="006C604A">
      <w:pPr>
        <w:rPr>
          <w:sz w:val="24"/>
          <w:szCs w:val="24"/>
        </w:rPr>
      </w:pPr>
      <w:r w:rsidRPr="004E2CEF">
        <w:rPr>
          <w:sz w:val="24"/>
          <w:szCs w:val="24"/>
        </w:rPr>
        <w:t xml:space="preserve">Per quanto attiene alle successioni </w:t>
      </w:r>
      <w:r w:rsidR="00865BE0">
        <w:rPr>
          <w:sz w:val="24"/>
          <w:szCs w:val="24"/>
        </w:rPr>
        <w:t>aziendali in favore di</w:t>
      </w:r>
      <w:r w:rsidRPr="004E2CEF">
        <w:rPr>
          <w:sz w:val="24"/>
          <w:szCs w:val="24"/>
        </w:rPr>
        <w:t xml:space="preserve"> parenti o di terze persone che non beneficiano di esenzioni, circa la metà dei Cantoni riconoscono già una cospicua riduzione delle relative imposte di successione e donazione. Segnatamente, il Canton Zurigo prevede una riduzione di imposta dell’80% e il Canton Grigioni del 75%, a condizione però che coloro che hanno ricevuto l’azienda in donazione o successione continuino la gestione dell’attività in una posizione dirigenziale oppure mantengano la partecipazione maggioritaria nella società, in entrambi i casi per un determinato periodo. Questo arco temporale può variare da 5 a 15 anni a dipendenza dei Cantoni. </w:t>
      </w:r>
    </w:p>
    <w:p w14:paraId="3849F139" w14:textId="77777777" w:rsidR="006C604A" w:rsidRPr="004E2CEF" w:rsidRDefault="006C604A" w:rsidP="006C604A">
      <w:pPr>
        <w:rPr>
          <w:sz w:val="24"/>
          <w:szCs w:val="24"/>
        </w:rPr>
      </w:pPr>
    </w:p>
    <w:p w14:paraId="07B7EA82" w14:textId="770B7B9F" w:rsidR="006C604A" w:rsidRPr="004E2CEF" w:rsidRDefault="006C604A" w:rsidP="006C604A">
      <w:pPr>
        <w:rPr>
          <w:sz w:val="24"/>
          <w:szCs w:val="24"/>
        </w:rPr>
      </w:pPr>
      <w:r w:rsidRPr="004E2CEF">
        <w:rPr>
          <w:sz w:val="24"/>
          <w:szCs w:val="24"/>
        </w:rPr>
        <w:t xml:space="preserve">Fatte queste doverose precisazioni, l’intento è ora quello di introdurre una norma nella nostra legislazione tributaria, analogamente ad altri Cantoni, che preveda delle agevolazioni fiscali in presenza di un’operazione di trasferimento di attività o partecipazioni aziendali che può essere qualificata come successione aziendale, conformemente alle prassi e alla giurisprudenza in vigore attualmente e/o in futuro. La nuova norma sarà provvista di alcune condizioni essenziali per la sua applicazione, nell’ottica di assicurare la necessaria continuità aziendale. La prima condizione è quella che il beneficiario dovrà ricoprire una posizione dirigenziale in seno all’azienda. Per posizione dirigenziale si intende in particolare che il beneficiario detiene il controllo dell’azienda e dirige personalmente la stessa, in qualità di titolare, di membro della Direzione oppure di membro del Consiglio di amministrazione della società di persone o della società di capitali. L’imposta di donazione o successione afferente alla sostanza commerciale o alla partecipazione qualificata al </w:t>
      </w:r>
      <w:r w:rsidRPr="004E2CEF">
        <w:rPr>
          <w:rFonts w:eastAsia="Calibri" w:cs="Arial"/>
          <w:sz w:val="24"/>
          <w:szCs w:val="24"/>
        </w:rPr>
        <w:t xml:space="preserve">capitale azionario o sociale di una società di capitali </w:t>
      </w:r>
      <w:r w:rsidRPr="004E2CEF">
        <w:rPr>
          <w:sz w:val="24"/>
          <w:szCs w:val="24"/>
        </w:rPr>
        <w:t xml:space="preserve">è ridotta in questi casi del 50%. Resta inteso che l’aliquota applicabile è quella riferita al totale dell’attivo spettante ad ogni beneficiario. La riduzione di imposta viene meno in particolare se entro i successivi 5 anni i valori patrimoniali sono sottratti all’azienda, </w:t>
      </w:r>
      <w:r w:rsidRPr="004E2CEF">
        <w:rPr>
          <w:rFonts w:eastAsia="Calibri" w:cs="Arial"/>
          <w:sz w:val="24"/>
          <w:szCs w:val="24"/>
        </w:rPr>
        <w:t>se l'attività aziendale è alienata a titolo oneroso</w:t>
      </w:r>
      <w:r w:rsidRPr="004E2CEF">
        <w:rPr>
          <w:sz w:val="24"/>
          <w:szCs w:val="24"/>
        </w:rPr>
        <w:t xml:space="preserve">, cessa o è trasferita all’estero, se l’attività del beneficiario nel suo ruolo di dirigente è interrotta (fatta eccezione per i casi in cui il beneficiario decede prematuramente), oppure se la partecipazione al capitale azionario o sociale è alienata o scende al di sotto del 51%. In questi casi, la parte di imposta che è stata ridotta verrà riscossa nell’ambito di una procedura di recupero di imposta. L’autorità fiscale potrà richiedere, al momento della concessione delle agevolazioni e qualora lo ritenesse necessario, delle adeguate garanzie bancarie a copertura del rischio legato al non rispetto dei predetti termini. </w:t>
      </w:r>
    </w:p>
    <w:p w14:paraId="35AC25B0" w14:textId="77777777" w:rsidR="006C604A" w:rsidRPr="004E2CEF" w:rsidRDefault="006C604A" w:rsidP="006C604A">
      <w:pPr>
        <w:rPr>
          <w:sz w:val="24"/>
          <w:szCs w:val="24"/>
        </w:rPr>
      </w:pPr>
    </w:p>
    <w:p w14:paraId="282EAE13" w14:textId="77777777" w:rsidR="006C604A" w:rsidRPr="004E2CEF" w:rsidRDefault="006C604A" w:rsidP="00100005">
      <w:pPr>
        <w:pStyle w:val="CAPITOLO3"/>
      </w:pPr>
      <w:bookmarkStart w:id="21" w:name="_Toc139991888"/>
      <w:r w:rsidRPr="004E2CEF">
        <w:t>Altri adeguamenti legislativi</w:t>
      </w:r>
      <w:bookmarkEnd w:id="21"/>
    </w:p>
    <w:p w14:paraId="21D8E047" w14:textId="77777777" w:rsidR="006C604A" w:rsidRPr="004E2CEF" w:rsidRDefault="006C604A" w:rsidP="006C604A">
      <w:pPr>
        <w:rPr>
          <w:i/>
          <w:sz w:val="24"/>
          <w:szCs w:val="24"/>
        </w:rPr>
      </w:pPr>
    </w:p>
    <w:p w14:paraId="1820C150" w14:textId="77777777" w:rsidR="006C604A" w:rsidRPr="004E2CEF" w:rsidRDefault="006C604A" w:rsidP="006C604A">
      <w:pPr>
        <w:rPr>
          <w:i/>
          <w:sz w:val="24"/>
          <w:szCs w:val="24"/>
          <w:u w:val="single"/>
        </w:rPr>
      </w:pPr>
      <w:r w:rsidRPr="004E2CEF">
        <w:rPr>
          <w:i/>
          <w:sz w:val="24"/>
          <w:szCs w:val="24"/>
          <w:u w:val="single"/>
        </w:rPr>
        <w:t>Le donazioni miste</w:t>
      </w:r>
    </w:p>
    <w:p w14:paraId="3BA4D269" w14:textId="77777777" w:rsidR="006C604A" w:rsidRPr="004E2CEF" w:rsidRDefault="006C604A" w:rsidP="006C604A">
      <w:pPr>
        <w:rPr>
          <w:i/>
          <w:sz w:val="24"/>
          <w:szCs w:val="24"/>
          <w:u w:val="single"/>
        </w:rPr>
      </w:pPr>
    </w:p>
    <w:p w14:paraId="3D28D066" w14:textId="77777777" w:rsidR="006C604A" w:rsidRPr="004E2CEF" w:rsidRDefault="006C604A" w:rsidP="006C604A">
      <w:pPr>
        <w:rPr>
          <w:sz w:val="24"/>
          <w:szCs w:val="24"/>
        </w:rPr>
      </w:pPr>
      <w:r w:rsidRPr="004E2CEF">
        <w:rPr>
          <w:sz w:val="24"/>
          <w:szCs w:val="24"/>
        </w:rPr>
        <w:t xml:space="preserve">L’attuale legge tributaria prevede che all’imposta sulle donazioni sono soggette tutte le liberalità e assegnazioni tra vivi, devolute senza una controprestazione corrispondente. Sono in particolare considerate come delle donazioni le liberalità contenute in un contratto misto o simulato (art. 142 cpv. 2 lett. e). Si tratta di una norma di difficile applicazione che, nel corso degli anni, ha sempre creato delle discussioni e delle opinioni divergenti all’interno dell’autorità fiscale in merito alla sua portata. </w:t>
      </w:r>
    </w:p>
    <w:p w14:paraId="61CFB31E" w14:textId="59CA576D" w:rsidR="006C604A" w:rsidRPr="004E2CEF" w:rsidRDefault="006C604A" w:rsidP="006C604A">
      <w:pPr>
        <w:rPr>
          <w:sz w:val="24"/>
          <w:szCs w:val="24"/>
        </w:rPr>
      </w:pPr>
      <w:r w:rsidRPr="004E2CEF">
        <w:rPr>
          <w:sz w:val="24"/>
          <w:szCs w:val="24"/>
        </w:rPr>
        <w:t>Per questi motivi, si propone di introdurre nella legge tributaria una norma, alla stregua del modello di diversi altri cantoni (BE, FR, JU, SH, SG e VD), che prevede il concetto di donazione mista, generalmente intesa e definita come una donazione che presenta una differenza manifesta (“</w:t>
      </w:r>
      <w:r w:rsidRPr="004E2CEF">
        <w:rPr>
          <w:i/>
          <w:sz w:val="24"/>
          <w:szCs w:val="24"/>
        </w:rPr>
        <w:t>ein offensichtliches Missverhältnis”; une disproportion manifeste”</w:t>
      </w:r>
      <w:r w:rsidRPr="004E2CEF">
        <w:rPr>
          <w:sz w:val="24"/>
          <w:szCs w:val="24"/>
        </w:rPr>
        <w:t>) tra prestazione e relativa controprestazione. A tal riguardo, l’autorità fiscale potrà presumere che vi sia manifesta disproporzione tra i beni trasferiti e la corrispondente controprestazione quando il valore commerciale venale dei predetti beni supera di almeno il 25% il valore della controprestazione e/o, in generale, ogniqualvolta il prezzo pagato porta a un vantaggio considerato eccessivo (effettivo arricchimento) e ingiustificato tenuto conto di tutte le circostanze del singolo caso. Per la valutazione dei beni mobili e immobili fa stato il valore commerciale degli stessi</w:t>
      </w:r>
      <w:r w:rsidR="00277DF5">
        <w:rPr>
          <w:sz w:val="24"/>
          <w:szCs w:val="24"/>
        </w:rPr>
        <w:t xml:space="preserve">. </w:t>
      </w:r>
    </w:p>
    <w:p w14:paraId="35A95159" w14:textId="77777777" w:rsidR="006C604A" w:rsidRPr="004E2CEF" w:rsidRDefault="006C604A" w:rsidP="006C604A">
      <w:pPr>
        <w:rPr>
          <w:sz w:val="24"/>
          <w:szCs w:val="24"/>
        </w:rPr>
      </w:pPr>
      <w:r w:rsidRPr="004E2CEF">
        <w:rPr>
          <w:sz w:val="24"/>
          <w:szCs w:val="24"/>
        </w:rPr>
        <w:t>Starà eventualmente al contribuente contestare la qualificazione data dall’autorità fiscale, comprovando che l’atto giuridico non è una donazione malgrado la presenza di una differenza di un certo rilievo tra le due prestazioni (= rovesciamento dell’onere della prova). Concretamente, il contribuente sarà tenuto a provare che non sussistono i requisiti oggettivi e/o soggettivi per un’imposizione tramite imposta di donazione. In particolare, che la rilevante differenza di prezzo è giustificata da elementi oggettivi (economici, strutturali, legati in maniera intrinseca al bene, ecc.) che ne influenzano la valutazione oppure che non sussiste l’elemento soggettivo dell’“</w:t>
      </w:r>
      <w:r w:rsidRPr="004E2CEF">
        <w:rPr>
          <w:i/>
          <w:sz w:val="24"/>
          <w:szCs w:val="24"/>
        </w:rPr>
        <w:t>animus donandi</w:t>
      </w:r>
      <w:r w:rsidRPr="004E2CEF">
        <w:rPr>
          <w:sz w:val="24"/>
          <w:szCs w:val="24"/>
        </w:rPr>
        <w:t>” nella fattispecie del caso. La nuova disposizione permette di avere un quadro giuridico di partenza più chiaro e univoco, senza però pregiudicare i diritti del contribuente, il quale ha la facoltà di apportare la prova dell’inesistenza di una donazione ai sensi del diritto fiscale in un caso specifico.</w:t>
      </w:r>
    </w:p>
    <w:p w14:paraId="3BA292AF" w14:textId="77777777" w:rsidR="006C604A" w:rsidRPr="004E2CEF" w:rsidRDefault="006C604A" w:rsidP="006C604A">
      <w:pPr>
        <w:rPr>
          <w:b/>
          <w:sz w:val="24"/>
          <w:szCs w:val="24"/>
          <w:u w:val="single"/>
        </w:rPr>
      </w:pPr>
    </w:p>
    <w:p w14:paraId="66E204C3" w14:textId="77777777" w:rsidR="006C604A" w:rsidRPr="004E2CEF" w:rsidRDefault="006C604A" w:rsidP="006C604A">
      <w:pPr>
        <w:rPr>
          <w:i/>
          <w:sz w:val="24"/>
          <w:szCs w:val="24"/>
          <w:u w:val="single"/>
        </w:rPr>
      </w:pPr>
      <w:r w:rsidRPr="004E2CEF">
        <w:rPr>
          <w:i/>
          <w:sz w:val="24"/>
          <w:szCs w:val="24"/>
          <w:u w:val="single"/>
        </w:rPr>
        <w:t>L’apposizione dei sigilli</w:t>
      </w:r>
    </w:p>
    <w:p w14:paraId="07DD87BB" w14:textId="77777777" w:rsidR="006C604A" w:rsidRPr="004E2CEF" w:rsidRDefault="006C604A" w:rsidP="006C604A">
      <w:pPr>
        <w:rPr>
          <w:b/>
          <w:sz w:val="24"/>
          <w:szCs w:val="24"/>
          <w:u w:val="single"/>
        </w:rPr>
      </w:pPr>
    </w:p>
    <w:p w14:paraId="58ACD112" w14:textId="77777777" w:rsidR="006C604A" w:rsidRPr="004E2CEF" w:rsidRDefault="006C604A" w:rsidP="006C604A">
      <w:pPr>
        <w:rPr>
          <w:sz w:val="24"/>
          <w:szCs w:val="24"/>
        </w:rPr>
      </w:pPr>
      <w:r w:rsidRPr="004E2CEF">
        <w:rPr>
          <w:sz w:val="24"/>
          <w:szCs w:val="24"/>
        </w:rPr>
        <w:t xml:space="preserve">L’attuale art. 170 LT prevede che in ogni caso di decesso i delegati comunali procedono immediatamente all’apposizione dei sigilli ai locali o mobili dove si presume possano trovarsi oggetti di valore, nonché alle casseforti e cassette di sicurezza presso istituti di credito o presso terzi che ne abbiano la custodia. Questa norma non corrisponde più alla prassi dei comuni, che tendono ad intervenire solo in caso di reale messa in pericolo degli attivi della successione. </w:t>
      </w:r>
    </w:p>
    <w:p w14:paraId="664F2FD6" w14:textId="77777777" w:rsidR="006C604A" w:rsidRPr="004E2CEF" w:rsidRDefault="006C604A" w:rsidP="006C604A">
      <w:pPr>
        <w:rPr>
          <w:sz w:val="24"/>
          <w:szCs w:val="24"/>
        </w:rPr>
      </w:pPr>
      <w:r w:rsidRPr="004E2CEF">
        <w:rPr>
          <w:sz w:val="24"/>
          <w:szCs w:val="24"/>
        </w:rPr>
        <w:t>Con la nuova norma si intende lasciare maggiore margine di discrezione ai comuni, come già è il caso nella prassi, tutelando comunque i diritti del fisco. I delegati comunali dovranno pertanto procedere all’apposizione dei sigilli qualora i beni rilevanti ai fini della determinazione della sostanza risultino in pericolo oppure se espressamente richiesto da uno o più eredi legali o istituiti. Tali circostanze di pericolo si possono presentare in particolare nei seguenti casi:</w:t>
      </w:r>
    </w:p>
    <w:p w14:paraId="023AD487" w14:textId="77777777" w:rsidR="006C604A" w:rsidRPr="004E2CEF" w:rsidRDefault="006C604A" w:rsidP="00E312BF">
      <w:pPr>
        <w:pStyle w:val="Paragrafoelenco"/>
        <w:numPr>
          <w:ilvl w:val="0"/>
          <w:numId w:val="25"/>
        </w:numPr>
        <w:tabs>
          <w:tab w:val="left" w:pos="540"/>
        </w:tabs>
        <w:spacing w:before="120"/>
        <w:ind w:left="1077" w:hanging="357"/>
        <w:rPr>
          <w:sz w:val="24"/>
          <w:szCs w:val="24"/>
        </w:rPr>
      </w:pPr>
      <w:r w:rsidRPr="004E2CEF">
        <w:rPr>
          <w:sz w:val="24"/>
          <w:szCs w:val="24"/>
        </w:rPr>
        <w:t>Persona deceduta sola, senza coniuge o eredi ascendenti o discendenti diretti;</w:t>
      </w:r>
    </w:p>
    <w:p w14:paraId="25F7E52F" w14:textId="77777777" w:rsidR="006C604A" w:rsidRDefault="006C604A" w:rsidP="006C604A">
      <w:pPr>
        <w:pStyle w:val="Paragrafoelenco"/>
        <w:numPr>
          <w:ilvl w:val="0"/>
          <w:numId w:val="25"/>
        </w:numPr>
        <w:tabs>
          <w:tab w:val="left" w:pos="540"/>
        </w:tabs>
        <w:rPr>
          <w:sz w:val="24"/>
          <w:szCs w:val="24"/>
        </w:rPr>
      </w:pPr>
      <w:r w:rsidRPr="004E2CEF">
        <w:rPr>
          <w:sz w:val="24"/>
          <w:szCs w:val="24"/>
        </w:rPr>
        <w:t>Circostanze personali e/o familiari problematiche e di cui il delegato è a conoscenza (litigi familiari, procedure di divorzio in corso, altro);</w:t>
      </w:r>
    </w:p>
    <w:p w14:paraId="32200103" w14:textId="77777777" w:rsidR="006C604A" w:rsidRPr="004E2CEF" w:rsidRDefault="006C604A" w:rsidP="006C604A">
      <w:pPr>
        <w:pStyle w:val="Paragrafoelenco"/>
        <w:numPr>
          <w:ilvl w:val="0"/>
          <w:numId w:val="25"/>
        </w:numPr>
        <w:tabs>
          <w:tab w:val="left" w:pos="540"/>
        </w:tabs>
        <w:rPr>
          <w:sz w:val="24"/>
          <w:szCs w:val="24"/>
        </w:rPr>
      </w:pPr>
      <w:r w:rsidRPr="004E2CEF">
        <w:rPr>
          <w:sz w:val="24"/>
          <w:szCs w:val="24"/>
        </w:rPr>
        <w:t>Presenza di un testamento di cui il delegato è a conoscenza;</w:t>
      </w:r>
    </w:p>
    <w:p w14:paraId="10D39EC5" w14:textId="77777777" w:rsidR="006C604A" w:rsidRPr="004E2CEF" w:rsidRDefault="006C604A" w:rsidP="006C604A">
      <w:pPr>
        <w:pStyle w:val="Paragrafoelenco"/>
        <w:numPr>
          <w:ilvl w:val="0"/>
          <w:numId w:val="25"/>
        </w:numPr>
        <w:tabs>
          <w:tab w:val="left" w:pos="540"/>
        </w:tabs>
        <w:rPr>
          <w:sz w:val="24"/>
          <w:szCs w:val="24"/>
        </w:rPr>
      </w:pPr>
      <w:r w:rsidRPr="004E2CEF">
        <w:rPr>
          <w:sz w:val="24"/>
          <w:szCs w:val="24"/>
        </w:rPr>
        <w:t>Decesso in circostanze anomale, che necessitano di chiarimenti da parte delle autorità competenti;</w:t>
      </w:r>
    </w:p>
    <w:p w14:paraId="217E9468" w14:textId="77777777" w:rsidR="006C604A" w:rsidRPr="004E2CEF" w:rsidRDefault="006C604A" w:rsidP="006C604A">
      <w:pPr>
        <w:pStyle w:val="Paragrafoelenco"/>
        <w:numPr>
          <w:ilvl w:val="0"/>
          <w:numId w:val="25"/>
        </w:numPr>
        <w:tabs>
          <w:tab w:val="left" w:pos="540"/>
        </w:tabs>
        <w:rPr>
          <w:sz w:val="24"/>
          <w:szCs w:val="24"/>
        </w:rPr>
      </w:pPr>
      <w:r w:rsidRPr="004E2CEF">
        <w:rPr>
          <w:sz w:val="24"/>
          <w:szCs w:val="24"/>
        </w:rPr>
        <w:t>Presenza di beni o valori di particolare rilevanza (dichiarati o non dichiarati) e di cui il delegato è venuto a conoscenza;</w:t>
      </w:r>
    </w:p>
    <w:p w14:paraId="10100D09" w14:textId="77777777" w:rsidR="006C604A" w:rsidRPr="004E2CEF" w:rsidRDefault="006C604A" w:rsidP="006C604A">
      <w:pPr>
        <w:pStyle w:val="Paragrafoelenco"/>
        <w:numPr>
          <w:ilvl w:val="0"/>
          <w:numId w:val="25"/>
        </w:numPr>
        <w:tabs>
          <w:tab w:val="left" w:pos="540"/>
        </w:tabs>
        <w:rPr>
          <w:sz w:val="24"/>
          <w:szCs w:val="24"/>
        </w:rPr>
      </w:pPr>
      <w:r w:rsidRPr="004E2CEF">
        <w:rPr>
          <w:sz w:val="24"/>
          <w:szCs w:val="24"/>
        </w:rPr>
        <w:t xml:space="preserve">Altre circostanze per cui il delegato ritiene necessario o opportuno, tenuto conto dell’insieme delle circostanze, un’apposizione dei sigilli. </w:t>
      </w:r>
    </w:p>
    <w:p w14:paraId="52D0CF09" w14:textId="77777777" w:rsidR="006C604A" w:rsidRPr="004E2CEF" w:rsidRDefault="006C604A" w:rsidP="006C604A">
      <w:pPr>
        <w:rPr>
          <w:sz w:val="24"/>
          <w:szCs w:val="24"/>
        </w:rPr>
      </w:pPr>
    </w:p>
    <w:p w14:paraId="08A5D1A8" w14:textId="3FC6C65D" w:rsidR="00277DF5" w:rsidRDefault="006C604A" w:rsidP="006C604A">
      <w:pPr>
        <w:rPr>
          <w:sz w:val="24"/>
          <w:szCs w:val="24"/>
        </w:rPr>
      </w:pPr>
      <w:r w:rsidRPr="004E2CEF">
        <w:rPr>
          <w:sz w:val="24"/>
          <w:szCs w:val="24"/>
        </w:rPr>
        <w:t>La lista non esaustiva relativa alle situazioni di pericolo potrà essere inserita all’interno del Regolamento della LT.</w:t>
      </w:r>
      <w:r w:rsidR="00C431E8">
        <w:rPr>
          <w:sz w:val="24"/>
          <w:szCs w:val="24"/>
        </w:rPr>
        <w:t xml:space="preserve"> </w:t>
      </w:r>
    </w:p>
    <w:p w14:paraId="78FCA54A" w14:textId="77777777" w:rsidR="00277DF5" w:rsidRPr="004E2CEF" w:rsidRDefault="00277DF5" w:rsidP="006C604A">
      <w:pPr>
        <w:rPr>
          <w:sz w:val="24"/>
          <w:szCs w:val="24"/>
        </w:rPr>
      </w:pPr>
    </w:p>
    <w:p w14:paraId="33115535" w14:textId="77777777" w:rsidR="006C604A" w:rsidRPr="004E2CEF" w:rsidRDefault="006C604A" w:rsidP="00100005">
      <w:pPr>
        <w:pStyle w:val="CAPITOLO2"/>
      </w:pPr>
      <w:bookmarkStart w:id="22" w:name="_Toc139991889"/>
      <w:r w:rsidRPr="004E2CEF">
        <w:t>Ripercussioni finanziarie</w:t>
      </w:r>
      <w:bookmarkEnd w:id="22"/>
    </w:p>
    <w:p w14:paraId="3AFEADE4" w14:textId="77777777" w:rsidR="006C604A" w:rsidRPr="004E2CEF" w:rsidRDefault="006C604A" w:rsidP="006C604A">
      <w:pPr>
        <w:rPr>
          <w:sz w:val="24"/>
          <w:szCs w:val="24"/>
          <w:u w:val="single"/>
        </w:rPr>
      </w:pPr>
    </w:p>
    <w:p w14:paraId="2B2B3223" w14:textId="43EC2076" w:rsidR="005813EF" w:rsidRDefault="006C604A" w:rsidP="006C604A">
      <w:pPr>
        <w:rPr>
          <w:rFonts w:cs="Arial"/>
          <w:sz w:val="24"/>
          <w:szCs w:val="24"/>
        </w:rPr>
      </w:pPr>
      <w:r w:rsidRPr="004E2CEF">
        <w:rPr>
          <w:rFonts w:cs="Arial"/>
          <w:sz w:val="24"/>
          <w:szCs w:val="24"/>
        </w:rPr>
        <w:t>Con riferimento ai dati fiscali 2022, l’impatto finanziario della revisione della struttura delle aliquote dell’imposta di successione e donazione e valutato in 4.9 milioni di franchi. Per quanto riguarda la disposizione relativa allo sgravio nel caso di successioni aziendali, il relativo impatto è stimato in 0.5 milioni di franchi.</w:t>
      </w:r>
      <w:r w:rsidR="005813EF">
        <w:rPr>
          <w:rFonts w:cs="Arial"/>
          <w:sz w:val="24"/>
          <w:szCs w:val="24"/>
        </w:rPr>
        <w:t xml:space="preserve"> </w:t>
      </w:r>
    </w:p>
    <w:p w14:paraId="54A62316" w14:textId="77777777" w:rsidR="00D36EB7" w:rsidRDefault="00D36EB7" w:rsidP="006C604A">
      <w:pPr>
        <w:rPr>
          <w:rFonts w:cs="Arial"/>
          <w:sz w:val="24"/>
          <w:szCs w:val="24"/>
        </w:rPr>
      </w:pPr>
    </w:p>
    <w:p w14:paraId="3A88DCF0" w14:textId="692E2AC2" w:rsidR="006C604A" w:rsidRPr="004E2CEF" w:rsidRDefault="006C604A" w:rsidP="006C604A">
      <w:pPr>
        <w:rPr>
          <w:rFonts w:cs="Arial"/>
          <w:sz w:val="24"/>
          <w:szCs w:val="24"/>
        </w:rPr>
      </w:pPr>
      <w:r w:rsidRPr="004E2CEF">
        <w:rPr>
          <w:rFonts w:cs="Arial"/>
          <w:sz w:val="24"/>
          <w:szCs w:val="24"/>
        </w:rPr>
        <w:t xml:space="preserve">Complessivamente la riforma dell’imposta di successione e donazione comporta pertanto un minor gettito cantonale, se confrontato con i dati fiscali del 2022, valutato in 5.4 milioni di franchi. Si ricorda che questo tributo è prelevato unicamente dal Cantone, per cui non comporta alcuna ripercussione per i Comuni. </w:t>
      </w:r>
    </w:p>
    <w:p w14:paraId="2F90A726" w14:textId="77777777" w:rsidR="006C604A" w:rsidRPr="004E2CEF" w:rsidRDefault="006C604A" w:rsidP="006C604A">
      <w:pPr>
        <w:rPr>
          <w:rFonts w:cs="Arial"/>
          <w:sz w:val="24"/>
          <w:szCs w:val="24"/>
        </w:rPr>
      </w:pPr>
    </w:p>
    <w:p w14:paraId="27E224E3" w14:textId="77777777" w:rsidR="00737825" w:rsidRDefault="00F43B97" w:rsidP="00F43B97">
      <w:pPr>
        <w:rPr>
          <w:rFonts w:cs="Arial"/>
          <w:sz w:val="24"/>
          <w:szCs w:val="24"/>
        </w:rPr>
      </w:pPr>
      <w:r w:rsidRPr="0083229F">
        <w:rPr>
          <w:rFonts w:cs="Arial"/>
          <w:sz w:val="24"/>
          <w:szCs w:val="24"/>
        </w:rPr>
        <w:t xml:space="preserve">Inoltre, per l’implementazione tecnica delle modifiche legislative inerenti all’imposta di successione e donazione si renderà necessario adeguare il nuovo applicativo informatico dell’Ufficio delle imposte di successione e donazione. I lavori previsti comportano la necessità di assumere presso il Centro sistemi informativi (CSI), a titolo temporaneo per la durata di 12 mesi, una risorsa ausiliaria con profilo di analista-programmatore, che possa fornire tutto il necessario supporto al fornitore esterno e all’utenza interna nell’implementazione della fase di analisi e concetto, nello sviluppo delle interfacce necessarie, nell’organizzazione delle “release” periodiche, nonché nel coordinamento delle sessioni di test. In caso di difficoltà di reperimento di questa risorsa si potrà eventualmente far capo a una risorsa esterna (a costi di mercato). </w:t>
      </w:r>
    </w:p>
    <w:p w14:paraId="75AFFEC2" w14:textId="77777777" w:rsidR="00737825" w:rsidRDefault="00737825" w:rsidP="00F43B97">
      <w:pPr>
        <w:rPr>
          <w:rFonts w:cs="Arial"/>
          <w:sz w:val="24"/>
          <w:szCs w:val="24"/>
        </w:rPr>
      </w:pPr>
    </w:p>
    <w:p w14:paraId="53DBEBA2" w14:textId="3AB610D1" w:rsidR="00F43B97" w:rsidRPr="0083229F" w:rsidRDefault="00F43B97" w:rsidP="00F43B97">
      <w:pPr>
        <w:rPr>
          <w:rFonts w:cs="Arial"/>
          <w:sz w:val="24"/>
          <w:szCs w:val="24"/>
        </w:rPr>
      </w:pPr>
      <w:r w:rsidRPr="0083229F">
        <w:rPr>
          <w:rFonts w:cs="Arial"/>
          <w:sz w:val="24"/>
          <w:szCs w:val="24"/>
        </w:rPr>
        <w:t xml:space="preserve">Il costo totale di tale adeguamento è stimato, al momento, in 600'000 franchi suddivisi come segue: </w:t>
      </w:r>
    </w:p>
    <w:p w14:paraId="68A6E1B0" w14:textId="77777777" w:rsidR="007D14DF" w:rsidRPr="0083229F" w:rsidRDefault="007D14DF" w:rsidP="00F43B97">
      <w:pPr>
        <w:rPr>
          <w:rFonts w:cs="Arial"/>
          <w:sz w:val="24"/>
          <w:szCs w:val="24"/>
        </w:rPr>
      </w:pPr>
    </w:p>
    <w:p w14:paraId="6B435933" w14:textId="77777777" w:rsidR="00D9729A" w:rsidRDefault="00D9729A">
      <w:r>
        <w:br w:type="page"/>
      </w:r>
    </w:p>
    <w:tbl>
      <w:tblPr>
        <w:tblStyle w:val="Grigliatabella"/>
        <w:tblW w:w="0" w:type="auto"/>
        <w:tblLook w:val="04A0" w:firstRow="1" w:lastRow="0" w:firstColumn="1" w:lastColumn="0" w:noHBand="0" w:noVBand="1"/>
      </w:tblPr>
      <w:tblGrid>
        <w:gridCol w:w="6799"/>
        <w:gridCol w:w="2676"/>
      </w:tblGrid>
      <w:tr w:rsidR="00F43B97" w:rsidRPr="0083229F" w14:paraId="23CF6E30" w14:textId="77777777" w:rsidTr="0079665F">
        <w:tc>
          <w:tcPr>
            <w:tcW w:w="6799" w:type="dxa"/>
          </w:tcPr>
          <w:p w14:paraId="06E0F8AF" w14:textId="1D449636" w:rsidR="00F43B97" w:rsidRPr="0083229F" w:rsidRDefault="00F43B97" w:rsidP="002C75B9">
            <w:pPr>
              <w:rPr>
                <w:rFonts w:cs="Arial"/>
                <w:sz w:val="24"/>
                <w:szCs w:val="24"/>
              </w:rPr>
            </w:pPr>
            <w:r w:rsidRPr="0083229F">
              <w:rPr>
                <w:rFonts w:cs="Arial"/>
                <w:b/>
                <w:sz w:val="24"/>
                <w:szCs w:val="24"/>
              </w:rPr>
              <w:t xml:space="preserve">Interventi di manutenzione evolutiva dell’applicativo da parte del fornitore esterno </w:t>
            </w:r>
            <w:r w:rsidRPr="0083229F">
              <w:rPr>
                <w:rFonts w:cs="Arial"/>
                <w:sz w:val="24"/>
                <w:szCs w:val="24"/>
              </w:rPr>
              <w:t>(preventivo di massima):</w:t>
            </w:r>
          </w:p>
          <w:p w14:paraId="7FB10A4B" w14:textId="77777777" w:rsidR="00F43B97" w:rsidRPr="0083229F" w:rsidRDefault="00F43B97" w:rsidP="002C75B9">
            <w:pPr>
              <w:pStyle w:val="Paragrafoelenco"/>
              <w:numPr>
                <w:ilvl w:val="0"/>
                <w:numId w:val="19"/>
              </w:numPr>
              <w:rPr>
                <w:rFonts w:cs="Arial"/>
                <w:i/>
                <w:sz w:val="24"/>
                <w:szCs w:val="24"/>
              </w:rPr>
            </w:pPr>
            <w:r w:rsidRPr="0083229F">
              <w:rPr>
                <w:rFonts w:cs="Arial"/>
                <w:i/>
                <w:sz w:val="24"/>
                <w:szCs w:val="24"/>
              </w:rPr>
              <w:t>Fase di analisi e concetto</w:t>
            </w:r>
          </w:p>
          <w:p w14:paraId="45E4CC57" w14:textId="6EC286F3" w:rsidR="00F43B97" w:rsidRPr="0083229F" w:rsidRDefault="00F43B97" w:rsidP="002C75B9">
            <w:pPr>
              <w:pStyle w:val="Paragrafoelenco"/>
              <w:numPr>
                <w:ilvl w:val="0"/>
                <w:numId w:val="19"/>
              </w:numPr>
              <w:rPr>
                <w:rFonts w:cs="Arial"/>
                <w:i/>
                <w:sz w:val="24"/>
                <w:szCs w:val="24"/>
              </w:rPr>
            </w:pPr>
            <w:r w:rsidRPr="0083229F">
              <w:rPr>
                <w:rFonts w:cs="Arial"/>
                <w:i/>
                <w:sz w:val="24"/>
                <w:szCs w:val="24"/>
              </w:rPr>
              <w:t>Fase di realizzazione</w:t>
            </w:r>
            <w:r w:rsidR="005813EF">
              <w:rPr>
                <w:rFonts w:cs="Arial"/>
                <w:i/>
                <w:sz w:val="24"/>
                <w:szCs w:val="24"/>
              </w:rPr>
              <w:t xml:space="preserve"> e di test</w:t>
            </w:r>
          </w:p>
          <w:p w14:paraId="4D296B0C" w14:textId="77777777" w:rsidR="00F43B97" w:rsidRPr="0083229F" w:rsidRDefault="00F43B97" w:rsidP="002C75B9">
            <w:pPr>
              <w:rPr>
                <w:rFonts w:cs="Arial"/>
                <w:sz w:val="24"/>
                <w:szCs w:val="24"/>
              </w:rPr>
            </w:pPr>
            <w:r w:rsidRPr="0083229F">
              <w:rPr>
                <w:rFonts w:cs="Arial"/>
                <w:i/>
                <w:sz w:val="24"/>
                <w:szCs w:val="24"/>
              </w:rPr>
              <w:t>+ Capo progetto</w:t>
            </w:r>
            <w:r w:rsidRPr="0083229F">
              <w:rPr>
                <w:rFonts w:cs="Arial"/>
                <w:sz w:val="24"/>
                <w:szCs w:val="24"/>
              </w:rPr>
              <w:t xml:space="preserve"> </w:t>
            </w:r>
          </w:p>
        </w:tc>
        <w:tc>
          <w:tcPr>
            <w:tcW w:w="2676" w:type="dxa"/>
          </w:tcPr>
          <w:p w14:paraId="48FC8D4A" w14:textId="77777777" w:rsidR="00F43B97" w:rsidRPr="0083229F" w:rsidRDefault="00F43B97" w:rsidP="002C75B9">
            <w:pPr>
              <w:rPr>
                <w:rFonts w:cs="Arial"/>
                <w:sz w:val="24"/>
                <w:szCs w:val="24"/>
              </w:rPr>
            </w:pPr>
          </w:p>
          <w:p w14:paraId="1BC5393C" w14:textId="77777777" w:rsidR="00F43B97" w:rsidRPr="0083229F" w:rsidRDefault="00F43B97" w:rsidP="002C75B9">
            <w:pPr>
              <w:rPr>
                <w:rFonts w:cs="Arial"/>
                <w:sz w:val="24"/>
                <w:szCs w:val="24"/>
              </w:rPr>
            </w:pPr>
          </w:p>
          <w:p w14:paraId="7831751B" w14:textId="77777777" w:rsidR="00F43B97" w:rsidRPr="0083229F" w:rsidRDefault="00F43B97" w:rsidP="002C75B9">
            <w:pPr>
              <w:jc w:val="center"/>
              <w:rPr>
                <w:rFonts w:cs="Arial"/>
                <w:sz w:val="24"/>
                <w:szCs w:val="24"/>
              </w:rPr>
            </w:pPr>
            <w:r w:rsidRPr="0083229F">
              <w:rPr>
                <w:rFonts w:cs="Arial"/>
                <w:sz w:val="24"/>
                <w:szCs w:val="24"/>
              </w:rPr>
              <w:t xml:space="preserve">Franchi 450'000 </w:t>
            </w:r>
          </w:p>
          <w:p w14:paraId="1C66837F" w14:textId="77777777" w:rsidR="00F43B97" w:rsidRPr="0083229F" w:rsidRDefault="00F43B97" w:rsidP="002C75B9">
            <w:pPr>
              <w:jc w:val="center"/>
              <w:rPr>
                <w:rFonts w:cs="Arial"/>
                <w:sz w:val="24"/>
                <w:szCs w:val="24"/>
              </w:rPr>
            </w:pPr>
            <w:r w:rsidRPr="0083229F">
              <w:rPr>
                <w:rFonts w:cs="Arial"/>
                <w:sz w:val="24"/>
                <w:szCs w:val="24"/>
              </w:rPr>
              <w:t>(IVA inclusa)</w:t>
            </w:r>
          </w:p>
        </w:tc>
      </w:tr>
      <w:tr w:rsidR="00F43B97" w:rsidRPr="0083229F" w14:paraId="32DECB49" w14:textId="77777777" w:rsidTr="0079665F">
        <w:tc>
          <w:tcPr>
            <w:tcW w:w="6799" w:type="dxa"/>
          </w:tcPr>
          <w:p w14:paraId="67C2F31D" w14:textId="77777777" w:rsidR="00F43B97" w:rsidRPr="0083229F" w:rsidRDefault="00F43B97" w:rsidP="002C75B9">
            <w:pPr>
              <w:rPr>
                <w:rFonts w:cs="Arial"/>
                <w:b/>
                <w:sz w:val="24"/>
                <w:szCs w:val="24"/>
              </w:rPr>
            </w:pPr>
            <w:r w:rsidRPr="0083229F">
              <w:rPr>
                <w:rFonts w:cs="Arial"/>
                <w:b/>
                <w:sz w:val="24"/>
                <w:szCs w:val="24"/>
              </w:rPr>
              <w:t xml:space="preserve">Risorsa ausiliaria interna o esterna </w:t>
            </w:r>
          </w:p>
        </w:tc>
        <w:tc>
          <w:tcPr>
            <w:tcW w:w="2676" w:type="dxa"/>
          </w:tcPr>
          <w:p w14:paraId="3CF58AE8" w14:textId="77777777" w:rsidR="00F43B97" w:rsidRPr="0083229F" w:rsidRDefault="00F43B97" w:rsidP="002C75B9">
            <w:pPr>
              <w:jc w:val="center"/>
              <w:rPr>
                <w:rFonts w:cs="Arial"/>
                <w:sz w:val="24"/>
                <w:szCs w:val="24"/>
              </w:rPr>
            </w:pPr>
            <w:r w:rsidRPr="0083229F">
              <w:rPr>
                <w:rFonts w:cs="Arial"/>
                <w:sz w:val="24"/>
                <w:szCs w:val="24"/>
              </w:rPr>
              <w:t>Franchi 100’000</w:t>
            </w:r>
          </w:p>
        </w:tc>
      </w:tr>
      <w:tr w:rsidR="00F43B97" w:rsidRPr="0083229F" w14:paraId="1396E26C" w14:textId="77777777" w:rsidTr="0079665F">
        <w:tc>
          <w:tcPr>
            <w:tcW w:w="6799" w:type="dxa"/>
          </w:tcPr>
          <w:p w14:paraId="282983AA" w14:textId="77777777" w:rsidR="00F43B97" w:rsidRPr="0083229F" w:rsidRDefault="00F43B97" w:rsidP="002C75B9">
            <w:pPr>
              <w:rPr>
                <w:rFonts w:cs="Arial"/>
                <w:b/>
                <w:sz w:val="24"/>
                <w:szCs w:val="24"/>
              </w:rPr>
            </w:pPr>
            <w:r w:rsidRPr="0083229F">
              <w:rPr>
                <w:rFonts w:cs="Arial"/>
                <w:b/>
                <w:sz w:val="24"/>
                <w:szCs w:val="24"/>
              </w:rPr>
              <w:t>Riserva (10%)</w:t>
            </w:r>
          </w:p>
        </w:tc>
        <w:tc>
          <w:tcPr>
            <w:tcW w:w="2676" w:type="dxa"/>
          </w:tcPr>
          <w:p w14:paraId="5BACE9EC" w14:textId="77777777" w:rsidR="00F43B97" w:rsidRPr="0083229F" w:rsidRDefault="00F43B97" w:rsidP="002C75B9">
            <w:pPr>
              <w:jc w:val="center"/>
              <w:rPr>
                <w:rFonts w:cs="Arial"/>
                <w:sz w:val="24"/>
                <w:szCs w:val="24"/>
              </w:rPr>
            </w:pPr>
            <w:r w:rsidRPr="0083229F">
              <w:rPr>
                <w:rFonts w:cs="Arial"/>
                <w:sz w:val="24"/>
                <w:szCs w:val="24"/>
              </w:rPr>
              <w:t>Franchi  50’000</w:t>
            </w:r>
          </w:p>
        </w:tc>
      </w:tr>
      <w:tr w:rsidR="00F43B97" w:rsidRPr="00F43B97" w14:paraId="46DBD249" w14:textId="77777777" w:rsidTr="0079665F">
        <w:tc>
          <w:tcPr>
            <w:tcW w:w="6799" w:type="dxa"/>
          </w:tcPr>
          <w:p w14:paraId="1E78FAFD" w14:textId="77777777" w:rsidR="00F43B97" w:rsidRPr="0083229F" w:rsidRDefault="00F43B97" w:rsidP="002C75B9">
            <w:pPr>
              <w:rPr>
                <w:rFonts w:cs="Arial"/>
                <w:sz w:val="24"/>
                <w:szCs w:val="24"/>
              </w:rPr>
            </w:pPr>
            <w:r w:rsidRPr="0083229F">
              <w:rPr>
                <w:rFonts w:cs="Arial"/>
                <w:b/>
                <w:sz w:val="24"/>
                <w:szCs w:val="24"/>
              </w:rPr>
              <w:t xml:space="preserve">Totale </w:t>
            </w:r>
          </w:p>
        </w:tc>
        <w:tc>
          <w:tcPr>
            <w:tcW w:w="2676" w:type="dxa"/>
          </w:tcPr>
          <w:p w14:paraId="224186C4" w14:textId="77777777" w:rsidR="00F43B97" w:rsidRPr="0083229F" w:rsidRDefault="00F43B97" w:rsidP="002C75B9">
            <w:pPr>
              <w:jc w:val="center"/>
              <w:rPr>
                <w:rFonts w:cs="Arial"/>
                <w:b/>
                <w:sz w:val="24"/>
                <w:szCs w:val="24"/>
              </w:rPr>
            </w:pPr>
            <w:r w:rsidRPr="0083229F">
              <w:rPr>
                <w:rFonts w:cs="Arial"/>
                <w:b/>
                <w:sz w:val="24"/>
                <w:szCs w:val="24"/>
              </w:rPr>
              <w:t>Franchi 600’000</w:t>
            </w:r>
          </w:p>
        </w:tc>
      </w:tr>
    </w:tbl>
    <w:p w14:paraId="6CEF5A4B" w14:textId="5ACA307C" w:rsidR="006C604A" w:rsidRDefault="006C604A" w:rsidP="006C604A">
      <w:pPr>
        <w:rPr>
          <w:rFonts w:cs="Arial"/>
          <w:sz w:val="24"/>
          <w:szCs w:val="24"/>
        </w:rPr>
      </w:pPr>
    </w:p>
    <w:p w14:paraId="6BFCFDEE" w14:textId="7B39BB26" w:rsidR="00792558" w:rsidRDefault="00D930C0" w:rsidP="006C604A">
      <w:pPr>
        <w:rPr>
          <w:rFonts w:cs="Arial"/>
          <w:sz w:val="24"/>
          <w:szCs w:val="24"/>
          <w:highlight w:val="green"/>
        </w:rPr>
      </w:pPr>
      <w:r w:rsidRPr="00362A92">
        <w:rPr>
          <w:rFonts w:cs="Arial"/>
          <w:sz w:val="24"/>
          <w:szCs w:val="24"/>
        </w:rPr>
        <w:t>Considerato che, a</w:t>
      </w:r>
      <w:r w:rsidR="00792558" w:rsidRPr="00362A92">
        <w:rPr>
          <w:rFonts w:cs="Arial"/>
          <w:sz w:val="24"/>
          <w:szCs w:val="24"/>
        </w:rPr>
        <w:t xml:space="preserve"> fronte dei tempi tecnici legati all’adeguamento del software informatico, l’entrata in </w:t>
      </w:r>
      <w:r w:rsidR="0083229F" w:rsidRPr="00362A92">
        <w:rPr>
          <w:rFonts w:cs="Arial"/>
          <w:sz w:val="24"/>
          <w:szCs w:val="24"/>
        </w:rPr>
        <w:t xml:space="preserve">produzione del nuovo applicativo non </w:t>
      </w:r>
      <w:r w:rsidRPr="00362A92">
        <w:rPr>
          <w:rFonts w:cs="Arial"/>
          <w:sz w:val="24"/>
          <w:szCs w:val="24"/>
        </w:rPr>
        <w:t xml:space="preserve">potrà </w:t>
      </w:r>
      <w:r w:rsidR="0083229F" w:rsidRPr="00362A92">
        <w:rPr>
          <w:rFonts w:cs="Arial"/>
          <w:sz w:val="24"/>
          <w:szCs w:val="24"/>
        </w:rPr>
        <w:t>avven</w:t>
      </w:r>
      <w:r w:rsidRPr="00362A92">
        <w:rPr>
          <w:rFonts w:cs="Arial"/>
          <w:sz w:val="24"/>
          <w:szCs w:val="24"/>
        </w:rPr>
        <w:t>ire</w:t>
      </w:r>
      <w:r w:rsidR="0083229F" w:rsidRPr="00362A92">
        <w:rPr>
          <w:rFonts w:cs="Arial"/>
          <w:sz w:val="24"/>
          <w:szCs w:val="24"/>
        </w:rPr>
        <w:t xml:space="preserve"> entro il 1° gennaio 2024</w:t>
      </w:r>
      <w:r w:rsidRPr="00362A92">
        <w:rPr>
          <w:rFonts w:cs="Arial"/>
          <w:sz w:val="24"/>
          <w:szCs w:val="24"/>
        </w:rPr>
        <w:t>, per il primo semestre 2024</w:t>
      </w:r>
      <w:r w:rsidR="00792558" w:rsidRPr="00362A92">
        <w:rPr>
          <w:rFonts w:cs="Arial"/>
          <w:sz w:val="24"/>
          <w:szCs w:val="24"/>
        </w:rPr>
        <w:t xml:space="preserve"> l’operatività</w:t>
      </w:r>
      <w:r w:rsidR="00792558" w:rsidRPr="00D930C0">
        <w:rPr>
          <w:rFonts w:cs="Arial"/>
          <w:sz w:val="24"/>
          <w:szCs w:val="24"/>
        </w:rPr>
        <w:t xml:space="preserve"> dell’Ufficio dell’imposta di successione e donazione si concentrerà prevalentemente sulle procedure di tassazione relative a donazioni e successioni apertesi prima del 31.12.2023, posticipando l’evasione dei casi apertisi </w:t>
      </w:r>
      <w:r w:rsidR="0083229F" w:rsidRPr="00D930C0">
        <w:rPr>
          <w:rFonts w:cs="Arial"/>
          <w:sz w:val="24"/>
          <w:szCs w:val="24"/>
        </w:rPr>
        <w:t>nel 2024</w:t>
      </w:r>
      <w:r w:rsidR="00792558" w:rsidRPr="00D930C0">
        <w:rPr>
          <w:rFonts w:cs="Arial"/>
          <w:sz w:val="24"/>
          <w:szCs w:val="24"/>
        </w:rPr>
        <w:t xml:space="preserve"> al momento dell’entrata in produzione del nuovo applicativo.</w:t>
      </w:r>
    </w:p>
    <w:p w14:paraId="68D7FD0A" w14:textId="77777777" w:rsidR="00792558" w:rsidRPr="004E2CEF" w:rsidRDefault="00792558" w:rsidP="006C604A">
      <w:pPr>
        <w:rPr>
          <w:rFonts w:cs="Arial"/>
          <w:sz w:val="24"/>
          <w:szCs w:val="24"/>
        </w:rPr>
      </w:pPr>
    </w:p>
    <w:p w14:paraId="3567E988" w14:textId="77777777" w:rsidR="006C604A" w:rsidRPr="004E2CEF" w:rsidRDefault="006C604A" w:rsidP="00100005">
      <w:pPr>
        <w:pStyle w:val="CAPITOLO2"/>
      </w:pPr>
      <w:bookmarkStart w:id="23" w:name="_Toc139991890"/>
      <w:r w:rsidRPr="004E2CEF">
        <w:t>Entrata in vigore e applicazione temporale delle norme</w:t>
      </w:r>
      <w:bookmarkEnd w:id="23"/>
    </w:p>
    <w:p w14:paraId="6E76CAAA" w14:textId="77777777" w:rsidR="006C604A" w:rsidRPr="004E2CEF" w:rsidRDefault="006C604A" w:rsidP="006C604A">
      <w:pPr>
        <w:rPr>
          <w:rFonts w:cs="Arial"/>
          <w:sz w:val="24"/>
          <w:szCs w:val="24"/>
        </w:rPr>
      </w:pPr>
    </w:p>
    <w:p w14:paraId="5E49C7CE" w14:textId="77777777" w:rsidR="006C604A" w:rsidRPr="004E2CEF" w:rsidRDefault="006C604A" w:rsidP="006C604A">
      <w:pPr>
        <w:rPr>
          <w:rFonts w:cs="Arial"/>
          <w:sz w:val="24"/>
          <w:szCs w:val="24"/>
        </w:rPr>
      </w:pPr>
      <w:r w:rsidRPr="004E2CEF">
        <w:rPr>
          <w:rFonts w:cs="Arial"/>
          <w:sz w:val="24"/>
          <w:szCs w:val="24"/>
        </w:rPr>
        <w:t xml:space="preserve">Si propone l’entrata in vigore di queste misure all’1.1.2024. </w:t>
      </w:r>
    </w:p>
    <w:p w14:paraId="4F8300FA" w14:textId="77777777" w:rsidR="006C604A" w:rsidRDefault="006C604A" w:rsidP="006C604A">
      <w:pPr>
        <w:rPr>
          <w:rFonts w:cs="Arial"/>
          <w:sz w:val="24"/>
          <w:szCs w:val="24"/>
        </w:rPr>
      </w:pPr>
    </w:p>
    <w:p w14:paraId="773B8C0E" w14:textId="44D1ADBD" w:rsidR="00F43B97" w:rsidRPr="00F43B97" w:rsidRDefault="006C604A" w:rsidP="00F43B97">
      <w:pPr>
        <w:rPr>
          <w:rFonts w:cs="Arial"/>
          <w:sz w:val="24"/>
          <w:szCs w:val="24"/>
        </w:rPr>
      </w:pPr>
      <w:r w:rsidRPr="004E2CEF">
        <w:rPr>
          <w:rFonts w:cs="Arial"/>
          <w:sz w:val="24"/>
          <w:szCs w:val="24"/>
        </w:rPr>
        <w:t xml:space="preserve">Per quanto attiene agli aspetti temporali, si precisa che non si ritiene necessario dover introdurre delle disposizioni transitorie specifiche all’interno della Legge tributaria. Per determinare se a una singola fattispecie è applicabile il “vecchio” o il “nuovo” diritto in ambito di imposte di successione e donazione, si dovrà infatti fare riferimento anche in futuro ai principi ancorati agli artt. 147 e 148 LT, i quali prescrivono che l’obbligazione tributaria nasce in ben determinati momenti e, di principio, al momento del decesso del </w:t>
      </w:r>
      <w:r w:rsidRPr="004E2CEF">
        <w:rPr>
          <w:rFonts w:cs="Arial"/>
          <w:i/>
          <w:sz w:val="24"/>
          <w:szCs w:val="24"/>
        </w:rPr>
        <w:t>de cujus</w:t>
      </w:r>
      <w:r w:rsidRPr="004E2CEF">
        <w:rPr>
          <w:rFonts w:cs="Arial"/>
          <w:sz w:val="24"/>
          <w:szCs w:val="24"/>
        </w:rPr>
        <w:t xml:space="preserve">, rispettivamente, al momento del trasferimento patrimoniale. </w:t>
      </w:r>
      <w:r w:rsidR="00F43B97" w:rsidRPr="0083229F">
        <w:rPr>
          <w:rFonts w:cs="Arial"/>
          <w:sz w:val="24"/>
          <w:szCs w:val="24"/>
        </w:rPr>
        <w:t>Ne consegue che saranno sottoposte al nuovo diritto tributario unicamente le donazioni e successioni nate dopo il 31.12.2023.</w:t>
      </w:r>
      <w:r w:rsidR="00F43B97" w:rsidRPr="00F43B97">
        <w:rPr>
          <w:rFonts w:cs="Arial"/>
          <w:sz w:val="24"/>
          <w:szCs w:val="24"/>
        </w:rPr>
        <w:t xml:space="preserve"> </w:t>
      </w:r>
    </w:p>
    <w:p w14:paraId="1501CE62" w14:textId="77777777" w:rsidR="00F43B97" w:rsidRPr="004E2CEF" w:rsidRDefault="00F43B97" w:rsidP="00F43B97">
      <w:pPr>
        <w:pStyle w:val="ListNumeric12"/>
        <w:numPr>
          <w:ilvl w:val="0"/>
          <w:numId w:val="0"/>
        </w:numPr>
        <w:rPr>
          <w:b/>
        </w:rPr>
      </w:pPr>
    </w:p>
    <w:p w14:paraId="6B772EC1" w14:textId="77777777" w:rsidR="006C604A" w:rsidRPr="004E2CEF" w:rsidRDefault="006C604A" w:rsidP="00100005">
      <w:pPr>
        <w:pStyle w:val="CAPITOLO1"/>
        <w:numPr>
          <w:ilvl w:val="0"/>
          <w:numId w:val="30"/>
        </w:numPr>
        <w:ind w:left="851" w:hanging="851"/>
      </w:pPr>
      <w:bookmarkStart w:id="24" w:name="_Toc139991891"/>
      <w:r w:rsidRPr="004E2CEF">
        <w:t>Adeguamento dell’imposizione delle prestazioni in capitale della previdenza</w:t>
      </w:r>
      <w:bookmarkEnd w:id="24"/>
    </w:p>
    <w:p w14:paraId="56498086" w14:textId="77777777" w:rsidR="006C604A" w:rsidRPr="004E2CEF" w:rsidRDefault="006C604A" w:rsidP="00100005">
      <w:pPr>
        <w:pStyle w:val="CAPITOLO1"/>
        <w:numPr>
          <w:ilvl w:val="0"/>
          <w:numId w:val="0"/>
        </w:numPr>
        <w:ind w:left="720"/>
      </w:pPr>
    </w:p>
    <w:p w14:paraId="5CD4696C" w14:textId="77777777" w:rsidR="006C604A" w:rsidRPr="004E2CEF" w:rsidRDefault="006C604A" w:rsidP="00100005">
      <w:pPr>
        <w:pStyle w:val="CAPITOLO2"/>
      </w:pPr>
      <w:bookmarkStart w:id="25" w:name="_Toc139991892"/>
      <w:r w:rsidRPr="004E2CEF">
        <w:t>Situazione attuale e scelte legislative</w:t>
      </w:r>
      <w:bookmarkEnd w:id="25"/>
    </w:p>
    <w:p w14:paraId="5BDD3EC8" w14:textId="77777777" w:rsidR="006C604A" w:rsidRPr="004E2CEF" w:rsidRDefault="006C604A" w:rsidP="006C604A">
      <w:pPr>
        <w:rPr>
          <w:sz w:val="24"/>
          <w:szCs w:val="24"/>
        </w:rPr>
      </w:pPr>
    </w:p>
    <w:p w14:paraId="2AA0D731" w14:textId="2EEC70ED" w:rsidR="006C604A" w:rsidRPr="004E2CEF" w:rsidRDefault="006C604A" w:rsidP="006C604A">
      <w:pPr>
        <w:rPr>
          <w:sz w:val="24"/>
          <w:szCs w:val="24"/>
        </w:rPr>
      </w:pPr>
      <w:r w:rsidRPr="004E2CEF">
        <w:rPr>
          <w:sz w:val="24"/>
          <w:szCs w:val="24"/>
        </w:rPr>
        <w:t xml:space="preserve">Conformemente all’art. 11 cpv. 3 LAID, in Svizzera le prestazioni in capitale versate da istituti di previdenza, come pure i versamenti in caso di morte o di danni durevoli al corpo e alla salute, sono imposti separatamente e soggiacciono ad un’imposta annua intera.  Ai Cantoni è lasciata la libertà di scegliere come declinare concretamente quanto sancito dalla legge quadro federale, ciò che ha portato ad avere molteplici sistemi diversi sul piano intercantonale (per il dettaglio, si rimanda alla Tabella </w:t>
      </w:r>
      <w:r>
        <w:rPr>
          <w:sz w:val="24"/>
          <w:szCs w:val="24"/>
        </w:rPr>
        <w:t>5</w:t>
      </w:r>
      <w:r w:rsidRPr="004E2CEF">
        <w:rPr>
          <w:sz w:val="24"/>
          <w:szCs w:val="24"/>
        </w:rPr>
        <w:t xml:space="preserve"> allegata). </w:t>
      </w:r>
    </w:p>
    <w:p w14:paraId="776C2C7E" w14:textId="77777777" w:rsidR="006C604A" w:rsidRPr="004E2CEF" w:rsidRDefault="006C604A" w:rsidP="006C604A">
      <w:pPr>
        <w:rPr>
          <w:sz w:val="24"/>
          <w:szCs w:val="24"/>
        </w:rPr>
      </w:pPr>
    </w:p>
    <w:p w14:paraId="0BF3D8BC" w14:textId="77777777" w:rsidR="006C604A" w:rsidRPr="004E2CEF" w:rsidRDefault="006C604A" w:rsidP="006C604A">
      <w:pPr>
        <w:rPr>
          <w:sz w:val="24"/>
          <w:szCs w:val="24"/>
        </w:rPr>
      </w:pPr>
      <w:r w:rsidRPr="004E2CEF">
        <w:rPr>
          <w:sz w:val="24"/>
          <w:szCs w:val="24"/>
        </w:rPr>
        <w:t>In Ticino questa particolare tipologia d’imposta è regolata all’art. 38 LT, il cui capoverso 2 stabilisce che “</w:t>
      </w:r>
      <w:r w:rsidRPr="004E2CEF">
        <w:rPr>
          <w:i/>
          <w:sz w:val="24"/>
          <w:szCs w:val="24"/>
        </w:rPr>
        <w:t>l’imposta è calcolata con l’aliquota che sarebbe applicabile se al posto della prestazione unica fosse versata una prestazione annua corrispondente. L’aliquota minima è del 2%</w:t>
      </w:r>
      <w:r w:rsidRPr="004E2CEF">
        <w:rPr>
          <w:sz w:val="24"/>
          <w:szCs w:val="24"/>
        </w:rPr>
        <w:t xml:space="preserve">”. </w:t>
      </w:r>
    </w:p>
    <w:p w14:paraId="24CE5A9F" w14:textId="34A101C8" w:rsidR="00100005" w:rsidRDefault="00100005">
      <w:pPr>
        <w:rPr>
          <w:sz w:val="24"/>
          <w:szCs w:val="24"/>
        </w:rPr>
      </w:pPr>
    </w:p>
    <w:p w14:paraId="26022FAC" w14:textId="77777777" w:rsidR="005B39D3" w:rsidRDefault="006C604A" w:rsidP="006C604A">
      <w:pPr>
        <w:rPr>
          <w:sz w:val="24"/>
          <w:szCs w:val="24"/>
        </w:rPr>
      </w:pPr>
      <w:r w:rsidRPr="004E2CEF">
        <w:rPr>
          <w:sz w:val="24"/>
          <w:szCs w:val="24"/>
        </w:rPr>
        <w:t xml:space="preserve">Concretamente, per determinare l’aliquota d’imposta da applicare al capitale previdenziale versato al contribuente, viene operata una simulazione di quale sarebbe la rendita </w:t>
      </w:r>
      <w:r w:rsidR="005B39D3">
        <w:rPr>
          <w:sz w:val="24"/>
          <w:szCs w:val="24"/>
        </w:rPr>
        <w:br/>
      </w:r>
    </w:p>
    <w:p w14:paraId="1B7753B1" w14:textId="3EF70832" w:rsidR="006C604A" w:rsidRPr="004E2CEF" w:rsidRDefault="006C604A" w:rsidP="006C604A">
      <w:pPr>
        <w:rPr>
          <w:sz w:val="24"/>
          <w:szCs w:val="24"/>
        </w:rPr>
      </w:pPr>
      <w:r w:rsidRPr="004E2CEF">
        <w:rPr>
          <w:sz w:val="24"/>
          <w:szCs w:val="24"/>
        </w:rPr>
        <w:t xml:space="preserve">corrispondente a tale capitale in funzione della speranza di vita del contribuente (definita in base all’età e al genere). La rendita così ottenuta funge da riferimento per la determinazione dell’aliquota da applicare alla prestazione in capitale secondo le consuete scale delle aliquote dell’imposta sul reddito di cui all’art. 35 LT. </w:t>
      </w:r>
    </w:p>
    <w:p w14:paraId="4BD25D2E" w14:textId="77777777" w:rsidR="006C604A" w:rsidRPr="004E2CEF" w:rsidRDefault="006C604A" w:rsidP="006C604A">
      <w:pPr>
        <w:rPr>
          <w:sz w:val="24"/>
          <w:szCs w:val="24"/>
        </w:rPr>
      </w:pPr>
    </w:p>
    <w:p w14:paraId="604D8A2C" w14:textId="016BD3DF" w:rsidR="006C604A" w:rsidRPr="004E2CEF" w:rsidRDefault="006C604A" w:rsidP="006C604A">
      <w:pPr>
        <w:rPr>
          <w:sz w:val="24"/>
          <w:szCs w:val="24"/>
        </w:rPr>
      </w:pPr>
      <w:r w:rsidRPr="004E2CEF">
        <w:rPr>
          <w:sz w:val="24"/>
          <w:szCs w:val="24"/>
        </w:rPr>
        <w:t>Essendo le aliquote ticinesi dell’imposta sul reddito</w:t>
      </w:r>
      <w:r w:rsidRPr="0083229F">
        <w:rPr>
          <w:sz w:val="24"/>
          <w:szCs w:val="24"/>
        </w:rPr>
        <w:t xml:space="preserve">, come </w:t>
      </w:r>
      <w:r w:rsidR="00C431E8" w:rsidRPr="0083229F">
        <w:rPr>
          <w:sz w:val="24"/>
          <w:szCs w:val="24"/>
        </w:rPr>
        <w:t>si vedrà nel capitolo seguente</w:t>
      </w:r>
      <w:r w:rsidRPr="0083229F">
        <w:rPr>
          <w:sz w:val="24"/>
          <w:szCs w:val="24"/>
        </w:rPr>
        <w:t>, particolarmente penalizzanti per i redditi elevati, ne consegue che anche per quanto riguarda l’imposizione dei grandi capitali previdenziali il Ticino risulta comparativamente molto più oneroso rispetto al resto della Svizzera. Infatti, come si può evincere nella Tabella 6 allegata, il posizionamento del Ticino nel raffronto intercantonale dell’onere fiscale dell’imposizione della previdenza ricalca grosso modo quello ai fini dell’imposta sul reddito. Per le prestazioni in capitale di 500’000 franchi, il Canton Ticino può essere definito concorrenziale (10° rango), mentre per le prestazioni a partire da 1’000’000 di franchi, la progressività delle aliquote sale sensibilmente ciò che porta il Canton Ticino</w:t>
      </w:r>
      <w:r w:rsidRPr="004E2CEF">
        <w:rPr>
          <w:sz w:val="24"/>
          <w:szCs w:val="24"/>
        </w:rPr>
        <w:t xml:space="preserve"> a situarsi all’ultimo posto di questa speciale classifica (26° rango). </w:t>
      </w:r>
    </w:p>
    <w:p w14:paraId="19BA995F" w14:textId="77777777" w:rsidR="006C604A" w:rsidRDefault="006C604A" w:rsidP="006C604A">
      <w:pPr>
        <w:rPr>
          <w:sz w:val="24"/>
          <w:szCs w:val="24"/>
        </w:rPr>
      </w:pPr>
    </w:p>
    <w:p w14:paraId="269A8DC2" w14:textId="77777777" w:rsidR="006C604A" w:rsidRPr="004E2CEF" w:rsidRDefault="006C604A" w:rsidP="006C604A">
      <w:pPr>
        <w:rPr>
          <w:sz w:val="24"/>
          <w:szCs w:val="24"/>
        </w:rPr>
      </w:pPr>
      <w:r w:rsidRPr="004E2CEF">
        <w:rPr>
          <w:sz w:val="24"/>
          <w:szCs w:val="24"/>
        </w:rPr>
        <w:t xml:space="preserve">Ciò ha indotto in passato diversi contribuenti con averi previdenziali rilevanti a spostarsi in altri Cantoni pochi anni prima del pensionamento per evitare un prelievo eccessivo e beneficiare così di un importante risparmio fiscale. A titolo esemplificativo, basti pensare che il prelievo fiscale su un capitale previdenziale di 2.5 milioni di franchi di un contribuente non coniugato domiciliato a Lumino (TI) ammonta a 522’531 franchi, mentre nel Comune limitrofo di San Vittore (GR) solo a 145’000 franchi. Spostando il domicilio di pochi passi, il risparmio ammonta a 377’531 franchi (-72%). </w:t>
      </w:r>
    </w:p>
    <w:p w14:paraId="123D0074" w14:textId="77777777" w:rsidR="006C604A" w:rsidRPr="004E2CEF" w:rsidRDefault="006C604A" w:rsidP="006C604A">
      <w:pPr>
        <w:rPr>
          <w:sz w:val="24"/>
          <w:szCs w:val="24"/>
        </w:rPr>
      </w:pPr>
    </w:p>
    <w:p w14:paraId="494725BA" w14:textId="77777777" w:rsidR="006C604A" w:rsidRPr="004E2CEF" w:rsidRDefault="006C604A" w:rsidP="006C604A">
      <w:pPr>
        <w:rPr>
          <w:sz w:val="24"/>
          <w:szCs w:val="24"/>
        </w:rPr>
      </w:pPr>
      <w:r w:rsidRPr="004E2CEF">
        <w:rPr>
          <w:sz w:val="24"/>
          <w:szCs w:val="24"/>
        </w:rPr>
        <w:t>Tenuto conto di quanto precede, riteniamo opportuno correggere questa situazione in quanto, oltre a evitare la fuga di contribuenti importanti dal profilo del gettito fiscale, un adeguamento dell’imposizione dei capitali previdenziali potrebbe anche contribuire ad attrarne di nuovi, si pensi ad esempio ai molti confederati proprietari di residenze secondarie nel nostro Cantone.</w:t>
      </w:r>
    </w:p>
    <w:p w14:paraId="2D9F1A6C" w14:textId="340D48E7" w:rsidR="006C604A" w:rsidRPr="004E2CEF" w:rsidRDefault="006C604A" w:rsidP="006C604A">
      <w:pPr>
        <w:rPr>
          <w:rFonts w:cs="Arial"/>
          <w:sz w:val="24"/>
          <w:szCs w:val="24"/>
        </w:rPr>
      </w:pPr>
      <w:r w:rsidRPr="004E2CEF">
        <w:rPr>
          <w:sz w:val="24"/>
          <w:szCs w:val="24"/>
        </w:rPr>
        <w:t>Per fare ciò si propone di plafonare l’aliquota massima ai fini dell’imposizione delle prestazioni in capitale della previdenza al 3%. Questa misura permetterà al Ticino di migliorare il proprio posizionamento nel raffronto intercantonale per quanto riguarda l’imposizione delle prestazioni in capitale (passando dal 26° al 9° rango a partire da capitali di 1’000'000 di franchi per le persone sole) e ai contribuenti di conseguire importanti risparmi fiscali rispetto alla situazione odierna, scoraggiando così le partenze fuori Cantone in prossimità del pensionamento</w:t>
      </w:r>
      <w:r>
        <w:rPr>
          <w:sz w:val="24"/>
          <w:szCs w:val="24"/>
        </w:rPr>
        <w:t xml:space="preserve"> </w:t>
      </w:r>
      <w:r w:rsidRPr="0083229F">
        <w:rPr>
          <w:sz w:val="24"/>
          <w:szCs w:val="24"/>
        </w:rPr>
        <w:t>e favorendo l’arrivo di nuovi contribuenti.</w:t>
      </w:r>
      <w:r w:rsidRPr="004E2CEF">
        <w:rPr>
          <w:sz w:val="24"/>
          <w:szCs w:val="24"/>
        </w:rPr>
        <w:t xml:space="preserve"> </w:t>
      </w:r>
    </w:p>
    <w:p w14:paraId="4BC57348" w14:textId="77777777" w:rsidR="006C604A" w:rsidRPr="004E2CEF" w:rsidRDefault="006C604A" w:rsidP="006C604A">
      <w:pPr>
        <w:rPr>
          <w:sz w:val="24"/>
          <w:szCs w:val="24"/>
        </w:rPr>
      </w:pPr>
    </w:p>
    <w:p w14:paraId="70E46705" w14:textId="77777777" w:rsidR="006C604A" w:rsidRPr="004E2CEF" w:rsidRDefault="006C604A" w:rsidP="00100005">
      <w:pPr>
        <w:pStyle w:val="CAPITOLO2"/>
      </w:pPr>
      <w:bookmarkStart w:id="26" w:name="_Toc139991893"/>
      <w:r w:rsidRPr="004E2CEF">
        <w:t>Ripercussioni finanziarie</w:t>
      </w:r>
      <w:bookmarkEnd w:id="26"/>
      <w:r w:rsidRPr="004E2CEF">
        <w:t xml:space="preserve"> </w:t>
      </w:r>
    </w:p>
    <w:p w14:paraId="0551312B" w14:textId="77777777" w:rsidR="006C604A" w:rsidRPr="004E2CEF" w:rsidRDefault="006C604A" w:rsidP="006C604A">
      <w:pPr>
        <w:rPr>
          <w:rFonts w:cs="Arial"/>
          <w:sz w:val="24"/>
          <w:szCs w:val="24"/>
        </w:rPr>
      </w:pPr>
    </w:p>
    <w:p w14:paraId="16D7E5F6" w14:textId="77777777" w:rsidR="006C604A" w:rsidRPr="004E2CEF" w:rsidRDefault="006C604A" w:rsidP="006C604A">
      <w:pPr>
        <w:rPr>
          <w:rFonts w:cs="Arial"/>
          <w:sz w:val="24"/>
          <w:szCs w:val="24"/>
        </w:rPr>
      </w:pPr>
      <w:r w:rsidRPr="004E2CEF">
        <w:rPr>
          <w:sz w:val="24"/>
          <w:szCs w:val="24"/>
        </w:rPr>
        <w:t>Con riferimento ai dati fiscali 2017 attualizzati ai dati di consuntivo 2022, l</w:t>
      </w:r>
      <w:r w:rsidRPr="004E2CEF">
        <w:rPr>
          <w:rFonts w:cs="Arial"/>
          <w:sz w:val="24"/>
          <w:szCs w:val="24"/>
        </w:rPr>
        <w:t>’impatto finanziario dell’introduzione di un’aliquota massima ai fini dell’imposizione dei capitali previdenziali è valutato in 2.2 milioni di franchi per il Cantone e in 1.8 milioni per i Comuni. Tale impatto potrebbe tuttavia venir almeno in parte compensato dalla minor fuga di contribuenti e/o dall’arrivo di nuovi.</w:t>
      </w:r>
    </w:p>
    <w:p w14:paraId="281E4DDF" w14:textId="77777777" w:rsidR="00100005" w:rsidRPr="004E2CEF" w:rsidRDefault="00100005" w:rsidP="006C604A">
      <w:pPr>
        <w:rPr>
          <w:rFonts w:cs="Arial"/>
          <w:sz w:val="24"/>
          <w:szCs w:val="24"/>
        </w:rPr>
      </w:pPr>
    </w:p>
    <w:p w14:paraId="08361538" w14:textId="77777777" w:rsidR="006C604A" w:rsidRPr="004E2CEF" w:rsidRDefault="006C604A" w:rsidP="00100005">
      <w:pPr>
        <w:pStyle w:val="CAPITOLO2"/>
      </w:pPr>
      <w:bookmarkStart w:id="27" w:name="_Toc139991894"/>
      <w:r w:rsidRPr="004E2CEF">
        <w:t>Entrata in vigore</w:t>
      </w:r>
      <w:bookmarkEnd w:id="27"/>
    </w:p>
    <w:p w14:paraId="1DD8BD51" w14:textId="77777777" w:rsidR="006C604A" w:rsidRPr="004E2CEF" w:rsidRDefault="006C604A" w:rsidP="006C604A">
      <w:pPr>
        <w:rPr>
          <w:rFonts w:cs="Arial"/>
          <w:sz w:val="24"/>
          <w:szCs w:val="24"/>
        </w:rPr>
      </w:pPr>
    </w:p>
    <w:p w14:paraId="64FED581" w14:textId="186603FE" w:rsidR="006C604A" w:rsidRDefault="006C604A" w:rsidP="006C604A">
      <w:pPr>
        <w:rPr>
          <w:rFonts w:cs="Arial"/>
          <w:sz w:val="24"/>
          <w:szCs w:val="24"/>
        </w:rPr>
      </w:pPr>
      <w:r w:rsidRPr="004E2CEF">
        <w:rPr>
          <w:rFonts w:cs="Arial"/>
          <w:sz w:val="24"/>
          <w:szCs w:val="24"/>
        </w:rPr>
        <w:t xml:space="preserve">Si propone l’entrata in vigore di questa misura all’1.1.2024. </w:t>
      </w:r>
    </w:p>
    <w:p w14:paraId="0E238DAC" w14:textId="77777777" w:rsidR="007D14DF" w:rsidRPr="004E2CEF" w:rsidRDefault="007D14DF" w:rsidP="006C604A">
      <w:pPr>
        <w:rPr>
          <w:rFonts w:cs="Arial"/>
          <w:sz w:val="24"/>
          <w:szCs w:val="24"/>
        </w:rPr>
      </w:pPr>
    </w:p>
    <w:p w14:paraId="38F2A136" w14:textId="0C661383" w:rsidR="002B1B37" w:rsidRPr="004E2CEF" w:rsidRDefault="002B1B37" w:rsidP="00100005">
      <w:pPr>
        <w:pStyle w:val="CAPITOLO1"/>
        <w:numPr>
          <w:ilvl w:val="0"/>
          <w:numId w:val="30"/>
        </w:numPr>
        <w:ind w:left="851" w:hanging="851"/>
      </w:pPr>
      <w:bookmarkStart w:id="28" w:name="_Toc139991895"/>
      <w:r w:rsidRPr="004E2CEF">
        <w:t>Riduzione dell’aliquota massima dell’imposta sul reddito</w:t>
      </w:r>
      <w:bookmarkEnd w:id="28"/>
    </w:p>
    <w:p w14:paraId="4F1F5EB8" w14:textId="77777777" w:rsidR="00040794" w:rsidRPr="004E2CEF" w:rsidRDefault="00040794" w:rsidP="00100005">
      <w:pPr>
        <w:pStyle w:val="CAPITOLO1"/>
        <w:numPr>
          <w:ilvl w:val="0"/>
          <w:numId w:val="0"/>
        </w:numPr>
        <w:ind w:left="567"/>
      </w:pPr>
    </w:p>
    <w:p w14:paraId="0181AB57" w14:textId="7B038809" w:rsidR="00CB6B07" w:rsidRPr="004E2CEF" w:rsidRDefault="00CB6B07" w:rsidP="00100005">
      <w:pPr>
        <w:pStyle w:val="CAPITOLO2"/>
      </w:pPr>
      <w:bookmarkStart w:id="29" w:name="_Toc139991896"/>
      <w:r w:rsidRPr="004E2CEF">
        <w:t>Situazione attuale e scelte legislative</w:t>
      </w:r>
      <w:bookmarkEnd w:id="29"/>
    </w:p>
    <w:p w14:paraId="6696CAB2" w14:textId="77777777" w:rsidR="00CB6B07" w:rsidRPr="004E2CEF" w:rsidRDefault="00CB6B07" w:rsidP="00CB6B07">
      <w:pPr>
        <w:pStyle w:val="StandardRisoluzionedelConsigliodiStato"/>
        <w:ind w:right="-1"/>
        <w:rPr>
          <w:szCs w:val="24"/>
        </w:rPr>
      </w:pPr>
    </w:p>
    <w:p w14:paraId="41EB014E" w14:textId="77777777" w:rsidR="00912821" w:rsidRPr="004E2CEF" w:rsidRDefault="00912821" w:rsidP="00912821">
      <w:pPr>
        <w:pStyle w:val="StandardRisoluzionedelConsigliodiStato"/>
        <w:ind w:right="-1"/>
        <w:rPr>
          <w:szCs w:val="24"/>
        </w:rPr>
      </w:pPr>
      <w:r w:rsidRPr="004E2CEF">
        <w:rPr>
          <w:szCs w:val="24"/>
        </w:rPr>
        <w:t xml:space="preserve">Da ormai molti anni il nostro Cantone si contraddistingue nel contesto intercantonale per essere un territorio con una fiscalità attrattiva per i bassi redditi, moderata per i redditi medi e poco interessante per gli alti redditi. </w:t>
      </w:r>
    </w:p>
    <w:p w14:paraId="6F9DEF31" w14:textId="77777777" w:rsidR="00912821" w:rsidRPr="004E2CEF" w:rsidRDefault="00912821" w:rsidP="00912821">
      <w:pPr>
        <w:pStyle w:val="StandardRisoluzionedelConsigliodiStato"/>
        <w:ind w:right="-1"/>
        <w:rPr>
          <w:szCs w:val="24"/>
        </w:rPr>
      </w:pPr>
    </w:p>
    <w:p w14:paraId="18EE0D2F" w14:textId="77B5FF36" w:rsidR="00912821" w:rsidRPr="004E2CEF" w:rsidRDefault="00912821" w:rsidP="00912821">
      <w:pPr>
        <w:pStyle w:val="StandardRisoluzionedelConsigliodiStato"/>
        <w:ind w:right="-1"/>
        <w:rPr>
          <w:szCs w:val="24"/>
        </w:rPr>
      </w:pPr>
      <w:r w:rsidRPr="004E2CEF">
        <w:rPr>
          <w:szCs w:val="24"/>
        </w:rPr>
        <w:t>L’impronta particolarmente sociale del nostro ordinamento tributario è confermata dall’</w:t>
      </w:r>
      <w:r w:rsidRPr="004E2CEF">
        <w:rPr>
          <w:rFonts w:cs="Arial"/>
          <w:szCs w:val="24"/>
        </w:rPr>
        <w:t xml:space="preserve">analisi comparativa della struttura delle aliquote dell’imposta sul reddito della Legge tributaria cantonale con quelle in vigore negli altri Cantoni. Come si può evincere nel grafico seguente, </w:t>
      </w:r>
      <w:r w:rsidRPr="004E2CEF">
        <w:rPr>
          <w:rFonts w:eastAsia="Cambria" w:cs="Arial"/>
          <w:szCs w:val="24"/>
        </w:rPr>
        <w:t>nelle fasce di reddito basse e medio-basse le persone sole possono beneficiare in Ticino di un trattamento fiscale favorevole sul piano intercantonale fino a dei redditi lordi di 50'000 franchi (</w:t>
      </w:r>
      <w:r w:rsidR="006C604A">
        <w:rPr>
          <w:rFonts w:eastAsia="Cambria" w:cs="Arial"/>
          <w:szCs w:val="24"/>
        </w:rPr>
        <w:t>7</w:t>
      </w:r>
      <w:r w:rsidRPr="004E2CEF">
        <w:rPr>
          <w:rFonts w:eastAsia="Cambria" w:cs="Arial"/>
          <w:szCs w:val="24"/>
        </w:rPr>
        <w:t xml:space="preserve">° rango) e nella media svizzera fino a dei redditi lordi di </w:t>
      </w:r>
      <w:r w:rsidR="00392EA6" w:rsidRPr="004E2CEF">
        <w:rPr>
          <w:rFonts w:eastAsia="Cambria" w:cs="Arial"/>
          <w:szCs w:val="24"/>
        </w:rPr>
        <w:t>9</w:t>
      </w:r>
      <w:r w:rsidR="00526EC3" w:rsidRPr="004E2CEF">
        <w:rPr>
          <w:rFonts w:eastAsia="Cambria" w:cs="Arial"/>
          <w:szCs w:val="24"/>
        </w:rPr>
        <w:t>0</w:t>
      </w:r>
      <w:r w:rsidRPr="004E2CEF">
        <w:rPr>
          <w:rFonts w:eastAsia="Cambria" w:cs="Arial"/>
          <w:szCs w:val="24"/>
        </w:rPr>
        <w:t>'000 franchi (1</w:t>
      </w:r>
      <w:r w:rsidR="00526EC3" w:rsidRPr="004E2CEF">
        <w:rPr>
          <w:rFonts w:eastAsia="Cambria" w:cs="Arial"/>
          <w:szCs w:val="24"/>
        </w:rPr>
        <w:t>4</w:t>
      </w:r>
      <w:r w:rsidRPr="004E2CEF">
        <w:rPr>
          <w:rFonts w:eastAsia="Cambria" w:cs="Arial"/>
          <w:szCs w:val="24"/>
        </w:rPr>
        <w:t>° rango). Anche per quanto riguarda i coniugati il Ticino risulta favorevole fino a redditi lordi di 100'000 franchi (</w:t>
      </w:r>
      <w:r w:rsidR="00392EA6" w:rsidRPr="004E2CEF">
        <w:rPr>
          <w:rFonts w:eastAsia="Cambria" w:cs="Arial"/>
          <w:szCs w:val="24"/>
        </w:rPr>
        <w:t>10</w:t>
      </w:r>
      <w:r w:rsidRPr="004E2CEF">
        <w:rPr>
          <w:rFonts w:eastAsia="Cambria" w:cs="Arial"/>
          <w:szCs w:val="24"/>
        </w:rPr>
        <w:t>° rango per i coniugati senza figli</w:t>
      </w:r>
      <w:r w:rsidR="00392EA6" w:rsidRPr="004E2CEF">
        <w:rPr>
          <w:rFonts w:eastAsia="Cambria" w:cs="Arial"/>
          <w:szCs w:val="24"/>
        </w:rPr>
        <w:t>, 4° rango per i coniugati con 2 figli</w:t>
      </w:r>
      <w:r w:rsidRPr="004E2CEF">
        <w:rPr>
          <w:rFonts w:eastAsia="Cambria" w:cs="Arial"/>
          <w:szCs w:val="24"/>
        </w:rPr>
        <w:t xml:space="preserve">) e </w:t>
      </w:r>
      <w:r w:rsidR="00392EA6" w:rsidRPr="004E2CEF">
        <w:rPr>
          <w:rFonts w:eastAsia="Cambria" w:cs="Arial"/>
          <w:szCs w:val="24"/>
        </w:rPr>
        <w:t>appena sopra l</w:t>
      </w:r>
      <w:r w:rsidRPr="004E2CEF">
        <w:rPr>
          <w:rFonts w:eastAsia="Cambria" w:cs="Arial"/>
          <w:szCs w:val="24"/>
        </w:rPr>
        <w:t xml:space="preserve">a media </w:t>
      </w:r>
      <w:r w:rsidR="00392EA6" w:rsidRPr="004E2CEF">
        <w:rPr>
          <w:rFonts w:eastAsia="Cambria" w:cs="Arial"/>
          <w:szCs w:val="24"/>
        </w:rPr>
        <w:t>a partire da 150</w:t>
      </w:r>
      <w:r w:rsidRPr="004E2CEF">
        <w:rPr>
          <w:rFonts w:eastAsia="Cambria" w:cs="Arial"/>
          <w:szCs w:val="24"/>
        </w:rPr>
        <w:t>'000 franchi (1</w:t>
      </w:r>
      <w:r w:rsidR="00392EA6" w:rsidRPr="004E2CEF">
        <w:rPr>
          <w:rFonts w:eastAsia="Cambria" w:cs="Arial"/>
          <w:szCs w:val="24"/>
        </w:rPr>
        <w:t>6</w:t>
      </w:r>
      <w:r w:rsidRPr="004E2CEF">
        <w:rPr>
          <w:rFonts w:eastAsia="Cambria" w:cs="Arial"/>
          <w:szCs w:val="24"/>
        </w:rPr>
        <w:t>° rango per i coniugati senza figli e 1</w:t>
      </w:r>
      <w:r w:rsidR="00392EA6" w:rsidRPr="004E2CEF">
        <w:rPr>
          <w:rFonts w:eastAsia="Cambria" w:cs="Arial"/>
          <w:szCs w:val="24"/>
        </w:rPr>
        <w:t>5</w:t>
      </w:r>
      <w:r w:rsidRPr="004E2CEF">
        <w:rPr>
          <w:rFonts w:eastAsia="Cambria" w:cs="Arial"/>
          <w:szCs w:val="24"/>
        </w:rPr>
        <w:t>° rango per i coniugati con 2 figli).</w:t>
      </w:r>
      <w:r w:rsidRPr="004E2CEF">
        <w:rPr>
          <w:szCs w:val="24"/>
        </w:rPr>
        <w:t xml:space="preserve"> Al contrario, per i redditi molto elevati (pari a </w:t>
      </w:r>
      <w:r w:rsidR="00C431E8">
        <w:rPr>
          <w:szCs w:val="24"/>
        </w:rPr>
        <w:t>1’00</w:t>
      </w:r>
      <w:r w:rsidR="00392EA6" w:rsidRPr="004E2CEF">
        <w:rPr>
          <w:szCs w:val="24"/>
        </w:rPr>
        <w:t>0</w:t>
      </w:r>
      <w:r w:rsidRPr="004E2CEF">
        <w:rPr>
          <w:szCs w:val="24"/>
        </w:rPr>
        <w:t xml:space="preserve">'000 di franchi), il nostro Cantone si colloca ben al di sopra della media nazionale, occupando il </w:t>
      </w:r>
      <w:r w:rsidR="00392EA6" w:rsidRPr="004E2CEF">
        <w:rPr>
          <w:szCs w:val="24"/>
        </w:rPr>
        <w:t>21</w:t>
      </w:r>
      <w:r w:rsidRPr="004E2CEF">
        <w:rPr>
          <w:szCs w:val="24"/>
        </w:rPr>
        <w:t>° rango per le persone sole</w:t>
      </w:r>
      <w:r w:rsidR="00526EC3" w:rsidRPr="004E2CEF">
        <w:rPr>
          <w:szCs w:val="24"/>
        </w:rPr>
        <w:t xml:space="preserve"> e il </w:t>
      </w:r>
      <w:r w:rsidR="00392EA6" w:rsidRPr="004E2CEF">
        <w:rPr>
          <w:szCs w:val="24"/>
        </w:rPr>
        <w:t>22</w:t>
      </w:r>
      <w:r w:rsidR="00526EC3" w:rsidRPr="004E2CEF">
        <w:rPr>
          <w:szCs w:val="24"/>
        </w:rPr>
        <w:t xml:space="preserve">° rango </w:t>
      </w:r>
      <w:r w:rsidRPr="004E2CEF">
        <w:rPr>
          <w:szCs w:val="24"/>
        </w:rPr>
        <w:t xml:space="preserve">per i coniugati (con e senza figli). </w:t>
      </w:r>
    </w:p>
    <w:p w14:paraId="7F7C8A94" w14:textId="4AC5E0B1" w:rsidR="00912821" w:rsidRDefault="00912821" w:rsidP="005813EF">
      <w:pPr>
        <w:rPr>
          <w:rFonts w:cs="Arial"/>
          <w:bCs/>
          <w:sz w:val="24"/>
          <w:szCs w:val="24"/>
          <w:lang w:bidi="ml-IN"/>
        </w:rPr>
      </w:pPr>
    </w:p>
    <w:p w14:paraId="67DD4D0B" w14:textId="350CF351" w:rsidR="00912821" w:rsidRDefault="00912821" w:rsidP="00912821">
      <w:pPr>
        <w:spacing w:after="120"/>
        <w:rPr>
          <w:rFonts w:cs="Arial"/>
          <w:b/>
          <w:bCs/>
          <w:i/>
          <w:sz w:val="24"/>
          <w:szCs w:val="24"/>
          <w:lang w:bidi="ml-IN"/>
        </w:rPr>
      </w:pPr>
      <w:r w:rsidRPr="004E2CEF">
        <w:rPr>
          <w:rFonts w:cs="Arial"/>
          <w:b/>
          <w:bCs/>
          <w:i/>
          <w:sz w:val="24"/>
          <w:szCs w:val="24"/>
          <w:lang w:bidi="ml-IN"/>
        </w:rPr>
        <w:t>Concorrenza fiscale intercantonale: rango del Ticino nel 2022 per fasce di reddito lo</w:t>
      </w:r>
      <w:r w:rsidR="006C604A">
        <w:rPr>
          <w:rFonts w:cs="Arial"/>
          <w:b/>
          <w:bCs/>
          <w:i/>
          <w:sz w:val="24"/>
          <w:szCs w:val="24"/>
          <w:lang w:bidi="ml-IN"/>
        </w:rPr>
        <w:t>rdo</w:t>
      </w:r>
      <w:r w:rsidR="006C604A">
        <w:rPr>
          <w:rStyle w:val="Rimandonotaapidipagina"/>
          <w:rFonts w:cs="Arial"/>
          <w:b/>
          <w:bCs/>
          <w:i/>
          <w:sz w:val="24"/>
          <w:szCs w:val="24"/>
          <w:lang w:bidi="ml-IN"/>
        </w:rPr>
        <w:footnoteReference w:id="19"/>
      </w:r>
      <w:r w:rsidR="006C604A" w:rsidRPr="006C604A">
        <w:rPr>
          <w:noProof/>
          <w:lang w:eastAsia="it-CH"/>
        </w:rPr>
        <w:t xml:space="preserve"> </w:t>
      </w:r>
      <w:r w:rsidR="006C604A">
        <w:rPr>
          <w:noProof/>
          <w:lang w:eastAsia="it-CH"/>
        </w:rPr>
        <w:drawing>
          <wp:inline distT="0" distB="0" distL="0" distR="0" wp14:anchorId="191A118E" wp14:editId="3C08FC41">
            <wp:extent cx="6022975" cy="3061252"/>
            <wp:effectExtent l="0" t="0" r="15875" b="6350"/>
            <wp:docPr id="6" name="Gra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7E4C3A4" w14:textId="77777777" w:rsidR="006C604A" w:rsidRPr="006C604A" w:rsidRDefault="006C604A" w:rsidP="00912821">
      <w:pPr>
        <w:rPr>
          <w:rFonts w:cs="Arial"/>
          <w:sz w:val="24"/>
          <w:szCs w:val="24"/>
        </w:rPr>
      </w:pPr>
    </w:p>
    <w:p w14:paraId="2FAE90DA" w14:textId="67E7733A" w:rsidR="00912821" w:rsidRPr="004E2CEF" w:rsidRDefault="00912821" w:rsidP="00912821">
      <w:pPr>
        <w:rPr>
          <w:rFonts w:cs="Arial"/>
          <w:sz w:val="24"/>
          <w:szCs w:val="24"/>
        </w:rPr>
      </w:pPr>
      <w:r w:rsidRPr="004E2CEF">
        <w:rPr>
          <w:rFonts w:cs="Arial"/>
          <w:sz w:val="24"/>
          <w:szCs w:val="24"/>
        </w:rPr>
        <w:t xml:space="preserve">La </w:t>
      </w:r>
      <w:r w:rsidR="00526EC3" w:rsidRPr="004E2CEF">
        <w:rPr>
          <w:rFonts w:cs="Arial"/>
          <w:sz w:val="24"/>
          <w:szCs w:val="24"/>
        </w:rPr>
        <w:t>struttura della scala delle aliquote dell’imposta sul reddito unita all</w:t>
      </w:r>
      <w:r w:rsidR="005F6214">
        <w:rPr>
          <w:rFonts w:cs="Arial"/>
          <w:sz w:val="24"/>
          <w:szCs w:val="24"/>
        </w:rPr>
        <w:t xml:space="preserve">e importanti </w:t>
      </w:r>
      <w:r w:rsidR="00526EC3" w:rsidRPr="004E2CEF">
        <w:rPr>
          <w:rFonts w:cs="Arial"/>
          <w:sz w:val="24"/>
          <w:szCs w:val="24"/>
        </w:rPr>
        <w:t xml:space="preserve">deduzioni fiscali previste nella LT, </w:t>
      </w:r>
      <w:r w:rsidRPr="004E2CEF">
        <w:rPr>
          <w:rFonts w:cs="Arial"/>
          <w:sz w:val="24"/>
          <w:szCs w:val="24"/>
        </w:rPr>
        <w:t xml:space="preserve">ha condotto negli anni ad una situazione caratterizzata da un numero molto elevato di esenti (53’000 casi, pari al 26% del totale) e da una forte concentrazione del gettito in pochissimi contribuenti (il 2% dei contribuenti più facoltosi finanzia il 34% del gettito fiscale cantonale dell’imposta </w:t>
      </w:r>
      <w:r w:rsidR="00F4328C" w:rsidRPr="004E2CEF">
        <w:rPr>
          <w:rFonts w:cs="Arial"/>
          <w:sz w:val="24"/>
          <w:szCs w:val="24"/>
        </w:rPr>
        <w:t>su</w:t>
      </w:r>
      <w:r w:rsidRPr="004E2CEF">
        <w:rPr>
          <w:rFonts w:cs="Arial"/>
          <w:sz w:val="24"/>
          <w:szCs w:val="24"/>
        </w:rPr>
        <w:t xml:space="preserve">l reddito). </w:t>
      </w:r>
    </w:p>
    <w:p w14:paraId="56F7CC1E" w14:textId="77777777" w:rsidR="00912821" w:rsidRPr="004E2CEF" w:rsidRDefault="00912821" w:rsidP="00912821">
      <w:pPr>
        <w:rPr>
          <w:rFonts w:cs="Arial"/>
          <w:sz w:val="24"/>
          <w:szCs w:val="24"/>
        </w:rPr>
      </w:pPr>
    </w:p>
    <w:p w14:paraId="27D74F36" w14:textId="4D609674" w:rsidR="006C604A" w:rsidRDefault="00912821" w:rsidP="006C604A">
      <w:pPr>
        <w:rPr>
          <w:rFonts w:cs="Arial"/>
          <w:sz w:val="24"/>
          <w:szCs w:val="24"/>
        </w:rPr>
      </w:pPr>
      <w:r w:rsidRPr="004E2CEF">
        <w:rPr>
          <w:rFonts w:cs="Arial"/>
          <w:sz w:val="24"/>
          <w:szCs w:val="24"/>
        </w:rPr>
        <w:t xml:space="preserve">Dal profilo finanziario, la dipendenza del gettito delle persone fisiche in pochi contribuenti </w:t>
      </w:r>
      <w:r w:rsidRPr="004212E0">
        <w:rPr>
          <w:rFonts w:cs="Arial"/>
          <w:sz w:val="24"/>
          <w:szCs w:val="24"/>
        </w:rPr>
        <w:t>facoltosi – associata all’elevata mobilità che solitamente contraddistingue questo genere di persone – è</w:t>
      </w:r>
      <w:r w:rsidRPr="004E2CEF">
        <w:rPr>
          <w:rFonts w:cs="Arial"/>
          <w:sz w:val="24"/>
          <w:szCs w:val="24"/>
        </w:rPr>
        <w:t xml:space="preserve"> un </w:t>
      </w:r>
      <w:r w:rsidRPr="0083229F">
        <w:rPr>
          <w:rFonts w:cs="Arial"/>
          <w:sz w:val="24"/>
          <w:szCs w:val="24"/>
        </w:rPr>
        <w:t xml:space="preserve">elemento di criticità per il Cantone, anche in considerazione della sua scarsa attrattiva fiscale. </w:t>
      </w:r>
      <w:r w:rsidR="006C604A" w:rsidRPr="0083229F">
        <w:rPr>
          <w:rFonts w:cs="Arial"/>
          <w:sz w:val="24"/>
          <w:szCs w:val="24"/>
        </w:rPr>
        <w:t>Va ricordato infatti che, come illustrato nella Tabella 7 allegata, nel raffronto intercantonale delle aliquote massime della concorrenza fiscale intercantonale il Ticino si trova nelle ultime posizioni (21° rango).</w:t>
      </w:r>
    </w:p>
    <w:p w14:paraId="0D78CC57" w14:textId="5E285409" w:rsidR="00EA1E7E" w:rsidRDefault="00EA1E7E" w:rsidP="006C604A">
      <w:pPr>
        <w:rPr>
          <w:rFonts w:cs="Arial"/>
          <w:sz w:val="24"/>
          <w:szCs w:val="24"/>
        </w:rPr>
      </w:pPr>
    </w:p>
    <w:p w14:paraId="4B88E127" w14:textId="2EA13957" w:rsidR="00EA1E7E" w:rsidRPr="00B35E8E" w:rsidRDefault="005031F5" w:rsidP="00EA1E7E">
      <w:pPr>
        <w:rPr>
          <w:rFonts w:cs="Arial"/>
          <w:sz w:val="24"/>
          <w:szCs w:val="24"/>
        </w:rPr>
      </w:pPr>
      <w:r>
        <w:rPr>
          <w:rFonts w:cs="Arial"/>
          <w:sz w:val="24"/>
          <w:szCs w:val="24"/>
        </w:rPr>
        <w:t xml:space="preserve">Questo fattore di criticità è rafforzato </w:t>
      </w:r>
      <w:r w:rsidR="00EA1E7E">
        <w:rPr>
          <w:rFonts w:cs="Arial"/>
          <w:sz w:val="24"/>
          <w:szCs w:val="24"/>
        </w:rPr>
        <w:t>dall’elevata mobilità che solitamente contraddisti</w:t>
      </w:r>
      <w:r>
        <w:rPr>
          <w:rFonts w:cs="Arial"/>
          <w:sz w:val="24"/>
          <w:szCs w:val="24"/>
        </w:rPr>
        <w:t xml:space="preserve">ngue </w:t>
      </w:r>
      <w:r w:rsidRPr="00B35E8E">
        <w:rPr>
          <w:rFonts w:cs="Arial"/>
          <w:sz w:val="24"/>
          <w:szCs w:val="24"/>
        </w:rPr>
        <w:t xml:space="preserve">questo genere di persone. </w:t>
      </w:r>
      <w:r w:rsidR="00EA1E7E" w:rsidRPr="00B35E8E">
        <w:rPr>
          <w:rFonts w:eastAsia="Times New Roman" w:cs="Arial"/>
          <w:sz w:val="24"/>
          <w:szCs w:val="24"/>
          <w:lang w:val="it-IT" w:eastAsia="it-IT"/>
        </w:rPr>
        <w:t>Tra il 2016 e il 2022 i contribuenti con redditi o sostanze imponibili superiori a 500'000</w:t>
      </w:r>
      <w:r w:rsidRPr="00B35E8E">
        <w:rPr>
          <w:rFonts w:eastAsia="Times New Roman" w:cs="Arial"/>
          <w:sz w:val="24"/>
          <w:szCs w:val="24"/>
          <w:lang w:val="it-IT" w:eastAsia="it-IT"/>
        </w:rPr>
        <w:t xml:space="preserve"> franchi</w:t>
      </w:r>
      <w:r w:rsidR="00EA1E7E" w:rsidRPr="00B35E8E">
        <w:rPr>
          <w:rFonts w:eastAsia="Times New Roman" w:cs="Arial"/>
          <w:sz w:val="24"/>
          <w:szCs w:val="24"/>
          <w:lang w:val="it-IT" w:eastAsia="it-IT"/>
        </w:rPr>
        <w:t>, rispettivamente, 5 milioni</w:t>
      </w:r>
      <w:r w:rsidRPr="00B35E8E">
        <w:rPr>
          <w:rFonts w:eastAsia="Times New Roman" w:cs="Arial"/>
          <w:sz w:val="24"/>
          <w:szCs w:val="24"/>
          <w:lang w:val="it-IT" w:eastAsia="it-IT"/>
        </w:rPr>
        <w:t xml:space="preserve"> franchi</w:t>
      </w:r>
      <w:r w:rsidR="00EA1E7E" w:rsidRPr="00B35E8E">
        <w:rPr>
          <w:rFonts w:eastAsia="Times New Roman" w:cs="Arial"/>
          <w:sz w:val="24"/>
          <w:szCs w:val="24"/>
          <w:lang w:val="it-IT" w:eastAsia="it-IT"/>
        </w:rPr>
        <w:t xml:space="preserve"> che hanno trasferito il proprio domicilio fiscale fuori Cantone sono stati complessivamente 395. Tra questi, 143 riguardano dei casi di fine assoggettamento (casi di contribuenti partiti senza più alcun legame fiscale con il Ticino) mentre 252 riguardano dei casi di cambiamento di assoggettamento (contribuenti che hanno trasferito il proprio domicilio fiscale ma che, ad esempio, continuano ad esser imposti nel nostro Cantone limitatamente all’immobile posseduto in Ticino). Sull’altro fronte, il numero degli arrivi di contribuenti facoltosi si attesta – sullo stesso periodo – in 190 casi</w:t>
      </w:r>
      <w:r w:rsidR="00EA1E7E" w:rsidRPr="00B35E8E">
        <w:rPr>
          <w:rStyle w:val="Rimandonotaapidipagina"/>
          <w:rFonts w:eastAsia="Times New Roman" w:cs="Arial"/>
          <w:sz w:val="24"/>
          <w:szCs w:val="24"/>
          <w:lang w:val="it-IT" w:eastAsia="it-IT"/>
        </w:rPr>
        <w:footnoteReference w:id="20"/>
      </w:r>
      <w:r w:rsidR="00EA1E7E" w:rsidRPr="00B35E8E">
        <w:rPr>
          <w:rFonts w:eastAsia="Times New Roman" w:cs="Arial"/>
          <w:sz w:val="24"/>
          <w:szCs w:val="24"/>
          <w:lang w:val="it-IT" w:eastAsia="it-IT"/>
        </w:rPr>
        <w:t xml:space="preserve">. </w:t>
      </w:r>
    </w:p>
    <w:p w14:paraId="5D32609F" w14:textId="77777777" w:rsidR="00EA1E7E" w:rsidRPr="00B35E8E" w:rsidRDefault="00EA1E7E" w:rsidP="00EA1E7E">
      <w:pPr>
        <w:rPr>
          <w:rFonts w:eastAsia="Times New Roman" w:cs="Arial"/>
          <w:sz w:val="24"/>
          <w:szCs w:val="24"/>
          <w:lang w:val="it-IT" w:eastAsia="it-IT"/>
        </w:rPr>
      </w:pPr>
    </w:p>
    <w:p w14:paraId="70B18A3A" w14:textId="750B5C35" w:rsidR="00EA1E7E" w:rsidRPr="00B35E8E" w:rsidRDefault="005031F5" w:rsidP="00EA1E7E">
      <w:pPr>
        <w:rPr>
          <w:rFonts w:eastAsia="Times New Roman" w:cs="Arial"/>
          <w:b/>
          <w:i/>
          <w:sz w:val="24"/>
          <w:szCs w:val="24"/>
          <w:lang w:val="it-IT" w:eastAsia="it-IT"/>
        </w:rPr>
      </w:pPr>
      <w:r w:rsidRPr="00B35E8E">
        <w:rPr>
          <w:rFonts w:eastAsia="Times New Roman" w:cs="Arial"/>
          <w:b/>
          <w:i/>
          <w:sz w:val="24"/>
          <w:szCs w:val="24"/>
          <w:lang w:val="it-IT" w:eastAsia="it-IT"/>
        </w:rPr>
        <w:t>A</w:t>
      </w:r>
      <w:r w:rsidR="00EA1E7E" w:rsidRPr="00B35E8E">
        <w:rPr>
          <w:rFonts w:eastAsia="Times New Roman" w:cs="Arial"/>
          <w:b/>
          <w:i/>
          <w:sz w:val="24"/>
          <w:szCs w:val="24"/>
          <w:lang w:val="it-IT" w:eastAsia="it-IT"/>
        </w:rPr>
        <w:t xml:space="preserve">rrivi </w:t>
      </w:r>
      <w:r w:rsidRPr="00B35E8E">
        <w:rPr>
          <w:rFonts w:eastAsia="Times New Roman" w:cs="Arial"/>
          <w:b/>
          <w:i/>
          <w:sz w:val="24"/>
          <w:szCs w:val="24"/>
          <w:lang w:val="it-IT" w:eastAsia="it-IT"/>
        </w:rPr>
        <w:t>e</w:t>
      </w:r>
      <w:r w:rsidR="00EA1E7E" w:rsidRPr="00B35E8E">
        <w:rPr>
          <w:rFonts w:eastAsia="Times New Roman" w:cs="Arial"/>
          <w:b/>
          <w:i/>
          <w:sz w:val="24"/>
          <w:szCs w:val="24"/>
          <w:lang w:val="it-IT" w:eastAsia="it-IT"/>
        </w:rPr>
        <w:t xml:space="preserve"> partenze tra il 2016 e il 2022 dei principali contribuenti </w:t>
      </w:r>
      <w:r w:rsidRPr="00B35E8E">
        <w:rPr>
          <w:rFonts w:eastAsia="Times New Roman" w:cs="Arial"/>
          <w:b/>
          <w:i/>
          <w:sz w:val="24"/>
          <w:szCs w:val="24"/>
          <w:lang w:val="it-IT" w:eastAsia="it-IT"/>
        </w:rPr>
        <w:t>del Cantone</w:t>
      </w:r>
    </w:p>
    <w:tbl>
      <w:tblPr>
        <w:tblW w:w="9554" w:type="dxa"/>
        <w:tblCellMar>
          <w:left w:w="70" w:type="dxa"/>
          <w:right w:w="70" w:type="dxa"/>
        </w:tblCellMar>
        <w:tblLook w:val="04A0" w:firstRow="1" w:lastRow="0" w:firstColumn="1" w:lastColumn="0" w:noHBand="0" w:noVBand="1"/>
      </w:tblPr>
      <w:tblGrid>
        <w:gridCol w:w="2400"/>
        <w:gridCol w:w="2552"/>
        <w:gridCol w:w="2268"/>
        <w:gridCol w:w="2334"/>
      </w:tblGrid>
      <w:tr w:rsidR="00EA1E7E" w:rsidRPr="00B35E8E" w14:paraId="19CC165B" w14:textId="77777777" w:rsidTr="005031F5">
        <w:trPr>
          <w:trHeight w:val="334"/>
        </w:trPr>
        <w:tc>
          <w:tcPr>
            <w:tcW w:w="722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610C46F" w14:textId="77777777" w:rsidR="00EA1E7E" w:rsidRPr="00B35E8E" w:rsidRDefault="00EA1E7E" w:rsidP="00EA1E7E">
            <w:pPr>
              <w:jc w:val="center"/>
              <w:rPr>
                <w:rFonts w:eastAsia="Times New Roman" w:cs="Arial"/>
                <w:bCs/>
                <w:color w:val="000000"/>
                <w:sz w:val="20"/>
                <w:szCs w:val="20"/>
                <w:lang w:eastAsia="it-CH"/>
              </w:rPr>
            </w:pPr>
            <w:r w:rsidRPr="00B35E8E">
              <w:rPr>
                <w:rFonts w:eastAsia="Times New Roman" w:cs="Arial"/>
                <w:b/>
                <w:bCs/>
                <w:color w:val="000000"/>
                <w:sz w:val="20"/>
                <w:szCs w:val="20"/>
                <w:lang w:eastAsia="it-CH"/>
              </w:rPr>
              <w:t>Partenze registrate</w:t>
            </w:r>
            <w:r w:rsidRPr="00B35E8E">
              <w:rPr>
                <w:rFonts w:eastAsia="Times New Roman" w:cs="Arial"/>
                <w:bCs/>
                <w:color w:val="000000"/>
                <w:sz w:val="20"/>
                <w:szCs w:val="20"/>
                <w:lang w:eastAsia="it-CH"/>
              </w:rPr>
              <w:t xml:space="preserve"> (2016-2022)</w:t>
            </w:r>
          </w:p>
        </w:tc>
        <w:tc>
          <w:tcPr>
            <w:tcW w:w="2334" w:type="dxa"/>
            <w:tcBorders>
              <w:top w:val="nil"/>
              <w:left w:val="nil"/>
              <w:bottom w:val="single" w:sz="8" w:space="0" w:color="auto"/>
              <w:right w:val="nil"/>
            </w:tcBorders>
            <w:shd w:val="clear" w:color="auto" w:fill="auto"/>
            <w:noWrap/>
            <w:vAlign w:val="center"/>
            <w:hideMark/>
          </w:tcPr>
          <w:p w14:paraId="2C4CCFC9" w14:textId="77777777" w:rsidR="00EA1E7E" w:rsidRPr="00B35E8E" w:rsidRDefault="00EA1E7E" w:rsidP="00EA1E7E">
            <w:pPr>
              <w:jc w:val="left"/>
              <w:rPr>
                <w:rFonts w:ascii="Calibri" w:eastAsia="Times New Roman" w:hAnsi="Calibri" w:cs="Calibri"/>
                <w:color w:val="000000"/>
                <w:sz w:val="20"/>
                <w:szCs w:val="20"/>
                <w:lang w:eastAsia="it-CH"/>
              </w:rPr>
            </w:pPr>
            <w:r w:rsidRPr="00B35E8E">
              <w:rPr>
                <w:rFonts w:ascii="Calibri" w:eastAsia="Times New Roman" w:hAnsi="Calibri" w:cs="Calibri"/>
                <w:color w:val="000000"/>
                <w:sz w:val="20"/>
                <w:szCs w:val="20"/>
                <w:lang w:eastAsia="it-CH"/>
              </w:rPr>
              <w:t> </w:t>
            </w:r>
          </w:p>
        </w:tc>
      </w:tr>
      <w:tr w:rsidR="00EA1E7E" w:rsidRPr="00B35E8E" w14:paraId="316EA47A" w14:textId="77777777" w:rsidTr="005031F5">
        <w:trPr>
          <w:trHeight w:val="382"/>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45826DB6" w14:textId="77777777" w:rsidR="00EA1E7E" w:rsidRPr="00B35E8E" w:rsidRDefault="00EA1E7E" w:rsidP="00EA1E7E">
            <w:pPr>
              <w:jc w:val="center"/>
              <w:rPr>
                <w:rFonts w:eastAsia="Times New Roman" w:cs="Arial"/>
                <w:bCs/>
                <w:color w:val="000000"/>
                <w:sz w:val="20"/>
                <w:szCs w:val="20"/>
                <w:lang w:eastAsia="it-CH"/>
              </w:rPr>
            </w:pPr>
            <w:r w:rsidRPr="00B35E8E">
              <w:rPr>
                <w:rFonts w:eastAsia="Times New Roman" w:cs="Arial"/>
                <w:bCs/>
                <w:color w:val="000000"/>
                <w:sz w:val="20"/>
                <w:szCs w:val="20"/>
                <w:lang w:eastAsia="it-CH"/>
              </w:rPr>
              <w:t>Fine assoggettamento</w:t>
            </w:r>
          </w:p>
        </w:tc>
        <w:tc>
          <w:tcPr>
            <w:tcW w:w="2552" w:type="dxa"/>
            <w:tcBorders>
              <w:top w:val="nil"/>
              <w:left w:val="nil"/>
              <w:bottom w:val="single" w:sz="8" w:space="0" w:color="auto"/>
              <w:right w:val="single" w:sz="8" w:space="0" w:color="auto"/>
            </w:tcBorders>
            <w:shd w:val="clear" w:color="auto" w:fill="auto"/>
            <w:vAlign w:val="center"/>
            <w:hideMark/>
          </w:tcPr>
          <w:p w14:paraId="37B7B1FD" w14:textId="251D6AE9" w:rsidR="00EA1E7E" w:rsidRPr="00B35E8E" w:rsidRDefault="005031F5" w:rsidP="00EA1E7E">
            <w:pPr>
              <w:jc w:val="center"/>
              <w:rPr>
                <w:rFonts w:eastAsia="Times New Roman" w:cs="Arial"/>
                <w:bCs/>
                <w:color w:val="000000"/>
                <w:sz w:val="20"/>
                <w:szCs w:val="20"/>
                <w:lang w:eastAsia="it-CH"/>
              </w:rPr>
            </w:pPr>
            <w:r w:rsidRPr="00B35E8E">
              <w:rPr>
                <w:rFonts w:eastAsia="Times New Roman" w:cs="Arial"/>
                <w:bCs/>
                <w:color w:val="000000"/>
                <w:sz w:val="20"/>
                <w:szCs w:val="20"/>
                <w:lang w:eastAsia="it-CH"/>
              </w:rPr>
              <w:t xml:space="preserve">Cambiamento </w:t>
            </w:r>
            <w:r w:rsidR="00EA1E7E" w:rsidRPr="00B35E8E">
              <w:rPr>
                <w:rFonts w:eastAsia="Times New Roman" w:cs="Arial"/>
                <w:bCs/>
                <w:color w:val="000000"/>
                <w:sz w:val="20"/>
                <w:szCs w:val="20"/>
                <w:lang w:eastAsia="it-CH"/>
              </w:rPr>
              <w:t>assoggettamento</w:t>
            </w:r>
          </w:p>
        </w:tc>
        <w:tc>
          <w:tcPr>
            <w:tcW w:w="2268" w:type="dxa"/>
            <w:tcBorders>
              <w:top w:val="nil"/>
              <w:left w:val="nil"/>
              <w:bottom w:val="single" w:sz="8" w:space="0" w:color="auto"/>
              <w:right w:val="single" w:sz="8" w:space="0" w:color="auto"/>
            </w:tcBorders>
            <w:shd w:val="clear" w:color="auto" w:fill="auto"/>
            <w:vAlign w:val="center"/>
            <w:hideMark/>
          </w:tcPr>
          <w:p w14:paraId="70D82E67" w14:textId="674A5024" w:rsidR="00EA1E7E" w:rsidRPr="00B35E8E" w:rsidRDefault="005031F5" w:rsidP="005031F5">
            <w:pPr>
              <w:jc w:val="center"/>
              <w:rPr>
                <w:rFonts w:eastAsia="Times New Roman" w:cs="Arial"/>
                <w:b/>
                <w:bCs/>
                <w:color w:val="000000"/>
                <w:sz w:val="20"/>
                <w:szCs w:val="20"/>
                <w:lang w:eastAsia="it-CH"/>
              </w:rPr>
            </w:pPr>
            <w:r w:rsidRPr="00B35E8E">
              <w:rPr>
                <w:rFonts w:eastAsia="Times New Roman" w:cs="Arial"/>
                <w:b/>
                <w:bCs/>
                <w:color w:val="000000"/>
                <w:sz w:val="20"/>
                <w:szCs w:val="20"/>
                <w:lang w:eastAsia="it-CH"/>
              </w:rPr>
              <w:t xml:space="preserve">Totale </w:t>
            </w:r>
            <w:r w:rsidR="00EA1E7E" w:rsidRPr="00B35E8E">
              <w:rPr>
                <w:rFonts w:eastAsia="Times New Roman" w:cs="Arial"/>
                <w:b/>
                <w:bCs/>
                <w:color w:val="000000"/>
                <w:sz w:val="20"/>
                <w:szCs w:val="20"/>
                <w:lang w:eastAsia="it-CH"/>
              </w:rPr>
              <w:t>partenze</w:t>
            </w:r>
          </w:p>
        </w:tc>
        <w:tc>
          <w:tcPr>
            <w:tcW w:w="2334" w:type="dxa"/>
            <w:tcBorders>
              <w:top w:val="nil"/>
              <w:left w:val="nil"/>
              <w:bottom w:val="single" w:sz="8" w:space="0" w:color="auto"/>
              <w:right w:val="single" w:sz="8" w:space="0" w:color="auto"/>
            </w:tcBorders>
            <w:shd w:val="clear" w:color="auto" w:fill="auto"/>
            <w:vAlign w:val="center"/>
            <w:hideMark/>
          </w:tcPr>
          <w:p w14:paraId="30791D88" w14:textId="77777777" w:rsidR="00EA1E7E" w:rsidRPr="00B35E8E" w:rsidRDefault="00EA1E7E" w:rsidP="00EA1E7E">
            <w:pPr>
              <w:jc w:val="center"/>
              <w:rPr>
                <w:rFonts w:eastAsia="Times New Roman" w:cs="Arial"/>
                <w:b/>
                <w:bCs/>
                <w:color w:val="000000"/>
                <w:sz w:val="20"/>
                <w:szCs w:val="20"/>
                <w:lang w:eastAsia="it-CH"/>
              </w:rPr>
            </w:pPr>
            <w:r w:rsidRPr="00B35E8E">
              <w:rPr>
                <w:rFonts w:eastAsia="Times New Roman" w:cs="Arial"/>
                <w:b/>
                <w:bCs/>
                <w:color w:val="000000"/>
                <w:sz w:val="20"/>
                <w:szCs w:val="20"/>
                <w:lang w:eastAsia="it-CH"/>
              </w:rPr>
              <w:t>Nuovi arrivi tassati</w:t>
            </w:r>
          </w:p>
        </w:tc>
      </w:tr>
      <w:tr w:rsidR="00EA1E7E" w:rsidRPr="00B35E8E" w14:paraId="5FC260C2" w14:textId="77777777" w:rsidTr="005031F5">
        <w:trPr>
          <w:trHeight w:val="334"/>
        </w:trPr>
        <w:tc>
          <w:tcPr>
            <w:tcW w:w="2400" w:type="dxa"/>
            <w:tcBorders>
              <w:top w:val="nil"/>
              <w:left w:val="single" w:sz="8" w:space="0" w:color="auto"/>
              <w:bottom w:val="single" w:sz="8" w:space="0" w:color="auto"/>
              <w:right w:val="single" w:sz="8" w:space="0" w:color="auto"/>
            </w:tcBorders>
            <w:shd w:val="clear" w:color="auto" w:fill="auto"/>
            <w:vAlign w:val="center"/>
            <w:hideMark/>
          </w:tcPr>
          <w:p w14:paraId="7CA8AD64" w14:textId="77777777" w:rsidR="00EA1E7E" w:rsidRPr="00B35E8E" w:rsidRDefault="00EA1E7E" w:rsidP="00EA1E7E">
            <w:pPr>
              <w:jc w:val="center"/>
              <w:rPr>
                <w:rFonts w:eastAsia="Times New Roman" w:cs="Arial"/>
                <w:bCs/>
                <w:color w:val="000000"/>
                <w:sz w:val="20"/>
                <w:szCs w:val="20"/>
                <w:lang w:eastAsia="it-CH"/>
              </w:rPr>
            </w:pPr>
            <w:r w:rsidRPr="00B35E8E">
              <w:rPr>
                <w:rFonts w:eastAsia="Times New Roman" w:cs="Arial"/>
                <w:bCs/>
                <w:color w:val="000000"/>
                <w:sz w:val="20"/>
                <w:szCs w:val="20"/>
                <w:lang w:eastAsia="it-CH"/>
              </w:rPr>
              <w:t>143</w:t>
            </w:r>
          </w:p>
        </w:tc>
        <w:tc>
          <w:tcPr>
            <w:tcW w:w="2552" w:type="dxa"/>
            <w:tcBorders>
              <w:top w:val="nil"/>
              <w:left w:val="nil"/>
              <w:bottom w:val="single" w:sz="8" w:space="0" w:color="auto"/>
              <w:right w:val="single" w:sz="8" w:space="0" w:color="auto"/>
            </w:tcBorders>
            <w:shd w:val="clear" w:color="auto" w:fill="auto"/>
            <w:vAlign w:val="center"/>
            <w:hideMark/>
          </w:tcPr>
          <w:p w14:paraId="6E10C3B2" w14:textId="77777777" w:rsidR="00EA1E7E" w:rsidRPr="00B35E8E" w:rsidRDefault="00EA1E7E" w:rsidP="00EA1E7E">
            <w:pPr>
              <w:jc w:val="center"/>
              <w:rPr>
                <w:rFonts w:eastAsia="Times New Roman" w:cs="Arial"/>
                <w:bCs/>
                <w:color w:val="000000"/>
                <w:sz w:val="20"/>
                <w:szCs w:val="20"/>
                <w:lang w:eastAsia="it-CH"/>
              </w:rPr>
            </w:pPr>
            <w:r w:rsidRPr="00B35E8E">
              <w:rPr>
                <w:rFonts w:eastAsia="Times New Roman" w:cs="Arial"/>
                <w:bCs/>
                <w:color w:val="000000"/>
                <w:sz w:val="20"/>
                <w:szCs w:val="20"/>
                <w:lang w:eastAsia="it-CH"/>
              </w:rPr>
              <w:t>252</w:t>
            </w:r>
          </w:p>
        </w:tc>
        <w:tc>
          <w:tcPr>
            <w:tcW w:w="2268" w:type="dxa"/>
            <w:tcBorders>
              <w:top w:val="nil"/>
              <w:left w:val="nil"/>
              <w:bottom w:val="single" w:sz="8" w:space="0" w:color="auto"/>
              <w:right w:val="single" w:sz="8" w:space="0" w:color="auto"/>
            </w:tcBorders>
            <w:shd w:val="clear" w:color="auto" w:fill="auto"/>
            <w:vAlign w:val="center"/>
            <w:hideMark/>
          </w:tcPr>
          <w:p w14:paraId="143072F0" w14:textId="77777777" w:rsidR="00EA1E7E" w:rsidRPr="00B35E8E" w:rsidRDefault="00EA1E7E" w:rsidP="00EA1E7E">
            <w:pPr>
              <w:jc w:val="center"/>
              <w:rPr>
                <w:rFonts w:eastAsia="Times New Roman" w:cs="Arial"/>
                <w:b/>
                <w:bCs/>
                <w:color w:val="000000"/>
                <w:sz w:val="20"/>
                <w:szCs w:val="20"/>
                <w:lang w:eastAsia="it-CH"/>
              </w:rPr>
            </w:pPr>
            <w:r w:rsidRPr="00B35E8E">
              <w:rPr>
                <w:rFonts w:eastAsia="Times New Roman" w:cs="Arial"/>
                <w:b/>
                <w:bCs/>
                <w:color w:val="000000"/>
                <w:sz w:val="20"/>
                <w:szCs w:val="20"/>
                <w:lang w:eastAsia="it-CH"/>
              </w:rPr>
              <w:t>395</w:t>
            </w:r>
          </w:p>
        </w:tc>
        <w:tc>
          <w:tcPr>
            <w:tcW w:w="2334" w:type="dxa"/>
            <w:tcBorders>
              <w:top w:val="nil"/>
              <w:left w:val="nil"/>
              <w:bottom w:val="single" w:sz="8" w:space="0" w:color="auto"/>
              <w:right w:val="single" w:sz="8" w:space="0" w:color="auto"/>
            </w:tcBorders>
            <w:shd w:val="clear" w:color="auto" w:fill="auto"/>
            <w:vAlign w:val="center"/>
            <w:hideMark/>
          </w:tcPr>
          <w:p w14:paraId="21B60AA0" w14:textId="77777777" w:rsidR="00EA1E7E" w:rsidRPr="00B35E8E" w:rsidRDefault="00EA1E7E" w:rsidP="00EA1E7E">
            <w:pPr>
              <w:jc w:val="center"/>
              <w:rPr>
                <w:rFonts w:eastAsia="Times New Roman" w:cs="Arial"/>
                <w:b/>
                <w:bCs/>
                <w:color w:val="000000"/>
                <w:sz w:val="20"/>
                <w:szCs w:val="20"/>
                <w:lang w:eastAsia="it-CH"/>
              </w:rPr>
            </w:pPr>
            <w:r w:rsidRPr="00B35E8E">
              <w:rPr>
                <w:rFonts w:eastAsia="Times New Roman" w:cs="Arial"/>
                <w:b/>
                <w:bCs/>
                <w:color w:val="000000"/>
                <w:sz w:val="20"/>
                <w:szCs w:val="20"/>
                <w:lang w:eastAsia="it-CH"/>
              </w:rPr>
              <w:t>190</w:t>
            </w:r>
          </w:p>
        </w:tc>
      </w:tr>
    </w:tbl>
    <w:p w14:paraId="38F36050" w14:textId="77777777" w:rsidR="00EA1E7E" w:rsidRPr="00B35E8E" w:rsidRDefault="00EA1E7E" w:rsidP="006C604A">
      <w:pPr>
        <w:rPr>
          <w:rFonts w:cs="Arial"/>
          <w:sz w:val="24"/>
          <w:szCs w:val="24"/>
        </w:rPr>
      </w:pPr>
    </w:p>
    <w:p w14:paraId="7B5E7B54" w14:textId="329E5B65" w:rsidR="00912821" w:rsidRPr="00B35E8E" w:rsidRDefault="00912821" w:rsidP="00912821">
      <w:pPr>
        <w:rPr>
          <w:rFonts w:cs="Arial"/>
          <w:sz w:val="24"/>
          <w:szCs w:val="24"/>
        </w:rPr>
      </w:pPr>
      <w:r w:rsidRPr="00B35E8E">
        <w:rPr>
          <w:rFonts w:cs="Arial"/>
          <w:sz w:val="24"/>
          <w:szCs w:val="24"/>
        </w:rPr>
        <w:t>Tali evidenze non possono essere ignorate e rendono necessaria una revisione dell’attuale impostazione della fiscalità delle persone fisiche. L’immobilismo potrebbe infatti condurre a un’importante perdita di substrato fiscale con conseguenti minori entrate per gli enti pubblici.</w:t>
      </w:r>
    </w:p>
    <w:p w14:paraId="72AE3CF3" w14:textId="77777777" w:rsidR="00912821" w:rsidRPr="00B35E8E" w:rsidRDefault="00912821" w:rsidP="00F50645">
      <w:pPr>
        <w:pStyle w:val="StandardRisoluzionedelConsigliodiStato"/>
        <w:ind w:right="-1"/>
        <w:rPr>
          <w:szCs w:val="24"/>
        </w:rPr>
      </w:pPr>
    </w:p>
    <w:p w14:paraId="216524CC" w14:textId="7910187A" w:rsidR="00F50645" w:rsidRPr="00B35E8E" w:rsidRDefault="00F50645" w:rsidP="00F50645">
      <w:pPr>
        <w:pStyle w:val="StandardRisoluzionedelConsigliodiStato"/>
        <w:ind w:right="-1"/>
        <w:rPr>
          <w:szCs w:val="24"/>
        </w:rPr>
      </w:pPr>
      <w:r w:rsidRPr="00B35E8E">
        <w:rPr>
          <w:szCs w:val="24"/>
        </w:rPr>
        <w:t>Con l’obiettivo di migliorare l’attrattiva fiscale del territorio ticinese per gli alti redditi, che concorrono in modo decisivo al finanziamento delle prestazioni pubbliche, e reagire strategicamente all’implementazione dell’imposta minima globale al 15%</w:t>
      </w:r>
      <w:r w:rsidR="00A251C7" w:rsidRPr="00B35E8E">
        <w:rPr>
          <w:szCs w:val="24"/>
        </w:rPr>
        <w:t xml:space="preserve"> (</w:t>
      </w:r>
      <w:r w:rsidR="00A251C7" w:rsidRPr="00B35E8E">
        <w:rPr>
          <w:i/>
          <w:szCs w:val="24"/>
        </w:rPr>
        <w:t>Global Minimum Tax</w:t>
      </w:r>
      <w:r w:rsidR="00A251C7" w:rsidRPr="00B35E8E">
        <w:rPr>
          <w:szCs w:val="24"/>
        </w:rPr>
        <w:t>)</w:t>
      </w:r>
      <w:r w:rsidRPr="00B35E8E">
        <w:rPr>
          <w:szCs w:val="24"/>
        </w:rPr>
        <w:t xml:space="preserve"> per le grandi imprese attive a livello </w:t>
      </w:r>
      <w:r w:rsidR="00912821" w:rsidRPr="00B35E8E">
        <w:rPr>
          <w:szCs w:val="24"/>
        </w:rPr>
        <w:t>internazionale</w:t>
      </w:r>
      <w:r w:rsidRPr="00B35E8E">
        <w:rPr>
          <w:szCs w:val="24"/>
        </w:rPr>
        <w:t xml:space="preserve"> (che non farà che inasprire la concorrenza fiscale intercantonale sul fronte delle persone fisiche), proponiamo di </w:t>
      </w:r>
      <w:r w:rsidR="005F6214" w:rsidRPr="00B35E8E">
        <w:rPr>
          <w:szCs w:val="24"/>
        </w:rPr>
        <w:t>adeguare, in due tappe,</w:t>
      </w:r>
      <w:r w:rsidRPr="00B35E8E">
        <w:rPr>
          <w:szCs w:val="24"/>
        </w:rPr>
        <w:t xml:space="preserve"> l’aliquota massima dell’imposta sul reddito</w:t>
      </w:r>
      <w:r w:rsidRPr="00B35E8E">
        <w:rPr>
          <w:rFonts w:cs="Arial"/>
          <w:noProof/>
          <w:szCs w:val="24"/>
          <w:lang w:eastAsia="it-CH"/>
        </w:rPr>
        <w:t>.</w:t>
      </w:r>
    </w:p>
    <w:p w14:paraId="40417CF4" w14:textId="77777777" w:rsidR="00F50645" w:rsidRPr="00B35E8E" w:rsidRDefault="00F50645" w:rsidP="00CB6B07">
      <w:pPr>
        <w:pStyle w:val="StandardRisoluzionedelConsigliodiStato"/>
        <w:ind w:right="-1"/>
        <w:rPr>
          <w:szCs w:val="24"/>
        </w:rPr>
      </w:pPr>
    </w:p>
    <w:p w14:paraId="2B636420" w14:textId="77777777" w:rsidR="0022106E" w:rsidRPr="00B35E8E" w:rsidRDefault="00A57985" w:rsidP="00A57985">
      <w:pPr>
        <w:rPr>
          <w:rFonts w:cs="Arial"/>
          <w:sz w:val="24"/>
          <w:szCs w:val="24"/>
        </w:rPr>
      </w:pPr>
      <w:r w:rsidRPr="00B35E8E">
        <w:rPr>
          <w:rFonts w:cs="Arial"/>
          <w:sz w:val="24"/>
          <w:szCs w:val="24"/>
        </w:rPr>
        <w:t xml:space="preserve">Attualmente l’aliquota marginale massima </w:t>
      </w:r>
      <w:r w:rsidR="00A251C7" w:rsidRPr="00B35E8E">
        <w:rPr>
          <w:rFonts w:cs="Arial"/>
          <w:sz w:val="24"/>
          <w:szCs w:val="24"/>
        </w:rPr>
        <w:t>ammonta</w:t>
      </w:r>
      <w:r w:rsidRPr="00B35E8E">
        <w:rPr>
          <w:rFonts w:cs="Arial"/>
          <w:sz w:val="24"/>
          <w:szCs w:val="24"/>
        </w:rPr>
        <w:t xml:space="preserve"> al </w:t>
      </w:r>
      <w:r w:rsidR="0022106E" w:rsidRPr="00B35E8E">
        <w:rPr>
          <w:rFonts w:cs="Arial"/>
          <w:sz w:val="24"/>
          <w:szCs w:val="24"/>
        </w:rPr>
        <w:t>15.076%</w:t>
      </w:r>
      <w:r w:rsidRPr="00B35E8E">
        <w:rPr>
          <w:rFonts w:cs="Arial"/>
          <w:sz w:val="24"/>
          <w:szCs w:val="24"/>
        </w:rPr>
        <w:t xml:space="preserve"> per un</w:t>
      </w:r>
      <w:r w:rsidR="0022106E" w:rsidRPr="00B35E8E">
        <w:rPr>
          <w:rFonts w:cs="Arial"/>
          <w:sz w:val="24"/>
          <w:szCs w:val="24"/>
        </w:rPr>
        <w:t xml:space="preserve"> reddito imponibile superiore a 365'400 franchi per le persone sole, rispettivamente 730'800 franchi per i coniugati. </w:t>
      </w:r>
      <w:r w:rsidRPr="00B35E8E">
        <w:rPr>
          <w:rFonts w:cs="Arial"/>
          <w:sz w:val="24"/>
          <w:szCs w:val="24"/>
        </w:rPr>
        <w:t>Contestualmente al presente</w:t>
      </w:r>
      <w:r w:rsidR="00E3668B" w:rsidRPr="00B35E8E">
        <w:rPr>
          <w:rFonts w:cs="Arial"/>
          <w:sz w:val="24"/>
          <w:szCs w:val="24"/>
        </w:rPr>
        <w:t xml:space="preserve"> messaggio proponiamo di ridurla</w:t>
      </w:r>
      <w:r w:rsidRPr="00B35E8E">
        <w:rPr>
          <w:rFonts w:cs="Arial"/>
          <w:sz w:val="24"/>
          <w:szCs w:val="24"/>
        </w:rPr>
        <w:t xml:space="preserve"> </w:t>
      </w:r>
      <w:r w:rsidR="0022106E" w:rsidRPr="00B35E8E">
        <w:rPr>
          <w:rFonts w:cs="Arial"/>
          <w:sz w:val="24"/>
          <w:szCs w:val="24"/>
        </w:rPr>
        <w:t>al 12%</w:t>
      </w:r>
      <w:r w:rsidRPr="00B35E8E">
        <w:rPr>
          <w:rFonts w:cs="Arial"/>
          <w:sz w:val="24"/>
          <w:szCs w:val="24"/>
        </w:rPr>
        <w:t xml:space="preserve">. Questo intervento permetterebbe al nostro Cantone di ridurre il proprio onere fiscale massimo ai fini dell’imposta </w:t>
      </w:r>
      <w:r w:rsidR="0022106E" w:rsidRPr="00B35E8E">
        <w:rPr>
          <w:rFonts w:cs="Arial"/>
          <w:sz w:val="24"/>
          <w:szCs w:val="24"/>
        </w:rPr>
        <w:t>sul reddito</w:t>
      </w:r>
      <w:r w:rsidRPr="00B35E8E">
        <w:rPr>
          <w:rFonts w:cs="Arial"/>
          <w:sz w:val="24"/>
          <w:szCs w:val="24"/>
        </w:rPr>
        <w:t xml:space="preserve">, passando dall’attuale </w:t>
      </w:r>
      <w:r w:rsidR="0022106E" w:rsidRPr="00B35E8E">
        <w:rPr>
          <w:rFonts w:cs="Arial"/>
          <w:sz w:val="24"/>
          <w:szCs w:val="24"/>
        </w:rPr>
        <w:t>40.1% al 34.7%, guadagnando</w:t>
      </w:r>
      <w:r w:rsidR="00A251C7" w:rsidRPr="00B35E8E">
        <w:rPr>
          <w:rFonts w:cs="Arial"/>
          <w:sz w:val="24"/>
          <w:szCs w:val="24"/>
        </w:rPr>
        <w:t xml:space="preserve"> così</w:t>
      </w:r>
      <w:r w:rsidR="0022106E" w:rsidRPr="00B35E8E">
        <w:rPr>
          <w:rFonts w:cs="Arial"/>
          <w:sz w:val="24"/>
          <w:szCs w:val="24"/>
        </w:rPr>
        <w:t xml:space="preserve"> 5 posizioni (dal 21° al 16° rango) nell’ambito della concorrenza fiscale intercantonale e </w:t>
      </w:r>
      <w:r w:rsidR="002218F9" w:rsidRPr="00B35E8E">
        <w:rPr>
          <w:rFonts w:cs="Arial"/>
          <w:sz w:val="24"/>
          <w:szCs w:val="24"/>
        </w:rPr>
        <w:t>posizionandosi</w:t>
      </w:r>
      <w:r w:rsidR="0022106E" w:rsidRPr="00B35E8E">
        <w:rPr>
          <w:rFonts w:cs="Arial"/>
          <w:sz w:val="24"/>
          <w:szCs w:val="24"/>
        </w:rPr>
        <w:t xml:space="preserve"> appena al di sopra dell’aliquota media intercantonale (33.6%). </w:t>
      </w:r>
    </w:p>
    <w:p w14:paraId="1F04DE0B" w14:textId="77777777" w:rsidR="00A57985" w:rsidRPr="00B35E8E" w:rsidRDefault="00A57985" w:rsidP="00A57985">
      <w:pPr>
        <w:rPr>
          <w:rFonts w:cs="Arial"/>
          <w:sz w:val="24"/>
          <w:szCs w:val="24"/>
        </w:rPr>
      </w:pPr>
    </w:p>
    <w:p w14:paraId="18C70B3D" w14:textId="77777777" w:rsidR="00A57985" w:rsidRPr="004E2CEF" w:rsidRDefault="003F0C8A" w:rsidP="00A57985">
      <w:pPr>
        <w:spacing w:after="120"/>
        <w:rPr>
          <w:rFonts w:cs="Arial"/>
          <w:b/>
          <w:i/>
          <w:sz w:val="24"/>
          <w:szCs w:val="24"/>
        </w:rPr>
      </w:pPr>
      <w:r w:rsidRPr="00B35E8E">
        <w:rPr>
          <w:rFonts w:cs="Arial"/>
          <w:b/>
          <w:i/>
          <w:sz w:val="24"/>
          <w:szCs w:val="24"/>
        </w:rPr>
        <w:t>Confronto dell’onere fiscale massimo ai fini dell’imposta sul reddito nel 2022</w:t>
      </w:r>
      <w:r w:rsidRPr="004E2CEF">
        <w:rPr>
          <w:rFonts w:cs="Arial"/>
          <w:b/>
          <w:i/>
          <w:sz w:val="24"/>
          <w:szCs w:val="24"/>
        </w:rPr>
        <w:t xml:space="preserve"> </w:t>
      </w:r>
      <w:r w:rsidR="00A57985" w:rsidRPr="004E2CEF">
        <w:rPr>
          <w:rFonts w:cs="Arial"/>
          <w:b/>
          <w:i/>
          <w:sz w:val="24"/>
          <w:szCs w:val="24"/>
        </w:rPr>
        <w:t xml:space="preserve">(imposta </w:t>
      </w:r>
      <w:r w:rsidRPr="004E2CEF">
        <w:rPr>
          <w:rFonts w:cs="Arial"/>
          <w:b/>
          <w:i/>
          <w:sz w:val="24"/>
          <w:szCs w:val="24"/>
        </w:rPr>
        <w:t xml:space="preserve">federale, </w:t>
      </w:r>
      <w:r w:rsidR="00A57985" w:rsidRPr="004E2CEF">
        <w:rPr>
          <w:rFonts w:cs="Arial"/>
          <w:b/>
          <w:i/>
          <w:sz w:val="24"/>
          <w:szCs w:val="24"/>
        </w:rPr>
        <w:t>cantonale e comunale riferita al capoluogo)</w:t>
      </w:r>
    </w:p>
    <w:p w14:paraId="2706E254" w14:textId="55DB1678" w:rsidR="003F0C8A" w:rsidRPr="004E2CEF" w:rsidRDefault="00C431E8" w:rsidP="00A57985">
      <w:pPr>
        <w:spacing w:after="120"/>
        <w:rPr>
          <w:rFonts w:cs="Arial"/>
          <w:b/>
          <w:i/>
          <w:sz w:val="24"/>
          <w:szCs w:val="24"/>
        </w:rPr>
      </w:pPr>
      <w:r>
        <w:rPr>
          <w:noProof/>
          <w:lang w:eastAsia="it-CH"/>
        </w:rPr>
        <w:drawing>
          <wp:inline distT="0" distB="0" distL="0" distR="0" wp14:anchorId="50F9E6D7" wp14:editId="170F65C9">
            <wp:extent cx="5762625" cy="2752725"/>
            <wp:effectExtent l="0" t="0" r="9525" b="952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F1DDEF8" w14:textId="77777777" w:rsidR="00C431E8" w:rsidRDefault="00C431E8" w:rsidP="005813EF">
      <w:pPr>
        <w:rPr>
          <w:rFonts w:cs="Arial"/>
          <w:sz w:val="24"/>
          <w:szCs w:val="24"/>
        </w:rPr>
      </w:pPr>
    </w:p>
    <w:p w14:paraId="304F2B76" w14:textId="45D608D6" w:rsidR="005906C0" w:rsidRPr="005906C0" w:rsidRDefault="005906C0" w:rsidP="005813EF">
      <w:pPr>
        <w:rPr>
          <w:rFonts w:cs="Arial"/>
          <w:sz w:val="24"/>
          <w:szCs w:val="24"/>
          <w:highlight w:val="yellow"/>
        </w:rPr>
      </w:pPr>
      <w:r w:rsidRPr="006C604A">
        <w:rPr>
          <w:rFonts w:cs="Arial"/>
          <w:sz w:val="24"/>
          <w:szCs w:val="24"/>
        </w:rPr>
        <w:t>Analogamente a quanto attuato nel 2018 con la Riforma cantonale fiscale e sociale contestualmente alla riduzione dell’aliquota massima dell’imposta sulla sostanza, p</w:t>
      </w:r>
      <w:r w:rsidR="00A57985" w:rsidRPr="006C604A">
        <w:rPr>
          <w:rFonts w:cs="Arial"/>
          <w:sz w:val="24"/>
          <w:szCs w:val="24"/>
        </w:rPr>
        <w:t xml:space="preserve">er concretizzare questa misura proponiamo di </w:t>
      </w:r>
      <w:r w:rsidR="005F6214" w:rsidRPr="006C604A">
        <w:rPr>
          <w:rFonts w:cs="Arial"/>
          <w:sz w:val="24"/>
          <w:szCs w:val="24"/>
        </w:rPr>
        <w:t xml:space="preserve">correggere, plafonandola, </w:t>
      </w:r>
      <w:r w:rsidR="00A57985" w:rsidRPr="006C604A">
        <w:rPr>
          <w:rFonts w:cs="Arial"/>
          <w:sz w:val="24"/>
          <w:szCs w:val="24"/>
        </w:rPr>
        <w:t>la progressione</w:t>
      </w:r>
      <w:r w:rsidR="00A57985" w:rsidRPr="004E2CEF">
        <w:rPr>
          <w:rFonts w:cs="Arial"/>
          <w:sz w:val="24"/>
          <w:szCs w:val="24"/>
        </w:rPr>
        <w:t xml:space="preserve"> dell’aliquota a partire da </w:t>
      </w:r>
      <w:r w:rsidR="002218F9" w:rsidRPr="004E2CEF">
        <w:rPr>
          <w:rFonts w:cs="Arial"/>
          <w:sz w:val="24"/>
          <w:szCs w:val="24"/>
        </w:rPr>
        <w:t>un reddito</w:t>
      </w:r>
      <w:r w:rsidR="00A57985" w:rsidRPr="004E2CEF">
        <w:rPr>
          <w:rFonts w:cs="Arial"/>
          <w:sz w:val="24"/>
          <w:szCs w:val="24"/>
        </w:rPr>
        <w:t xml:space="preserve"> imponibile superiore a </w:t>
      </w:r>
      <w:r w:rsidR="003F0C8A" w:rsidRPr="004E2CEF">
        <w:rPr>
          <w:rFonts w:cs="Arial"/>
          <w:sz w:val="24"/>
          <w:szCs w:val="24"/>
        </w:rPr>
        <w:t>287’600</w:t>
      </w:r>
      <w:r w:rsidR="00A57985" w:rsidRPr="004E2CEF">
        <w:rPr>
          <w:rFonts w:cs="Arial"/>
          <w:sz w:val="24"/>
          <w:szCs w:val="24"/>
        </w:rPr>
        <w:t xml:space="preserve"> franchi</w:t>
      </w:r>
      <w:r w:rsidR="003F0C8A" w:rsidRPr="004E2CEF">
        <w:rPr>
          <w:rFonts w:cs="Arial"/>
          <w:sz w:val="24"/>
          <w:szCs w:val="24"/>
        </w:rPr>
        <w:t xml:space="preserve"> per le persone</w:t>
      </w:r>
      <w:r w:rsidR="00B2780B" w:rsidRPr="004E2CEF">
        <w:rPr>
          <w:rFonts w:cs="Arial"/>
          <w:sz w:val="24"/>
          <w:szCs w:val="24"/>
        </w:rPr>
        <w:t xml:space="preserve"> sole</w:t>
      </w:r>
      <w:r w:rsidR="00A57985" w:rsidRPr="004E2CEF">
        <w:rPr>
          <w:rFonts w:cs="Arial"/>
          <w:sz w:val="24"/>
          <w:szCs w:val="24"/>
        </w:rPr>
        <w:t>,</w:t>
      </w:r>
      <w:r w:rsidR="003F0C8A" w:rsidRPr="004E2CEF">
        <w:rPr>
          <w:rFonts w:cs="Arial"/>
          <w:sz w:val="24"/>
          <w:szCs w:val="24"/>
        </w:rPr>
        <w:t xml:space="preserve"> rispettivamente 360'500 per i coniugati, </w:t>
      </w:r>
      <w:r w:rsidR="00A57985" w:rsidRPr="004E2CEF">
        <w:rPr>
          <w:rFonts w:cs="Arial"/>
          <w:sz w:val="24"/>
          <w:szCs w:val="24"/>
        </w:rPr>
        <w:t xml:space="preserve">applicando – oltre questa soglia – un’aliquota proporzionale del </w:t>
      </w:r>
      <w:r w:rsidR="002218F9" w:rsidRPr="004E2CEF">
        <w:rPr>
          <w:rFonts w:cs="Arial"/>
          <w:sz w:val="24"/>
          <w:szCs w:val="24"/>
        </w:rPr>
        <w:t>12%</w:t>
      </w:r>
      <w:r w:rsidR="00A57985" w:rsidRPr="004E2CEF">
        <w:rPr>
          <w:rFonts w:cs="Arial"/>
          <w:sz w:val="24"/>
          <w:szCs w:val="24"/>
        </w:rPr>
        <w:t>.</w:t>
      </w:r>
      <w:r w:rsidR="002218F9" w:rsidRPr="004E2CEF">
        <w:rPr>
          <w:rFonts w:cs="Arial"/>
          <w:sz w:val="24"/>
          <w:szCs w:val="24"/>
        </w:rPr>
        <w:t xml:space="preserve"> Si precisa che la nuova scala delle aliquote allegata al presente disegno di legge è già adeguata agli effetti della progressione a freddo che entreranno in vigore nel 2024. </w:t>
      </w:r>
      <w:r w:rsidR="005F6214">
        <w:rPr>
          <w:rFonts w:cs="Arial"/>
          <w:sz w:val="24"/>
          <w:szCs w:val="24"/>
        </w:rPr>
        <w:t xml:space="preserve">Al fine di ripartire nel tempo l’impatto finanziario della misura, proponiamo </w:t>
      </w:r>
      <w:r w:rsidRPr="0083229F">
        <w:rPr>
          <w:rFonts w:cs="Arial"/>
          <w:sz w:val="24"/>
          <w:szCs w:val="24"/>
        </w:rPr>
        <w:t xml:space="preserve">di raggiungere l’obiettivo di abbassare l’aliquota massima al 12% unicamente a partire dal 2025 e di introdurre, per il 2024, un periodo transitorio durante il quale sarà applicata un’aliquota massima del 13.25%.  </w:t>
      </w:r>
    </w:p>
    <w:p w14:paraId="68431725" w14:textId="77777777" w:rsidR="005906C0" w:rsidRPr="005906C0" w:rsidRDefault="005906C0" w:rsidP="005906C0">
      <w:pPr>
        <w:rPr>
          <w:rFonts w:cs="Arial"/>
          <w:sz w:val="24"/>
          <w:szCs w:val="24"/>
          <w:highlight w:val="yellow"/>
        </w:rPr>
      </w:pPr>
    </w:p>
    <w:p w14:paraId="1FE0EEC6" w14:textId="2A3E3AE1" w:rsidR="00F43B97" w:rsidRDefault="005906C0" w:rsidP="002C6330">
      <w:pPr>
        <w:rPr>
          <w:rFonts w:cs="Arial"/>
          <w:sz w:val="24"/>
          <w:szCs w:val="24"/>
        </w:rPr>
      </w:pPr>
      <w:r w:rsidRPr="006C604A">
        <w:rPr>
          <w:rFonts w:cs="Arial"/>
          <w:sz w:val="24"/>
          <w:szCs w:val="24"/>
        </w:rPr>
        <w:t>A questo riguardo e dal profilo legislativo si chiede di già adeguare il vigente articolo 35 LT alla soluzione definitiva che sarà applicata a partire dal 2025 prevedendo un’apposita norma transitoria (nuovo art. 309g LT) che introduce, limitatamente al periodo fiscale 2024, l’aliquota massima del 13.25</w:t>
      </w:r>
      <w:r w:rsidRPr="006C604A">
        <w:rPr>
          <w:rFonts w:ascii="Calibri" w:hAnsi="Calibri" w:cs="Arial"/>
          <w:sz w:val="24"/>
          <w:szCs w:val="24"/>
        </w:rPr>
        <w:t>%</w:t>
      </w:r>
      <w:r w:rsidRPr="006C604A">
        <w:rPr>
          <w:rFonts w:cs="Arial"/>
          <w:sz w:val="24"/>
          <w:szCs w:val="24"/>
        </w:rPr>
        <w:t xml:space="preserve">. </w:t>
      </w:r>
    </w:p>
    <w:p w14:paraId="3065A647" w14:textId="77777777" w:rsidR="007D14DF" w:rsidRPr="007D14DF" w:rsidRDefault="007D14DF" w:rsidP="002C6330">
      <w:pPr>
        <w:rPr>
          <w:rFonts w:cs="Arial"/>
          <w:sz w:val="24"/>
          <w:szCs w:val="24"/>
        </w:rPr>
      </w:pPr>
    </w:p>
    <w:p w14:paraId="5F556391" w14:textId="77777777" w:rsidR="005B39D3" w:rsidRDefault="005B39D3">
      <w:pPr>
        <w:rPr>
          <w:rFonts w:cs="Arial"/>
          <w:b/>
          <w:sz w:val="24"/>
          <w:szCs w:val="24"/>
        </w:rPr>
      </w:pPr>
      <w:r>
        <w:rPr>
          <w:rFonts w:cs="Arial"/>
          <w:b/>
          <w:sz w:val="24"/>
          <w:szCs w:val="24"/>
        </w:rPr>
        <w:br w:type="page"/>
      </w:r>
    </w:p>
    <w:p w14:paraId="35285C56" w14:textId="2CBCBAC2" w:rsidR="00F70A77" w:rsidRPr="004E2CEF" w:rsidRDefault="00312F8E" w:rsidP="00737825">
      <w:pPr>
        <w:rPr>
          <w:rFonts w:cs="Arial"/>
          <w:b/>
          <w:sz w:val="24"/>
          <w:szCs w:val="24"/>
        </w:rPr>
      </w:pPr>
      <w:r w:rsidRPr="004E2CEF">
        <w:rPr>
          <w:rFonts w:cs="Arial"/>
          <w:b/>
          <w:sz w:val="24"/>
          <w:szCs w:val="24"/>
        </w:rPr>
        <w:t>Rappresentazione grafica della nuova curva delle aliquote dell’</w:t>
      </w:r>
      <w:r w:rsidR="00AF4920">
        <w:rPr>
          <w:rFonts w:cs="Arial"/>
          <w:b/>
          <w:sz w:val="24"/>
          <w:szCs w:val="24"/>
        </w:rPr>
        <w:t xml:space="preserve">imposta sul reddito </w:t>
      </w:r>
    </w:p>
    <w:p w14:paraId="686B2362" w14:textId="5C4BE074" w:rsidR="00F70A77" w:rsidRDefault="00AF4920" w:rsidP="00C431E8">
      <w:pPr>
        <w:spacing w:before="120"/>
        <w:jc w:val="center"/>
        <w:rPr>
          <w:rFonts w:cs="Arial"/>
          <w:b/>
          <w:sz w:val="24"/>
          <w:szCs w:val="24"/>
        </w:rPr>
      </w:pPr>
      <w:r>
        <w:rPr>
          <w:rFonts w:cs="Arial"/>
          <w:b/>
          <w:noProof/>
          <w:sz w:val="24"/>
          <w:szCs w:val="24"/>
          <w:lang w:eastAsia="it-CH"/>
        </w:rPr>
        <w:drawing>
          <wp:inline distT="0" distB="0" distL="0" distR="0" wp14:anchorId="390A2238" wp14:editId="16086B30">
            <wp:extent cx="4714500" cy="2500288"/>
            <wp:effectExtent l="0" t="0" r="0" b="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766284" cy="2527751"/>
                    </a:xfrm>
                    <a:prstGeom prst="rect">
                      <a:avLst/>
                    </a:prstGeom>
                    <a:noFill/>
                  </pic:spPr>
                </pic:pic>
              </a:graphicData>
            </a:graphic>
          </wp:inline>
        </w:drawing>
      </w:r>
    </w:p>
    <w:p w14:paraId="71396620" w14:textId="5ACEB9F1" w:rsidR="00312F8E" w:rsidRPr="00AF4920" w:rsidRDefault="00FB4CFF" w:rsidP="00C431E8">
      <w:pPr>
        <w:spacing w:before="120"/>
        <w:jc w:val="center"/>
        <w:rPr>
          <w:rFonts w:cs="Arial"/>
          <w:b/>
          <w:sz w:val="24"/>
          <w:szCs w:val="24"/>
        </w:rPr>
      </w:pPr>
      <w:r>
        <w:rPr>
          <w:rFonts w:cs="Arial"/>
          <w:b/>
          <w:noProof/>
          <w:sz w:val="24"/>
          <w:szCs w:val="24"/>
          <w:lang w:eastAsia="it-CH"/>
        </w:rPr>
        <w:drawing>
          <wp:inline distT="0" distB="0" distL="0" distR="0" wp14:anchorId="25DE8D48" wp14:editId="7699AE16">
            <wp:extent cx="4800600" cy="2644142"/>
            <wp:effectExtent l="0" t="0" r="0" b="381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853767" cy="2673426"/>
                    </a:xfrm>
                    <a:prstGeom prst="rect">
                      <a:avLst/>
                    </a:prstGeom>
                    <a:noFill/>
                  </pic:spPr>
                </pic:pic>
              </a:graphicData>
            </a:graphic>
          </wp:inline>
        </w:drawing>
      </w:r>
    </w:p>
    <w:p w14:paraId="677C15D5" w14:textId="77777777" w:rsidR="00C431E8" w:rsidRPr="007761BE" w:rsidRDefault="00C431E8" w:rsidP="007761BE">
      <w:pPr>
        <w:spacing w:before="120"/>
        <w:rPr>
          <w:rFonts w:cs="Arial"/>
          <w:sz w:val="24"/>
          <w:szCs w:val="24"/>
        </w:rPr>
      </w:pPr>
    </w:p>
    <w:p w14:paraId="7604A1AC" w14:textId="5DDEE091" w:rsidR="00A57985" w:rsidRPr="004E2CEF" w:rsidRDefault="00A57985" w:rsidP="00100005">
      <w:pPr>
        <w:pStyle w:val="CAPITOLO2"/>
      </w:pPr>
      <w:bookmarkStart w:id="30" w:name="_Toc139991897"/>
      <w:r w:rsidRPr="004E2CEF">
        <w:t>Ripercussioni finanziarie</w:t>
      </w:r>
      <w:bookmarkEnd w:id="30"/>
      <w:r w:rsidRPr="004E2CEF">
        <w:t xml:space="preserve"> </w:t>
      </w:r>
    </w:p>
    <w:p w14:paraId="2ABB3BAC" w14:textId="77777777" w:rsidR="00A57985" w:rsidRPr="004E2CEF" w:rsidRDefault="00A57985" w:rsidP="00A57985">
      <w:pPr>
        <w:rPr>
          <w:rFonts w:cs="Arial"/>
          <w:sz w:val="24"/>
          <w:szCs w:val="24"/>
        </w:rPr>
      </w:pPr>
    </w:p>
    <w:p w14:paraId="79F08BD2" w14:textId="4C2648FF" w:rsidR="005906C0" w:rsidRPr="006C604A" w:rsidRDefault="005906C0" w:rsidP="005906C0">
      <w:pPr>
        <w:rPr>
          <w:rFonts w:cs="Arial"/>
          <w:sz w:val="24"/>
          <w:szCs w:val="24"/>
        </w:rPr>
      </w:pPr>
      <w:r w:rsidRPr="006C604A">
        <w:rPr>
          <w:rFonts w:cs="Arial"/>
          <w:sz w:val="24"/>
          <w:szCs w:val="24"/>
        </w:rPr>
        <w:t>La riduzione dell’aliquota massima dell’imposta sul reddito comporta una contrazione di gettito valutata in 11.</w:t>
      </w:r>
      <w:r w:rsidR="00AF4920" w:rsidRPr="006C604A">
        <w:rPr>
          <w:rFonts w:cs="Arial"/>
          <w:sz w:val="24"/>
          <w:szCs w:val="24"/>
        </w:rPr>
        <w:t>7</w:t>
      </w:r>
      <w:r w:rsidRPr="006C604A">
        <w:rPr>
          <w:rFonts w:cs="Arial"/>
          <w:sz w:val="24"/>
          <w:szCs w:val="24"/>
        </w:rPr>
        <w:t xml:space="preserve"> milioni di franchi per il Cantone e in 9.3 milioni di franchi per i Comuni nel 2024 e, a partire dal 2025 (applicazione dell’aliquota massima del 12%), di ulteriori 11.6 milioni di franchi per il Cantone e 9.3 milioni di franchi per i Comuni. </w:t>
      </w:r>
    </w:p>
    <w:p w14:paraId="585CD869" w14:textId="77777777" w:rsidR="00B10521" w:rsidRDefault="00B10521" w:rsidP="005906C0">
      <w:pPr>
        <w:rPr>
          <w:rFonts w:cs="Arial"/>
          <w:sz w:val="24"/>
          <w:szCs w:val="24"/>
        </w:rPr>
      </w:pPr>
    </w:p>
    <w:p w14:paraId="378835EF" w14:textId="509B0270" w:rsidR="00B10521" w:rsidRDefault="005906C0" w:rsidP="00A57985">
      <w:pPr>
        <w:rPr>
          <w:rFonts w:cs="Arial"/>
          <w:sz w:val="24"/>
          <w:szCs w:val="24"/>
        </w:rPr>
      </w:pPr>
      <w:r w:rsidRPr="006C604A">
        <w:rPr>
          <w:rFonts w:cs="Arial"/>
          <w:sz w:val="24"/>
          <w:szCs w:val="24"/>
        </w:rPr>
        <w:t>Complessivamente, una volta a regime la nuova aliquota massima del 12% nel 2025, l’impatto finanziario della presente modifica di legge comporterà dunque una diminuzione di gettito di 23.</w:t>
      </w:r>
      <w:r w:rsidR="007761BE" w:rsidRPr="006C604A">
        <w:rPr>
          <w:rFonts w:cs="Arial"/>
          <w:sz w:val="24"/>
          <w:szCs w:val="24"/>
        </w:rPr>
        <w:t>3</w:t>
      </w:r>
      <w:r w:rsidRPr="006C604A">
        <w:rPr>
          <w:rFonts w:cs="Arial"/>
          <w:sz w:val="24"/>
          <w:szCs w:val="24"/>
        </w:rPr>
        <w:t xml:space="preserve"> milioni di franchi per il Cantone e di 18.6 milioni di franchi per i Comuni.</w:t>
      </w:r>
    </w:p>
    <w:p w14:paraId="46B938A0" w14:textId="77777777" w:rsidR="00B10521" w:rsidRPr="006C604A" w:rsidRDefault="00B10521" w:rsidP="00A57985">
      <w:pPr>
        <w:rPr>
          <w:rFonts w:cs="Arial"/>
          <w:sz w:val="24"/>
          <w:szCs w:val="24"/>
        </w:rPr>
      </w:pPr>
    </w:p>
    <w:p w14:paraId="21E1887E" w14:textId="67B5F0E9" w:rsidR="00A57985" w:rsidRPr="006C604A" w:rsidRDefault="00A57985" w:rsidP="00100005">
      <w:pPr>
        <w:pStyle w:val="CAPITOLO2"/>
      </w:pPr>
      <w:bookmarkStart w:id="31" w:name="_Toc139991898"/>
      <w:r w:rsidRPr="006C604A">
        <w:t>Entrata in vigore</w:t>
      </w:r>
      <w:bookmarkEnd w:id="31"/>
    </w:p>
    <w:p w14:paraId="643E1CB8" w14:textId="77777777" w:rsidR="00A57985" w:rsidRPr="006C604A" w:rsidRDefault="00A57985" w:rsidP="00861D05">
      <w:pPr>
        <w:rPr>
          <w:rFonts w:cs="Arial"/>
          <w:sz w:val="24"/>
          <w:szCs w:val="24"/>
        </w:rPr>
      </w:pPr>
    </w:p>
    <w:p w14:paraId="4E68AAE2" w14:textId="34738301" w:rsidR="00CB0AAB" w:rsidRPr="006C604A" w:rsidRDefault="005906C0" w:rsidP="000A627D">
      <w:pPr>
        <w:rPr>
          <w:rFonts w:cs="Arial"/>
          <w:sz w:val="24"/>
          <w:szCs w:val="24"/>
        </w:rPr>
      </w:pPr>
      <w:r w:rsidRPr="006C604A">
        <w:rPr>
          <w:rFonts w:cs="Arial"/>
          <w:sz w:val="24"/>
          <w:szCs w:val="24"/>
        </w:rPr>
        <w:t>Si propone l’entrata in vigore di questa misura all’1.1.2024. Tuttavia, come esposto in precedenza, l’aliquota massima del 12% entrerà in vigore unicamente nel periodo fiscale 2025, mentre per il periodo fiscale 2024 l’aliquota massima sarà transitoriamente fissata al 13.25%</w:t>
      </w:r>
      <w:r w:rsidRPr="006C604A">
        <w:rPr>
          <w:rFonts w:ascii="Calibri" w:hAnsi="Calibri" w:cs="Arial"/>
          <w:sz w:val="24"/>
          <w:szCs w:val="24"/>
        </w:rPr>
        <w:t>.</w:t>
      </w:r>
    </w:p>
    <w:p w14:paraId="68013913" w14:textId="3A6641E1" w:rsidR="009D0E96" w:rsidRPr="004E2CEF" w:rsidRDefault="009D0E96" w:rsidP="008D317C">
      <w:pPr>
        <w:rPr>
          <w:sz w:val="24"/>
          <w:szCs w:val="24"/>
        </w:rPr>
      </w:pPr>
    </w:p>
    <w:p w14:paraId="7FFA238F" w14:textId="48C9D69C" w:rsidR="000C225F" w:rsidRPr="004E2CEF" w:rsidRDefault="00713BC2" w:rsidP="005B39D3">
      <w:pPr>
        <w:pStyle w:val="CAPITOLO1"/>
        <w:numPr>
          <w:ilvl w:val="0"/>
          <w:numId w:val="30"/>
        </w:numPr>
        <w:ind w:left="851" w:hanging="851"/>
      </w:pPr>
      <w:bookmarkStart w:id="32" w:name="_Toc139991899"/>
      <w:r w:rsidRPr="004E2CEF">
        <w:t xml:space="preserve">Abrogazione della </w:t>
      </w:r>
      <w:r w:rsidR="00C431E8">
        <w:t>norma</w:t>
      </w:r>
      <w:r w:rsidRPr="004E2CEF">
        <w:t xml:space="preserve"> transitoria </w:t>
      </w:r>
      <w:r w:rsidR="006C604A">
        <w:t>relativa al</w:t>
      </w:r>
      <w:r w:rsidR="006C604A" w:rsidRPr="004E2CEF">
        <w:t xml:space="preserve"> </w:t>
      </w:r>
      <w:r w:rsidRPr="004E2CEF">
        <w:t>coefficiente di imposta cantonale</w:t>
      </w:r>
      <w:bookmarkEnd w:id="32"/>
    </w:p>
    <w:p w14:paraId="482E4110" w14:textId="1B1AB4C0" w:rsidR="00713BC2" w:rsidRPr="004E2CEF" w:rsidRDefault="00713BC2" w:rsidP="00100005">
      <w:pPr>
        <w:pStyle w:val="CAPITOLO1"/>
        <w:numPr>
          <w:ilvl w:val="0"/>
          <w:numId w:val="0"/>
        </w:numPr>
        <w:ind w:left="720"/>
      </w:pPr>
    </w:p>
    <w:p w14:paraId="5F9D5BCE" w14:textId="412AA0E3" w:rsidR="006C604A" w:rsidRPr="005813EF" w:rsidRDefault="006C604A" w:rsidP="006C604A">
      <w:pPr>
        <w:pStyle w:val="NormaleWeb"/>
        <w:spacing w:before="0" w:beforeAutospacing="0" w:after="0" w:afterAutospacing="0"/>
        <w:jc w:val="both"/>
        <w:rPr>
          <w:rFonts w:asciiTheme="minorHAnsi" w:hAnsiTheme="minorHAnsi" w:cstheme="minorHAnsi"/>
          <w:color w:val="000000"/>
        </w:rPr>
      </w:pPr>
      <w:r w:rsidRPr="005813EF">
        <w:rPr>
          <w:rFonts w:asciiTheme="minorHAnsi" w:hAnsiTheme="minorHAnsi" w:cstheme="minorHAnsi"/>
          <w:color w:val="000000"/>
        </w:rPr>
        <w:t>Come già rilevato in sede introduttiva, la durata di validità della riduzione transitoria del coefficiente d’imposta cantonale decisa nel 2019 dal Gran Consiglio a seguito dell’approvazione del Messaggio n. 7684 è “</w:t>
      </w:r>
      <w:r w:rsidRPr="005813EF">
        <w:rPr>
          <w:rFonts w:asciiTheme="minorHAnsi" w:hAnsiTheme="minorHAnsi" w:cstheme="minorHAnsi"/>
          <w:i/>
          <w:color w:val="000000"/>
        </w:rPr>
        <w:t>strettamente connessa con la futura riforma generale della legge tributaria. In caso di entrata in vigore di tale riforma entro i termini auspicati, il coefficiente cantonale verrà riportato al 100%. Al contrario, qualora tale riforma non possa concretizzarsi entro il 2025, la misura potrà essere prorogata dal Parlamento…</w:t>
      </w:r>
      <w:r w:rsidRPr="005813EF">
        <w:rPr>
          <w:rFonts w:asciiTheme="minorHAnsi" w:hAnsiTheme="minorHAnsi" w:cstheme="minorHAnsi"/>
          <w:color w:val="000000"/>
        </w:rPr>
        <w:t>”</w:t>
      </w:r>
      <w:r w:rsidRPr="005813EF">
        <w:rPr>
          <w:rStyle w:val="Rimandonotaapidipagina"/>
          <w:rFonts w:asciiTheme="minorHAnsi" w:hAnsiTheme="minorHAnsi" w:cstheme="minorHAnsi"/>
          <w:color w:val="000000"/>
        </w:rPr>
        <w:footnoteReference w:id="21"/>
      </w:r>
      <w:r w:rsidRPr="005813EF">
        <w:rPr>
          <w:rFonts w:asciiTheme="minorHAnsi" w:hAnsiTheme="minorHAnsi" w:cstheme="minorHAnsi"/>
          <w:color w:val="000000"/>
        </w:rPr>
        <w:t>.</w:t>
      </w:r>
    </w:p>
    <w:p w14:paraId="44FA0F52" w14:textId="28BB0DCB" w:rsidR="006C604A" w:rsidRPr="005813EF" w:rsidRDefault="006C604A" w:rsidP="006C604A">
      <w:pPr>
        <w:pStyle w:val="NormaleWeb"/>
        <w:spacing w:before="0" w:beforeAutospacing="0" w:after="0" w:afterAutospacing="0"/>
        <w:jc w:val="both"/>
        <w:rPr>
          <w:rFonts w:asciiTheme="minorHAnsi" w:hAnsiTheme="minorHAnsi" w:cstheme="minorHAnsi"/>
          <w:color w:val="000000"/>
        </w:rPr>
      </w:pPr>
    </w:p>
    <w:p w14:paraId="7CF2B240" w14:textId="3A75E4E2" w:rsidR="00792558" w:rsidRDefault="006C604A" w:rsidP="00792558">
      <w:pPr>
        <w:pStyle w:val="NormaleWeb"/>
        <w:spacing w:before="0" w:beforeAutospacing="0" w:after="0" w:afterAutospacing="0"/>
        <w:jc w:val="both"/>
        <w:rPr>
          <w:rFonts w:asciiTheme="minorHAnsi" w:hAnsiTheme="minorHAnsi" w:cstheme="minorHAnsi"/>
          <w:color w:val="000000"/>
          <w:highlight w:val="green"/>
        </w:rPr>
      </w:pPr>
      <w:r w:rsidRPr="005813EF">
        <w:rPr>
          <w:rFonts w:asciiTheme="minorHAnsi" w:hAnsiTheme="minorHAnsi" w:cstheme="minorHAnsi"/>
          <w:color w:val="000000"/>
        </w:rPr>
        <w:t>Conseguentemente a quanto sopra e ritenuto che, in caso di approvazione della presente riforma, la norma transitoria relativa alla riduzione del coefficiente d’imposta cantonale risulterebbe superflua ai fini dell’applicazione della legge tributaria, si propone di abrogare l’art</w:t>
      </w:r>
      <w:r w:rsidR="00792558" w:rsidRPr="005813EF">
        <w:rPr>
          <w:rFonts w:asciiTheme="minorHAnsi" w:hAnsiTheme="minorHAnsi" w:cstheme="minorHAnsi"/>
          <w:color w:val="000000"/>
        </w:rPr>
        <w:t>icolo</w:t>
      </w:r>
      <w:r w:rsidRPr="005813EF">
        <w:rPr>
          <w:rFonts w:asciiTheme="minorHAnsi" w:hAnsiTheme="minorHAnsi" w:cstheme="minorHAnsi"/>
          <w:color w:val="000000"/>
        </w:rPr>
        <w:t xml:space="preserve"> 300a cpv</w:t>
      </w:r>
      <w:r w:rsidRPr="00D930C0">
        <w:rPr>
          <w:rFonts w:asciiTheme="minorHAnsi" w:hAnsiTheme="minorHAnsi" w:cstheme="minorHAnsi"/>
          <w:color w:val="000000"/>
        </w:rPr>
        <w:t xml:space="preserve">. 2 LT. </w:t>
      </w:r>
      <w:r w:rsidR="00792558" w:rsidRPr="00D930C0">
        <w:rPr>
          <w:rFonts w:asciiTheme="minorHAnsi" w:hAnsiTheme="minorHAnsi" w:cstheme="minorHAnsi"/>
          <w:color w:val="000000"/>
        </w:rPr>
        <w:t xml:space="preserve">Si precisa che, in caso di eventuale mancata abrogazione dell’articolo 300a cpv. 2 LT, il coefficiente d’imposta cantonale non potrà in ogni caso rimanere automaticamente al 97% in quanto, conformemente all’art. 300a cpv. 1 LT, tale percentuale si applica unicamente ai periodi fiscali 2020-2023. </w:t>
      </w:r>
    </w:p>
    <w:p w14:paraId="545A26A7" w14:textId="77777777" w:rsidR="00792558" w:rsidRDefault="00792558" w:rsidP="00792558">
      <w:pPr>
        <w:pStyle w:val="NormaleWeb"/>
        <w:spacing w:before="0" w:beforeAutospacing="0" w:after="0" w:afterAutospacing="0"/>
        <w:jc w:val="both"/>
        <w:rPr>
          <w:rFonts w:asciiTheme="minorHAnsi" w:hAnsiTheme="minorHAnsi" w:cstheme="minorHAnsi"/>
          <w:color w:val="000000"/>
          <w:highlight w:val="green"/>
        </w:rPr>
      </w:pPr>
    </w:p>
    <w:p w14:paraId="24924D3F" w14:textId="5483E6D1" w:rsidR="00792558" w:rsidRPr="00362A92" w:rsidRDefault="00792558" w:rsidP="006643C1">
      <w:pPr>
        <w:pStyle w:val="NormaleWeb"/>
        <w:spacing w:before="0" w:beforeAutospacing="0" w:after="0" w:afterAutospacing="0"/>
        <w:jc w:val="both"/>
        <w:rPr>
          <w:rFonts w:asciiTheme="minorHAnsi" w:hAnsiTheme="minorHAnsi" w:cstheme="minorHAnsi"/>
          <w:color w:val="000000"/>
        </w:rPr>
      </w:pPr>
      <w:r w:rsidRPr="00362A92">
        <w:rPr>
          <w:rFonts w:asciiTheme="minorHAnsi" w:hAnsiTheme="minorHAnsi" w:cstheme="minorHAnsi"/>
          <w:color w:val="000000"/>
        </w:rPr>
        <w:t xml:space="preserve">Si segnala infine che, a prescindere dalle considerazioni di cui sopra, il mantenimento di un coefficiente al 97% </w:t>
      </w:r>
      <w:r w:rsidR="00362A92">
        <w:rPr>
          <w:rFonts w:asciiTheme="minorHAnsi" w:hAnsiTheme="minorHAnsi" w:cstheme="minorHAnsi"/>
          <w:color w:val="000000"/>
        </w:rPr>
        <w:t>è</w:t>
      </w:r>
      <w:r w:rsidR="00D930C0" w:rsidRPr="00362A92">
        <w:rPr>
          <w:rFonts w:asciiTheme="minorHAnsi" w:hAnsiTheme="minorHAnsi" w:cstheme="minorHAnsi"/>
          <w:color w:val="000000"/>
        </w:rPr>
        <w:t xml:space="preserve"> in contrasto con gli</w:t>
      </w:r>
      <w:r w:rsidRPr="00362A92">
        <w:rPr>
          <w:rFonts w:asciiTheme="minorHAnsi" w:hAnsiTheme="minorHAnsi" w:cstheme="minorHAnsi"/>
          <w:color w:val="000000"/>
        </w:rPr>
        <w:t xml:space="preserve"> articoli 31a cpv. 3 e 31f della legge sulla gestione e sul controllo finanziario dello Stato (LGF) unitamente all’articolo 1b LT. </w:t>
      </w:r>
    </w:p>
    <w:p w14:paraId="209DAF41" w14:textId="77777777" w:rsidR="00792558" w:rsidRDefault="00792558" w:rsidP="006643C1">
      <w:pPr>
        <w:pStyle w:val="NormaleWeb"/>
        <w:spacing w:before="0" w:beforeAutospacing="0" w:after="0" w:afterAutospacing="0"/>
        <w:jc w:val="both"/>
        <w:rPr>
          <w:rFonts w:asciiTheme="minorHAnsi" w:hAnsiTheme="minorHAnsi" w:cstheme="minorHAnsi"/>
          <w:color w:val="000000"/>
        </w:rPr>
      </w:pPr>
    </w:p>
    <w:p w14:paraId="36128DDB" w14:textId="77777777" w:rsidR="006643C1" w:rsidRPr="006643C1" w:rsidRDefault="006643C1" w:rsidP="006643C1">
      <w:pPr>
        <w:pStyle w:val="NormaleWeb"/>
        <w:spacing w:before="0" w:beforeAutospacing="0" w:after="0" w:afterAutospacing="0"/>
        <w:jc w:val="both"/>
        <w:rPr>
          <w:rFonts w:asciiTheme="minorHAnsi" w:hAnsiTheme="minorHAnsi" w:cstheme="minorHAnsi"/>
          <w:color w:val="000000"/>
        </w:rPr>
      </w:pPr>
    </w:p>
    <w:p w14:paraId="11F7886A" w14:textId="0FC98FD3" w:rsidR="00D933E8" w:rsidRPr="004E2CEF" w:rsidRDefault="00D933E8" w:rsidP="00CA41BE">
      <w:pPr>
        <w:pStyle w:val="TITOLO"/>
      </w:pPr>
      <w:bookmarkStart w:id="33" w:name="_Toc139991900"/>
      <w:r w:rsidRPr="004E2CEF">
        <w:t>RIASSUNTO DELLE RIPERCUSSIONI FINANZIARIE</w:t>
      </w:r>
      <w:bookmarkEnd w:id="33"/>
    </w:p>
    <w:p w14:paraId="6038FD4F" w14:textId="77777777" w:rsidR="00D933E8" w:rsidRPr="004E2CEF" w:rsidRDefault="00D933E8" w:rsidP="00CA41BE">
      <w:pPr>
        <w:pStyle w:val="TITOLO"/>
        <w:numPr>
          <w:ilvl w:val="0"/>
          <w:numId w:val="0"/>
        </w:numPr>
        <w:ind w:left="1080"/>
      </w:pPr>
    </w:p>
    <w:p w14:paraId="5B367F7B" w14:textId="7B8A5F88" w:rsidR="00AF4920" w:rsidRPr="006C604A" w:rsidRDefault="006313AC" w:rsidP="006313AC">
      <w:pPr>
        <w:rPr>
          <w:rFonts w:cs="Arial"/>
          <w:sz w:val="24"/>
          <w:szCs w:val="24"/>
        </w:rPr>
      </w:pPr>
      <w:r w:rsidRPr="004E2CEF">
        <w:rPr>
          <w:rFonts w:cs="Arial"/>
          <w:sz w:val="24"/>
          <w:szCs w:val="24"/>
        </w:rPr>
        <w:t>Come già anticipato in sede introduttiva</w:t>
      </w:r>
      <w:r w:rsidR="00EC50B1" w:rsidRPr="004E2CEF">
        <w:rPr>
          <w:rFonts w:cs="Arial"/>
          <w:sz w:val="24"/>
          <w:szCs w:val="24"/>
        </w:rPr>
        <w:t xml:space="preserve"> e al precedente paragrafo 5</w:t>
      </w:r>
      <w:r w:rsidRPr="006C604A">
        <w:rPr>
          <w:rFonts w:cs="Arial"/>
          <w:sz w:val="24"/>
          <w:szCs w:val="24"/>
        </w:rPr>
        <w:t xml:space="preserve">, </w:t>
      </w:r>
      <w:r w:rsidR="00AF4920" w:rsidRPr="006C604A">
        <w:rPr>
          <w:rFonts w:cs="Arial"/>
          <w:sz w:val="24"/>
          <w:szCs w:val="24"/>
        </w:rPr>
        <w:t xml:space="preserve">a regime </w:t>
      </w:r>
      <w:r w:rsidRPr="006C604A">
        <w:rPr>
          <w:rFonts w:cs="Arial"/>
          <w:sz w:val="24"/>
          <w:szCs w:val="24"/>
        </w:rPr>
        <w:t>le modifiche legislative previste nel presente Messaggio avranno un impatto finanziario neutro per il Cantone in quanto saranno integralmente compensate dall’aumento del coefficiente d’imposta cantonale dal 97% al 100%. In altri termini, le minori entrate – valutate in 46.7 milioni - riconducibili alle misure di sgravio qui proposte saranno interamente compensate dalle maggiori entrate – valutate anch’esse in 46.7 milioni – riconducibili al rit</w:t>
      </w:r>
      <w:r w:rsidR="00AF4920" w:rsidRPr="006C604A">
        <w:rPr>
          <w:rFonts w:cs="Arial"/>
          <w:sz w:val="24"/>
          <w:szCs w:val="24"/>
        </w:rPr>
        <w:t xml:space="preserve">orno del coefficiente al 100%. </w:t>
      </w:r>
      <w:r w:rsidR="00C465C4">
        <w:rPr>
          <w:rFonts w:cs="Arial"/>
          <w:sz w:val="24"/>
          <w:szCs w:val="24"/>
        </w:rPr>
        <w:t>Per contro</w:t>
      </w:r>
      <w:r w:rsidR="00AF4920" w:rsidRPr="006C604A">
        <w:rPr>
          <w:rFonts w:cs="Arial"/>
          <w:sz w:val="24"/>
          <w:szCs w:val="24"/>
        </w:rPr>
        <w:t xml:space="preserve">, a seguito della riduzione scaglionata dell’aliquota massima dell’imposta sul reddito, limitatamente al 2024 il saldo finanziario sarà positivo di 11.6 milioni di franchi. </w:t>
      </w:r>
    </w:p>
    <w:p w14:paraId="00A14AB9" w14:textId="77777777" w:rsidR="006313AC" w:rsidRPr="006C604A" w:rsidRDefault="006313AC" w:rsidP="00D933E8">
      <w:pPr>
        <w:rPr>
          <w:rFonts w:cs="Arial"/>
          <w:sz w:val="24"/>
          <w:szCs w:val="24"/>
        </w:rPr>
      </w:pPr>
    </w:p>
    <w:p w14:paraId="508A6491" w14:textId="3D0E512F" w:rsidR="00B10521" w:rsidRDefault="006313AC" w:rsidP="00D933E8">
      <w:pPr>
        <w:rPr>
          <w:rFonts w:cs="Arial"/>
          <w:sz w:val="24"/>
          <w:szCs w:val="24"/>
        </w:rPr>
      </w:pPr>
      <w:r w:rsidRPr="006C604A">
        <w:rPr>
          <w:rFonts w:cs="Arial"/>
          <w:sz w:val="24"/>
          <w:szCs w:val="24"/>
        </w:rPr>
        <w:t xml:space="preserve">Per quanto riguarda i Comuni, la riforma avrà </w:t>
      </w:r>
      <w:r w:rsidR="00C465C4">
        <w:rPr>
          <w:rFonts w:cs="Arial"/>
          <w:sz w:val="24"/>
          <w:szCs w:val="24"/>
        </w:rPr>
        <w:t>invece</w:t>
      </w:r>
      <w:r w:rsidRPr="006C604A">
        <w:rPr>
          <w:rFonts w:cs="Arial"/>
          <w:sz w:val="24"/>
          <w:szCs w:val="24"/>
        </w:rPr>
        <w:t xml:space="preserve"> un impatto finanziario complessivo valutato in </w:t>
      </w:r>
      <w:r w:rsidR="00AF4920" w:rsidRPr="006C604A">
        <w:rPr>
          <w:rFonts w:cs="Arial"/>
          <w:sz w:val="24"/>
          <w:szCs w:val="24"/>
        </w:rPr>
        <w:t xml:space="preserve">23.7 milioni di franchi nel 2024 e in </w:t>
      </w:r>
      <w:r w:rsidRPr="006C604A">
        <w:rPr>
          <w:rFonts w:cs="Arial"/>
          <w:sz w:val="24"/>
          <w:szCs w:val="24"/>
        </w:rPr>
        <w:t>33</w:t>
      </w:r>
      <w:r w:rsidR="00AF4920" w:rsidRPr="006C604A">
        <w:rPr>
          <w:rFonts w:cs="Arial"/>
          <w:sz w:val="24"/>
          <w:szCs w:val="24"/>
        </w:rPr>
        <w:t>.0</w:t>
      </w:r>
      <w:r w:rsidRPr="006C604A">
        <w:rPr>
          <w:rFonts w:cs="Arial"/>
          <w:sz w:val="24"/>
          <w:szCs w:val="24"/>
        </w:rPr>
        <w:t xml:space="preserve"> milioni di franchi</w:t>
      </w:r>
      <w:r w:rsidR="00AF4920" w:rsidRPr="006C604A">
        <w:rPr>
          <w:rFonts w:cs="Arial"/>
          <w:sz w:val="24"/>
          <w:szCs w:val="24"/>
        </w:rPr>
        <w:t xml:space="preserve"> a partire dal 2025</w:t>
      </w:r>
      <w:r w:rsidRPr="004E2CEF">
        <w:rPr>
          <w:rFonts w:cs="Arial"/>
          <w:sz w:val="24"/>
          <w:szCs w:val="24"/>
        </w:rPr>
        <w:t xml:space="preserve">. </w:t>
      </w:r>
    </w:p>
    <w:p w14:paraId="694D470C" w14:textId="77777777" w:rsidR="005813EF" w:rsidRDefault="005813EF" w:rsidP="00D933E8">
      <w:pPr>
        <w:rPr>
          <w:rFonts w:cs="Arial"/>
          <w:sz w:val="24"/>
          <w:szCs w:val="24"/>
        </w:rPr>
      </w:pPr>
    </w:p>
    <w:p w14:paraId="392AB08C" w14:textId="3DA726DB" w:rsidR="009D2C80" w:rsidRPr="004E2CEF" w:rsidRDefault="006313AC" w:rsidP="00D933E8">
      <w:pPr>
        <w:rPr>
          <w:rFonts w:cs="Arial"/>
          <w:sz w:val="24"/>
          <w:szCs w:val="24"/>
        </w:rPr>
      </w:pPr>
      <w:r w:rsidRPr="004E2CEF">
        <w:rPr>
          <w:rFonts w:cs="Arial"/>
          <w:sz w:val="24"/>
          <w:szCs w:val="24"/>
        </w:rPr>
        <w:t>Il dettaglio delle ripercussioni finanziarie è riassunto nella tabella seguente:</w:t>
      </w:r>
    </w:p>
    <w:p w14:paraId="27C53D5A" w14:textId="06A4171D" w:rsidR="005B39D3" w:rsidRDefault="005B39D3">
      <w:pPr>
        <w:rPr>
          <w:rFonts w:cs="Arial"/>
          <w:sz w:val="24"/>
          <w:szCs w:val="24"/>
        </w:rPr>
      </w:pPr>
      <w:r>
        <w:rPr>
          <w:rFonts w:cs="Arial"/>
          <w:sz w:val="24"/>
          <w:szCs w:val="24"/>
        </w:rPr>
        <w:br w:type="page"/>
      </w:r>
    </w:p>
    <w:p w14:paraId="5E53D89B" w14:textId="4C2959B1" w:rsidR="006313AC" w:rsidRDefault="006313AC" w:rsidP="00D933E8">
      <w:pPr>
        <w:rPr>
          <w:rFonts w:cs="Arial"/>
          <w:b/>
          <w:i/>
          <w:sz w:val="24"/>
          <w:szCs w:val="24"/>
        </w:rPr>
      </w:pPr>
      <w:r w:rsidRPr="004E2CEF">
        <w:rPr>
          <w:rFonts w:cs="Arial"/>
          <w:b/>
          <w:i/>
          <w:sz w:val="24"/>
          <w:szCs w:val="24"/>
        </w:rPr>
        <w:t xml:space="preserve">Riassunto dell’impatto finanziario della riforma </w:t>
      </w:r>
      <w:r w:rsidR="009A514A" w:rsidRPr="004E2CEF">
        <w:rPr>
          <w:rFonts w:cs="Arial"/>
          <w:b/>
          <w:i/>
          <w:sz w:val="24"/>
          <w:szCs w:val="24"/>
        </w:rPr>
        <w:t>(in milioni di franchi)</w:t>
      </w:r>
    </w:p>
    <w:tbl>
      <w:tblPr>
        <w:tblW w:w="9540" w:type="dxa"/>
        <w:tblCellMar>
          <w:left w:w="70" w:type="dxa"/>
          <w:right w:w="70" w:type="dxa"/>
        </w:tblCellMar>
        <w:tblLook w:val="04A0" w:firstRow="1" w:lastRow="0" w:firstColumn="1" w:lastColumn="0" w:noHBand="0" w:noVBand="1"/>
      </w:tblPr>
      <w:tblGrid>
        <w:gridCol w:w="5700"/>
        <w:gridCol w:w="1000"/>
        <w:gridCol w:w="920"/>
        <w:gridCol w:w="1000"/>
        <w:gridCol w:w="920"/>
      </w:tblGrid>
      <w:tr w:rsidR="008D697E" w:rsidRPr="008D697E" w14:paraId="1864EA25" w14:textId="77777777" w:rsidTr="004955C8">
        <w:trPr>
          <w:trHeight w:val="300"/>
        </w:trPr>
        <w:tc>
          <w:tcPr>
            <w:tcW w:w="5700" w:type="dxa"/>
            <w:tcBorders>
              <w:top w:val="nil"/>
              <w:left w:val="nil"/>
              <w:bottom w:val="nil"/>
              <w:right w:val="nil"/>
            </w:tcBorders>
            <w:shd w:val="clear" w:color="auto" w:fill="auto"/>
            <w:noWrap/>
            <w:vAlign w:val="bottom"/>
            <w:hideMark/>
          </w:tcPr>
          <w:p w14:paraId="1C5D8287" w14:textId="77777777" w:rsidR="008D697E" w:rsidRPr="008D697E" w:rsidRDefault="008D697E" w:rsidP="008D697E">
            <w:pPr>
              <w:jc w:val="left"/>
              <w:rPr>
                <w:rFonts w:ascii="Times New Roman" w:eastAsia="Times New Roman" w:hAnsi="Times New Roman" w:cs="Times New Roman"/>
                <w:sz w:val="24"/>
                <w:szCs w:val="24"/>
                <w:lang w:eastAsia="it-CH"/>
              </w:rPr>
            </w:pPr>
          </w:p>
        </w:tc>
        <w:tc>
          <w:tcPr>
            <w:tcW w:w="19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6542AB" w14:textId="77777777" w:rsidR="008D697E" w:rsidRPr="008D697E" w:rsidRDefault="008D697E" w:rsidP="008D697E">
            <w:pPr>
              <w:jc w:val="center"/>
              <w:rPr>
                <w:rFonts w:eastAsia="Times New Roman" w:cs="Arial"/>
                <w:b/>
                <w:bCs/>
                <w:color w:val="000000"/>
                <w:sz w:val="20"/>
                <w:szCs w:val="20"/>
                <w:lang w:eastAsia="it-CH"/>
              </w:rPr>
            </w:pPr>
            <w:r w:rsidRPr="008D697E">
              <w:rPr>
                <w:rFonts w:eastAsia="Times New Roman" w:cs="Arial"/>
                <w:b/>
                <w:bCs/>
                <w:color w:val="000000"/>
                <w:sz w:val="20"/>
                <w:szCs w:val="20"/>
                <w:lang w:eastAsia="it-CH"/>
              </w:rPr>
              <w:t>2024</w:t>
            </w:r>
          </w:p>
        </w:tc>
        <w:tc>
          <w:tcPr>
            <w:tcW w:w="1920"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BB7ADB" w14:textId="77777777" w:rsidR="008D697E" w:rsidRPr="008D697E" w:rsidRDefault="008D697E" w:rsidP="008D697E">
            <w:pPr>
              <w:jc w:val="center"/>
              <w:rPr>
                <w:rFonts w:eastAsia="Times New Roman" w:cs="Arial"/>
                <w:b/>
                <w:bCs/>
                <w:color w:val="000000"/>
                <w:sz w:val="20"/>
                <w:szCs w:val="20"/>
                <w:lang w:eastAsia="it-CH"/>
              </w:rPr>
            </w:pPr>
            <w:r w:rsidRPr="008D697E">
              <w:rPr>
                <w:rFonts w:eastAsia="Times New Roman" w:cs="Arial"/>
                <w:b/>
                <w:bCs/>
                <w:color w:val="000000"/>
                <w:sz w:val="20"/>
                <w:szCs w:val="20"/>
                <w:lang w:eastAsia="it-CH"/>
              </w:rPr>
              <w:t>Dal 2025</w:t>
            </w:r>
          </w:p>
        </w:tc>
      </w:tr>
      <w:tr w:rsidR="008D697E" w:rsidRPr="008D697E" w14:paraId="79BBBF95" w14:textId="77777777" w:rsidTr="004955C8">
        <w:trPr>
          <w:trHeight w:val="300"/>
        </w:trPr>
        <w:tc>
          <w:tcPr>
            <w:tcW w:w="5700" w:type="dxa"/>
            <w:tcBorders>
              <w:top w:val="nil"/>
              <w:left w:val="nil"/>
              <w:bottom w:val="single" w:sz="4" w:space="0" w:color="auto"/>
              <w:right w:val="nil"/>
            </w:tcBorders>
            <w:shd w:val="clear" w:color="auto" w:fill="auto"/>
            <w:vAlign w:val="bottom"/>
            <w:hideMark/>
          </w:tcPr>
          <w:p w14:paraId="727744F6" w14:textId="77777777" w:rsidR="008D697E" w:rsidRPr="008D697E" w:rsidRDefault="008D697E" w:rsidP="008D697E">
            <w:pPr>
              <w:jc w:val="center"/>
              <w:rPr>
                <w:rFonts w:eastAsia="Times New Roman" w:cs="Arial"/>
                <w:b/>
                <w:bCs/>
                <w:color w:val="000000"/>
                <w:sz w:val="20"/>
                <w:szCs w:val="20"/>
                <w:lang w:eastAsia="it-CH"/>
              </w:rPr>
            </w:pPr>
          </w:p>
        </w:tc>
        <w:tc>
          <w:tcPr>
            <w:tcW w:w="1000" w:type="dxa"/>
            <w:tcBorders>
              <w:top w:val="single" w:sz="4" w:space="0" w:color="auto"/>
              <w:left w:val="single" w:sz="4" w:space="0" w:color="auto"/>
              <w:bottom w:val="single" w:sz="4" w:space="0" w:color="auto"/>
              <w:right w:val="nil"/>
            </w:tcBorders>
            <w:shd w:val="clear" w:color="auto" w:fill="auto"/>
            <w:vAlign w:val="bottom"/>
            <w:hideMark/>
          </w:tcPr>
          <w:p w14:paraId="649D820F" w14:textId="77777777" w:rsidR="008D697E" w:rsidRPr="008D697E" w:rsidRDefault="008D697E" w:rsidP="008D697E">
            <w:pPr>
              <w:jc w:val="center"/>
              <w:rPr>
                <w:rFonts w:eastAsia="Times New Roman" w:cs="Arial"/>
                <w:b/>
                <w:bCs/>
                <w:sz w:val="20"/>
                <w:szCs w:val="20"/>
                <w:lang w:eastAsia="it-CH"/>
              </w:rPr>
            </w:pPr>
            <w:r w:rsidRPr="008D697E">
              <w:rPr>
                <w:rFonts w:eastAsia="Times New Roman" w:cs="Arial"/>
                <w:b/>
                <w:bCs/>
                <w:sz w:val="20"/>
                <w:szCs w:val="20"/>
                <w:lang w:eastAsia="it-CH"/>
              </w:rPr>
              <w:t>Cantone</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935A7C" w14:textId="77777777" w:rsidR="008D697E" w:rsidRPr="008D697E" w:rsidRDefault="008D697E" w:rsidP="008D697E">
            <w:pPr>
              <w:jc w:val="center"/>
              <w:rPr>
                <w:rFonts w:eastAsia="Times New Roman" w:cs="Arial"/>
                <w:b/>
                <w:bCs/>
                <w:sz w:val="20"/>
                <w:szCs w:val="20"/>
                <w:lang w:eastAsia="it-CH"/>
              </w:rPr>
            </w:pPr>
            <w:r w:rsidRPr="008D697E">
              <w:rPr>
                <w:rFonts w:eastAsia="Times New Roman" w:cs="Arial"/>
                <w:b/>
                <w:bCs/>
                <w:sz w:val="20"/>
                <w:szCs w:val="20"/>
                <w:lang w:eastAsia="it-CH"/>
              </w:rPr>
              <w:t>Comuni</w:t>
            </w:r>
          </w:p>
        </w:tc>
        <w:tc>
          <w:tcPr>
            <w:tcW w:w="1000" w:type="dxa"/>
            <w:tcBorders>
              <w:top w:val="single" w:sz="4" w:space="0" w:color="auto"/>
              <w:left w:val="nil"/>
              <w:bottom w:val="single" w:sz="4" w:space="0" w:color="auto"/>
              <w:right w:val="nil"/>
            </w:tcBorders>
            <w:shd w:val="clear" w:color="auto" w:fill="auto"/>
            <w:vAlign w:val="bottom"/>
            <w:hideMark/>
          </w:tcPr>
          <w:p w14:paraId="75030323" w14:textId="77777777" w:rsidR="008D697E" w:rsidRPr="008D697E" w:rsidRDefault="008D697E" w:rsidP="008D697E">
            <w:pPr>
              <w:jc w:val="center"/>
              <w:rPr>
                <w:rFonts w:eastAsia="Times New Roman" w:cs="Arial"/>
                <w:b/>
                <w:bCs/>
                <w:sz w:val="20"/>
                <w:szCs w:val="20"/>
                <w:lang w:eastAsia="it-CH"/>
              </w:rPr>
            </w:pPr>
            <w:r w:rsidRPr="008D697E">
              <w:rPr>
                <w:rFonts w:eastAsia="Times New Roman" w:cs="Arial"/>
                <w:b/>
                <w:bCs/>
                <w:sz w:val="20"/>
                <w:szCs w:val="20"/>
                <w:lang w:eastAsia="it-CH"/>
              </w:rPr>
              <w:t>Cantone</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F9C497B" w14:textId="77777777" w:rsidR="008D697E" w:rsidRPr="008D697E" w:rsidRDefault="008D697E" w:rsidP="008D697E">
            <w:pPr>
              <w:jc w:val="center"/>
              <w:rPr>
                <w:rFonts w:eastAsia="Times New Roman" w:cs="Arial"/>
                <w:b/>
                <w:bCs/>
                <w:sz w:val="20"/>
                <w:szCs w:val="20"/>
                <w:lang w:eastAsia="it-CH"/>
              </w:rPr>
            </w:pPr>
            <w:r w:rsidRPr="008D697E">
              <w:rPr>
                <w:rFonts w:eastAsia="Times New Roman" w:cs="Arial"/>
                <w:b/>
                <w:bCs/>
                <w:sz w:val="20"/>
                <w:szCs w:val="20"/>
                <w:lang w:eastAsia="it-CH"/>
              </w:rPr>
              <w:t>Comuni</w:t>
            </w:r>
          </w:p>
        </w:tc>
      </w:tr>
      <w:tr w:rsidR="008D697E" w:rsidRPr="008D697E" w14:paraId="47B15D9A" w14:textId="77777777" w:rsidTr="004955C8">
        <w:trPr>
          <w:trHeight w:val="300"/>
        </w:trPr>
        <w:tc>
          <w:tcPr>
            <w:tcW w:w="5700" w:type="dxa"/>
            <w:tcBorders>
              <w:top w:val="single" w:sz="4" w:space="0" w:color="auto"/>
              <w:left w:val="single" w:sz="4" w:space="0" w:color="auto"/>
              <w:bottom w:val="nil"/>
              <w:right w:val="single" w:sz="4" w:space="0" w:color="auto"/>
            </w:tcBorders>
            <w:shd w:val="clear" w:color="auto" w:fill="auto"/>
            <w:vAlign w:val="bottom"/>
            <w:hideMark/>
          </w:tcPr>
          <w:p w14:paraId="32B1B768"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Aumento forfait deducibile per le altre spese professionali</w:t>
            </w:r>
          </w:p>
        </w:tc>
        <w:tc>
          <w:tcPr>
            <w:tcW w:w="1000" w:type="dxa"/>
            <w:tcBorders>
              <w:top w:val="single" w:sz="4" w:space="0" w:color="auto"/>
              <w:left w:val="nil"/>
              <w:bottom w:val="nil"/>
              <w:right w:val="nil"/>
            </w:tcBorders>
            <w:shd w:val="clear" w:color="auto" w:fill="auto"/>
            <w:vAlign w:val="bottom"/>
            <w:hideMark/>
          </w:tcPr>
          <w:p w14:paraId="66D5E96B"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-9.1 </w:t>
            </w:r>
          </w:p>
        </w:tc>
        <w:tc>
          <w:tcPr>
            <w:tcW w:w="920" w:type="dxa"/>
            <w:tcBorders>
              <w:top w:val="single" w:sz="4" w:space="0" w:color="auto"/>
              <w:left w:val="single" w:sz="4" w:space="0" w:color="auto"/>
              <w:bottom w:val="nil"/>
              <w:right w:val="single" w:sz="4" w:space="0" w:color="auto"/>
            </w:tcBorders>
            <w:shd w:val="clear" w:color="auto" w:fill="auto"/>
            <w:vAlign w:val="bottom"/>
            <w:hideMark/>
          </w:tcPr>
          <w:p w14:paraId="3768A981"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-7.3 </w:t>
            </w:r>
          </w:p>
        </w:tc>
        <w:tc>
          <w:tcPr>
            <w:tcW w:w="1000" w:type="dxa"/>
            <w:tcBorders>
              <w:top w:val="single" w:sz="4" w:space="0" w:color="auto"/>
              <w:left w:val="nil"/>
              <w:bottom w:val="nil"/>
              <w:right w:val="nil"/>
            </w:tcBorders>
            <w:shd w:val="clear" w:color="auto" w:fill="auto"/>
            <w:vAlign w:val="bottom"/>
            <w:hideMark/>
          </w:tcPr>
          <w:p w14:paraId="453B8877"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-9.1 </w:t>
            </w:r>
          </w:p>
        </w:tc>
        <w:tc>
          <w:tcPr>
            <w:tcW w:w="920" w:type="dxa"/>
            <w:tcBorders>
              <w:top w:val="single" w:sz="4" w:space="0" w:color="auto"/>
              <w:left w:val="single" w:sz="4" w:space="0" w:color="auto"/>
              <w:bottom w:val="nil"/>
              <w:right w:val="single" w:sz="4" w:space="0" w:color="auto"/>
            </w:tcBorders>
            <w:shd w:val="clear" w:color="auto" w:fill="auto"/>
            <w:vAlign w:val="bottom"/>
            <w:hideMark/>
          </w:tcPr>
          <w:p w14:paraId="17EF0577"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-7.3 </w:t>
            </w:r>
          </w:p>
        </w:tc>
      </w:tr>
      <w:tr w:rsidR="008D697E" w:rsidRPr="008D697E" w14:paraId="0DDA9D0D" w14:textId="77777777" w:rsidTr="004955C8">
        <w:trPr>
          <w:trHeight w:val="300"/>
        </w:trPr>
        <w:tc>
          <w:tcPr>
            <w:tcW w:w="5700" w:type="dxa"/>
            <w:tcBorders>
              <w:top w:val="nil"/>
              <w:left w:val="single" w:sz="4" w:space="0" w:color="auto"/>
              <w:bottom w:val="nil"/>
              <w:right w:val="single" w:sz="4" w:space="0" w:color="auto"/>
            </w:tcBorders>
            <w:shd w:val="clear" w:color="auto" w:fill="auto"/>
            <w:vAlign w:val="bottom"/>
            <w:hideMark/>
          </w:tcPr>
          <w:p w14:paraId="7A60BFB3"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Riforma imposte di successione e donazione</w:t>
            </w:r>
          </w:p>
        </w:tc>
        <w:tc>
          <w:tcPr>
            <w:tcW w:w="1000" w:type="dxa"/>
            <w:tcBorders>
              <w:top w:val="nil"/>
              <w:left w:val="nil"/>
              <w:bottom w:val="nil"/>
              <w:right w:val="nil"/>
            </w:tcBorders>
            <w:shd w:val="clear" w:color="auto" w:fill="auto"/>
            <w:vAlign w:val="bottom"/>
            <w:hideMark/>
          </w:tcPr>
          <w:p w14:paraId="6CA71F4D"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-5.4 </w:t>
            </w:r>
          </w:p>
        </w:tc>
        <w:tc>
          <w:tcPr>
            <w:tcW w:w="920" w:type="dxa"/>
            <w:tcBorders>
              <w:top w:val="nil"/>
              <w:left w:val="single" w:sz="4" w:space="0" w:color="auto"/>
              <w:bottom w:val="nil"/>
              <w:right w:val="single" w:sz="4" w:space="0" w:color="auto"/>
            </w:tcBorders>
            <w:shd w:val="clear" w:color="auto" w:fill="auto"/>
            <w:vAlign w:val="bottom"/>
            <w:hideMark/>
          </w:tcPr>
          <w:p w14:paraId="6268AEC1"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   </w:t>
            </w:r>
          </w:p>
        </w:tc>
        <w:tc>
          <w:tcPr>
            <w:tcW w:w="1000" w:type="dxa"/>
            <w:tcBorders>
              <w:top w:val="nil"/>
              <w:left w:val="nil"/>
              <w:bottom w:val="nil"/>
              <w:right w:val="nil"/>
            </w:tcBorders>
            <w:shd w:val="clear" w:color="auto" w:fill="auto"/>
            <w:vAlign w:val="bottom"/>
            <w:hideMark/>
          </w:tcPr>
          <w:p w14:paraId="6504FD99"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-5.4 </w:t>
            </w:r>
          </w:p>
        </w:tc>
        <w:tc>
          <w:tcPr>
            <w:tcW w:w="920" w:type="dxa"/>
            <w:tcBorders>
              <w:top w:val="nil"/>
              <w:left w:val="single" w:sz="4" w:space="0" w:color="auto"/>
              <w:bottom w:val="nil"/>
              <w:right w:val="single" w:sz="4" w:space="0" w:color="auto"/>
            </w:tcBorders>
            <w:shd w:val="clear" w:color="auto" w:fill="auto"/>
            <w:vAlign w:val="bottom"/>
            <w:hideMark/>
          </w:tcPr>
          <w:p w14:paraId="0B81CE79"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   </w:t>
            </w:r>
          </w:p>
        </w:tc>
      </w:tr>
      <w:tr w:rsidR="008D697E" w:rsidRPr="008D697E" w14:paraId="6695B860" w14:textId="77777777" w:rsidTr="004955C8">
        <w:trPr>
          <w:trHeight w:val="300"/>
        </w:trPr>
        <w:tc>
          <w:tcPr>
            <w:tcW w:w="5700" w:type="dxa"/>
            <w:tcBorders>
              <w:top w:val="nil"/>
              <w:left w:val="single" w:sz="4" w:space="0" w:color="auto"/>
              <w:right w:val="single" w:sz="4" w:space="0" w:color="auto"/>
            </w:tcBorders>
            <w:shd w:val="clear" w:color="auto" w:fill="auto"/>
            <w:vAlign w:val="bottom"/>
            <w:hideMark/>
          </w:tcPr>
          <w:p w14:paraId="16C7ABD4"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Adeguamento imposizione della previdenza</w:t>
            </w:r>
          </w:p>
        </w:tc>
        <w:tc>
          <w:tcPr>
            <w:tcW w:w="1000" w:type="dxa"/>
            <w:tcBorders>
              <w:top w:val="nil"/>
              <w:left w:val="nil"/>
              <w:right w:val="single" w:sz="4" w:space="0" w:color="auto"/>
            </w:tcBorders>
            <w:shd w:val="clear" w:color="auto" w:fill="auto"/>
            <w:vAlign w:val="bottom"/>
            <w:hideMark/>
          </w:tcPr>
          <w:p w14:paraId="0517AF06"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-2.2 </w:t>
            </w:r>
          </w:p>
        </w:tc>
        <w:tc>
          <w:tcPr>
            <w:tcW w:w="920" w:type="dxa"/>
            <w:tcBorders>
              <w:top w:val="nil"/>
              <w:left w:val="nil"/>
              <w:right w:val="single" w:sz="4" w:space="0" w:color="auto"/>
            </w:tcBorders>
            <w:shd w:val="clear" w:color="auto" w:fill="auto"/>
            <w:vAlign w:val="bottom"/>
            <w:hideMark/>
          </w:tcPr>
          <w:p w14:paraId="78A225D5"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-1.8 </w:t>
            </w:r>
          </w:p>
        </w:tc>
        <w:tc>
          <w:tcPr>
            <w:tcW w:w="1000" w:type="dxa"/>
            <w:tcBorders>
              <w:top w:val="nil"/>
              <w:left w:val="nil"/>
              <w:right w:val="single" w:sz="4" w:space="0" w:color="auto"/>
            </w:tcBorders>
            <w:shd w:val="clear" w:color="auto" w:fill="auto"/>
            <w:vAlign w:val="bottom"/>
            <w:hideMark/>
          </w:tcPr>
          <w:p w14:paraId="7F926678"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-2.2 </w:t>
            </w:r>
          </w:p>
        </w:tc>
        <w:tc>
          <w:tcPr>
            <w:tcW w:w="920" w:type="dxa"/>
            <w:tcBorders>
              <w:top w:val="nil"/>
              <w:left w:val="nil"/>
              <w:right w:val="single" w:sz="4" w:space="0" w:color="auto"/>
            </w:tcBorders>
            <w:shd w:val="clear" w:color="auto" w:fill="auto"/>
            <w:vAlign w:val="bottom"/>
            <w:hideMark/>
          </w:tcPr>
          <w:p w14:paraId="2E7200CE"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-1.8 </w:t>
            </w:r>
          </w:p>
        </w:tc>
      </w:tr>
      <w:tr w:rsidR="008D697E" w:rsidRPr="008D697E" w14:paraId="380CA086" w14:textId="77777777" w:rsidTr="004955C8">
        <w:trPr>
          <w:trHeight w:val="300"/>
        </w:trPr>
        <w:tc>
          <w:tcPr>
            <w:tcW w:w="5700" w:type="dxa"/>
            <w:tcBorders>
              <w:top w:val="nil"/>
              <w:left w:val="single" w:sz="4" w:space="0" w:color="auto"/>
              <w:right w:val="single" w:sz="4" w:space="0" w:color="auto"/>
            </w:tcBorders>
            <w:shd w:val="clear" w:color="auto" w:fill="auto"/>
            <w:vAlign w:val="bottom"/>
          </w:tcPr>
          <w:p w14:paraId="18CF170A"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Riduzione aliquota massima imposta sul reddito al 13.25%</w:t>
            </w:r>
          </w:p>
        </w:tc>
        <w:tc>
          <w:tcPr>
            <w:tcW w:w="1000" w:type="dxa"/>
            <w:tcBorders>
              <w:top w:val="nil"/>
              <w:left w:val="nil"/>
              <w:right w:val="nil"/>
            </w:tcBorders>
            <w:shd w:val="clear" w:color="auto" w:fill="auto"/>
            <w:vAlign w:val="bottom"/>
          </w:tcPr>
          <w:p w14:paraId="5BB39E24"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-11.7</w:t>
            </w:r>
          </w:p>
        </w:tc>
        <w:tc>
          <w:tcPr>
            <w:tcW w:w="920" w:type="dxa"/>
            <w:tcBorders>
              <w:top w:val="nil"/>
              <w:left w:val="single" w:sz="4" w:space="0" w:color="auto"/>
              <w:right w:val="single" w:sz="4" w:space="0" w:color="auto"/>
            </w:tcBorders>
            <w:shd w:val="clear" w:color="auto" w:fill="auto"/>
            <w:vAlign w:val="bottom"/>
          </w:tcPr>
          <w:p w14:paraId="14C6BE2C"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-9.3</w:t>
            </w:r>
          </w:p>
        </w:tc>
        <w:tc>
          <w:tcPr>
            <w:tcW w:w="1000" w:type="dxa"/>
            <w:tcBorders>
              <w:top w:val="nil"/>
              <w:left w:val="nil"/>
              <w:right w:val="nil"/>
            </w:tcBorders>
            <w:shd w:val="clear" w:color="auto" w:fill="auto"/>
            <w:vAlign w:val="bottom"/>
          </w:tcPr>
          <w:p w14:paraId="277A5176"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w:t>
            </w:r>
          </w:p>
        </w:tc>
        <w:tc>
          <w:tcPr>
            <w:tcW w:w="920" w:type="dxa"/>
            <w:tcBorders>
              <w:top w:val="nil"/>
              <w:left w:val="single" w:sz="4" w:space="0" w:color="auto"/>
              <w:right w:val="single" w:sz="4" w:space="0" w:color="auto"/>
            </w:tcBorders>
            <w:shd w:val="clear" w:color="auto" w:fill="auto"/>
            <w:vAlign w:val="bottom"/>
          </w:tcPr>
          <w:p w14:paraId="1A93ED8B"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w:t>
            </w:r>
          </w:p>
        </w:tc>
      </w:tr>
      <w:tr w:rsidR="008D697E" w:rsidRPr="008D697E" w14:paraId="12B98FA3" w14:textId="77777777" w:rsidTr="004955C8">
        <w:trPr>
          <w:trHeight w:val="300"/>
        </w:trPr>
        <w:tc>
          <w:tcPr>
            <w:tcW w:w="5700" w:type="dxa"/>
            <w:tcBorders>
              <w:left w:val="single" w:sz="4" w:space="0" w:color="auto"/>
              <w:right w:val="single" w:sz="4" w:space="0" w:color="auto"/>
            </w:tcBorders>
            <w:shd w:val="clear" w:color="auto" w:fill="auto"/>
            <w:vAlign w:val="bottom"/>
          </w:tcPr>
          <w:p w14:paraId="577702E7"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Riduzione aliquota massima imposta sul reddito al 12.0%</w:t>
            </w:r>
          </w:p>
        </w:tc>
        <w:tc>
          <w:tcPr>
            <w:tcW w:w="1000" w:type="dxa"/>
            <w:tcBorders>
              <w:left w:val="nil"/>
              <w:right w:val="nil"/>
            </w:tcBorders>
            <w:shd w:val="clear" w:color="auto" w:fill="auto"/>
            <w:vAlign w:val="bottom"/>
          </w:tcPr>
          <w:p w14:paraId="0BB74A0A"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 </w:t>
            </w:r>
          </w:p>
        </w:tc>
        <w:tc>
          <w:tcPr>
            <w:tcW w:w="920" w:type="dxa"/>
            <w:tcBorders>
              <w:left w:val="single" w:sz="4" w:space="0" w:color="auto"/>
              <w:right w:val="single" w:sz="4" w:space="0" w:color="auto"/>
            </w:tcBorders>
            <w:shd w:val="clear" w:color="auto" w:fill="auto"/>
            <w:vAlign w:val="bottom"/>
          </w:tcPr>
          <w:p w14:paraId="11A00740" w14:textId="77777777" w:rsidR="008D697E" w:rsidRPr="008D697E" w:rsidRDefault="008D697E" w:rsidP="008D697E">
            <w:pPr>
              <w:jc w:val="left"/>
              <w:rPr>
                <w:rFonts w:eastAsia="Times New Roman" w:cs="Arial"/>
                <w:sz w:val="20"/>
                <w:szCs w:val="20"/>
                <w:lang w:eastAsia="it-CH"/>
              </w:rPr>
            </w:pPr>
            <w:r w:rsidRPr="008D697E">
              <w:rPr>
                <w:rFonts w:eastAsia="Times New Roman" w:cs="Arial"/>
                <w:sz w:val="20"/>
                <w:szCs w:val="20"/>
                <w:lang w:eastAsia="it-CH"/>
              </w:rPr>
              <w:t> </w:t>
            </w:r>
          </w:p>
        </w:tc>
        <w:tc>
          <w:tcPr>
            <w:tcW w:w="1000" w:type="dxa"/>
            <w:tcBorders>
              <w:left w:val="nil"/>
              <w:right w:val="nil"/>
            </w:tcBorders>
            <w:shd w:val="clear" w:color="auto" w:fill="auto"/>
            <w:vAlign w:val="bottom"/>
          </w:tcPr>
          <w:p w14:paraId="4342DCC5"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-23.3 </w:t>
            </w:r>
          </w:p>
        </w:tc>
        <w:tc>
          <w:tcPr>
            <w:tcW w:w="920" w:type="dxa"/>
            <w:tcBorders>
              <w:left w:val="single" w:sz="4" w:space="0" w:color="auto"/>
              <w:right w:val="single" w:sz="4" w:space="0" w:color="auto"/>
            </w:tcBorders>
            <w:shd w:val="clear" w:color="auto" w:fill="auto"/>
            <w:vAlign w:val="bottom"/>
          </w:tcPr>
          <w:p w14:paraId="771C4615" w14:textId="77777777" w:rsidR="008D697E" w:rsidRPr="008D697E" w:rsidRDefault="008D697E" w:rsidP="008D697E">
            <w:pPr>
              <w:jc w:val="right"/>
              <w:rPr>
                <w:rFonts w:eastAsia="Times New Roman" w:cs="Arial"/>
                <w:sz w:val="20"/>
                <w:szCs w:val="20"/>
                <w:lang w:eastAsia="it-CH"/>
              </w:rPr>
            </w:pPr>
            <w:r w:rsidRPr="008D697E">
              <w:rPr>
                <w:rFonts w:eastAsia="Times New Roman" w:cs="Arial"/>
                <w:sz w:val="20"/>
                <w:szCs w:val="20"/>
                <w:lang w:eastAsia="it-CH"/>
              </w:rPr>
              <w:t xml:space="preserve">     -18.6 </w:t>
            </w:r>
          </w:p>
        </w:tc>
      </w:tr>
      <w:tr w:rsidR="008D697E" w:rsidRPr="008D697E" w14:paraId="342D62B6" w14:textId="77777777" w:rsidTr="004955C8">
        <w:trPr>
          <w:trHeight w:val="300"/>
        </w:trPr>
        <w:tc>
          <w:tcPr>
            <w:tcW w:w="5700" w:type="dxa"/>
            <w:tcBorders>
              <w:left w:val="single" w:sz="4" w:space="0" w:color="auto"/>
              <w:bottom w:val="single" w:sz="4" w:space="0" w:color="auto"/>
              <w:right w:val="single" w:sz="4" w:space="0" w:color="auto"/>
            </w:tcBorders>
            <w:shd w:val="clear" w:color="auto" w:fill="auto"/>
            <w:vAlign w:val="bottom"/>
            <w:hideMark/>
          </w:tcPr>
          <w:p w14:paraId="73C82B5D" w14:textId="2CC3904B" w:rsidR="008D697E" w:rsidRPr="008D697E" w:rsidRDefault="008D697E" w:rsidP="008D697E">
            <w:pPr>
              <w:jc w:val="left"/>
              <w:rPr>
                <w:rFonts w:eastAsia="Times New Roman" w:cs="Arial"/>
                <w:i/>
                <w:iCs/>
                <w:sz w:val="20"/>
                <w:szCs w:val="20"/>
                <w:lang w:eastAsia="it-CH"/>
              </w:rPr>
            </w:pPr>
            <w:r w:rsidRPr="008D697E">
              <w:rPr>
                <w:rFonts w:eastAsia="Times New Roman" w:cs="Arial"/>
                <w:i/>
                <w:iCs/>
                <w:sz w:val="20"/>
                <w:szCs w:val="20"/>
                <w:lang w:eastAsia="it-CH"/>
              </w:rPr>
              <w:t>Deducibilità dei premi di cassa malati dei figli</w:t>
            </w:r>
            <w:r w:rsidR="00D36EB7">
              <w:rPr>
                <w:rStyle w:val="Rimandonotaapidipagina"/>
                <w:rFonts w:eastAsia="Times New Roman" w:cs="Arial"/>
                <w:i/>
                <w:iCs/>
                <w:sz w:val="20"/>
                <w:szCs w:val="20"/>
                <w:lang w:eastAsia="it-CH"/>
              </w:rPr>
              <w:footnoteReference w:id="22"/>
            </w:r>
          </w:p>
        </w:tc>
        <w:tc>
          <w:tcPr>
            <w:tcW w:w="1000" w:type="dxa"/>
            <w:tcBorders>
              <w:left w:val="nil"/>
              <w:bottom w:val="single" w:sz="4" w:space="0" w:color="auto"/>
              <w:right w:val="nil"/>
            </w:tcBorders>
            <w:shd w:val="clear" w:color="auto" w:fill="auto"/>
            <w:vAlign w:val="bottom"/>
            <w:hideMark/>
          </w:tcPr>
          <w:p w14:paraId="6134961B" w14:textId="77777777" w:rsidR="008D697E" w:rsidRPr="008D697E" w:rsidRDefault="008D697E" w:rsidP="008D697E">
            <w:pPr>
              <w:jc w:val="right"/>
              <w:rPr>
                <w:rFonts w:eastAsia="Times New Roman" w:cs="Arial"/>
                <w:i/>
                <w:iCs/>
                <w:sz w:val="20"/>
                <w:szCs w:val="20"/>
                <w:lang w:eastAsia="it-CH"/>
              </w:rPr>
            </w:pPr>
            <w:r w:rsidRPr="008D697E">
              <w:rPr>
                <w:rFonts w:eastAsia="Times New Roman" w:cs="Arial"/>
                <w:i/>
                <w:iCs/>
                <w:sz w:val="20"/>
                <w:szCs w:val="20"/>
                <w:lang w:eastAsia="it-CH"/>
              </w:rPr>
              <w:t xml:space="preserve">        -6.7 </w:t>
            </w:r>
          </w:p>
        </w:tc>
        <w:tc>
          <w:tcPr>
            <w:tcW w:w="920" w:type="dxa"/>
            <w:tcBorders>
              <w:left w:val="single" w:sz="4" w:space="0" w:color="auto"/>
              <w:bottom w:val="single" w:sz="4" w:space="0" w:color="auto"/>
              <w:right w:val="single" w:sz="4" w:space="0" w:color="auto"/>
            </w:tcBorders>
            <w:shd w:val="clear" w:color="auto" w:fill="auto"/>
            <w:vAlign w:val="bottom"/>
            <w:hideMark/>
          </w:tcPr>
          <w:p w14:paraId="396F6572" w14:textId="77777777" w:rsidR="008D697E" w:rsidRPr="008D697E" w:rsidRDefault="008D697E" w:rsidP="008D697E">
            <w:pPr>
              <w:jc w:val="right"/>
              <w:rPr>
                <w:rFonts w:eastAsia="Times New Roman" w:cs="Arial"/>
                <w:i/>
                <w:iCs/>
                <w:sz w:val="20"/>
                <w:szCs w:val="20"/>
                <w:lang w:eastAsia="it-CH"/>
              </w:rPr>
            </w:pPr>
            <w:r w:rsidRPr="008D697E">
              <w:rPr>
                <w:rFonts w:eastAsia="Times New Roman" w:cs="Arial"/>
                <w:i/>
                <w:iCs/>
                <w:sz w:val="20"/>
                <w:szCs w:val="20"/>
                <w:lang w:eastAsia="it-CH"/>
              </w:rPr>
              <w:t xml:space="preserve">       -5.4 </w:t>
            </w:r>
          </w:p>
        </w:tc>
        <w:tc>
          <w:tcPr>
            <w:tcW w:w="1000" w:type="dxa"/>
            <w:tcBorders>
              <w:left w:val="nil"/>
              <w:bottom w:val="single" w:sz="4" w:space="0" w:color="auto"/>
              <w:right w:val="nil"/>
            </w:tcBorders>
            <w:shd w:val="clear" w:color="auto" w:fill="auto"/>
            <w:vAlign w:val="bottom"/>
            <w:hideMark/>
          </w:tcPr>
          <w:p w14:paraId="0193A5E0" w14:textId="77777777" w:rsidR="008D697E" w:rsidRPr="008D697E" w:rsidRDefault="008D697E" w:rsidP="008D697E">
            <w:pPr>
              <w:jc w:val="right"/>
              <w:rPr>
                <w:rFonts w:eastAsia="Times New Roman" w:cs="Arial"/>
                <w:i/>
                <w:iCs/>
                <w:sz w:val="20"/>
                <w:szCs w:val="20"/>
                <w:lang w:eastAsia="it-CH"/>
              </w:rPr>
            </w:pPr>
            <w:r w:rsidRPr="008D697E">
              <w:rPr>
                <w:rFonts w:eastAsia="Times New Roman" w:cs="Arial"/>
                <w:i/>
                <w:iCs/>
                <w:sz w:val="20"/>
                <w:szCs w:val="20"/>
                <w:lang w:eastAsia="it-CH"/>
              </w:rPr>
              <w:t xml:space="preserve">        -6.7 </w:t>
            </w:r>
          </w:p>
        </w:tc>
        <w:tc>
          <w:tcPr>
            <w:tcW w:w="920" w:type="dxa"/>
            <w:tcBorders>
              <w:left w:val="single" w:sz="4" w:space="0" w:color="auto"/>
              <w:bottom w:val="single" w:sz="4" w:space="0" w:color="auto"/>
              <w:right w:val="single" w:sz="4" w:space="0" w:color="auto"/>
            </w:tcBorders>
            <w:shd w:val="clear" w:color="auto" w:fill="auto"/>
            <w:vAlign w:val="bottom"/>
            <w:hideMark/>
          </w:tcPr>
          <w:p w14:paraId="184F4597" w14:textId="77777777" w:rsidR="008D697E" w:rsidRPr="008D697E" w:rsidRDefault="008D697E" w:rsidP="008D697E">
            <w:pPr>
              <w:jc w:val="right"/>
              <w:rPr>
                <w:rFonts w:eastAsia="Times New Roman" w:cs="Arial"/>
                <w:i/>
                <w:iCs/>
                <w:sz w:val="20"/>
                <w:szCs w:val="20"/>
                <w:lang w:eastAsia="it-CH"/>
              </w:rPr>
            </w:pPr>
            <w:r w:rsidRPr="008D697E">
              <w:rPr>
                <w:rFonts w:eastAsia="Times New Roman" w:cs="Arial"/>
                <w:i/>
                <w:iCs/>
                <w:sz w:val="20"/>
                <w:szCs w:val="20"/>
                <w:lang w:eastAsia="it-CH"/>
              </w:rPr>
              <w:t xml:space="preserve">       -5.4 </w:t>
            </w:r>
          </w:p>
        </w:tc>
      </w:tr>
      <w:tr w:rsidR="008D697E" w:rsidRPr="008D697E" w14:paraId="5F072679" w14:textId="77777777" w:rsidTr="004955C8">
        <w:trPr>
          <w:trHeight w:val="300"/>
        </w:trPr>
        <w:tc>
          <w:tcPr>
            <w:tcW w:w="570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30AF94" w14:textId="77777777" w:rsidR="008D697E" w:rsidRPr="008D697E" w:rsidRDefault="008D697E" w:rsidP="008D697E">
            <w:pPr>
              <w:jc w:val="left"/>
              <w:rPr>
                <w:rFonts w:eastAsia="Times New Roman" w:cs="Arial"/>
                <w:b/>
                <w:bCs/>
                <w:sz w:val="20"/>
                <w:szCs w:val="20"/>
                <w:lang w:eastAsia="it-CH"/>
              </w:rPr>
            </w:pPr>
            <w:r w:rsidRPr="008D697E">
              <w:rPr>
                <w:rFonts w:eastAsia="Times New Roman" w:cs="Arial"/>
                <w:b/>
                <w:bCs/>
                <w:sz w:val="20"/>
                <w:szCs w:val="20"/>
                <w:lang w:eastAsia="it-CH"/>
              </w:rPr>
              <w:t xml:space="preserve">Totale </w:t>
            </w:r>
          </w:p>
        </w:tc>
        <w:tc>
          <w:tcPr>
            <w:tcW w:w="1000" w:type="dxa"/>
            <w:tcBorders>
              <w:top w:val="single" w:sz="4" w:space="0" w:color="auto"/>
              <w:left w:val="nil"/>
              <w:bottom w:val="single" w:sz="4" w:space="0" w:color="auto"/>
              <w:right w:val="nil"/>
            </w:tcBorders>
            <w:shd w:val="clear" w:color="auto" w:fill="auto"/>
            <w:vAlign w:val="bottom"/>
            <w:hideMark/>
          </w:tcPr>
          <w:p w14:paraId="02CC9F97" w14:textId="77777777" w:rsidR="008D697E" w:rsidRPr="008D697E" w:rsidRDefault="008D697E" w:rsidP="008D697E">
            <w:pPr>
              <w:jc w:val="right"/>
              <w:rPr>
                <w:rFonts w:eastAsia="Times New Roman" w:cs="Arial"/>
                <w:b/>
                <w:bCs/>
                <w:sz w:val="20"/>
                <w:szCs w:val="20"/>
                <w:lang w:eastAsia="it-CH"/>
              </w:rPr>
            </w:pPr>
            <w:r w:rsidRPr="008D697E">
              <w:rPr>
                <w:rFonts w:eastAsia="Times New Roman" w:cs="Arial"/>
                <w:b/>
                <w:bCs/>
                <w:sz w:val="20"/>
                <w:szCs w:val="20"/>
                <w:lang w:eastAsia="it-CH"/>
              </w:rPr>
              <w:t xml:space="preserve">       -35.1 </w:t>
            </w:r>
          </w:p>
        </w:tc>
        <w:tc>
          <w:tcPr>
            <w:tcW w:w="920" w:type="dxa"/>
            <w:tcBorders>
              <w:top w:val="single" w:sz="4" w:space="0" w:color="auto"/>
              <w:left w:val="single" w:sz="4" w:space="0" w:color="auto"/>
              <w:bottom w:val="single" w:sz="4" w:space="0" w:color="auto"/>
              <w:right w:val="nil"/>
            </w:tcBorders>
            <w:shd w:val="clear" w:color="auto" w:fill="auto"/>
            <w:vAlign w:val="bottom"/>
            <w:hideMark/>
          </w:tcPr>
          <w:p w14:paraId="7F132557" w14:textId="77777777" w:rsidR="008D697E" w:rsidRPr="008D697E" w:rsidRDefault="008D697E" w:rsidP="008D697E">
            <w:pPr>
              <w:jc w:val="right"/>
              <w:rPr>
                <w:rFonts w:eastAsia="Times New Roman" w:cs="Arial"/>
                <w:b/>
                <w:bCs/>
                <w:sz w:val="20"/>
                <w:szCs w:val="20"/>
                <w:lang w:eastAsia="it-CH"/>
              </w:rPr>
            </w:pPr>
            <w:r w:rsidRPr="008D697E">
              <w:rPr>
                <w:rFonts w:eastAsia="Times New Roman" w:cs="Arial"/>
                <w:b/>
                <w:bCs/>
                <w:sz w:val="20"/>
                <w:szCs w:val="20"/>
                <w:lang w:eastAsia="it-CH"/>
              </w:rPr>
              <w:t xml:space="preserve">     -23.7 </w:t>
            </w:r>
          </w:p>
        </w:tc>
        <w:tc>
          <w:tcPr>
            <w:tcW w:w="1000" w:type="dxa"/>
            <w:tcBorders>
              <w:top w:val="single" w:sz="4" w:space="0" w:color="auto"/>
              <w:left w:val="single" w:sz="4" w:space="0" w:color="auto"/>
              <w:bottom w:val="single" w:sz="4" w:space="0" w:color="auto"/>
              <w:right w:val="nil"/>
            </w:tcBorders>
            <w:shd w:val="clear" w:color="auto" w:fill="auto"/>
            <w:vAlign w:val="bottom"/>
            <w:hideMark/>
          </w:tcPr>
          <w:p w14:paraId="1C8C715F" w14:textId="77777777" w:rsidR="008D697E" w:rsidRPr="008D697E" w:rsidRDefault="008D697E" w:rsidP="008D697E">
            <w:pPr>
              <w:jc w:val="right"/>
              <w:rPr>
                <w:rFonts w:eastAsia="Times New Roman" w:cs="Arial"/>
                <w:b/>
                <w:bCs/>
                <w:sz w:val="20"/>
                <w:szCs w:val="20"/>
                <w:lang w:eastAsia="it-CH"/>
              </w:rPr>
            </w:pPr>
            <w:r w:rsidRPr="008D697E">
              <w:rPr>
                <w:rFonts w:eastAsia="Times New Roman" w:cs="Arial"/>
                <w:b/>
                <w:bCs/>
                <w:sz w:val="20"/>
                <w:szCs w:val="20"/>
                <w:lang w:eastAsia="it-CH"/>
              </w:rPr>
              <w:t xml:space="preserve">       -46.7 </w:t>
            </w:r>
          </w:p>
        </w:tc>
        <w:tc>
          <w:tcPr>
            <w:tcW w:w="9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E6102B" w14:textId="77777777" w:rsidR="008D697E" w:rsidRPr="008D697E" w:rsidRDefault="008D697E" w:rsidP="008D697E">
            <w:pPr>
              <w:jc w:val="right"/>
              <w:rPr>
                <w:rFonts w:eastAsia="Times New Roman" w:cs="Arial"/>
                <w:b/>
                <w:bCs/>
                <w:sz w:val="20"/>
                <w:szCs w:val="20"/>
                <w:lang w:eastAsia="it-CH"/>
              </w:rPr>
            </w:pPr>
            <w:r w:rsidRPr="008D697E">
              <w:rPr>
                <w:rFonts w:eastAsia="Times New Roman" w:cs="Arial"/>
                <w:b/>
                <w:bCs/>
                <w:sz w:val="20"/>
                <w:szCs w:val="20"/>
                <w:lang w:eastAsia="it-CH"/>
              </w:rPr>
              <w:t xml:space="preserve">     -33.0 </w:t>
            </w:r>
          </w:p>
        </w:tc>
      </w:tr>
    </w:tbl>
    <w:p w14:paraId="3D6004BC" w14:textId="38D00DE1" w:rsidR="005F6214" w:rsidRDefault="005F6214">
      <w:pPr>
        <w:rPr>
          <w:rFonts w:cs="Arial"/>
          <w:sz w:val="24"/>
          <w:szCs w:val="24"/>
        </w:rPr>
      </w:pPr>
    </w:p>
    <w:p w14:paraId="3101E580" w14:textId="52DA2B01" w:rsidR="000C225F" w:rsidRDefault="000C225F">
      <w:pPr>
        <w:rPr>
          <w:rFonts w:cs="Arial"/>
          <w:sz w:val="24"/>
          <w:szCs w:val="24"/>
        </w:rPr>
      </w:pPr>
    </w:p>
    <w:p w14:paraId="5B304F17" w14:textId="77777777" w:rsidR="00C431E8" w:rsidRPr="0083229F" w:rsidRDefault="00C431E8" w:rsidP="00CA41BE">
      <w:pPr>
        <w:pStyle w:val="TITOLO"/>
      </w:pPr>
      <w:bookmarkStart w:id="34" w:name="_Toc139991901"/>
      <w:r w:rsidRPr="0083229F">
        <w:t>COMMENTO SUI SINGOLI ARTICOLI</w:t>
      </w:r>
      <w:bookmarkEnd w:id="34"/>
    </w:p>
    <w:p w14:paraId="16B0983D" w14:textId="677FC425" w:rsidR="00C431E8" w:rsidRPr="0083229F" w:rsidRDefault="00C431E8">
      <w:pPr>
        <w:rPr>
          <w:rFonts w:cs="Arial"/>
          <w:sz w:val="24"/>
          <w:szCs w:val="24"/>
        </w:rPr>
      </w:pPr>
    </w:p>
    <w:p w14:paraId="5D58403A" w14:textId="77777777" w:rsidR="00C431E8" w:rsidRPr="0083229F" w:rsidRDefault="00C431E8" w:rsidP="00C431E8">
      <w:pPr>
        <w:rPr>
          <w:sz w:val="24"/>
          <w:szCs w:val="24"/>
        </w:rPr>
      </w:pPr>
      <w:r w:rsidRPr="0083229F">
        <w:rPr>
          <w:sz w:val="24"/>
          <w:szCs w:val="24"/>
        </w:rPr>
        <w:t>Le modifiche sono presentate seguendo la sistematica di legge (per ordine di articolo di legge) e non per ordine di importanza.</w:t>
      </w:r>
    </w:p>
    <w:p w14:paraId="1DA4CEF6" w14:textId="6761F1D3" w:rsidR="00C431E8" w:rsidRPr="0083229F" w:rsidRDefault="00C431E8" w:rsidP="00C431E8">
      <w:pPr>
        <w:rPr>
          <w:sz w:val="24"/>
          <w:szCs w:val="24"/>
        </w:rPr>
      </w:pPr>
    </w:p>
    <w:p w14:paraId="7C66E8E7" w14:textId="7456951D" w:rsidR="00C431E8" w:rsidRPr="0083229F" w:rsidRDefault="00C431E8" w:rsidP="00C431E8">
      <w:pPr>
        <w:rPr>
          <w:i/>
          <w:sz w:val="24"/>
          <w:szCs w:val="24"/>
          <w:u w:val="single"/>
        </w:rPr>
      </w:pPr>
      <w:r w:rsidRPr="0083229F">
        <w:rPr>
          <w:i/>
          <w:sz w:val="24"/>
          <w:szCs w:val="24"/>
          <w:u w:val="single"/>
        </w:rPr>
        <w:t xml:space="preserve">Art. 35 </w:t>
      </w:r>
    </w:p>
    <w:p w14:paraId="13C6B0B3" w14:textId="77777777" w:rsidR="00C431E8" w:rsidRPr="0083229F" w:rsidRDefault="00C431E8" w:rsidP="00C431E8">
      <w:pPr>
        <w:rPr>
          <w:sz w:val="24"/>
          <w:szCs w:val="24"/>
        </w:rPr>
      </w:pPr>
    </w:p>
    <w:p w14:paraId="33872A95" w14:textId="07AD05DD" w:rsidR="00C431E8" w:rsidRPr="0083229F" w:rsidRDefault="00C431E8" w:rsidP="00C431E8">
      <w:pPr>
        <w:rPr>
          <w:sz w:val="24"/>
          <w:szCs w:val="24"/>
        </w:rPr>
      </w:pPr>
      <w:r w:rsidRPr="0083229F">
        <w:rPr>
          <w:sz w:val="24"/>
          <w:szCs w:val="24"/>
        </w:rPr>
        <w:t>Introduce la nuova aliquota massima ai fini dell’imposta sul reddito delle persone fisiche del 12% a partire da un reddito imponibile superiore a 287'600 franchi per le persone sole, rispettivamente 360'500 per i coniugati e, al contempo, adegua la scala delle aliquote agli effetti della progressione a freddo conformemente all’art. 39 LT.</w:t>
      </w:r>
    </w:p>
    <w:p w14:paraId="115416A9" w14:textId="4EB28AF7" w:rsidR="00C431E8" w:rsidRPr="0083229F" w:rsidRDefault="00C431E8" w:rsidP="00C431E8">
      <w:pPr>
        <w:rPr>
          <w:sz w:val="24"/>
          <w:szCs w:val="24"/>
        </w:rPr>
      </w:pPr>
    </w:p>
    <w:p w14:paraId="328A153A" w14:textId="331783C5" w:rsidR="00C431E8" w:rsidRPr="0083229F" w:rsidRDefault="00C431E8" w:rsidP="00C431E8">
      <w:pPr>
        <w:rPr>
          <w:i/>
          <w:sz w:val="24"/>
          <w:szCs w:val="24"/>
          <w:u w:val="single"/>
        </w:rPr>
      </w:pPr>
      <w:r w:rsidRPr="0083229F">
        <w:rPr>
          <w:i/>
          <w:sz w:val="24"/>
          <w:szCs w:val="24"/>
          <w:u w:val="single"/>
        </w:rPr>
        <w:t>Art. 38</w:t>
      </w:r>
    </w:p>
    <w:p w14:paraId="5E8ADB57" w14:textId="77777777" w:rsidR="00C431E8" w:rsidRPr="0083229F" w:rsidRDefault="00C431E8" w:rsidP="00C431E8">
      <w:pPr>
        <w:rPr>
          <w:sz w:val="24"/>
          <w:szCs w:val="24"/>
        </w:rPr>
      </w:pPr>
    </w:p>
    <w:p w14:paraId="2826F1B0" w14:textId="2090654C" w:rsidR="00C431E8" w:rsidRPr="00C431E8" w:rsidRDefault="00C431E8" w:rsidP="00C431E8">
      <w:pPr>
        <w:rPr>
          <w:sz w:val="24"/>
          <w:szCs w:val="24"/>
        </w:rPr>
      </w:pPr>
      <w:r w:rsidRPr="0083229F">
        <w:rPr>
          <w:sz w:val="24"/>
          <w:szCs w:val="24"/>
        </w:rPr>
        <w:t>Plafona l’aliquota massima ai fini dell’imposizione delle prestazioni in capitale della previdenza al 3%.</w:t>
      </w:r>
    </w:p>
    <w:p w14:paraId="1FB7BC76" w14:textId="77777777" w:rsidR="00C431E8" w:rsidRPr="00C431E8" w:rsidRDefault="00C431E8" w:rsidP="00C431E8">
      <w:pPr>
        <w:rPr>
          <w:sz w:val="24"/>
          <w:szCs w:val="24"/>
        </w:rPr>
      </w:pPr>
    </w:p>
    <w:p w14:paraId="56A46E56" w14:textId="77777777" w:rsidR="00C431E8" w:rsidRPr="00C431E8" w:rsidRDefault="00C431E8" w:rsidP="00C431E8">
      <w:pPr>
        <w:rPr>
          <w:i/>
          <w:sz w:val="24"/>
          <w:szCs w:val="24"/>
          <w:u w:val="single"/>
        </w:rPr>
      </w:pPr>
      <w:r w:rsidRPr="00C431E8">
        <w:rPr>
          <w:i/>
          <w:sz w:val="24"/>
          <w:szCs w:val="24"/>
          <w:u w:val="single"/>
        </w:rPr>
        <w:t>Art. 142 cpv. 2 lett. e)</w:t>
      </w:r>
    </w:p>
    <w:p w14:paraId="4F65BC4D" w14:textId="77777777" w:rsidR="00C431E8" w:rsidRDefault="00C431E8" w:rsidP="00C431E8">
      <w:pPr>
        <w:rPr>
          <w:sz w:val="24"/>
          <w:szCs w:val="24"/>
        </w:rPr>
      </w:pPr>
    </w:p>
    <w:p w14:paraId="7D29B134" w14:textId="675A43D7" w:rsidR="00C431E8" w:rsidRDefault="00C431E8" w:rsidP="00C431E8">
      <w:pPr>
        <w:rPr>
          <w:sz w:val="24"/>
          <w:szCs w:val="24"/>
        </w:rPr>
      </w:pPr>
      <w:r w:rsidRPr="004E2CEF">
        <w:rPr>
          <w:sz w:val="24"/>
          <w:szCs w:val="24"/>
        </w:rPr>
        <w:t xml:space="preserve">Introduce espressamente il concetto di “manifesta disproporzione” rispetto al valore commerciale dei beni nella qualifica di un contratto misto o simulato. </w:t>
      </w:r>
    </w:p>
    <w:p w14:paraId="0CE96DF8" w14:textId="77777777" w:rsidR="00A33009" w:rsidRPr="004E2CEF" w:rsidRDefault="00A33009" w:rsidP="00C431E8">
      <w:pPr>
        <w:rPr>
          <w:sz w:val="24"/>
          <w:szCs w:val="24"/>
        </w:rPr>
      </w:pPr>
    </w:p>
    <w:p w14:paraId="2593522C" w14:textId="77777777" w:rsidR="00C431E8" w:rsidRPr="004E2CEF" w:rsidRDefault="00C431E8" w:rsidP="00C431E8">
      <w:pPr>
        <w:rPr>
          <w:i/>
          <w:sz w:val="24"/>
          <w:szCs w:val="24"/>
          <w:u w:val="single"/>
        </w:rPr>
      </w:pPr>
      <w:r w:rsidRPr="004E2CEF">
        <w:rPr>
          <w:i/>
          <w:sz w:val="24"/>
          <w:szCs w:val="24"/>
          <w:u w:val="single"/>
        </w:rPr>
        <w:t>Art. 154 cpv. 1 lett.d) e f) e cpv. 3</w:t>
      </w:r>
    </w:p>
    <w:p w14:paraId="272577E7" w14:textId="77777777" w:rsidR="005813EF" w:rsidRDefault="005813EF" w:rsidP="00C431E8">
      <w:pPr>
        <w:rPr>
          <w:sz w:val="24"/>
          <w:szCs w:val="24"/>
        </w:rPr>
      </w:pPr>
    </w:p>
    <w:p w14:paraId="441E5782" w14:textId="1639169E" w:rsidR="00C431E8" w:rsidRPr="004E2CEF" w:rsidRDefault="00C431E8" w:rsidP="00C431E8">
      <w:pPr>
        <w:rPr>
          <w:sz w:val="24"/>
          <w:szCs w:val="24"/>
        </w:rPr>
      </w:pPr>
      <w:r w:rsidRPr="004E2CEF">
        <w:rPr>
          <w:sz w:val="24"/>
          <w:szCs w:val="24"/>
        </w:rPr>
        <w:t>Riformula al capoverso 1 le esenzioni relative alle persone giuridiche che perseguono uno scopo pubblico, di utilità pubblica oppure scopi ideali su territorio svizzero, indipendentemente se in Ticino o nel resto della Svizzera.</w:t>
      </w:r>
    </w:p>
    <w:p w14:paraId="5B0FF2FD" w14:textId="77777777" w:rsidR="00C431E8" w:rsidRPr="004E2CEF" w:rsidRDefault="00C431E8" w:rsidP="00C431E8">
      <w:pPr>
        <w:rPr>
          <w:sz w:val="24"/>
          <w:szCs w:val="24"/>
        </w:rPr>
      </w:pPr>
    </w:p>
    <w:p w14:paraId="0DE9A8CF" w14:textId="77777777" w:rsidR="00C431E8" w:rsidRDefault="00C431E8" w:rsidP="00C431E8">
      <w:pPr>
        <w:rPr>
          <w:sz w:val="24"/>
          <w:szCs w:val="24"/>
        </w:rPr>
      </w:pPr>
      <w:r w:rsidRPr="004E2CEF">
        <w:rPr>
          <w:sz w:val="24"/>
          <w:szCs w:val="24"/>
        </w:rPr>
        <w:t>Riformula al capoverso 3 la facoltà (ma non l’obbligo) di esentare le istituzioni e persone giuridiche con sede nel Cantone ma che perseguono uno scopo pubblico, di utilità pubblica oppure scopi ideali prevalentemente internazionali; nonché introduce in una base legale la possibilità, su richiesta, di ottenere l’esenzione per gli enti con statuto di “enti esenti” presso altri Cantoni, previo ottenimento della reciprocità in circostanze analoghe.</w:t>
      </w:r>
    </w:p>
    <w:p w14:paraId="57FDB8F5" w14:textId="06B11973" w:rsidR="00C431E8" w:rsidRDefault="00C431E8" w:rsidP="00C431E8">
      <w:pPr>
        <w:rPr>
          <w:sz w:val="24"/>
          <w:szCs w:val="24"/>
        </w:rPr>
      </w:pPr>
    </w:p>
    <w:p w14:paraId="3BAD6BD7" w14:textId="77777777" w:rsidR="00C431E8" w:rsidRPr="004E2CEF" w:rsidRDefault="00C431E8" w:rsidP="00C431E8">
      <w:pPr>
        <w:rPr>
          <w:i/>
          <w:sz w:val="24"/>
          <w:szCs w:val="24"/>
          <w:u w:val="single"/>
        </w:rPr>
      </w:pPr>
      <w:r w:rsidRPr="004E2CEF">
        <w:rPr>
          <w:i/>
          <w:sz w:val="24"/>
          <w:szCs w:val="24"/>
          <w:u w:val="single"/>
        </w:rPr>
        <w:t>Art. 155 cpv. 1 lett. a e cpv. 2</w:t>
      </w:r>
    </w:p>
    <w:p w14:paraId="070EF2F9" w14:textId="77777777" w:rsidR="00C431E8" w:rsidRPr="004E2CEF" w:rsidRDefault="00C431E8" w:rsidP="00C431E8">
      <w:pPr>
        <w:rPr>
          <w:i/>
          <w:sz w:val="24"/>
          <w:szCs w:val="24"/>
          <w:u w:val="single"/>
        </w:rPr>
      </w:pPr>
    </w:p>
    <w:p w14:paraId="638BE218" w14:textId="62FFDA9F" w:rsidR="00C431E8" w:rsidRPr="004E2CEF" w:rsidRDefault="00C431E8" w:rsidP="00C431E8">
      <w:pPr>
        <w:rPr>
          <w:sz w:val="24"/>
          <w:szCs w:val="24"/>
        </w:rPr>
      </w:pPr>
      <w:r w:rsidRPr="0083229F">
        <w:rPr>
          <w:sz w:val="24"/>
          <w:szCs w:val="24"/>
        </w:rPr>
        <w:t xml:space="preserve">Abroga le attuali quote esenti in ambito di doni usuali e libretti o conti di risparmio e introduce una nuova quota esente generalizzata pari a 10'000 franchi </w:t>
      </w:r>
      <w:r w:rsidR="004D7345" w:rsidRPr="0083229F">
        <w:rPr>
          <w:sz w:val="24"/>
          <w:szCs w:val="24"/>
        </w:rPr>
        <w:t xml:space="preserve">annui </w:t>
      </w:r>
      <w:r w:rsidRPr="0083229F">
        <w:rPr>
          <w:sz w:val="24"/>
          <w:szCs w:val="24"/>
        </w:rPr>
        <w:t xml:space="preserve">applicabile </w:t>
      </w:r>
      <w:r w:rsidR="00683477" w:rsidRPr="0083229F">
        <w:rPr>
          <w:sz w:val="24"/>
          <w:szCs w:val="24"/>
        </w:rPr>
        <w:t>a ciascun beneficiario per singolo disponente o donante</w:t>
      </w:r>
      <w:r w:rsidR="004D7345" w:rsidRPr="0083229F">
        <w:rPr>
          <w:sz w:val="24"/>
          <w:szCs w:val="24"/>
        </w:rPr>
        <w:t>.</w:t>
      </w:r>
    </w:p>
    <w:p w14:paraId="086D8FEF" w14:textId="77777777" w:rsidR="00C431E8" w:rsidRPr="004E2CEF" w:rsidRDefault="00C431E8" w:rsidP="00C431E8">
      <w:pPr>
        <w:rPr>
          <w:sz w:val="24"/>
          <w:szCs w:val="24"/>
        </w:rPr>
      </w:pPr>
    </w:p>
    <w:p w14:paraId="6E3775CD" w14:textId="478560EF" w:rsidR="00C431E8" w:rsidRPr="004E2CEF" w:rsidRDefault="00202147" w:rsidP="00C431E8">
      <w:pPr>
        <w:rPr>
          <w:i/>
          <w:sz w:val="24"/>
          <w:szCs w:val="24"/>
          <w:u w:val="single"/>
        </w:rPr>
      </w:pPr>
      <w:r>
        <w:rPr>
          <w:i/>
          <w:sz w:val="24"/>
          <w:szCs w:val="24"/>
          <w:u w:val="single"/>
        </w:rPr>
        <w:t>Art. 156a</w:t>
      </w:r>
    </w:p>
    <w:p w14:paraId="60AF193B" w14:textId="77777777" w:rsidR="00C431E8" w:rsidRPr="004E2CEF" w:rsidRDefault="00C431E8" w:rsidP="00C431E8">
      <w:pPr>
        <w:rPr>
          <w:i/>
          <w:sz w:val="24"/>
          <w:szCs w:val="24"/>
          <w:u w:val="single"/>
        </w:rPr>
      </w:pPr>
    </w:p>
    <w:p w14:paraId="3867CBAB" w14:textId="77777777" w:rsidR="00C431E8" w:rsidRPr="004E2CEF" w:rsidRDefault="00C431E8" w:rsidP="00C431E8">
      <w:pPr>
        <w:rPr>
          <w:sz w:val="24"/>
          <w:szCs w:val="24"/>
        </w:rPr>
      </w:pPr>
      <w:r w:rsidRPr="004E2CEF">
        <w:rPr>
          <w:sz w:val="24"/>
          <w:szCs w:val="24"/>
        </w:rPr>
        <w:t>Introduce una agevolazione fiscale pari alla riduzione del 50% dell’imposta di successione o donazione in caso di successione aziendale ai sensi della Legge tributaria e a ben determinate condizioni.</w:t>
      </w:r>
    </w:p>
    <w:p w14:paraId="00FD33CB" w14:textId="77777777" w:rsidR="00C431E8" w:rsidRPr="004E2CEF" w:rsidRDefault="00C431E8" w:rsidP="00C431E8">
      <w:pPr>
        <w:rPr>
          <w:sz w:val="24"/>
          <w:szCs w:val="24"/>
        </w:rPr>
      </w:pPr>
    </w:p>
    <w:p w14:paraId="0CB8AFF7" w14:textId="55FD2377" w:rsidR="00C431E8" w:rsidRPr="004E2CEF" w:rsidRDefault="00C431E8" w:rsidP="00C431E8">
      <w:pPr>
        <w:rPr>
          <w:i/>
          <w:sz w:val="24"/>
          <w:szCs w:val="24"/>
          <w:u w:val="single"/>
        </w:rPr>
      </w:pPr>
      <w:r w:rsidRPr="004E2CEF">
        <w:rPr>
          <w:i/>
          <w:sz w:val="24"/>
          <w:szCs w:val="24"/>
          <w:u w:val="single"/>
        </w:rPr>
        <w:t>Art. 164 cpv. 1 e 4</w:t>
      </w:r>
    </w:p>
    <w:p w14:paraId="24435992" w14:textId="77777777" w:rsidR="00C431E8" w:rsidRPr="004E2CEF" w:rsidRDefault="00C431E8" w:rsidP="00C431E8">
      <w:pPr>
        <w:rPr>
          <w:i/>
          <w:sz w:val="24"/>
          <w:szCs w:val="24"/>
          <w:u w:val="single"/>
        </w:rPr>
      </w:pPr>
    </w:p>
    <w:p w14:paraId="46CFF5EA" w14:textId="77777777" w:rsidR="00C431E8" w:rsidRPr="004E2CEF" w:rsidRDefault="00C431E8" w:rsidP="00C431E8">
      <w:pPr>
        <w:rPr>
          <w:sz w:val="24"/>
          <w:szCs w:val="24"/>
        </w:rPr>
      </w:pPr>
      <w:r w:rsidRPr="004E2CEF">
        <w:rPr>
          <w:sz w:val="24"/>
          <w:szCs w:val="24"/>
        </w:rPr>
        <w:t xml:space="preserve">Rivede alcuni gradi di parentela, nonché alcune aliquote massime di imposizione. I coefficienti per grado restano invariati. </w:t>
      </w:r>
    </w:p>
    <w:p w14:paraId="3319F939" w14:textId="77777777" w:rsidR="00C431E8" w:rsidRPr="004E2CEF" w:rsidRDefault="00C431E8" w:rsidP="00C431E8">
      <w:pPr>
        <w:rPr>
          <w:sz w:val="24"/>
          <w:szCs w:val="24"/>
        </w:rPr>
      </w:pPr>
    </w:p>
    <w:p w14:paraId="067ACE63" w14:textId="03C0E358" w:rsidR="00C431E8" w:rsidRPr="004E2CEF" w:rsidRDefault="00C431E8" w:rsidP="00C431E8">
      <w:pPr>
        <w:rPr>
          <w:i/>
          <w:sz w:val="24"/>
          <w:szCs w:val="24"/>
          <w:u w:val="single"/>
        </w:rPr>
      </w:pPr>
      <w:r w:rsidRPr="004E2CEF">
        <w:rPr>
          <w:i/>
          <w:sz w:val="24"/>
          <w:szCs w:val="24"/>
          <w:u w:val="single"/>
        </w:rPr>
        <w:t>Art. 170 cpv. 1</w:t>
      </w:r>
    </w:p>
    <w:p w14:paraId="304C54CD" w14:textId="77777777" w:rsidR="00C431E8" w:rsidRPr="004E2CEF" w:rsidRDefault="00C431E8" w:rsidP="00C431E8">
      <w:pPr>
        <w:rPr>
          <w:i/>
          <w:sz w:val="24"/>
          <w:szCs w:val="24"/>
          <w:u w:val="single"/>
        </w:rPr>
      </w:pPr>
    </w:p>
    <w:p w14:paraId="7B5E1615" w14:textId="77777777" w:rsidR="00C431E8" w:rsidRDefault="00C431E8" w:rsidP="00C431E8">
      <w:pPr>
        <w:rPr>
          <w:sz w:val="24"/>
          <w:szCs w:val="24"/>
        </w:rPr>
      </w:pPr>
      <w:r w:rsidRPr="004E2CEF">
        <w:rPr>
          <w:sz w:val="24"/>
          <w:szCs w:val="24"/>
        </w:rPr>
        <w:t xml:space="preserve">Adegua alla prassi attuale le condizioni per l’apposizione dei sigilli da parte dei delegati comunali. </w:t>
      </w:r>
    </w:p>
    <w:p w14:paraId="2B94A7F8" w14:textId="1B7A1E2F" w:rsidR="00C431E8" w:rsidRDefault="00C431E8">
      <w:pPr>
        <w:rPr>
          <w:rFonts w:cs="Arial"/>
          <w:sz w:val="24"/>
          <w:szCs w:val="24"/>
        </w:rPr>
      </w:pPr>
    </w:p>
    <w:p w14:paraId="36E4A197" w14:textId="6853583C" w:rsidR="00C431E8" w:rsidRPr="0083229F" w:rsidRDefault="00C431E8">
      <w:pPr>
        <w:rPr>
          <w:rFonts w:cs="Arial"/>
          <w:sz w:val="24"/>
          <w:szCs w:val="24"/>
        </w:rPr>
      </w:pPr>
      <w:r w:rsidRPr="0083229F">
        <w:rPr>
          <w:i/>
          <w:sz w:val="24"/>
          <w:szCs w:val="24"/>
          <w:u w:val="single"/>
        </w:rPr>
        <w:t>Art. 300a cpv. 2</w:t>
      </w:r>
    </w:p>
    <w:p w14:paraId="606CEE94" w14:textId="3DC5EE88" w:rsidR="00C431E8" w:rsidRPr="00D930C0" w:rsidRDefault="00C431E8">
      <w:pPr>
        <w:rPr>
          <w:rFonts w:cs="Arial"/>
          <w:sz w:val="24"/>
          <w:szCs w:val="24"/>
        </w:rPr>
      </w:pPr>
    </w:p>
    <w:p w14:paraId="6D5CA99A" w14:textId="450C3D0A" w:rsidR="00C431E8" w:rsidRPr="00D930C0" w:rsidRDefault="00C431E8">
      <w:pPr>
        <w:rPr>
          <w:rFonts w:cs="Arial"/>
          <w:sz w:val="24"/>
          <w:szCs w:val="24"/>
        </w:rPr>
      </w:pPr>
      <w:r w:rsidRPr="00D930C0">
        <w:rPr>
          <w:rFonts w:cs="Arial"/>
          <w:sz w:val="24"/>
          <w:szCs w:val="24"/>
        </w:rPr>
        <w:t>Abroga</w:t>
      </w:r>
      <w:r w:rsidR="00BD5662" w:rsidRPr="00D930C0">
        <w:rPr>
          <w:rFonts w:cs="Arial"/>
          <w:sz w:val="24"/>
          <w:szCs w:val="24"/>
        </w:rPr>
        <w:t xml:space="preserve"> la norma transitoria </w:t>
      </w:r>
      <w:r w:rsidRPr="00D930C0">
        <w:rPr>
          <w:rFonts w:cs="Arial"/>
          <w:sz w:val="24"/>
          <w:szCs w:val="24"/>
        </w:rPr>
        <w:t xml:space="preserve">poiché </w:t>
      </w:r>
      <w:r w:rsidR="00BD5662" w:rsidRPr="00D930C0">
        <w:rPr>
          <w:rFonts w:cs="Arial"/>
          <w:sz w:val="24"/>
          <w:szCs w:val="24"/>
        </w:rPr>
        <w:t xml:space="preserve">è </w:t>
      </w:r>
      <w:r w:rsidRPr="00D930C0">
        <w:rPr>
          <w:rFonts w:cs="Arial"/>
          <w:sz w:val="24"/>
          <w:szCs w:val="24"/>
        </w:rPr>
        <w:t>superflua a seguito dell’entrata in vigore della presente riforma.</w:t>
      </w:r>
    </w:p>
    <w:p w14:paraId="0C19C99A" w14:textId="77777777" w:rsidR="00C431E8" w:rsidRPr="00D930C0" w:rsidRDefault="00C431E8">
      <w:pPr>
        <w:rPr>
          <w:rFonts w:cs="Arial"/>
          <w:sz w:val="24"/>
          <w:szCs w:val="24"/>
        </w:rPr>
      </w:pPr>
    </w:p>
    <w:p w14:paraId="7B23FDF2" w14:textId="617F467D" w:rsidR="00C431E8" w:rsidRPr="00D930C0" w:rsidRDefault="00C431E8" w:rsidP="00C431E8">
      <w:pPr>
        <w:rPr>
          <w:i/>
          <w:sz w:val="24"/>
          <w:szCs w:val="24"/>
          <w:u w:val="single"/>
        </w:rPr>
      </w:pPr>
      <w:r w:rsidRPr="00D930C0">
        <w:rPr>
          <w:i/>
          <w:sz w:val="24"/>
          <w:szCs w:val="24"/>
          <w:u w:val="single"/>
        </w:rPr>
        <w:t>Art. 309g LT</w:t>
      </w:r>
    </w:p>
    <w:p w14:paraId="5A9D657C" w14:textId="5C664F55" w:rsidR="00C431E8" w:rsidRPr="00D930C0" w:rsidRDefault="00C431E8">
      <w:pPr>
        <w:rPr>
          <w:rFonts w:cs="Arial"/>
          <w:sz w:val="24"/>
          <w:szCs w:val="24"/>
        </w:rPr>
      </w:pPr>
    </w:p>
    <w:p w14:paraId="5BFE6750" w14:textId="4DD21E70" w:rsidR="00C431E8" w:rsidRPr="00D930C0" w:rsidRDefault="00C431E8">
      <w:pPr>
        <w:rPr>
          <w:rFonts w:cs="Arial"/>
          <w:sz w:val="24"/>
          <w:szCs w:val="24"/>
        </w:rPr>
      </w:pPr>
      <w:r w:rsidRPr="00D930C0">
        <w:rPr>
          <w:rFonts w:cs="Arial"/>
          <w:sz w:val="24"/>
          <w:szCs w:val="24"/>
        </w:rPr>
        <w:t xml:space="preserve">Riduce, limitatamente al periodo fiscale 2024, l’aliquota massima dell’imposta sul reddito dall’attuale 15.076% al 13.25%. </w:t>
      </w:r>
    </w:p>
    <w:p w14:paraId="220E9721" w14:textId="49A8814D" w:rsidR="00011DC7" w:rsidRPr="00D930C0" w:rsidRDefault="00011DC7" w:rsidP="006313AC">
      <w:pPr>
        <w:rPr>
          <w:rFonts w:cs="Arial"/>
          <w:sz w:val="24"/>
          <w:szCs w:val="24"/>
        </w:rPr>
      </w:pPr>
    </w:p>
    <w:p w14:paraId="7CBDE2B1" w14:textId="77777777" w:rsidR="00D36EB7" w:rsidRPr="00D930C0" w:rsidRDefault="00D36EB7" w:rsidP="006313AC">
      <w:pPr>
        <w:rPr>
          <w:rFonts w:cs="Arial"/>
          <w:sz w:val="24"/>
          <w:szCs w:val="24"/>
        </w:rPr>
      </w:pPr>
    </w:p>
    <w:p w14:paraId="3EC6943E" w14:textId="28647CFD" w:rsidR="00C431E8" w:rsidRPr="00D930C0" w:rsidRDefault="00C431E8" w:rsidP="00CA41BE">
      <w:pPr>
        <w:pStyle w:val="TITOLO"/>
      </w:pPr>
      <w:bookmarkStart w:id="35" w:name="_Toc139991902"/>
      <w:r w:rsidRPr="00D930C0">
        <w:t>RELAZIONI CON LE LINEE DIRETTIVE E IL PIANO FINANZIARIO</w:t>
      </w:r>
      <w:bookmarkEnd w:id="35"/>
    </w:p>
    <w:p w14:paraId="6F66CB2B" w14:textId="4874B7BB" w:rsidR="00011DC7" w:rsidRPr="00D930C0" w:rsidRDefault="00011DC7" w:rsidP="006313AC">
      <w:pPr>
        <w:rPr>
          <w:rFonts w:cs="Arial"/>
          <w:sz w:val="24"/>
          <w:szCs w:val="24"/>
        </w:rPr>
      </w:pPr>
    </w:p>
    <w:p w14:paraId="13A61CA9" w14:textId="6FECF212" w:rsidR="00C431E8" w:rsidRPr="00D930C0" w:rsidRDefault="00C431E8" w:rsidP="00C431E8">
      <w:pPr>
        <w:rPr>
          <w:rFonts w:cs="Arial"/>
          <w:sz w:val="24"/>
          <w:szCs w:val="24"/>
        </w:rPr>
      </w:pPr>
      <w:r w:rsidRPr="00D930C0">
        <w:rPr>
          <w:rFonts w:cs="Arial"/>
          <w:sz w:val="24"/>
          <w:szCs w:val="24"/>
        </w:rPr>
        <w:t xml:space="preserve">Il piano finanziario del Cantone è stato allestito considerando, per la voce “ricavi fiscali”, </w:t>
      </w:r>
      <w:r w:rsidR="00BD5662" w:rsidRPr="00D930C0">
        <w:rPr>
          <w:rFonts w:cs="Arial"/>
          <w:sz w:val="24"/>
          <w:szCs w:val="24"/>
        </w:rPr>
        <w:t xml:space="preserve">il margine finanziario corrispondente a </w:t>
      </w:r>
      <w:r w:rsidRPr="00D930C0">
        <w:rPr>
          <w:rFonts w:cs="Arial"/>
          <w:sz w:val="24"/>
          <w:szCs w:val="24"/>
        </w:rPr>
        <w:t xml:space="preserve">un coefficiente d’imposta cantonale pari al 97%. Ne consegue che, </w:t>
      </w:r>
      <w:r w:rsidR="00BD5662" w:rsidRPr="00D930C0">
        <w:rPr>
          <w:rFonts w:cs="Arial"/>
          <w:sz w:val="24"/>
          <w:szCs w:val="24"/>
        </w:rPr>
        <w:t>a regime,</w:t>
      </w:r>
      <w:r w:rsidRPr="00D930C0">
        <w:rPr>
          <w:rFonts w:cs="Arial"/>
          <w:sz w:val="24"/>
          <w:szCs w:val="24"/>
        </w:rPr>
        <w:t xml:space="preserve"> le modifiche legislative previste nel presente Messaggio avranno un impatto finanziario neutro</w:t>
      </w:r>
      <w:r w:rsidR="00BD5662" w:rsidRPr="00D930C0">
        <w:rPr>
          <w:rFonts w:cs="Arial"/>
          <w:sz w:val="24"/>
          <w:szCs w:val="24"/>
        </w:rPr>
        <w:t xml:space="preserve"> per il Cantone</w:t>
      </w:r>
      <w:r w:rsidRPr="00D930C0">
        <w:rPr>
          <w:rFonts w:cs="Arial"/>
          <w:sz w:val="24"/>
          <w:szCs w:val="24"/>
        </w:rPr>
        <w:t>.</w:t>
      </w:r>
    </w:p>
    <w:p w14:paraId="1D1F15E2" w14:textId="0F0993F5" w:rsidR="00C431E8" w:rsidRPr="00D930C0" w:rsidRDefault="00C431E8" w:rsidP="00C431E8">
      <w:pPr>
        <w:rPr>
          <w:rFonts w:cs="Arial"/>
          <w:sz w:val="24"/>
          <w:szCs w:val="24"/>
        </w:rPr>
      </w:pPr>
    </w:p>
    <w:p w14:paraId="04E5AFEA" w14:textId="6C169AD7" w:rsidR="00F43B97" w:rsidRPr="00D930C0" w:rsidRDefault="00F43B97" w:rsidP="00F43B97">
      <w:pPr>
        <w:rPr>
          <w:rFonts w:cs="Arial"/>
          <w:sz w:val="24"/>
          <w:szCs w:val="24"/>
        </w:rPr>
      </w:pPr>
      <w:r w:rsidRPr="00D930C0">
        <w:rPr>
          <w:rFonts w:cs="Arial"/>
          <w:sz w:val="24"/>
          <w:szCs w:val="24"/>
        </w:rPr>
        <w:t>Le spese di gestione corrente legate all’adeguamento del programma informatico dell’Ufficio delle imposte di successione e donazione rappresentano per un contro un onere non previsto a piano finanziario, anch’esso limitato al solo esercizio 2024, per un importo stimato in 600’000 franchi</w:t>
      </w:r>
      <w:r w:rsidR="00BD5662" w:rsidRPr="00D930C0">
        <w:rPr>
          <w:rFonts w:cs="Arial"/>
          <w:sz w:val="24"/>
          <w:szCs w:val="24"/>
        </w:rPr>
        <w:t>, che è però più che compensato dall’entrata in vigore in due tappe della riduzione dell’aliquota massima dell’imposta sul reddito</w:t>
      </w:r>
      <w:r w:rsidRPr="00D930C0">
        <w:rPr>
          <w:rFonts w:cs="Arial"/>
          <w:sz w:val="24"/>
          <w:szCs w:val="24"/>
        </w:rPr>
        <w:t xml:space="preserve">. </w:t>
      </w:r>
    </w:p>
    <w:p w14:paraId="242096AF" w14:textId="61D0BA23" w:rsidR="00C431E8" w:rsidRPr="00D930C0" w:rsidRDefault="00C431E8" w:rsidP="00C431E8">
      <w:pPr>
        <w:rPr>
          <w:rFonts w:cs="Arial"/>
          <w:sz w:val="24"/>
          <w:szCs w:val="24"/>
        </w:rPr>
      </w:pPr>
    </w:p>
    <w:p w14:paraId="40B95F32" w14:textId="1B0DB355" w:rsidR="00C431E8" w:rsidRDefault="00C431E8" w:rsidP="006313AC">
      <w:pPr>
        <w:rPr>
          <w:rFonts w:cs="Arial"/>
          <w:sz w:val="24"/>
          <w:szCs w:val="24"/>
        </w:rPr>
      </w:pPr>
    </w:p>
    <w:p w14:paraId="77A591CD" w14:textId="15BA83D3" w:rsidR="005B39D3" w:rsidRDefault="005B39D3" w:rsidP="006313AC">
      <w:pPr>
        <w:rPr>
          <w:rFonts w:cs="Arial"/>
          <w:sz w:val="24"/>
          <w:szCs w:val="24"/>
        </w:rPr>
      </w:pPr>
    </w:p>
    <w:p w14:paraId="2F5FE29C" w14:textId="77777777" w:rsidR="005B39D3" w:rsidRPr="00D930C0" w:rsidRDefault="005B39D3" w:rsidP="006313AC">
      <w:pPr>
        <w:rPr>
          <w:rFonts w:cs="Arial"/>
          <w:sz w:val="24"/>
          <w:szCs w:val="24"/>
        </w:rPr>
      </w:pPr>
    </w:p>
    <w:p w14:paraId="2C911937" w14:textId="77777777" w:rsidR="00C431E8" w:rsidRPr="00D930C0" w:rsidRDefault="00C431E8" w:rsidP="00CA41BE">
      <w:pPr>
        <w:pStyle w:val="TITOLO"/>
      </w:pPr>
      <w:bookmarkStart w:id="36" w:name="_Toc139991903"/>
      <w:r w:rsidRPr="00D930C0">
        <w:t>CONSEGUENZE A LIVELLO DI ENTI LOCALI E ALTRE ISTITUZIONI</w:t>
      </w:r>
      <w:bookmarkEnd w:id="36"/>
    </w:p>
    <w:p w14:paraId="5852D670" w14:textId="60E5C903" w:rsidR="00C431E8" w:rsidRPr="00D930C0" w:rsidRDefault="00C431E8" w:rsidP="006313AC">
      <w:pPr>
        <w:rPr>
          <w:rFonts w:cs="Arial"/>
          <w:sz w:val="24"/>
          <w:szCs w:val="24"/>
        </w:rPr>
      </w:pPr>
    </w:p>
    <w:p w14:paraId="0E4AD640" w14:textId="77777777" w:rsidR="004349A2" w:rsidRPr="001A52F6" w:rsidRDefault="000C080A" w:rsidP="00097E34">
      <w:pPr>
        <w:rPr>
          <w:rFonts w:cs="Arial"/>
          <w:sz w:val="24"/>
          <w:szCs w:val="24"/>
        </w:rPr>
      </w:pPr>
      <w:r w:rsidRPr="001A52F6">
        <w:rPr>
          <w:rFonts w:cs="Arial"/>
          <w:sz w:val="24"/>
          <w:szCs w:val="24"/>
        </w:rPr>
        <w:t xml:space="preserve">Accogliendo il rapporto di maggioranza n. 7684 R1, </w:t>
      </w:r>
      <w:r w:rsidR="004349A2" w:rsidRPr="001A52F6">
        <w:rPr>
          <w:rFonts w:cs="Arial"/>
          <w:sz w:val="24"/>
          <w:szCs w:val="24"/>
        </w:rPr>
        <w:t xml:space="preserve">nel 2019 </w:t>
      </w:r>
      <w:r w:rsidRPr="001A52F6">
        <w:rPr>
          <w:rFonts w:cs="Arial"/>
          <w:sz w:val="24"/>
          <w:szCs w:val="24"/>
        </w:rPr>
        <w:t xml:space="preserve">il Parlamento aveva già indicato la volontà </w:t>
      </w:r>
      <w:r w:rsidR="00737825" w:rsidRPr="001A52F6">
        <w:rPr>
          <w:rFonts w:cs="Arial"/>
          <w:sz w:val="24"/>
          <w:szCs w:val="24"/>
        </w:rPr>
        <w:t>di adottare</w:t>
      </w:r>
      <w:r w:rsidRPr="001A52F6">
        <w:rPr>
          <w:rFonts w:cs="Arial"/>
          <w:sz w:val="24"/>
          <w:szCs w:val="24"/>
        </w:rPr>
        <w:t>,</w:t>
      </w:r>
      <w:r w:rsidR="00737825" w:rsidRPr="001A52F6">
        <w:rPr>
          <w:rFonts w:cs="Arial"/>
          <w:sz w:val="24"/>
          <w:szCs w:val="24"/>
        </w:rPr>
        <w:t xml:space="preserve"> a partire dal 2024</w:t>
      </w:r>
      <w:r w:rsidRPr="001A52F6">
        <w:rPr>
          <w:rFonts w:cs="Arial"/>
          <w:sz w:val="24"/>
          <w:szCs w:val="24"/>
        </w:rPr>
        <w:t>,</w:t>
      </w:r>
      <w:r w:rsidR="00737825" w:rsidRPr="001A52F6">
        <w:rPr>
          <w:rFonts w:cs="Arial"/>
          <w:sz w:val="24"/>
          <w:szCs w:val="24"/>
        </w:rPr>
        <w:t xml:space="preserve"> una riforma fiscale </w:t>
      </w:r>
      <w:r w:rsidR="004349A2" w:rsidRPr="001A52F6">
        <w:rPr>
          <w:rFonts w:cs="Arial"/>
          <w:sz w:val="24"/>
          <w:szCs w:val="24"/>
        </w:rPr>
        <w:t xml:space="preserve">i cui </w:t>
      </w:r>
      <w:r w:rsidR="00737825" w:rsidRPr="001A52F6">
        <w:rPr>
          <w:rFonts w:cs="Arial"/>
          <w:sz w:val="24"/>
          <w:szCs w:val="24"/>
        </w:rPr>
        <w:t xml:space="preserve">effetti </w:t>
      </w:r>
      <w:r w:rsidR="004349A2" w:rsidRPr="001A52F6">
        <w:rPr>
          <w:rFonts w:cs="Arial"/>
          <w:sz w:val="24"/>
          <w:szCs w:val="24"/>
        </w:rPr>
        <w:t>finanziari avrebbero interessato anche gli enti locali</w:t>
      </w:r>
      <w:r w:rsidR="00737825" w:rsidRPr="001A52F6">
        <w:rPr>
          <w:rFonts w:cs="Arial"/>
          <w:sz w:val="24"/>
          <w:szCs w:val="24"/>
        </w:rPr>
        <w:t xml:space="preserve">. </w:t>
      </w:r>
    </w:p>
    <w:p w14:paraId="2125C915" w14:textId="77777777" w:rsidR="004349A2" w:rsidRPr="001A52F6" w:rsidRDefault="004349A2" w:rsidP="00097E34">
      <w:pPr>
        <w:rPr>
          <w:rFonts w:cs="Arial"/>
          <w:sz w:val="24"/>
          <w:szCs w:val="24"/>
        </w:rPr>
      </w:pPr>
    </w:p>
    <w:p w14:paraId="461C46C6" w14:textId="025ACE9F" w:rsidR="00C431E8" w:rsidRDefault="004349A2" w:rsidP="00097E34">
      <w:pPr>
        <w:rPr>
          <w:rFonts w:cs="Arial"/>
          <w:sz w:val="24"/>
          <w:szCs w:val="24"/>
        </w:rPr>
      </w:pPr>
      <w:r>
        <w:rPr>
          <w:rFonts w:cs="Arial"/>
          <w:sz w:val="24"/>
          <w:szCs w:val="24"/>
        </w:rPr>
        <w:t>Per i Comuni</w:t>
      </w:r>
      <w:r w:rsidR="00737825" w:rsidRPr="004349A2">
        <w:rPr>
          <w:rFonts w:cs="Arial"/>
          <w:sz w:val="24"/>
          <w:szCs w:val="24"/>
        </w:rPr>
        <w:t xml:space="preserve"> la riforma comporterà un impatto finanziario valutato in 23.7 milioni di franchi nel 2024 e in 33.0 milioni di franchi a partire dal 2025.</w:t>
      </w:r>
      <w:r>
        <w:rPr>
          <w:rFonts w:cs="Arial"/>
          <w:sz w:val="24"/>
          <w:szCs w:val="24"/>
        </w:rPr>
        <w:t xml:space="preserve"> </w:t>
      </w:r>
      <w:r w:rsidR="00097E34" w:rsidRPr="00097E34">
        <w:rPr>
          <w:rFonts w:cs="Arial"/>
          <w:sz w:val="24"/>
          <w:szCs w:val="24"/>
        </w:rPr>
        <w:t>Si ricorda tuttavia che, a partire dal 2025, i Comuni avranno la possibilità di differenziare il moltiplicatore comunale d’imposta tra persone fisiche e persone giuridiche, godendo così di maggior flessibilità per modulare il loro prelievo fiscale.</w:t>
      </w:r>
    </w:p>
    <w:p w14:paraId="7BA3342B" w14:textId="5BB28B36" w:rsidR="00C431E8" w:rsidRDefault="00C431E8" w:rsidP="006313AC">
      <w:pPr>
        <w:rPr>
          <w:rFonts w:cs="Arial"/>
          <w:sz w:val="24"/>
          <w:szCs w:val="24"/>
        </w:rPr>
      </w:pPr>
    </w:p>
    <w:p w14:paraId="6B937FF7" w14:textId="77777777" w:rsidR="00737825" w:rsidRDefault="00737825" w:rsidP="006313AC">
      <w:pPr>
        <w:rPr>
          <w:rFonts w:cs="Arial"/>
          <w:sz w:val="24"/>
          <w:szCs w:val="24"/>
        </w:rPr>
      </w:pPr>
    </w:p>
    <w:p w14:paraId="1A9A24ED" w14:textId="77777777" w:rsidR="00C431E8" w:rsidRPr="004E2CEF" w:rsidRDefault="00C431E8" w:rsidP="00CA41BE">
      <w:pPr>
        <w:pStyle w:val="TITOLO"/>
      </w:pPr>
      <w:bookmarkStart w:id="37" w:name="_Toc139991904"/>
      <w:r w:rsidRPr="004E2CEF">
        <w:t>CLASSIFICAZIONE DEGLI ATTI PARLAMENTARI</w:t>
      </w:r>
      <w:bookmarkEnd w:id="37"/>
    </w:p>
    <w:p w14:paraId="268752C5" w14:textId="77777777" w:rsidR="00C431E8" w:rsidRPr="004E2CEF" w:rsidRDefault="00C431E8" w:rsidP="00C431E8">
      <w:pPr>
        <w:rPr>
          <w:sz w:val="24"/>
          <w:szCs w:val="24"/>
        </w:rPr>
      </w:pPr>
    </w:p>
    <w:p w14:paraId="307F1729" w14:textId="77777777" w:rsidR="00C431E8" w:rsidRPr="004E2CEF" w:rsidRDefault="00C431E8" w:rsidP="00C431E8">
      <w:pPr>
        <w:rPr>
          <w:sz w:val="24"/>
          <w:szCs w:val="24"/>
        </w:rPr>
      </w:pPr>
      <w:r w:rsidRPr="004E2CEF">
        <w:rPr>
          <w:sz w:val="24"/>
          <w:szCs w:val="24"/>
        </w:rPr>
        <w:t>Unitamente alle proposte contenute nel presente Messaggio, cogliamo l’occasione per rispondere ai seguenti atti parlamentari.</w:t>
      </w:r>
    </w:p>
    <w:p w14:paraId="456FA03B" w14:textId="5B0B06CF" w:rsidR="00D9729A" w:rsidRDefault="00D9729A">
      <w:pPr>
        <w:rPr>
          <w:b/>
          <w:sz w:val="24"/>
          <w:szCs w:val="24"/>
        </w:rPr>
      </w:pPr>
      <w:bookmarkStart w:id="38" w:name="_Toc13577595"/>
    </w:p>
    <w:p w14:paraId="53DC1F27" w14:textId="4C571FE6" w:rsidR="00C431E8" w:rsidRPr="004E2CEF" w:rsidRDefault="00C431E8" w:rsidP="005B39D3">
      <w:pPr>
        <w:pStyle w:val="CAPITOLO1"/>
        <w:numPr>
          <w:ilvl w:val="0"/>
          <w:numId w:val="13"/>
        </w:numPr>
        <w:ind w:left="851" w:hanging="851"/>
      </w:pPr>
      <w:bookmarkStart w:id="39" w:name="_Toc139991905"/>
      <w:r w:rsidRPr="004E2CEF">
        <w:t>Iniziative parlamentari elaborate</w:t>
      </w:r>
      <w:bookmarkEnd w:id="38"/>
      <w:bookmarkEnd w:id="39"/>
    </w:p>
    <w:p w14:paraId="3EA40142" w14:textId="77777777" w:rsidR="00C431E8" w:rsidRPr="004E2CEF" w:rsidRDefault="00C431E8" w:rsidP="00C431E8">
      <w:pPr>
        <w:pStyle w:val="ListNumeric12"/>
        <w:numPr>
          <w:ilvl w:val="0"/>
          <w:numId w:val="0"/>
        </w:numPr>
        <w:ind w:left="567"/>
        <w:rPr>
          <w:b/>
        </w:rPr>
      </w:pPr>
    </w:p>
    <w:p w14:paraId="34D11A4B" w14:textId="77777777" w:rsidR="00C431E8" w:rsidRPr="004E2CEF" w:rsidRDefault="00C431E8" w:rsidP="00100005">
      <w:pPr>
        <w:pStyle w:val="CAPITOLO2"/>
      </w:pPr>
      <w:bookmarkStart w:id="40" w:name="_Toc13577596"/>
      <w:bookmarkStart w:id="41" w:name="_Toc139991906"/>
      <w:r w:rsidRPr="004E2CEF">
        <w:t>Iniziativa parlamentare elaborata del 7 maggio 2018 di P. Pamini e cofirmatari “Riduzione delle aliquote d’imposta sul reddito per il ceto medio-basso”</w:t>
      </w:r>
      <w:bookmarkEnd w:id="40"/>
      <w:bookmarkEnd w:id="41"/>
      <w:r w:rsidRPr="004E2CEF">
        <w:t xml:space="preserve"> </w:t>
      </w:r>
    </w:p>
    <w:p w14:paraId="54EA7680" w14:textId="77777777" w:rsidR="00C431E8" w:rsidRPr="004E2CEF" w:rsidRDefault="00C431E8" w:rsidP="00C431E8">
      <w:pPr>
        <w:rPr>
          <w:rFonts w:cs="Arial"/>
          <w:sz w:val="24"/>
          <w:szCs w:val="24"/>
        </w:rPr>
      </w:pPr>
    </w:p>
    <w:p w14:paraId="41D102BD" w14:textId="14394BE1" w:rsidR="00C431E8" w:rsidRDefault="00C431E8" w:rsidP="00C431E8">
      <w:pPr>
        <w:rPr>
          <w:rFonts w:cs="Arial"/>
          <w:sz w:val="24"/>
          <w:szCs w:val="24"/>
        </w:rPr>
      </w:pPr>
      <w:r w:rsidRPr="004E2CEF">
        <w:rPr>
          <w:rFonts w:cs="Arial"/>
          <w:sz w:val="24"/>
          <w:szCs w:val="24"/>
        </w:rPr>
        <w:t>L’iniziativa declina sotto forma di proposta concreta il conten</w:t>
      </w:r>
      <w:r w:rsidR="000C080A">
        <w:rPr>
          <w:rFonts w:cs="Arial"/>
          <w:sz w:val="24"/>
          <w:szCs w:val="24"/>
        </w:rPr>
        <w:t xml:space="preserve">uto dell’iniziativa generica 29 maggio </w:t>
      </w:r>
      <w:r w:rsidRPr="004E2CEF">
        <w:rPr>
          <w:rFonts w:cs="Arial"/>
          <w:sz w:val="24"/>
          <w:szCs w:val="24"/>
        </w:rPr>
        <w:t>2017 di S. Morisoli “</w:t>
      </w:r>
      <w:r w:rsidRPr="004E2CEF">
        <w:rPr>
          <w:rFonts w:cs="Arial"/>
          <w:i/>
          <w:sz w:val="24"/>
          <w:szCs w:val="24"/>
        </w:rPr>
        <w:t>Giù del 10% le tasse del ceto medio</w:t>
      </w:r>
      <w:r w:rsidRPr="004E2CEF">
        <w:rPr>
          <w:rFonts w:cs="Arial"/>
          <w:sz w:val="24"/>
          <w:szCs w:val="24"/>
        </w:rPr>
        <w:t xml:space="preserve">” proponendo di ridurre le aliquote dell’imposta sul reddito del ceto medio-basso del 10%. In realtà, così come proposta, l’iniziativa comporterebbe degli sgravi anche per i contribuenti nelle fasce di reddito alte, in quanto le riduzioni di aliquote proposte si applicherebbero fino a redditi pari a 365'300 franchi per le persone sole, rispettivamente a 730'700 franchi per i coniugati. </w:t>
      </w:r>
    </w:p>
    <w:p w14:paraId="0A62D844" w14:textId="77777777" w:rsidR="00C431E8" w:rsidRPr="004E2CEF" w:rsidRDefault="00C431E8" w:rsidP="00C431E8">
      <w:pPr>
        <w:rPr>
          <w:rFonts w:cs="Arial"/>
          <w:sz w:val="24"/>
          <w:szCs w:val="24"/>
        </w:rPr>
      </w:pPr>
    </w:p>
    <w:p w14:paraId="0D0F66BF" w14:textId="33CF09DF" w:rsidR="00C431E8" w:rsidRPr="004E2CEF" w:rsidRDefault="00C431E8" w:rsidP="00C431E8">
      <w:pPr>
        <w:rPr>
          <w:rFonts w:cs="Arial"/>
          <w:sz w:val="24"/>
          <w:szCs w:val="24"/>
        </w:rPr>
      </w:pPr>
      <w:r w:rsidRPr="004E2CEF">
        <w:rPr>
          <w:rFonts w:cs="Arial"/>
          <w:sz w:val="24"/>
          <w:szCs w:val="24"/>
        </w:rPr>
        <w:t>Considerato che l’aumento della deduzione per le altre spese professionali proposta contestualmente al presente Messaggio va a sgravare prevalentemente i contribuenti con attività lucrativa dipendente nelle fasce di reddito comprese tra 40'000 franchi e 1</w:t>
      </w:r>
      <w:r w:rsidR="000C080A">
        <w:rPr>
          <w:rFonts w:cs="Arial"/>
          <w:sz w:val="24"/>
          <w:szCs w:val="24"/>
        </w:rPr>
        <w:t>25</w:t>
      </w:r>
      <w:r w:rsidRPr="004E2CEF">
        <w:rPr>
          <w:rFonts w:cs="Arial"/>
          <w:sz w:val="24"/>
          <w:szCs w:val="24"/>
        </w:rPr>
        <w:t xml:space="preserve">'000 franchi, e che la riduzione dell’aliquota massima dell’imposta sul reddito al 12% porterà benefici anche nelle fasce di reddito (alte) contemplate dall’atto parlamentare, si invita il Gran Consiglio a voler ritenere la presente iniziativa parlamentare elaborata evasa. </w:t>
      </w:r>
    </w:p>
    <w:p w14:paraId="22E57026" w14:textId="0B4066A7" w:rsidR="00B10521" w:rsidRDefault="00B10521">
      <w:pPr>
        <w:rPr>
          <w:rFonts w:cs="Arial"/>
          <w:sz w:val="24"/>
          <w:szCs w:val="24"/>
        </w:rPr>
      </w:pPr>
    </w:p>
    <w:p w14:paraId="570C3593" w14:textId="77777777" w:rsidR="00C431E8" w:rsidRPr="004E2CEF" w:rsidRDefault="00C431E8" w:rsidP="00100005">
      <w:pPr>
        <w:pStyle w:val="CAPITOLO2"/>
      </w:pPr>
      <w:bookmarkStart w:id="42" w:name="_Toc139991907"/>
      <w:r w:rsidRPr="004E2CEF">
        <w:t>Iniziativa parlamentare elaborata del 7 maggio 2018 di P. Pamini e cofirmatari “Riduzione all’11% scaglionata su otto anni dell’aliquota massima d’imposta sul reddito”</w:t>
      </w:r>
      <w:bookmarkEnd w:id="42"/>
      <w:r w:rsidRPr="004E2CEF">
        <w:t xml:space="preserve"> </w:t>
      </w:r>
    </w:p>
    <w:p w14:paraId="0A702518" w14:textId="77777777" w:rsidR="00C431E8" w:rsidRPr="004E2CEF" w:rsidRDefault="00C431E8" w:rsidP="00C431E8">
      <w:pPr>
        <w:rPr>
          <w:b/>
        </w:rPr>
      </w:pPr>
    </w:p>
    <w:p w14:paraId="0B4BB149" w14:textId="77777777" w:rsidR="00C431E8" w:rsidRPr="004E2CEF" w:rsidRDefault="00C431E8" w:rsidP="00C431E8">
      <w:pPr>
        <w:rPr>
          <w:rFonts w:cs="Arial"/>
          <w:sz w:val="24"/>
          <w:szCs w:val="24"/>
        </w:rPr>
      </w:pPr>
      <w:r w:rsidRPr="004E2CEF">
        <w:rPr>
          <w:rFonts w:cs="Arial"/>
          <w:sz w:val="24"/>
          <w:szCs w:val="24"/>
        </w:rPr>
        <w:t>L’iniziativa propone di ridurre gradualmente, sull’arco del periodo dal 2019 al 2026, l’aliquota marginale massima dell’imposta sul reddito delle persone fisiche dall’attuale 15.076% all’11%.</w:t>
      </w:r>
    </w:p>
    <w:p w14:paraId="71DCED65" w14:textId="77777777" w:rsidR="00C431E8" w:rsidRPr="004E2CEF" w:rsidRDefault="00C431E8" w:rsidP="00202147">
      <w:pPr>
        <w:jc w:val="left"/>
        <w:rPr>
          <w:b/>
        </w:rPr>
      </w:pPr>
    </w:p>
    <w:p w14:paraId="438C3E84" w14:textId="7604F53D" w:rsidR="00C431E8" w:rsidRPr="004E2CEF" w:rsidRDefault="00C431E8" w:rsidP="00C431E8">
      <w:pPr>
        <w:rPr>
          <w:b/>
        </w:rPr>
      </w:pPr>
      <w:r w:rsidRPr="004E2CEF">
        <w:rPr>
          <w:rFonts w:cs="Arial"/>
          <w:sz w:val="24"/>
          <w:szCs w:val="24"/>
        </w:rPr>
        <w:t xml:space="preserve">Con la proposta, contenuta nel presente </w:t>
      </w:r>
      <w:r w:rsidR="000C080A">
        <w:rPr>
          <w:rFonts w:cs="Arial"/>
          <w:sz w:val="24"/>
          <w:szCs w:val="24"/>
        </w:rPr>
        <w:t>Messaggio, di modifica dell’articolo</w:t>
      </w:r>
      <w:r w:rsidRPr="004E2CEF">
        <w:rPr>
          <w:rFonts w:cs="Arial"/>
          <w:sz w:val="24"/>
          <w:szCs w:val="24"/>
        </w:rPr>
        <w:t xml:space="preserve"> 35 LT la presente iniziativa parlamentare elaborata può considerarsi evasa. </w:t>
      </w:r>
    </w:p>
    <w:p w14:paraId="76472D7C" w14:textId="77777777" w:rsidR="00C431E8" w:rsidRPr="004E2CEF" w:rsidRDefault="00C431E8" w:rsidP="00C431E8">
      <w:pPr>
        <w:rPr>
          <w:b/>
        </w:rPr>
      </w:pPr>
    </w:p>
    <w:p w14:paraId="23A8DE97" w14:textId="77777777" w:rsidR="00C431E8" w:rsidRPr="004E2CEF" w:rsidRDefault="00C431E8" w:rsidP="00100005">
      <w:pPr>
        <w:pStyle w:val="CAPITOLO2"/>
      </w:pPr>
      <w:bookmarkStart w:id="43" w:name="_Toc139991908"/>
      <w:r w:rsidRPr="004E2CEF">
        <w:t>Iniziativa parlamentare elaborata del 20 gennaio 2020 di A. Censi per il Gruppo della Lega “Modifica della Legge tributaria (Imposte di successione e donazione, è ora di darci un taglio!)”</w:t>
      </w:r>
      <w:bookmarkEnd w:id="43"/>
    </w:p>
    <w:p w14:paraId="20701A1A" w14:textId="77777777" w:rsidR="00C431E8" w:rsidRPr="004E2CEF" w:rsidRDefault="00C431E8" w:rsidP="00C431E8">
      <w:pPr>
        <w:rPr>
          <w:b/>
        </w:rPr>
      </w:pPr>
    </w:p>
    <w:p w14:paraId="07A629B8" w14:textId="77777777" w:rsidR="00C431E8" w:rsidRPr="004E2CEF" w:rsidRDefault="00C431E8" w:rsidP="00C431E8">
      <w:pPr>
        <w:rPr>
          <w:rFonts w:cs="Arial"/>
          <w:sz w:val="24"/>
          <w:szCs w:val="24"/>
        </w:rPr>
      </w:pPr>
      <w:r w:rsidRPr="004E2CEF">
        <w:rPr>
          <w:rFonts w:cs="Arial"/>
          <w:sz w:val="24"/>
          <w:szCs w:val="24"/>
        </w:rPr>
        <w:t xml:space="preserve">L’iniziativa propone di abolire l’imposta di successione e donazione, ciò che comporterebbe per il Cantone – con riferimento ai dati di consuntivo 2022 - minori entrate per circa 63 milioni di franchi. </w:t>
      </w:r>
    </w:p>
    <w:p w14:paraId="0C9B3C42" w14:textId="77777777" w:rsidR="00C431E8" w:rsidRPr="004E2CEF" w:rsidRDefault="00C431E8" w:rsidP="00C431E8">
      <w:pPr>
        <w:rPr>
          <w:rFonts w:cs="Arial"/>
          <w:sz w:val="24"/>
          <w:szCs w:val="24"/>
        </w:rPr>
      </w:pPr>
    </w:p>
    <w:p w14:paraId="3A635D3C" w14:textId="77777777" w:rsidR="00C431E8" w:rsidRPr="004E2CEF" w:rsidRDefault="00C431E8" w:rsidP="00C431E8">
      <w:pPr>
        <w:rPr>
          <w:rFonts w:cs="Arial"/>
          <w:sz w:val="24"/>
          <w:szCs w:val="24"/>
        </w:rPr>
      </w:pPr>
      <w:r w:rsidRPr="004E2CEF">
        <w:rPr>
          <w:rFonts w:cs="Arial"/>
          <w:sz w:val="24"/>
          <w:szCs w:val="24"/>
        </w:rPr>
        <w:t xml:space="preserve">Ritenuto che la riforma dell’imposta di successione e donazione contenuta nel presente Messaggio – pur non prevedendone l’abolizione – permette di sistemare le principali criticità del sistema impositivo vigente, senza tuttavia privare il Cantone di una fonte di entrate fiscali assolutamente rilevante, si invita il Gran Consiglio a voler considerare l’atto parlamentare in questione evaso. </w:t>
      </w:r>
    </w:p>
    <w:p w14:paraId="10FC958D" w14:textId="77777777" w:rsidR="00C431E8" w:rsidRPr="004E2CEF" w:rsidRDefault="00C431E8" w:rsidP="00C431E8">
      <w:pPr>
        <w:rPr>
          <w:b/>
        </w:rPr>
      </w:pPr>
    </w:p>
    <w:p w14:paraId="4501F207" w14:textId="77777777" w:rsidR="00C431E8" w:rsidRPr="004E2CEF" w:rsidRDefault="00C431E8" w:rsidP="00100005">
      <w:pPr>
        <w:pStyle w:val="CAPITOLO2"/>
      </w:pPr>
      <w:bookmarkStart w:id="44" w:name="_Toc139991909"/>
      <w:r w:rsidRPr="004E2CEF">
        <w:t>Iniziativa parlamentare elaborata del 21 settembre 2020 di I. Durisch per il Gruppo PS “Modifica dell’art. 300a cpv. 1 della Legge tributaria (Abrogazione dell’articolo che riduce al 97% il coefficiente cantonale d’imposta)”</w:t>
      </w:r>
      <w:bookmarkEnd w:id="44"/>
    </w:p>
    <w:p w14:paraId="76AECC08" w14:textId="77777777" w:rsidR="00C431E8" w:rsidRPr="004E2CEF" w:rsidRDefault="00C431E8" w:rsidP="00C431E8">
      <w:pPr>
        <w:rPr>
          <w:b/>
        </w:rPr>
      </w:pPr>
    </w:p>
    <w:p w14:paraId="2AD658C7" w14:textId="78CFA5A2" w:rsidR="00C431E8" w:rsidRPr="004E2CEF" w:rsidRDefault="00C431E8" w:rsidP="00C431E8">
      <w:pPr>
        <w:rPr>
          <w:rFonts w:cs="Arial"/>
          <w:sz w:val="24"/>
          <w:szCs w:val="24"/>
        </w:rPr>
      </w:pPr>
      <w:r w:rsidRPr="0083229F">
        <w:rPr>
          <w:rFonts w:cs="Arial"/>
          <w:sz w:val="24"/>
          <w:szCs w:val="24"/>
        </w:rPr>
        <w:t xml:space="preserve">Riteniamo che la presente </w:t>
      </w:r>
      <w:r w:rsidR="0083229F">
        <w:rPr>
          <w:rFonts w:cs="Arial"/>
          <w:sz w:val="24"/>
          <w:szCs w:val="24"/>
        </w:rPr>
        <w:t xml:space="preserve">iniziativa </w:t>
      </w:r>
      <w:r w:rsidRPr="0083229F">
        <w:rPr>
          <w:rFonts w:cs="Arial"/>
          <w:sz w:val="24"/>
          <w:szCs w:val="24"/>
        </w:rPr>
        <w:t>possa considerarsi evasa.</w:t>
      </w:r>
    </w:p>
    <w:p w14:paraId="7C188628" w14:textId="77777777" w:rsidR="00C431E8" w:rsidRPr="004E2CEF" w:rsidRDefault="00C431E8" w:rsidP="00C431E8">
      <w:pPr>
        <w:rPr>
          <w:b/>
        </w:rPr>
      </w:pPr>
    </w:p>
    <w:p w14:paraId="53DFB1C1" w14:textId="77777777" w:rsidR="00C431E8" w:rsidRPr="004E2CEF" w:rsidRDefault="00C431E8" w:rsidP="00100005">
      <w:pPr>
        <w:pStyle w:val="CAPITOLO2"/>
      </w:pPr>
      <w:bookmarkStart w:id="45" w:name="_Toc139991910"/>
      <w:r w:rsidRPr="004E2CEF">
        <w:t>Iniziativa parlamentare elaborata del 20 settembre 2021 di A. Gianella per il Gruppo PLR “Modifica dell'art. 35 e 309g (nuovo) della Legge tributaria a favore delle persone fisiche (Un Ticino attrattivo per gli ottimi contribuenti)”</w:t>
      </w:r>
      <w:bookmarkEnd w:id="45"/>
    </w:p>
    <w:p w14:paraId="47B31174" w14:textId="77777777" w:rsidR="00C431E8" w:rsidRPr="004E2CEF" w:rsidRDefault="00C431E8" w:rsidP="00C431E8">
      <w:pPr>
        <w:rPr>
          <w:b/>
        </w:rPr>
      </w:pPr>
    </w:p>
    <w:p w14:paraId="3BB16EE6" w14:textId="5BA0CD64" w:rsidR="00C431E8" w:rsidRPr="006643C1" w:rsidRDefault="00C431E8" w:rsidP="00C431E8">
      <w:pPr>
        <w:rPr>
          <w:rFonts w:cs="Arial"/>
          <w:sz w:val="24"/>
          <w:szCs w:val="24"/>
        </w:rPr>
      </w:pPr>
      <w:r w:rsidRPr="004E2CEF">
        <w:rPr>
          <w:rFonts w:cs="Arial"/>
          <w:sz w:val="24"/>
          <w:szCs w:val="24"/>
        </w:rPr>
        <w:t>Consi</w:t>
      </w:r>
      <w:r w:rsidR="000C080A">
        <w:rPr>
          <w:rFonts w:cs="Arial"/>
          <w:sz w:val="24"/>
          <w:szCs w:val="24"/>
        </w:rPr>
        <w:t>derato che la modifica dell’articolo</w:t>
      </w:r>
      <w:r w:rsidRPr="004E2CEF">
        <w:rPr>
          <w:rFonts w:cs="Arial"/>
          <w:sz w:val="24"/>
          <w:szCs w:val="24"/>
        </w:rPr>
        <w:t xml:space="preserve"> 35 LT proposta contestualmente al presente Messaggio persegue gli stessi obiettivi dell’iniziativa parlamentare elaborata, invitiamo il Gran Consiglio a volerla considerare evasa.</w:t>
      </w:r>
    </w:p>
    <w:p w14:paraId="20F84CA4" w14:textId="77777777" w:rsidR="00C431E8" w:rsidRPr="004E2CEF" w:rsidRDefault="00C431E8" w:rsidP="00C431E8">
      <w:pPr>
        <w:rPr>
          <w:b/>
        </w:rPr>
      </w:pPr>
    </w:p>
    <w:p w14:paraId="70A0F64F" w14:textId="77777777" w:rsidR="00C431E8" w:rsidRPr="004E2CEF" w:rsidRDefault="00C431E8" w:rsidP="00100005">
      <w:pPr>
        <w:pStyle w:val="CAPITOLO2"/>
      </w:pPr>
      <w:bookmarkStart w:id="46" w:name="_Toc139991911"/>
      <w:r w:rsidRPr="004E2CEF">
        <w:t>Iniziativa parlamentare elaborata del 29 settembre 2021 di M. Ermotti-Lepori per il Gruppo PPD+GG “Modifica dell’art. 32 della Legge tributaria del 21 giugno 1994 (Aumento della deduzione per la custodia extra-familiare dei figli)”</w:t>
      </w:r>
      <w:bookmarkEnd w:id="46"/>
    </w:p>
    <w:p w14:paraId="6A162085" w14:textId="77777777" w:rsidR="00C431E8" w:rsidRPr="004E2CEF" w:rsidRDefault="00C431E8" w:rsidP="00C431E8">
      <w:pPr>
        <w:rPr>
          <w:b/>
        </w:rPr>
      </w:pPr>
    </w:p>
    <w:p w14:paraId="6DEA76D7" w14:textId="77AE1005" w:rsidR="00C431E8" w:rsidRPr="004E2CEF" w:rsidRDefault="00C431E8" w:rsidP="00C431E8">
      <w:pPr>
        <w:rPr>
          <w:rFonts w:cs="Arial"/>
          <w:sz w:val="24"/>
          <w:szCs w:val="24"/>
        </w:rPr>
      </w:pPr>
      <w:r w:rsidRPr="004E2CEF">
        <w:rPr>
          <w:rFonts w:cs="Arial"/>
          <w:sz w:val="24"/>
          <w:szCs w:val="24"/>
        </w:rPr>
        <w:t>Considerato che l’iniziativa in oggetto è superata dagli eventi in quanto il 18</w:t>
      </w:r>
      <w:r w:rsidR="000C080A">
        <w:rPr>
          <w:rFonts w:cs="Arial"/>
          <w:sz w:val="24"/>
          <w:szCs w:val="24"/>
        </w:rPr>
        <w:t xml:space="preserve"> ottobre </w:t>
      </w:r>
      <w:r w:rsidRPr="004E2CEF">
        <w:rPr>
          <w:rFonts w:cs="Arial"/>
          <w:sz w:val="24"/>
          <w:szCs w:val="24"/>
        </w:rPr>
        <w:t>2021 il Gran Consiglio ha deciso, emendando il messaggio 7922, di aumentare l’importo massimo deducibile per la cura dei figli prestata da terzi a 25'000</w:t>
      </w:r>
      <w:r w:rsidR="000C080A">
        <w:rPr>
          <w:rFonts w:cs="Arial"/>
          <w:sz w:val="24"/>
          <w:szCs w:val="24"/>
        </w:rPr>
        <w:t xml:space="preserve"> franchi</w:t>
      </w:r>
      <w:r w:rsidRPr="004E2CEF">
        <w:rPr>
          <w:rFonts w:cs="Arial"/>
          <w:sz w:val="24"/>
          <w:szCs w:val="24"/>
        </w:rPr>
        <w:t xml:space="preserve">, si invita il Gran Consiglio a volerla considerare evasa. </w:t>
      </w:r>
    </w:p>
    <w:p w14:paraId="56DDFEDB" w14:textId="77777777" w:rsidR="00C431E8" w:rsidRPr="004E2CEF" w:rsidRDefault="00C431E8" w:rsidP="00C431E8">
      <w:pPr>
        <w:rPr>
          <w:b/>
        </w:rPr>
      </w:pPr>
    </w:p>
    <w:p w14:paraId="1D86EF01" w14:textId="77777777" w:rsidR="00C431E8" w:rsidRPr="004E2CEF" w:rsidRDefault="00C431E8" w:rsidP="00100005">
      <w:pPr>
        <w:pStyle w:val="CAPITOLO2"/>
      </w:pPr>
      <w:bookmarkStart w:id="47" w:name="_Toc139991912"/>
      <w:r w:rsidRPr="004E2CEF">
        <w:t>Iniziativa parlamentare elaborata del 18 ottobre 2021 di C. Maderni e A. Speziali per il Gruppo PLR “Modifica dell'art. 159 della Legge tributaria (Imposizione delle successioni e donazioni - Sosteniamo la continuità aziendale)”</w:t>
      </w:r>
      <w:bookmarkEnd w:id="47"/>
    </w:p>
    <w:p w14:paraId="5C8BABDD" w14:textId="77777777" w:rsidR="00C431E8" w:rsidRPr="004E2CEF" w:rsidRDefault="00C431E8" w:rsidP="00C431E8">
      <w:pPr>
        <w:rPr>
          <w:b/>
        </w:rPr>
      </w:pPr>
    </w:p>
    <w:p w14:paraId="754D2775" w14:textId="41F3D452" w:rsidR="00C431E8" w:rsidRPr="004E2CEF" w:rsidRDefault="00C431E8" w:rsidP="00C431E8">
      <w:pPr>
        <w:rPr>
          <w:b/>
        </w:rPr>
      </w:pPr>
      <w:r w:rsidRPr="00B46B50">
        <w:rPr>
          <w:rFonts w:cs="Arial"/>
          <w:sz w:val="24"/>
          <w:szCs w:val="24"/>
        </w:rPr>
        <w:t>Con la proposta, contenuta nel presente Messaggio, di modifica dell’art</w:t>
      </w:r>
      <w:r w:rsidR="000C080A">
        <w:rPr>
          <w:rFonts w:cs="Arial"/>
          <w:sz w:val="24"/>
          <w:szCs w:val="24"/>
        </w:rPr>
        <w:t>icolo</w:t>
      </w:r>
      <w:r w:rsidRPr="00B46B50">
        <w:rPr>
          <w:rFonts w:cs="Arial"/>
          <w:sz w:val="24"/>
          <w:szCs w:val="24"/>
        </w:rPr>
        <w:t xml:space="preserve"> 156</w:t>
      </w:r>
      <w:r w:rsidR="00202147" w:rsidRPr="00B46B50">
        <w:rPr>
          <w:rFonts w:cs="Arial"/>
          <w:sz w:val="24"/>
          <w:szCs w:val="24"/>
        </w:rPr>
        <w:t>a</w:t>
      </w:r>
      <w:r w:rsidRPr="00B46B50">
        <w:rPr>
          <w:rFonts w:cs="Arial"/>
          <w:sz w:val="24"/>
          <w:szCs w:val="24"/>
        </w:rPr>
        <w:t xml:space="preserve"> LT la</w:t>
      </w:r>
      <w:r w:rsidRPr="004E2CEF">
        <w:rPr>
          <w:rFonts w:cs="Arial"/>
          <w:sz w:val="24"/>
          <w:szCs w:val="24"/>
        </w:rPr>
        <w:t xml:space="preserve"> presente iniziativa parlamentare elaborata può considerarsi evasa. </w:t>
      </w:r>
    </w:p>
    <w:p w14:paraId="2BEF9C1B" w14:textId="2F626AB8" w:rsidR="00C431E8" w:rsidRDefault="00C431E8" w:rsidP="00C431E8">
      <w:pPr>
        <w:rPr>
          <w:b/>
        </w:rPr>
      </w:pPr>
    </w:p>
    <w:p w14:paraId="6DA4F3B3" w14:textId="174F52CB" w:rsidR="005B39D3" w:rsidRDefault="005B39D3" w:rsidP="00C431E8">
      <w:pPr>
        <w:rPr>
          <w:b/>
        </w:rPr>
      </w:pPr>
    </w:p>
    <w:p w14:paraId="5927F822" w14:textId="24BF033B" w:rsidR="005B39D3" w:rsidRDefault="005B39D3" w:rsidP="00C431E8">
      <w:pPr>
        <w:rPr>
          <w:b/>
        </w:rPr>
      </w:pPr>
    </w:p>
    <w:p w14:paraId="4EEBBDC8" w14:textId="77777777" w:rsidR="005B39D3" w:rsidRPr="004E2CEF" w:rsidRDefault="005B39D3" w:rsidP="00C431E8">
      <w:pPr>
        <w:rPr>
          <w:b/>
        </w:rPr>
      </w:pPr>
    </w:p>
    <w:p w14:paraId="2244812A" w14:textId="77777777" w:rsidR="00C431E8" w:rsidRPr="004E2CEF" w:rsidRDefault="00C431E8" w:rsidP="00100005">
      <w:pPr>
        <w:pStyle w:val="CAPITOLO2"/>
      </w:pPr>
      <w:bookmarkStart w:id="48" w:name="_Toc139991913"/>
      <w:r w:rsidRPr="004E2CEF">
        <w:t>Iniziativa parlamentare elaborata del 22 febbraio 2022 di E. Petrini e cofirmatari “Modifica dell’art. 154 cpv. 1 lett. f) della Legge tributaria”</w:t>
      </w:r>
      <w:bookmarkEnd w:id="48"/>
    </w:p>
    <w:p w14:paraId="391BFB6E" w14:textId="77777777" w:rsidR="00C431E8" w:rsidRPr="004E2CEF" w:rsidRDefault="00C431E8" w:rsidP="00C431E8">
      <w:pPr>
        <w:rPr>
          <w:b/>
        </w:rPr>
      </w:pPr>
    </w:p>
    <w:p w14:paraId="01897645" w14:textId="77777777" w:rsidR="00C431E8" w:rsidRPr="004E2CEF" w:rsidRDefault="00C431E8" w:rsidP="00C431E8">
      <w:pPr>
        <w:rPr>
          <w:rFonts w:cs="Arial"/>
          <w:sz w:val="24"/>
          <w:szCs w:val="24"/>
        </w:rPr>
      </w:pPr>
      <w:r w:rsidRPr="004E2CEF">
        <w:rPr>
          <w:rFonts w:cs="Arial"/>
          <w:sz w:val="24"/>
          <w:szCs w:val="24"/>
        </w:rPr>
        <w:t>L’iniziativa propone di estendere l’esenzione dall’imposta di successione e donazione – oggi limitata ai discendenti e ascendenti diretti – anche ai partner conviventi (persone che al momento della donazione o del decesso già convivevano da almeno 5 anni o avevano figli in comune).</w:t>
      </w:r>
    </w:p>
    <w:p w14:paraId="118AD73D" w14:textId="77777777" w:rsidR="00C431E8" w:rsidRPr="004E2CEF" w:rsidRDefault="00C431E8" w:rsidP="00C431E8">
      <w:pPr>
        <w:rPr>
          <w:rFonts w:cs="Arial"/>
          <w:sz w:val="24"/>
          <w:szCs w:val="24"/>
        </w:rPr>
      </w:pPr>
    </w:p>
    <w:p w14:paraId="166FEC0C" w14:textId="3E534CAD" w:rsidR="00C431E8" w:rsidRPr="004E2CEF" w:rsidRDefault="00C431E8" w:rsidP="00C431E8">
      <w:pPr>
        <w:rPr>
          <w:rFonts w:cs="Arial"/>
          <w:sz w:val="24"/>
          <w:szCs w:val="24"/>
        </w:rPr>
      </w:pPr>
      <w:r w:rsidRPr="004E2CEF">
        <w:rPr>
          <w:rFonts w:cs="Arial"/>
          <w:sz w:val="24"/>
          <w:szCs w:val="24"/>
        </w:rPr>
        <w:t>Sebbene non si tratti di un’esenzione, lo scrivente Consiglio ritiene che i concubini siano stati sufficientemente agevolati con la presente riforma, in quanto questa categoria di contribuenti potrà beneficiare di un importante sgravio fiscale rispetto alla situazione attuale</w:t>
      </w:r>
      <w:r w:rsidR="000C080A">
        <w:rPr>
          <w:rFonts w:cs="Arial"/>
          <w:sz w:val="24"/>
          <w:szCs w:val="24"/>
        </w:rPr>
        <w:t>.</w:t>
      </w:r>
      <w:r w:rsidRPr="004E2CEF">
        <w:rPr>
          <w:rFonts w:cs="Arial"/>
          <w:sz w:val="24"/>
          <w:szCs w:val="24"/>
        </w:rPr>
        <w:t xml:space="preserve"> Si invita pertanto il Gran Consiglio a voler considerare il presente atto parlamentare come evaso.</w:t>
      </w:r>
    </w:p>
    <w:p w14:paraId="5EBF3FC4" w14:textId="77777777" w:rsidR="00C431E8" w:rsidRPr="004E2CEF" w:rsidRDefault="00C431E8" w:rsidP="00C431E8">
      <w:pPr>
        <w:rPr>
          <w:b/>
        </w:rPr>
      </w:pPr>
    </w:p>
    <w:p w14:paraId="69FE3B9F" w14:textId="77777777" w:rsidR="00C431E8" w:rsidRPr="004E2CEF" w:rsidRDefault="00C431E8" w:rsidP="00100005">
      <w:pPr>
        <w:pStyle w:val="CAPITOLO2"/>
      </w:pPr>
      <w:bookmarkStart w:id="49" w:name="_Toc139991914"/>
      <w:r w:rsidRPr="004E2CEF">
        <w:t>Iniziativa parlamentare elaborata del 22 maggio 2023 di S. Genini e cofirmatari “per la modifica dell’art. 38 cpv. 2 LT”</w:t>
      </w:r>
      <w:bookmarkEnd w:id="49"/>
    </w:p>
    <w:p w14:paraId="59423D31" w14:textId="77777777" w:rsidR="00C431E8" w:rsidRPr="004E2CEF" w:rsidRDefault="00C431E8" w:rsidP="00C431E8">
      <w:pPr>
        <w:rPr>
          <w:rFonts w:cs="Arial"/>
          <w:sz w:val="24"/>
          <w:szCs w:val="24"/>
        </w:rPr>
      </w:pPr>
    </w:p>
    <w:p w14:paraId="5D32795C" w14:textId="2A9AD4E8" w:rsidR="00C431E8" w:rsidRPr="004E2CEF" w:rsidRDefault="00C431E8" w:rsidP="00C431E8">
      <w:pPr>
        <w:rPr>
          <w:rFonts w:cs="Arial"/>
          <w:sz w:val="24"/>
          <w:szCs w:val="24"/>
        </w:rPr>
      </w:pPr>
      <w:r w:rsidRPr="004E2CEF">
        <w:rPr>
          <w:rFonts w:cs="Arial"/>
          <w:sz w:val="24"/>
          <w:szCs w:val="24"/>
        </w:rPr>
        <w:t xml:space="preserve">L’iniziativa propone di implementare anche ai fini cantonali lo stesso sistema d’imposizione delle prestazioni in capitale previsto ai fini federali, ossia di calcolare l’imposta su un quinto delle aliquote </w:t>
      </w:r>
      <w:r w:rsidR="000C080A">
        <w:rPr>
          <w:rFonts w:cs="Arial"/>
          <w:sz w:val="24"/>
          <w:szCs w:val="24"/>
        </w:rPr>
        <w:t>ordinarie dell’imposta sul reddito</w:t>
      </w:r>
      <w:r w:rsidRPr="004E2CEF">
        <w:rPr>
          <w:rFonts w:cs="Arial"/>
          <w:sz w:val="24"/>
          <w:szCs w:val="24"/>
        </w:rPr>
        <w:t xml:space="preserve">. </w:t>
      </w:r>
    </w:p>
    <w:p w14:paraId="7466A239" w14:textId="77777777" w:rsidR="00C431E8" w:rsidRPr="004E2CEF" w:rsidRDefault="00C431E8" w:rsidP="00C431E8">
      <w:pPr>
        <w:rPr>
          <w:rFonts w:cs="Arial"/>
          <w:sz w:val="24"/>
          <w:szCs w:val="24"/>
        </w:rPr>
      </w:pPr>
    </w:p>
    <w:p w14:paraId="206A62D0" w14:textId="77777777" w:rsidR="00C431E8" w:rsidRPr="004E2CEF" w:rsidRDefault="00C431E8" w:rsidP="00C431E8">
      <w:pPr>
        <w:rPr>
          <w:rFonts w:cs="Arial"/>
          <w:sz w:val="24"/>
          <w:szCs w:val="24"/>
        </w:rPr>
      </w:pPr>
      <w:r w:rsidRPr="004E2CEF">
        <w:rPr>
          <w:rFonts w:cs="Arial"/>
          <w:sz w:val="24"/>
          <w:szCs w:val="24"/>
        </w:rPr>
        <w:t xml:space="preserve">Sebbene interessante in un’ottica di semplificazione del sistema fiscale e di armonizzazione verticale con il diritto superiore, l’attuazione di questa proposta comporterebbe un aggravio fiscale per un’importante fascia di contribuenti con capitali previdenziali compresi tra 200'000 e 400'000 franchi (per le persone sole) e tra 300'000 e 800'000 franchi (per i coniugati). </w:t>
      </w:r>
    </w:p>
    <w:p w14:paraId="2C5D9404" w14:textId="77777777" w:rsidR="00C431E8" w:rsidRPr="004E2CEF" w:rsidRDefault="00C431E8" w:rsidP="00C431E8">
      <w:pPr>
        <w:rPr>
          <w:rFonts w:cs="Arial"/>
          <w:sz w:val="24"/>
          <w:szCs w:val="24"/>
        </w:rPr>
      </w:pPr>
    </w:p>
    <w:p w14:paraId="1D0417C0" w14:textId="08FAE42E" w:rsidR="00C431E8" w:rsidRPr="004E2CEF" w:rsidRDefault="00C431E8" w:rsidP="00C431E8">
      <w:pPr>
        <w:rPr>
          <w:rFonts w:cs="Arial"/>
          <w:sz w:val="24"/>
          <w:szCs w:val="24"/>
        </w:rPr>
      </w:pPr>
      <w:r w:rsidRPr="004E2CEF">
        <w:rPr>
          <w:rFonts w:cs="Arial"/>
          <w:sz w:val="24"/>
          <w:szCs w:val="24"/>
        </w:rPr>
        <w:t>A fronte di quanto precede e tenuto conto che la modifica dell’art</w:t>
      </w:r>
      <w:r w:rsidR="000C080A">
        <w:rPr>
          <w:rFonts w:cs="Arial"/>
          <w:sz w:val="24"/>
          <w:szCs w:val="24"/>
        </w:rPr>
        <w:t>icolo</w:t>
      </w:r>
      <w:r w:rsidRPr="004E2CEF">
        <w:rPr>
          <w:rFonts w:cs="Arial"/>
          <w:sz w:val="24"/>
          <w:szCs w:val="24"/>
        </w:rPr>
        <w:t xml:space="preserve"> 38 LT proposta contestualmente al presente Messaggio persegue gli stessi obiettivi dell’iniziativa parlamentare elaborata senza tuttavia comportare aggravi fiscali per nessuna fascia di contribuenti, invitiamo il Gran Consiglio a volerla considerare evasa.</w:t>
      </w:r>
    </w:p>
    <w:p w14:paraId="11B8912E" w14:textId="77777777" w:rsidR="00D36EB7" w:rsidRPr="004E2CEF" w:rsidRDefault="00D36EB7" w:rsidP="00C431E8">
      <w:pPr>
        <w:pStyle w:val="ListNumeric12"/>
        <w:numPr>
          <w:ilvl w:val="0"/>
          <w:numId w:val="0"/>
        </w:numPr>
        <w:rPr>
          <w:b/>
        </w:rPr>
      </w:pPr>
    </w:p>
    <w:p w14:paraId="191F31CB" w14:textId="77777777" w:rsidR="00C431E8" w:rsidRPr="004E2CEF" w:rsidRDefault="00C431E8" w:rsidP="005B39D3">
      <w:pPr>
        <w:pStyle w:val="CAPITOLO1"/>
        <w:numPr>
          <w:ilvl w:val="0"/>
          <w:numId w:val="13"/>
        </w:numPr>
        <w:ind w:left="851" w:hanging="851"/>
      </w:pPr>
      <w:bookmarkStart w:id="50" w:name="_Toc139991915"/>
      <w:r w:rsidRPr="004E2CEF">
        <w:t>Iniziative parlamentari generiche</w:t>
      </w:r>
      <w:bookmarkEnd w:id="50"/>
    </w:p>
    <w:p w14:paraId="5CC602B3" w14:textId="77777777" w:rsidR="00C431E8" w:rsidRPr="004E2CEF" w:rsidRDefault="00C431E8" w:rsidP="00C431E8">
      <w:pPr>
        <w:pStyle w:val="ListNumeric12"/>
        <w:numPr>
          <w:ilvl w:val="0"/>
          <w:numId w:val="0"/>
        </w:numPr>
        <w:ind w:left="567"/>
        <w:rPr>
          <w:b/>
        </w:rPr>
      </w:pPr>
    </w:p>
    <w:p w14:paraId="33627195" w14:textId="77777777" w:rsidR="00C431E8" w:rsidRPr="004E2CEF" w:rsidRDefault="00C431E8" w:rsidP="00100005">
      <w:pPr>
        <w:pStyle w:val="CAPITOLO2"/>
      </w:pPr>
      <w:bookmarkStart w:id="51" w:name="_Toc139991916"/>
      <w:r w:rsidRPr="004E2CEF">
        <w:t>Iniziativa parlamentare generica del 15 dicembre 2014 di P. Kandemir-Bordoli e cofirmatari per il Gruppo PS “Modifica della legge tributaria (rendere più mirate e sociali le deduzioni per figli)”</w:t>
      </w:r>
      <w:bookmarkEnd w:id="51"/>
    </w:p>
    <w:p w14:paraId="62AC31D3" w14:textId="77777777" w:rsidR="00C431E8" w:rsidRPr="004E2CEF" w:rsidRDefault="00C431E8" w:rsidP="00C431E8">
      <w:pPr>
        <w:pStyle w:val="ListNumeric12"/>
        <w:numPr>
          <w:ilvl w:val="0"/>
          <w:numId w:val="0"/>
        </w:numPr>
        <w:ind w:left="284" w:hanging="284"/>
        <w:rPr>
          <w:b/>
        </w:rPr>
      </w:pPr>
    </w:p>
    <w:p w14:paraId="03005D8C" w14:textId="77777777" w:rsidR="00C431E8" w:rsidRPr="004E2CEF" w:rsidRDefault="00C431E8" w:rsidP="00C431E8">
      <w:pPr>
        <w:pStyle w:val="ListNumeric12"/>
        <w:numPr>
          <w:ilvl w:val="0"/>
          <w:numId w:val="0"/>
        </w:numPr>
        <w:rPr>
          <w:rFonts w:cs="Arial"/>
        </w:rPr>
      </w:pPr>
      <w:r w:rsidRPr="004E2CEF">
        <w:rPr>
          <w:rFonts w:cs="Arial"/>
        </w:rPr>
        <w:t xml:space="preserve">L’iniziativa propone di modificare la LT affinché le deduzioni per figli a carico e agli studi vengano calcolate con dei sistemi alternativi all’attuale concessione generalizzata in modo da migliorare l’impatto delle stesse nelle fasce di popolazione meno agiate. Tra i possibili metodi alternativi vengono menzionati il credito d’imposta, l’introduzione di deduzioni degressive oppure un mix tra questi due sistemi. </w:t>
      </w:r>
    </w:p>
    <w:p w14:paraId="40117AEF" w14:textId="77777777" w:rsidR="00C431E8" w:rsidRPr="004E2CEF" w:rsidRDefault="00C431E8" w:rsidP="00C431E8">
      <w:pPr>
        <w:pStyle w:val="ListNumeric12"/>
        <w:numPr>
          <w:ilvl w:val="0"/>
          <w:numId w:val="0"/>
        </w:numPr>
        <w:rPr>
          <w:rFonts w:cs="Arial"/>
        </w:rPr>
      </w:pPr>
    </w:p>
    <w:p w14:paraId="79A5E9B5" w14:textId="77777777" w:rsidR="00C431E8" w:rsidRPr="004E2CEF" w:rsidRDefault="00C431E8" w:rsidP="00C431E8">
      <w:pPr>
        <w:pStyle w:val="ListNumeric12"/>
        <w:numPr>
          <w:ilvl w:val="0"/>
          <w:numId w:val="0"/>
        </w:numPr>
        <w:rPr>
          <w:rFonts w:cs="Arial"/>
        </w:rPr>
      </w:pPr>
      <w:r w:rsidRPr="004E2CEF">
        <w:rPr>
          <w:rFonts w:cs="Arial"/>
        </w:rPr>
        <w:t xml:space="preserve">Premesso che la sostituzione delle deduzioni generalizzate con delle formule alternative quali le deduzioni degressive e il credito d’imposta comporterebbe degli importanti aggravi fiscali a carico delle famiglie appartenenti al ceto medio, il Governo ritiene che simili soluzioni non siano attuabili neanche nell’ambito delle deduzioni sociali poiché – come confermato da una recente sentenza del Tribunale federale (Sentenza TF 2C_256/2018) – violerebbero il principio costituzionale della parità di trattamento. </w:t>
      </w:r>
    </w:p>
    <w:p w14:paraId="6D03AF26" w14:textId="77777777" w:rsidR="00C431E8" w:rsidRPr="004E2CEF" w:rsidRDefault="00C431E8" w:rsidP="00C431E8">
      <w:pPr>
        <w:pStyle w:val="ListNumeric12"/>
        <w:numPr>
          <w:ilvl w:val="0"/>
          <w:numId w:val="0"/>
        </w:numPr>
        <w:rPr>
          <w:rFonts w:cs="Arial"/>
        </w:rPr>
      </w:pPr>
    </w:p>
    <w:p w14:paraId="4163424F" w14:textId="77777777" w:rsidR="00C431E8" w:rsidRPr="004E2CEF" w:rsidRDefault="00C431E8" w:rsidP="00C431E8">
      <w:pPr>
        <w:pStyle w:val="ListNumeric12"/>
        <w:numPr>
          <w:ilvl w:val="0"/>
          <w:numId w:val="0"/>
        </w:numPr>
        <w:rPr>
          <w:rFonts w:cs="Arial"/>
        </w:rPr>
      </w:pPr>
      <w:r w:rsidRPr="004E2CEF">
        <w:rPr>
          <w:rFonts w:cs="Arial"/>
        </w:rPr>
        <w:t>Per questo motivo invitiamo il Gran Consiglio a voler respingere la presente iniziativa.</w:t>
      </w:r>
    </w:p>
    <w:p w14:paraId="17F3B422" w14:textId="77777777" w:rsidR="00C431E8" w:rsidRPr="004E2CEF" w:rsidRDefault="00C431E8" w:rsidP="00C431E8">
      <w:pPr>
        <w:pStyle w:val="ListNumeric12"/>
        <w:numPr>
          <w:ilvl w:val="0"/>
          <w:numId w:val="0"/>
        </w:numPr>
        <w:rPr>
          <w:b/>
        </w:rPr>
      </w:pPr>
    </w:p>
    <w:p w14:paraId="7B52313F" w14:textId="77777777" w:rsidR="00C431E8" w:rsidRPr="004E2CEF" w:rsidRDefault="00C431E8" w:rsidP="00100005">
      <w:pPr>
        <w:pStyle w:val="CAPITOLO2"/>
      </w:pPr>
      <w:bookmarkStart w:id="52" w:name="_Toc139991917"/>
      <w:r w:rsidRPr="004E2CEF">
        <w:t>Iniziativa parlamentare generica del 18 aprile 2016 di M. Quadranti “Imposte di successione e donazione al passo con la realtà delle nuove famiglie”</w:t>
      </w:r>
      <w:bookmarkEnd w:id="52"/>
    </w:p>
    <w:p w14:paraId="1B38473C" w14:textId="77777777" w:rsidR="00C431E8" w:rsidRPr="004E2CEF" w:rsidRDefault="00C431E8" w:rsidP="00C431E8">
      <w:pPr>
        <w:pStyle w:val="ListNumeric12"/>
        <w:numPr>
          <w:ilvl w:val="0"/>
          <w:numId w:val="0"/>
        </w:numPr>
        <w:ind w:left="284" w:hanging="284"/>
        <w:rPr>
          <w:b/>
        </w:rPr>
      </w:pPr>
    </w:p>
    <w:p w14:paraId="59117A53" w14:textId="4B74AC7B" w:rsidR="00C431E8" w:rsidRPr="004E2CEF" w:rsidRDefault="00C431E8" w:rsidP="00C431E8">
      <w:pPr>
        <w:pStyle w:val="ListNumeric12"/>
        <w:numPr>
          <w:ilvl w:val="0"/>
          <w:numId w:val="0"/>
        </w:numPr>
        <w:rPr>
          <w:rFonts w:cs="Arial"/>
        </w:rPr>
      </w:pPr>
      <w:r w:rsidRPr="004E2CEF">
        <w:rPr>
          <w:rFonts w:cs="Arial"/>
        </w:rPr>
        <w:t>Ri</w:t>
      </w:r>
      <w:r w:rsidR="000C080A">
        <w:rPr>
          <w:rFonts w:cs="Arial"/>
        </w:rPr>
        <w:t>tenuto che la modifica dell’articolo</w:t>
      </w:r>
      <w:r w:rsidRPr="004E2CEF">
        <w:rPr>
          <w:rFonts w:cs="Arial"/>
        </w:rPr>
        <w:t xml:space="preserve"> 164 LT proposta in questo Messaggio risponde alle richieste dell’iniziativa parlamentare generica, invitiamo il Gran Consiglio a volerla considerare evasa.  </w:t>
      </w:r>
    </w:p>
    <w:p w14:paraId="0E8E9E78" w14:textId="77777777" w:rsidR="00C431E8" w:rsidRPr="004E2CEF" w:rsidRDefault="00C431E8" w:rsidP="00C431E8">
      <w:pPr>
        <w:pStyle w:val="ListNumeric12"/>
        <w:numPr>
          <w:ilvl w:val="0"/>
          <w:numId w:val="0"/>
        </w:numPr>
        <w:ind w:left="284" w:hanging="284"/>
        <w:rPr>
          <w:b/>
        </w:rPr>
      </w:pPr>
    </w:p>
    <w:p w14:paraId="10620CAE" w14:textId="77777777" w:rsidR="00C431E8" w:rsidRPr="004E2CEF" w:rsidRDefault="00C431E8" w:rsidP="00100005">
      <w:pPr>
        <w:pStyle w:val="CAPITOLO2"/>
      </w:pPr>
      <w:bookmarkStart w:id="53" w:name="_Toc139991918"/>
      <w:r w:rsidRPr="004E2CEF">
        <w:t>Iniziativa parlamentare generica del 29 maggio 2017 di S. Morisoli e cofirmatari “Giù del 10% le tasse del ceto medio”</w:t>
      </w:r>
      <w:bookmarkEnd w:id="53"/>
      <w:r w:rsidRPr="004E2CEF">
        <w:t xml:space="preserve"> </w:t>
      </w:r>
    </w:p>
    <w:p w14:paraId="1C8D33B3" w14:textId="77777777" w:rsidR="00C431E8" w:rsidRPr="004E2CEF" w:rsidRDefault="00C431E8" w:rsidP="00C431E8"/>
    <w:p w14:paraId="0D009E3F" w14:textId="778DDA20" w:rsidR="00C431E8" w:rsidRPr="00737825" w:rsidRDefault="00C431E8" w:rsidP="00C431E8">
      <w:pPr>
        <w:rPr>
          <w:rFonts w:cs="Arial"/>
          <w:sz w:val="24"/>
          <w:szCs w:val="24"/>
        </w:rPr>
      </w:pPr>
      <w:r w:rsidRPr="004E2CEF">
        <w:rPr>
          <w:rFonts w:cs="Arial"/>
          <w:sz w:val="24"/>
          <w:szCs w:val="24"/>
        </w:rPr>
        <w:t>Considerato che l’aumento della deduzione per le altre spese professionali proposta contestualmente al presente Messaggio va a sgravare prevalentemente i contribuenti con attività lucrativa dipendente nelle fasce di reddito comprese tra 40'000 franchi e 1</w:t>
      </w:r>
      <w:r w:rsidR="000C080A">
        <w:rPr>
          <w:rFonts w:cs="Arial"/>
          <w:sz w:val="24"/>
          <w:szCs w:val="24"/>
        </w:rPr>
        <w:t>25</w:t>
      </w:r>
      <w:r w:rsidRPr="004E2CEF">
        <w:rPr>
          <w:rFonts w:cs="Arial"/>
          <w:sz w:val="24"/>
          <w:szCs w:val="24"/>
        </w:rPr>
        <w:t>'000 franchi, si invita il Gran Consiglio a voler ritenere la presente iniziativ</w:t>
      </w:r>
      <w:r w:rsidR="00737825">
        <w:rPr>
          <w:rFonts w:cs="Arial"/>
          <w:sz w:val="24"/>
          <w:szCs w:val="24"/>
        </w:rPr>
        <w:t xml:space="preserve">a parlamentare generica evasa. </w:t>
      </w:r>
    </w:p>
    <w:p w14:paraId="7B365B59" w14:textId="76F00C10" w:rsidR="00D9729A" w:rsidRDefault="00D9729A">
      <w:pPr>
        <w:rPr>
          <w:b/>
          <w:sz w:val="24"/>
          <w:szCs w:val="24"/>
        </w:rPr>
      </w:pPr>
    </w:p>
    <w:p w14:paraId="6BC38710" w14:textId="1D30FBBE" w:rsidR="00C431E8" w:rsidRPr="004E2CEF" w:rsidRDefault="00C431E8" w:rsidP="00100005">
      <w:pPr>
        <w:pStyle w:val="CAPITOLO2"/>
      </w:pPr>
      <w:bookmarkStart w:id="54" w:name="_Toc139991919"/>
      <w:r w:rsidRPr="004E2CEF">
        <w:t>Iniziativa parlamentare generica del 18 settembre 2017 di I. Durisch per il Gruppo PS “Modifica della Legge tributaria - Deduzioni assicurative più sociali ed eque!”</w:t>
      </w:r>
      <w:bookmarkEnd w:id="54"/>
    </w:p>
    <w:p w14:paraId="47216926" w14:textId="77777777" w:rsidR="00C431E8" w:rsidRPr="004E2CEF" w:rsidRDefault="00C431E8" w:rsidP="00C431E8"/>
    <w:p w14:paraId="67CBA5DA" w14:textId="77777777" w:rsidR="00C431E8" w:rsidRPr="004E2CEF" w:rsidRDefault="00C431E8" w:rsidP="00C431E8">
      <w:pPr>
        <w:rPr>
          <w:rFonts w:cs="Arial"/>
          <w:sz w:val="24"/>
          <w:szCs w:val="24"/>
        </w:rPr>
      </w:pPr>
      <w:r w:rsidRPr="004E2CEF">
        <w:rPr>
          <w:rFonts w:cs="Arial"/>
          <w:sz w:val="24"/>
          <w:szCs w:val="24"/>
        </w:rPr>
        <w:t>L’iniziativa chiede al Governo di “</w:t>
      </w:r>
      <w:r w:rsidRPr="004E2CEF">
        <w:rPr>
          <w:rFonts w:cs="Arial"/>
          <w:i/>
          <w:sz w:val="24"/>
          <w:szCs w:val="24"/>
        </w:rPr>
        <w:t>elaborare una modifica della Legge tributaria che preveda al posto della deduzione generale e indifferenziata per gli oneri assicurativi (art. 32 cpv. 1 lett. g LT), un sistema diverso che abbia come obiettivo principale quello di migliorare l’impatto delle deduzioni assicurative nelle fasce di popolazione meno agiate e nel ceto medio…</w:t>
      </w:r>
      <w:r w:rsidRPr="004E2CEF">
        <w:rPr>
          <w:rFonts w:cs="Arial"/>
          <w:sz w:val="24"/>
          <w:szCs w:val="24"/>
        </w:rPr>
        <w:t>” sostituendo l’attuale deduzione generalizzata con uno dei seguenti sistemi alternativi: il credito d’imposta, una deduzione regressiva o un sistema misto.</w:t>
      </w:r>
    </w:p>
    <w:p w14:paraId="0AA68E3D" w14:textId="77777777" w:rsidR="00C431E8" w:rsidRPr="004E2CEF" w:rsidRDefault="00C431E8" w:rsidP="00C431E8">
      <w:pPr>
        <w:rPr>
          <w:rFonts w:cs="Arial"/>
          <w:sz w:val="24"/>
          <w:szCs w:val="24"/>
        </w:rPr>
      </w:pPr>
    </w:p>
    <w:p w14:paraId="783A799F" w14:textId="06D51657" w:rsidR="00C431E8" w:rsidRPr="005813EF" w:rsidRDefault="00C431E8" w:rsidP="00C431E8">
      <w:pPr>
        <w:rPr>
          <w:rFonts w:cs="Arial"/>
          <w:sz w:val="24"/>
          <w:szCs w:val="24"/>
        </w:rPr>
      </w:pPr>
      <w:r w:rsidRPr="004E2CEF">
        <w:rPr>
          <w:rFonts w:cs="Arial"/>
          <w:sz w:val="24"/>
          <w:szCs w:val="24"/>
        </w:rPr>
        <w:t>Considerato che, come confermato da una recente sentenza del Tribunale federale (</w:t>
      </w:r>
      <w:r w:rsidRPr="004E2CEF">
        <w:rPr>
          <w:rFonts w:cs="Arial"/>
        </w:rPr>
        <w:t>Sentenza TF 2C_256/2018)</w:t>
      </w:r>
      <w:r w:rsidRPr="004E2CEF">
        <w:rPr>
          <w:rFonts w:cs="Arial"/>
          <w:sz w:val="24"/>
          <w:szCs w:val="24"/>
        </w:rPr>
        <w:t>, le deduzioni generali – di cui fa parte anche la deduzione oggetto dell’atto parlamentare – non mirano ad equilibrare il carico fiscale tra diversi gruppi di contribuenti, come succede per le deduzioni sociali, bensì a compensare spese reali e che l’introduzione di forme alternative alla deduzione generalizzata violerebbero il principio costituzionale della parità di trattamento, proponiamo al Gran Consiglio di voler respingere la presente iniziativa.</w:t>
      </w:r>
    </w:p>
    <w:p w14:paraId="763850E7" w14:textId="77777777" w:rsidR="00B10521" w:rsidRPr="004E2CEF" w:rsidRDefault="00B10521" w:rsidP="00C431E8">
      <w:pPr>
        <w:rPr>
          <w:b/>
        </w:rPr>
      </w:pPr>
    </w:p>
    <w:p w14:paraId="5ECCB369" w14:textId="5FF337E3" w:rsidR="00737825" w:rsidRPr="001A52F6" w:rsidRDefault="00737825" w:rsidP="00100005">
      <w:pPr>
        <w:pStyle w:val="CAPITOLO2"/>
      </w:pPr>
      <w:bookmarkStart w:id="55" w:name="_Toc139991920"/>
      <w:r w:rsidRPr="001A52F6">
        <w:t>Iniziativa parlamentare generica del 14 marzo 2019 di S. Morisoli per il Gruppo La Destra “Modifica della Legge tributaria (parità di trattamento fiscale per le famiglie)”</w:t>
      </w:r>
      <w:bookmarkEnd w:id="55"/>
    </w:p>
    <w:p w14:paraId="10B3F8DA" w14:textId="563F32E8" w:rsidR="00737825" w:rsidRPr="001A52F6" w:rsidRDefault="00737825" w:rsidP="00C55F46">
      <w:pPr>
        <w:rPr>
          <w:rFonts w:cs="Arial"/>
          <w:sz w:val="24"/>
          <w:szCs w:val="24"/>
        </w:rPr>
      </w:pPr>
    </w:p>
    <w:p w14:paraId="5190CD70" w14:textId="7A682970" w:rsidR="00737825" w:rsidRPr="001A52F6" w:rsidRDefault="00737825" w:rsidP="00C55F46">
      <w:pPr>
        <w:rPr>
          <w:rFonts w:cs="Arial"/>
          <w:sz w:val="24"/>
          <w:szCs w:val="24"/>
        </w:rPr>
      </w:pPr>
      <w:r w:rsidRPr="001A52F6">
        <w:rPr>
          <w:rFonts w:cs="Arial"/>
          <w:sz w:val="24"/>
          <w:szCs w:val="24"/>
        </w:rPr>
        <w:t>L’iniziativa propone di estendere la deduzione per la cura dei figli prestata da terzi anche ai genitori che si occupano personalmente della cura dei figli.</w:t>
      </w:r>
    </w:p>
    <w:p w14:paraId="090AAC9F" w14:textId="3E1F785E" w:rsidR="00737825" w:rsidRDefault="00737825" w:rsidP="00C55F46">
      <w:pPr>
        <w:rPr>
          <w:rFonts w:cs="Arial"/>
          <w:sz w:val="24"/>
          <w:szCs w:val="24"/>
        </w:rPr>
      </w:pPr>
    </w:p>
    <w:p w14:paraId="58598A62" w14:textId="77777777" w:rsidR="005B39D3" w:rsidRPr="001A52F6" w:rsidRDefault="005B39D3" w:rsidP="00C55F46">
      <w:pPr>
        <w:rPr>
          <w:rFonts w:cs="Arial"/>
          <w:sz w:val="24"/>
          <w:szCs w:val="24"/>
        </w:rPr>
      </w:pPr>
    </w:p>
    <w:p w14:paraId="05E69E96" w14:textId="093DFAB8" w:rsidR="00737825" w:rsidRPr="001A52F6" w:rsidRDefault="00737825" w:rsidP="00C55F46">
      <w:pPr>
        <w:rPr>
          <w:rFonts w:cs="Arial"/>
          <w:sz w:val="24"/>
          <w:szCs w:val="24"/>
        </w:rPr>
      </w:pPr>
      <w:r w:rsidRPr="001A52F6">
        <w:rPr>
          <w:rFonts w:cs="Arial"/>
          <w:sz w:val="24"/>
          <w:szCs w:val="24"/>
        </w:rPr>
        <w:t>Premesso che la deduzione per la cura dei figli prestata da terzi è stata introdotta con l’obiettivo di contribuire a migliorare la conciliabilità tra famiglia e lavoro e che le famiglie possono già dedurre nel nostro Cantone degli importi forfetari (quindi indipendenti dai costi effettivi sostenuti) considerevoli in caso di figli a carico e/o agli studi, una simile proposta si porrebbe in contrasto con il diritto superiore poiché – concedendo in deduzione dei costi inesistenti – violerebbe l’uguaglianza di trattamento e il principio costituzionale dell'imposizione secondo la capacità economica .</w:t>
      </w:r>
    </w:p>
    <w:p w14:paraId="50331AD2" w14:textId="15A2BA5C" w:rsidR="00737825" w:rsidRPr="001A52F6" w:rsidRDefault="00737825" w:rsidP="00C55F46">
      <w:pPr>
        <w:rPr>
          <w:rFonts w:cs="Arial"/>
          <w:sz w:val="24"/>
          <w:szCs w:val="24"/>
        </w:rPr>
      </w:pPr>
    </w:p>
    <w:p w14:paraId="0BF430A6" w14:textId="685669B2" w:rsidR="00737825" w:rsidRPr="001A52F6" w:rsidRDefault="00737825" w:rsidP="00C55F46">
      <w:pPr>
        <w:rPr>
          <w:rFonts w:cs="Arial"/>
          <w:sz w:val="24"/>
          <w:szCs w:val="24"/>
        </w:rPr>
      </w:pPr>
      <w:r w:rsidRPr="001A52F6">
        <w:rPr>
          <w:rFonts w:cs="Arial"/>
          <w:sz w:val="24"/>
          <w:szCs w:val="24"/>
        </w:rPr>
        <w:t xml:space="preserve">A fronte di quanto precede, si raccomanda al Gran Consiglio di voler respingere l’iniziativa. </w:t>
      </w:r>
    </w:p>
    <w:p w14:paraId="28DAB76F" w14:textId="77777777" w:rsidR="00737825" w:rsidRPr="001A52F6" w:rsidRDefault="00737825" w:rsidP="00100005">
      <w:pPr>
        <w:pStyle w:val="CAPITOLO2"/>
        <w:numPr>
          <w:ilvl w:val="0"/>
          <w:numId w:val="0"/>
        </w:numPr>
      </w:pPr>
    </w:p>
    <w:p w14:paraId="7658C344" w14:textId="124E3ED2" w:rsidR="00C431E8" w:rsidRPr="001A52F6" w:rsidRDefault="00C431E8" w:rsidP="00100005">
      <w:pPr>
        <w:pStyle w:val="CAPITOLO2"/>
      </w:pPr>
      <w:bookmarkStart w:id="56" w:name="_Toc139991921"/>
      <w:r w:rsidRPr="001A52F6">
        <w:t>Iniziativa parlamentare generica del 18 novembre 2019 di M. Foletti, A. Farinelli e cofirmatari “Introduzione nella Legge tributaria di misure atte a favorire la trasmissione d’impresa”</w:t>
      </w:r>
      <w:bookmarkEnd w:id="56"/>
    </w:p>
    <w:p w14:paraId="4648074E" w14:textId="77777777" w:rsidR="00C431E8" w:rsidRPr="001A52F6" w:rsidRDefault="00C431E8" w:rsidP="00C431E8">
      <w:pPr>
        <w:rPr>
          <w:b/>
        </w:rPr>
      </w:pPr>
    </w:p>
    <w:p w14:paraId="544D2210" w14:textId="6643A6D5" w:rsidR="00C431E8" w:rsidRPr="001A52F6" w:rsidRDefault="00C431E8" w:rsidP="00C431E8">
      <w:pPr>
        <w:rPr>
          <w:rFonts w:cs="Arial"/>
          <w:sz w:val="24"/>
          <w:szCs w:val="24"/>
        </w:rPr>
      </w:pPr>
      <w:r w:rsidRPr="001A52F6">
        <w:rPr>
          <w:rFonts w:cs="Arial"/>
          <w:sz w:val="24"/>
          <w:szCs w:val="24"/>
        </w:rPr>
        <w:t>Considerato come la modifica dell’art</w:t>
      </w:r>
      <w:r w:rsidR="000C080A" w:rsidRPr="001A52F6">
        <w:rPr>
          <w:rFonts w:cs="Arial"/>
          <w:sz w:val="24"/>
          <w:szCs w:val="24"/>
        </w:rPr>
        <w:t>icolo</w:t>
      </w:r>
      <w:r w:rsidRPr="001A52F6">
        <w:rPr>
          <w:rFonts w:cs="Arial"/>
          <w:sz w:val="24"/>
          <w:szCs w:val="24"/>
        </w:rPr>
        <w:t xml:space="preserve"> 156</w:t>
      </w:r>
      <w:r w:rsidR="00202147" w:rsidRPr="001A52F6">
        <w:rPr>
          <w:rFonts w:cs="Arial"/>
          <w:sz w:val="24"/>
          <w:szCs w:val="24"/>
        </w:rPr>
        <w:t>a</w:t>
      </w:r>
      <w:r w:rsidRPr="001A52F6">
        <w:rPr>
          <w:rFonts w:cs="Arial"/>
          <w:sz w:val="24"/>
          <w:szCs w:val="24"/>
        </w:rPr>
        <w:t xml:space="preserve"> LT persegua gli stessi obiettivi di quanto proposto dall’iniziativa parlamentare generica, riteniamo che la stessa possa esser considerata evasa. </w:t>
      </w:r>
    </w:p>
    <w:p w14:paraId="54D2E46F" w14:textId="4D8C14FC" w:rsidR="00097E34" w:rsidRPr="001A52F6" w:rsidRDefault="00097E34" w:rsidP="00C431E8">
      <w:pPr>
        <w:rPr>
          <w:rFonts w:cs="Arial"/>
          <w:sz w:val="24"/>
          <w:szCs w:val="24"/>
        </w:rPr>
      </w:pPr>
    </w:p>
    <w:p w14:paraId="07A33752" w14:textId="70B1429C" w:rsidR="00097E34" w:rsidRPr="001A52F6" w:rsidRDefault="00097E34" w:rsidP="00100005">
      <w:pPr>
        <w:pStyle w:val="CAPITOLO2"/>
      </w:pPr>
      <w:bookmarkStart w:id="57" w:name="_Toc139991922"/>
      <w:r w:rsidRPr="001A52F6">
        <w:t>Iniziativa parlamentare generica del 9 novembre 2020 di A. Biscossa e I. Durisch per il Gruppo PS “Deduzione per figli mirata a favore dei redditi medi”</w:t>
      </w:r>
      <w:bookmarkEnd w:id="57"/>
    </w:p>
    <w:p w14:paraId="120DF65E" w14:textId="77777777" w:rsidR="00097E34" w:rsidRPr="001A52F6" w:rsidRDefault="00097E34" w:rsidP="00C431E8">
      <w:pPr>
        <w:rPr>
          <w:rFonts w:cs="Arial"/>
          <w:sz w:val="24"/>
          <w:szCs w:val="24"/>
        </w:rPr>
      </w:pPr>
    </w:p>
    <w:p w14:paraId="57D49DFA" w14:textId="34DBC6A6" w:rsidR="00C431E8" w:rsidRPr="001A52F6" w:rsidRDefault="00097E34" w:rsidP="006313AC">
      <w:pPr>
        <w:rPr>
          <w:rFonts w:cs="Arial"/>
          <w:sz w:val="24"/>
          <w:szCs w:val="24"/>
        </w:rPr>
      </w:pPr>
      <w:r w:rsidRPr="001A52F6">
        <w:rPr>
          <w:rFonts w:cs="Arial"/>
          <w:sz w:val="24"/>
          <w:szCs w:val="24"/>
        </w:rPr>
        <w:t>L’iniziativa propone di ridurre le deduzioni per figli a carico e, con il relativo maggior gettito, finanziare l’introduzione di una detrazione per figli dall’imposta dovuta.</w:t>
      </w:r>
    </w:p>
    <w:p w14:paraId="6E6095C9" w14:textId="21DF69B4" w:rsidR="00097E34" w:rsidRPr="001A52F6" w:rsidRDefault="00097E34" w:rsidP="006313AC">
      <w:pPr>
        <w:rPr>
          <w:rFonts w:cs="Arial"/>
          <w:sz w:val="24"/>
          <w:szCs w:val="24"/>
        </w:rPr>
      </w:pPr>
    </w:p>
    <w:p w14:paraId="5A10C6CB" w14:textId="47589955" w:rsidR="00737825" w:rsidRPr="001A52F6" w:rsidRDefault="00097E34" w:rsidP="006313AC">
      <w:pPr>
        <w:rPr>
          <w:rFonts w:cs="Arial"/>
          <w:sz w:val="24"/>
          <w:szCs w:val="24"/>
        </w:rPr>
      </w:pPr>
      <w:r w:rsidRPr="001A52F6">
        <w:rPr>
          <w:rFonts w:cs="Arial"/>
          <w:sz w:val="24"/>
          <w:szCs w:val="24"/>
        </w:rPr>
        <w:t xml:space="preserve">Come già rilevato </w:t>
      </w:r>
      <w:r w:rsidR="00737825" w:rsidRPr="001A52F6">
        <w:rPr>
          <w:rFonts w:cs="Arial"/>
          <w:sz w:val="24"/>
          <w:szCs w:val="24"/>
        </w:rPr>
        <w:t>dalla dottrina e dal Consiglio federale, e anche dal Consiglio di Stato in risposta alla mozione del 26 settembre 2005 presentata da R. Ghisletta e cofirmatari per il Gruppo PS “</w:t>
      </w:r>
      <w:r w:rsidR="00737825" w:rsidRPr="001A52F6">
        <w:rPr>
          <w:rFonts w:cs="Arial"/>
          <w:i/>
          <w:sz w:val="24"/>
          <w:szCs w:val="24"/>
        </w:rPr>
        <w:t>Razionalizzare le deduzioni fiscali nella legge tributaria in modo da non favorire i redditi alti</w:t>
      </w:r>
      <w:r w:rsidR="00737825" w:rsidRPr="001A52F6">
        <w:rPr>
          <w:rFonts w:cs="Arial"/>
          <w:sz w:val="24"/>
          <w:szCs w:val="24"/>
        </w:rPr>
        <w:t>”, le detrazioni d’imposta sono incompatibili con il diritto federale superiore, e più precisamente con la Costituzione federale, in quanto in contrasto con il principio dell’imposizione secondo la capacità contributiva: “</w:t>
      </w:r>
      <w:r w:rsidR="00737825" w:rsidRPr="001A52F6">
        <w:rPr>
          <w:rFonts w:cs="Arial"/>
          <w:i/>
          <w:sz w:val="24"/>
          <w:szCs w:val="24"/>
        </w:rPr>
        <w:t>Le deduzioni sociali sull’ammontare dell’imposta sono incompatibili con il vigente sistema dell’imposizione secondo il principio della capacità economica. Le deduzioni sociali non devono essere considerate isolatamente ma in relazione alla tariffa. Nel caso di una tariffa fortemente progressiva […] la deduzione sociale sull’ammontare dell’imposta comporterebbe che il carico fiscale delle classi di reddito medio e basso sarebbe alleviato in modo sproporzionatamente alto rispetto alle classi di reddito alto. L’onere fiscale delle classi di reddito alto sarebbe così innalzato ulteriormente</w:t>
      </w:r>
      <w:r w:rsidR="00737825" w:rsidRPr="001A52F6">
        <w:rPr>
          <w:rFonts w:cs="Arial"/>
          <w:sz w:val="24"/>
          <w:szCs w:val="24"/>
        </w:rPr>
        <w:t>”</w:t>
      </w:r>
      <w:r w:rsidR="00737825" w:rsidRPr="001A52F6">
        <w:rPr>
          <w:rStyle w:val="Rimandonotaapidipagina"/>
          <w:rFonts w:cs="Arial"/>
          <w:sz w:val="24"/>
          <w:szCs w:val="24"/>
        </w:rPr>
        <w:footnoteReference w:id="23"/>
      </w:r>
      <w:r w:rsidR="00737825" w:rsidRPr="001A52F6">
        <w:rPr>
          <w:rFonts w:cs="Arial"/>
          <w:sz w:val="24"/>
          <w:szCs w:val="24"/>
        </w:rPr>
        <w:t>.</w:t>
      </w:r>
    </w:p>
    <w:p w14:paraId="3519DFDD" w14:textId="03B2B281" w:rsidR="00737825" w:rsidRPr="001A52F6" w:rsidRDefault="00737825" w:rsidP="006313AC">
      <w:pPr>
        <w:rPr>
          <w:rFonts w:cs="Arial"/>
          <w:sz w:val="24"/>
          <w:szCs w:val="24"/>
        </w:rPr>
      </w:pPr>
    </w:p>
    <w:p w14:paraId="7976A200" w14:textId="0C46F7A6" w:rsidR="00737825" w:rsidRDefault="00737825" w:rsidP="006313AC">
      <w:pPr>
        <w:rPr>
          <w:rFonts w:cs="Arial"/>
          <w:sz w:val="24"/>
          <w:szCs w:val="24"/>
        </w:rPr>
      </w:pPr>
      <w:r w:rsidRPr="001A52F6">
        <w:rPr>
          <w:rFonts w:cs="Arial"/>
          <w:sz w:val="24"/>
          <w:szCs w:val="24"/>
        </w:rPr>
        <w:t>Ritenuto quanto precede, proponiamo al Gran Consiglio di voler respingere la presente iniziativa.</w:t>
      </w:r>
    </w:p>
    <w:p w14:paraId="2EF41EC6" w14:textId="77777777" w:rsidR="00097E34" w:rsidRDefault="00097E34" w:rsidP="006313AC">
      <w:pPr>
        <w:rPr>
          <w:rFonts w:cs="Arial"/>
          <w:sz w:val="24"/>
          <w:szCs w:val="24"/>
        </w:rPr>
      </w:pPr>
    </w:p>
    <w:p w14:paraId="71940A1B" w14:textId="04F658C7" w:rsidR="00C431E8" w:rsidRDefault="00C431E8" w:rsidP="006313AC">
      <w:pPr>
        <w:rPr>
          <w:rFonts w:cs="Arial"/>
          <w:sz w:val="24"/>
          <w:szCs w:val="24"/>
        </w:rPr>
      </w:pPr>
    </w:p>
    <w:p w14:paraId="79B88FF9" w14:textId="3EED8F10" w:rsidR="005B39D3" w:rsidRDefault="005B39D3" w:rsidP="006313AC">
      <w:pPr>
        <w:rPr>
          <w:rFonts w:cs="Arial"/>
          <w:sz w:val="24"/>
          <w:szCs w:val="24"/>
        </w:rPr>
      </w:pPr>
    </w:p>
    <w:p w14:paraId="3A961FEC" w14:textId="12DB736A" w:rsidR="005B39D3" w:rsidRDefault="005B39D3" w:rsidP="006313AC">
      <w:pPr>
        <w:rPr>
          <w:rFonts w:cs="Arial"/>
          <w:sz w:val="24"/>
          <w:szCs w:val="24"/>
        </w:rPr>
      </w:pPr>
    </w:p>
    <w:p w14:paraId="07E7733E" w14:textId="0768EE5F" w:rsidR="005B39D3" w:rsidRDefault="005B39D3" w:rsidP="006313AC">
      <w:pPr>
        <w:rPr>
          <w:rFonts w:cs="Arial"/>
          <w:sz w:val="24"/>
          <w:szCs w:val="24"/>
        </w:rPr>
      </w:pPr>
    </w:p>
    <w:p w14:paraId="5F8D549A" w14:textId="4E9F1B15" w:rsidR="005B39D3" w:rsidRDefault="005B39D3" w:rsidP="006313AC">
      <w:pPr>
        <w:rPr>
          <w:rFonts w:cs="Arial"/>
          <w:sz w:val="24"/>
          <w:szCs w:val="24"/>
        </w:rPr>
      </w:pPr>
    </w:p>
    <w:p w14:paraId="6B297A73" w14:textId="21BC2932" w:rsidR="00E171A0" w:rsidRPr="004E2CEF" w:rsidRDefault="00E171A0" w:rsidP="00CA41BE">
      <w:pPr>
        <w:pStyle w:val="TITOLO"/>
      </w:pPr>
      <w:bookmarkStart w:id="58" w:name="_Toc139991923"/>
      <w:r w:rsidRPr="004E2CEF">
        <w:t>CONCLUSIONI</w:t>
      </w:r>
      <w:bookmarkEnd w:id="58"/>
    </w:p>
    <w:p w14:paraId="314B7794" w14:textId="77777777" w:rsidR="00E171A0" w:rsidRPr="004E2CEF" w:rsidRDefault="00E171A0" w:rsidP="008D317C">
      <w:pPr>
        <w:rPr>
          <w:sz w:val="24"/>
          <w:szCs w:val="24"/>
        </w:rPr>
      </w:pPr>
    </w:p>
    <w:p w14:paraId="57581C23" w14:textId="27EF1E8D" w:rsidR="00801171" w:rsidRPr="00362A92" w:rsidRDefault="00801171" w:rsidP="00D930C0">
      <w:pPr>
        <w:rPr>
          <w:rFonts w:eastAsia="Times New Roman" w:cs="Arial"/>
          <w:sz w:val="24"/>
          <w:szCs w:val="20"/>
          <w:lang w:eastAsia="it-IT"/>
        </w:rPr>
      </w:pPr>
      <w:r w:rsidRPr="00362A92">
        <w:rPr>
          <w:rFonts w:eastAsia="Times New Roman" w:cs="Arial"/>
          <w:sz w:val="24"/>
          <w:szCs w:val="20"/>
          <w:lang w:eastAsia="it-IT"/>
        </w:rPr>
        <w:t>Questa riforma concretizza</w:t>
      </w:r>
      <w:r w:rsidR="00D930C0" w:rsidRPr="00362A92">
        <w:rPr>
          <w:rFonts w:eastAsia="Times New Roman" w:cs="Arial"/>
          <w:sz w:val="24"/>
          <w:szCs w:val="20"/>
          <w:lang w:eastAsia="it-IT"/>
        </w:rPr>
        <w:t xml:space="preserve"> l’indicazione espressa da parte del </w:t>
      </w:r>
      <w:r w:rsidRPr="00362A92">
        <w:rPr>
          <w:rFonts w:eastAsia="Times New Roman" w:cs="Arial"/>
          <w:sz w:val="24"/>
          <w:szCs w:val="20"/>
          <w:lang w:eastAsia="it-IT"/>
        </w:rPr>
        <w:t xml:space="preserve">Gran Consiglio contestualmente all’approvazione del Messaggio n. 7684, di procedere con un aggiornamento della fiscalità delle persone fisiche </w:t>
      </w:r>
      <w:r w:rsidR="00D930C0" w:rsidRPr="00362A92">
        <w:rPr>
          <w:rFonts w:eastAsia="Times New Roman" w:cs="Arial"/>
          <w:sz w:val="24"/>
          <w:szCs w:val="20"/>
          <w:lang w:eastAsia="it-IT"/>
        </w:rPr>
        <w:t>con effetto al 1° gennaio 2024.</w:t>
      </w:r>
    </w:p>
    <w:p w14:paraId="4A8EB9BF" w14:textId="77777777" w:rsidR="00801171" w:rsidRPr="00362A92" w:rsidRDefault="00801171" w:rsidP="00BD5662">
      <w:pPr>
        <w:rPr>
          <w:rFonts w:eastAsia="Times New Roman" w:cs="Arial"/>
          <w:sz w:val="24"/>
          <w:szCs w:val="20"/>
          <w:lang w:eastAsia="it-IT"/>
        </w:rPr>
      </w:pPr>
    </w:p>
    <w:p w14:paraId="6A4A517C" w14:textId="4B2C9C42" w:rsidR="00801171" w:rsidRPr="00362A92" w:rsidRDefault="00801171" w:rsidP="00801171">
      <w:pPr>
        <w:rPr>
          <w:rFonts w:eastAsia="Times New Roman" w:cs="Arial"/>
          <w:sz w:val="24"/>
          <w:szCs w:val="20"/>
          <w:lang w:eastAsia="it-IT"/>
        </w:rPr>
      </w:pPr>
      <w:r w:rsidRPr="00362A92">
        <w:rPr>
          <w:rFonts w:eastAsia="Times New Roman" w:cs="Arial"/>
          <w:sz w:val="24"/>
          <w:szCs w:val="20"/>
          <w:lang w:eastAsia="it-IT"/>
        </w:rPr>
        <w:t xml:space="preserve">Gli interventi fiscali qui proposti perseguono l’obiettivo di garantire ai contribuenti ticinesi un trattamento fiscale in linea con i valori medi intercantonali, migliorando al contempo l’attrattività fiscale del nostro Cantone così da garantire il substrato fiscale indispensabile per il finanziamento delle prestazioni pubbliche. </w:t>
      </w:r>
    </w:p>
    <w:p w14:paraId="09736D44" w14:textId="43A49475" w:rsidR="00801171" w:rsidRPr="00362A92" w:rsidRDefault="00801171" w:rsidP="00801171">
      <w:pPr>
        <w:rPr>
          <w:rFonts w:eastAsia="Times New Roman" w:cs="Arial"/>
          <w:sz w:val="24"/>
          <w:szCs w:val="20"/>
          <w:lang w:eastAsia="it-IT"/>
        </w:rPr>
      </w:pPr>
    </w:p>
    <w:p w14:paraId="1741D529" w14:textId="22D11B4D" w:rsidR="00BD5662" w:rsidRPr="00362A92" w:rsidRDefault="00BD5662" w:rsidP="00BD5662">
      <w:pPr>
        <w:rPr>
          <w:rFonts w:eastAsia="Times New Roman" w:cs="Arial"/>
          <w:sz w:val="24"/>
          <w:szCs w:val="20"/>
          <w:lang w:eastAsia="it-IT"/>
        </w:rPr>
      </w:pPr>
      <w:r w:rsidRPr="00362A92">
        <w:rPr>
          <w:rFonts w:eastAsia="Times New Roman" w:cs="Arial"/>
          <w:sz w:val="24"/>
          <w:szCs w:val="20"/>
          <w:lang w:eastAsia="it-IT"/>
        </w:rPr>
        <w:t>Con queste considerazioni, si chiede al Gran Consiglio di approvare l’allegato disegno di modifica di legge.</w:t>
      </w:r>
    </w:p>
    <w:p w14:paraId="539B406A" w14:textId="77777777" w:rsidR="00BD5662" w:rsidRPr="00362A92" w:rsidRDefault="00BD5662" w:rsidP="00BD5662">
      <w:pPr>
        <w:rPr>
          <w:rFonts w:eastAsia="Times New Roman" w:cs="Arial"/>
          <w:sz w:val="24"/>
          <w:szCs w:val="20"/>
          <w:lang w:eastAsia="it-IT"/>
        </w:rPr>
      </w:pPr>
    </w:p>
    <w:p w14:paraId="0602F708" w14:textId="77777777" w:rsidR="00BD5662" w:rsidRPr="00362A92" w:rsidRDefault="00BD5662" w:rsidP="00BD5662">
      <w:pPr>
        <w:rPr>
          <w:rFonts w:eastAsia="Times New Roman" w:cs="Arial"/>
          <w:sz w:val="24"/>
          <w:szCs w:val="20"/>
          <w:lang w:eastAsia="it-IT"/>
        </w:rPr>
      </w:pPr>
      <w:r w:rsidRPr="00362A92">
        <w:rPr>
          <w:rFonts w:eastAsia="Times New Roman" w:cs="Arial"/>
          <w:sz w:val="24"/>
          <w:szCs w:val="20"/>
          <w:lang w:eastAsia="it-IT"/>
        </w:rPr>
        <w:t>L’allegato decreto legislativo è approvato secondo il principio della maggioranza semplice dei votanti in Gran Consiglio.</w:t>
      </w:r>
    </w:p>
    <w:p w14:paraId="3ACB9D30" w14:textId="77777777" w:rsidR="00BD5662" w:rsidRPr="00362A92" w:rsidRDefault="00BD5662" w:rsidP="00BD5662">
      <w:pPr>
        <w:rPr>
          <w:rFonts w:eastAsia="Times New Roman" w:cs="Arial"/>
          <w:sz w:val="24"/>
          <w:szCs w:val="20"/>
          <w:lang w:eastAsia="it-IT"/>
        </w:rPr>
      </w:pPr>
    </w:p>
    <w:p w14:paraId="4C27AA49" w14:textId="62C1A1DC" w:rsidR="00E171A0" w:rsidRPr="004E2CEF" w:rsidRDefault="00E171A0" w:rsidP="008D317C">
      <w:pPr>
        <w:rPr>
          <w:sz w:val="24"/>
          <w:szCs w:val="24"/>
        </w:rPr>
      </w:pPr>
      <w:r w:rsidRPr="00362A92">
        <w:rPr>
          <w:sz w:val="24"/>
          <w:szCs w:val="24"/>
        </w:rPr>
        <w:t>Vogliate gradire, signora Presidente, signore e signori deputati, l’espressione della nostra massima stima.</w:t>
      </w:r>
    </w:p>
    <w:p w14:paraId="28BC955A" w14:textId="77777777" w:rsidR="00E171A0" w:rsidRPr="004E2CEF" w:rsidRDefault="00E171A0" w:rsidP="008D317C">
      <w:pPr>
        <w:rPr>
          <w:sz w:val="24"/>
          <w:szCs w:val="24"/>
        </w:rPr>
      </w:pPr>
    </w:p>
    <w:p w14:paraId="65BA6793" w14:textId="77777777" w:rsidR="00E171A0" w:rsidRPr="004E2CEF" w:rsidRDefault="00E171A0" w:rsidP="008D317C">
      <w:pPr>
        <w:rPr>
          <w:sz w:val="24"/>
          <w:szCs w:val="24"/>
        </w:rPr>
      </w:pPr>
    </w:p>
    <w:p w14:paraId="3B244FFD" w14:textId="77777777" w:rsidR="00E171A0" w:rsidRPr="004E2CEF" w:rsidRDefault="00E171A0" w:rsidP="008D317C">
      <w:pPr>
        <w:rPr>
          <w:sz w:val="24"/>
          <w:szCs w:val="24"/>
        </w:rPr>
      </w:pPr>
      <w:r w:rsidRPr="004E2CEF">
        <w:rPr>
          <w:sz w:val="24"/>
          <w:szCs w:val="24"/>
        </w:rPr>
        <w:t>Per il Consiglio di Stato</w:t>
      </w:r>
    </w:p>
    <w:p w14:paraId="7B1D71BA" w14:textId="77777777" w:rsidR="00E171A0" w:rsidRPr="004E2CEF" w:rsidRDefault="00E171A0" w:rsidP="008D317C">
      <w:pPr>
        <w:rPr>
          <w:sz w:val="24"/>
          <w:szCs w:val="24"/>
        </w:rPr>
      </w:pPr>
    </w:p>
    <w:p w14:paraId="33A0DE16" w14:textId="77777777" w:rsidR="00E171A0" w:rsidRPr="004E2CEF" w:rsidRDefault="00E171A0" w:rsidP="008D317C">
      <w:pPr>
        <w:rPr>
          <w:sz w:val="24"/>
          <w:szCs w:val="24"/>
        </w:rPr>
      </w:pPr>
      <w:r w:rsidRPr="004E2CEF">
        <w:rPr>
          <w:sz w:val="24"/>
          <w:szCs w:val="24"/>
        </w:rPr>
        <w:t xml:space="preserve">Il Presidente: </w:t>
      </w:r>
      <w:r w:rsidR="00127A5D" w:rsidRPr="004E2CEF">
        <w:rPr>
          <w:sz w:val="24"/>
          <w:szCs w:val="24"/>
        </w:rPr>
        <w:t>Raffaele De Rosa</w:t>
      </w:r>
    </w:p>
    <w:p w14:paraId="3D74D306" w14:textId="7348B15A" w:rsidR="00E171A0" w:rsidRPr="004E2CEF" w:rsidRDefault="00E171A0" w:rsidP="008D317C">
      <w:pPr>
        <w:rPr>
          <w:sz w:val="24"/>
          <w:szCs w:val="24"/>
        </w:rPr>
      </w:pPr>
      <w:r w:rsidRPr="004E2CEF">
        <w:rPr>
          <w:sz w:val="24"/>
          <w:szCs w:val="24"/>
        </w:rPr>
        <w:t xml:space="preserve">Il Cancelliere: </w:t>
      </w:r>
      <w:r w:rsidR="00127A5D" w:rsidRPr="004E2CEF">
        <w:rPr>
          <w:sz w:val="24"/>
          <w:szCs w:val="24"/>
        </w:rPr>
        <w:t>Arnoldo Coduri</w:t>
      </w:r>
    </w:p>
    <w:p w14:paraId="46C8BBD0" w14:textId="7CFD31B9" w:rsidR="00DD412C" w:rsidRDefault="00DD412C" w:rsidP="008D317C">
      <w:pPr>
        <w:rPr>
          <w:sz w:val="24"/>
          <w:szCs w:val="24"/>
        </w:rPr>
      </w:pPr>
    </w:p>
    <w:p w14:paraId="3CFD904D" w14:textId="1D517CF4" w:rsidR="00737825" w:rsidRDefault="00737825">
      <w:pPr>
        <w:rPr>
          <w:u w:val="single"/>
        </w:rPr>
      </w:pPr>
    </w:p>
    <w:p w14:paraId="5A336253" w14:textId="0ADD7DFE" w:rsidR="00737825" w:rsidRDefault="00737825">
      <w:pPr>
        <w:rPr>
          <w:u w:val="single"/>
        </w:rPr>
      </w:pPr>
    </w:p>
    <w:p w14:paraId="223E3A76" w14:textId="7414BB6A" w:rsidR="00737825" w:rsidRDefault="00737825">
      <w:pPr>
        <w:rPr>
          <w:u w:val="single"/>
        </w:rPr>
      </w:pPr>
    </w:p>
    <w:p w14:paraId="5A66C8F1" w14:textId="63A271C9" w:rsidR="000C080A" w:rsidRDefault="000C080A">
      <w:pPr>
        <w:rPr>
          <w:u w:val="single"/>
        </w:rPr>
      </w:pPr>
    </w:p>
    <w:p w14:paraId="69F40AE0" w14:textId="144B2055" w:rsidR="000C080A" w:rsidRDefault="000C080A">
      <w:pPr>
        <w:rPr>
          <w:u w:val="single"/>
        </w:rPr>
      </w:pPr>
    </w:p>
    <w:p w14:paraId="21241441" w14:textId="77777777" w:rsidR="000C080A" w:rsidRDefault="000C080A">
      <w:pPr>
        <w:rPr>
          <w:u w:val="single"/>
        </w:rPr>
      </w:pPr>
    </w:p>
    <w:p w14:paraId="1437AE09" w14:textId="4AC32F62" w:rsidR="00DD412C" w:rsidRPr="004E2CEF" w:rsidRDefault="00DD412C" w:rsidP="008D317C">
      <w:r w:rsidRPr="004E2CEF">
        <w:rPr>
          <w:u w:val="single"/>
        </w:rPr>
        <w:t>Allegati</w:t>
      </w:r>
      <w:r w:rsidRPr="004E2CEF">
        <w:t>:</w:t>
      </w:r>
    </w:p>
    <w:p w14:paraId="4F395417" w14:textId="0B65B5C3" w:rsidR="006C12E1" w:rsidRPr="004E2CEF" w:rsidRDefault="006C12E1" w:rsidP="003A5E2B">
      <w:pPr>
        <w:pStyle w:val="StandardRisoluzionedelConsigliodiStato"/>
        <w:numPr>
          <w:ilvl w:val="0"/>
          <w:numId w:val="27"/>
        </w:numPr>
        <w:ind w:left="284" w:right="-1" w:hanging="284"/>
        <w:rPr>
          <w:i/>
          <w:sz w:val="22"/>
        </w:rPr>
      </w:pPr>
      <w:r w:rsidRPr="004E2CEF">
        <w:rPr>
          <w:sz w:val="22"/>
        </w:rPr>
        <w:t xml:space="preserve">Tabella </w:t>
      </w:r>
      <w:r w:rsidR="006C604A">
        <w:rPr>
          <w:sz w:val="22"/>
        </w:rPr>
        <w:t>1</w:t>
      </w:r>
      <w:r w:rsidRPr="004E2CEF">
        <w:rPr>
          <w:i/>
          <w:sz w:val="22"/>
        </w:rPr>
        <w:t xml:space="preserve"> </w:t>
      </w:r>
      <w:r w:rsidR="003A5E2B" w:rsidRPr="004E2CEF">
        <w:rPr>
          <w:sz w:val="22"/>
        </w:rPr>
        <w:t>“</w:t>
      </w:r>
      <w:r w:rsidRPr="004E2CEF">
        <w:rPr>
          <w:i/>
          <w:sz w:val="22"/>
        </w:rPr>
        <w:t>Deduzione forfettaria per altre spese professionali dell’attività lucrativa dipendente nei 26 Cantoni e nella Confederazione per l'anno 2022</w:t>
      </w:r>
      <w:r w:rsidR="003A5E2B" w:rsidRPr="004E2CEF">
        <w:rPr>
          <w:sz w:val="22"/>
        </w:rPr>
        <w:t>”</w:t>
      </w:r>
    </w:p>
    <w:p w14:paraId="78914290" w14:textId="5CB0EA01" w:rsidR="006C12E1" w:rsidRPr="004E2CEF" w:rsidRDefault="006C604A" w:rsidP="003A5E2B">
      <w:pPr>
        <w:pStyle w:val="StandardRisoluzionedelConsigliodiStato"/>
        <w:numPr>
          <w:ilvl w:val="0"/>
          <w:numId w:val="27"/>
        </w:numPr>
        <w:ind w:left="284" w:right="-1" w:hanging="284"/>
        <w:rPr>
          <w:sz w:val="22"/>
        </w:rPr>
      </w:pPr>
      <w:r>
        <w:rPr>
          <w:sz w:val="22"/>
        </w:rPr>
        <w:t>Tabella 2</w:t>
      </w:r>
      <w:r w:rsidR="006C12E1" w:rsidRPr="004E2CEF">
        <w:rPr>
          <w:sz w:val="22"/>
        </w:rPr>
        <w:t xml:space="preserve"> </w:t>
      </w:r>
      <w:r w:rsidR="003A5E2B" w:rsidRPr="004E2CEF">
        <w:rPr>
          <w:sz w:val="22"/>
        </w:rPr>
        <w:t>“</w:t>
      </w:r>
      <w:r w:rsidR="006C12E1" w:rsidRPr="004E2CEF">
        <w:rPr>
          <w:i/>
          <w:sz w:val="22"/>
        </w:rPr>
        <w:t>Deduzione forfettaria per altre spese professionali dell’attività accessoria nei 26 Cantoni e nella Confederazione per l'anno 2022</w:t>
      </w:r>
      <w:r w:rsidR="003A5E2B" w:rsidRPr="004E2CEF">
        <w:rPr>
          <w:sz w:val="22"/>
        </w:rPr>
        <w:t>”</w:t>
      </w:r>
    </w:p>
    <w:p w14:paraId="6CDAC789" w14:textId="6788F079" w:rsidR="006C12E1" w:rsidRPr="004E2CEF" w:rsidRDefault="006C12E1" w:rsidP="003A5E2B">
      <w:pPr>
        <w:pStyle w:val="StandardRisoluzionedelConsigliodiStato"/>
        <w:numPr>
          <w:ilvl w:val="0"/>
          <w:numId w:val="27"/>
        </w:numPr>
        <w:ind w:left="284" w:right="-1" w:hanging="284"/>
        <w:rPr>
          <w:sz w:val="22"/>
        </w:rPr>
      </w:pPr>
      <w:r w:rsidRPr="004E2CEF">
        <w:rPr>
          <w:sz w:val="22"/>
        </w:rPr>
        <w:t xml:space="preserve">Tabella </w:t>
      </w:r>
      <w:r w:rsidR="006C604A">
        <w:rPr>
          <w:sz w:val="22"/>
        </w:rPr>
        <w:t>3</w:t>
      </w:r>
      <w:r w:rsidRPr="004E2CEF">
        <w:rPr>
          <w:sz w:val="22"/>
        </w:rPr>
        <w:t xml:space="preserve"> </w:t>
      </w:r>
      <w:r w:rsidR="003A5E2B" w:rsidRPr="004E2CEF">
        <w:rPr>
          <w:sz w:val="22"/>
        </w:rPr>
        <w:t>“</w:t>
      </w:r>
      <w:r w:rsidRPr="004E2CEF">
        <w:rPr>
          <w:i/>
          <w:sz w:val="22"/>
        </w:rPr>
        <w:t>Impatto dell’aumento del forfait deducibile per le altre spese professionali per s</w:t>
      </w:r>
      <w:r w:rsidR="003A5E2B" w:rsidRPr="004E2CEF">
        <w:rPr>
          <w:i/>
          <w:sz w:val="22"/>
        </w:rPr>
        <w:t>ingole fasce di stipendio netto</w:t>
      </w:r>
      <w:r w:rsidR="003A5E2B" w:rsidRPr="004E2CEF">
        <w:rPr>
          <w:sz w:val="22"/>
        </w:rPr>
        <w:t>”</w:t>
      </w:r>
    </w:p>
    <w:p w14:paraId="18697DF2" w14:textId="24D1B2D4" w:rsidR="003A5E2B" w:rsidRPr="004E2CEF" w:rsidRDefault="00C10599" w:rsidP="00504776">
      <w:pPr>
        <w:pStyle w:val="StandardRisoluzionedelConsigliodiStato"/>
        <w:numPr>
          <w:ilvl w:val="0"/>
          <w:numId w:val="27"/>
        </w:numPr>
        <w:ind w:left="284" w:right="-1" w:hanging="284"/>
        <w:rPr>
          <w:sz w:val="22"/>
        </w:rPr>
      </w:pPr>
      <w:r w:rsidRPr="004E2CEF">
        <w:rPr>
          <w:sz w:val="22"/>
        </w:rPr>
        <w:t xml:space="preserve">Tabella </w:t>
      </w:r>
      <w:r w:rsidR="006C604A">
        <w:rPr>
          <w:sz w:val="22"/>
        </w:rPr>
        <w:t>4</w:t>
      </w:r>
      <w:r w:rsidRPr="004E2CEF">
        <w:rPr>
          <w:sz w:val="22"/>
        </w:rPr>
        <w:t xml:space="preserve"> </w:t>
      </w:r>
      <w:r w:rsidR="003A5E2B" w:rsidRPr="004E2CEF">
        <w:rPr>
          <w:sz w:val="22"/>
        </w:rPr>
        <w:t>“</w:t>
      </w:r>
      <w:r w:rsidRPr="004E2CEF">
        <w:rPr>
          <w:i/>
          <w:sz w:val="22"/>
        </w:rPr>
        <w:t>Confronto intercantonale delle aliquote massime ai fini dell'imposta di successione e donazione (anno 2022)</w:t>
      </w:r>
      <w:r w:rsidR="003A5E2B" w:rsidRPr="004E2CEF">
        <w:rPr>
          <w:sz w:val="22"/>
        </w:rPr>
        <w:t>”</w:t>
      </w:r>
    </w:p>
    <w:p w14:paraId="4D02B19B" w14:textId="393D42A1" w:rsidR="003A5E2B" w:rsidRPr="004E2CEF" w:rsidRDefault="00504776" w:rsidP="003A5E2B">
      <w:pPr>
        <w:pStyle w:val="StandardRisoluzionedelConsigliodiStato"/>
        <w:numPr>
          <w:ilvl w:val="0"/>
          <w:numId w:val="27"/>
        </w:numPr>
        <w:ind w:left="284" w:right="-1" w:hanging="284"/>
        <w:rPr>
          <w:sz w:val="22"/>
        </w:rPr>
      </w:pPr>
      <w:r w:rsidRPr="004E2CEF">
        <w:rPr>
          <w:sz w:val="22"/>
        </w:rPr>
        <w:t xml:space="preserve">Tabella </w:t>
      </w:r>
      <w:r w:rsidR="006C604A">
        <w:rPr>
          <w:sz w:val="22"/>
        </w:rPr>
        <w:t>5</w:t>
      </w:r>
      <w:r w:rsidR="003A5E2B" w:rsidRPr="004E2CEF">
        <w:rPr>
          <w:sz w:val="22"/>
        </w:rPr>
        <w:t xml:space="preserve"> “</w:t>
      </w:r>
      <w:r w:rsidR="003A5E2B" w:rsidRPr="004E2CEF">
        <w:rPr>
          <w:i/>
          <w:sz w:val="22"/>
        </w:rPr>
        <w:t>Panoramica intercantonale dei sistemi d’imposizione delle prestazioni in capitale della previdenza</w:t>
      </w:r>
      <w:r w:rsidR="003A5E2B" w:rsidRPr="004E2CEF">
        <w:rPr>
          <w:sz w:val="22"/>
        </w:rPr>
        <w:t>”</w:t>
      </w:r>
    </w:p>
    <w:p w14:paraId="208D5DBD" w14:textId="0E34622D" w:rsidR="003A5E2B" w:rsidRDefault="00504776" w:rsidP="003A5E2B">
      <w:pPr>
        <w:pStyle w:val="StandardRisoluzionedelConsigliodiStato"/>
        <w:numPr>
          <w:ilvl w:val="0"/>
          <w:numId w:val="27"/>
        </w:numPr>
        <w:ind w:left="284" w:right="-1" w:hanging="284"/>
        <w:rPr>
          <w:rFonts w:cs="Arial"/>
          <w:color w:val="000000"/>
          <w:sz w:val="22"/>
        </w:rPr>
      </w:pPr>
      <w:r w:rsidRPr="004E2CEF">
        <w:rPr>
          <w:sz w:val="22"/>
        </w:rPr>
        <w:t xml:space="preserve">Tabella </w:t>
      </w:r>
      <w:r w:rsidR="006C604A">
        <w:rPr>
          <w:sz w:val="22"/>
        </w:rPr>
        <w:t>6</w:t>
      </w:r>
      <w:r w:rsidR="003A5E2B" w:rsidRPr="004E2CEF">
        <w:rPr>
          <w:sz w:val="22"/>
        </w:rPr>
        <w:t xml:space="preserve"> “</w:t>
      </w:r>
      <w:r w:rsidR="003A5E2B" w:rsidRPr="004E2CEF">
        <w:rPr>
          <w:rFonts w:cs="Arial"/>
          <w:i/>
          <w:color w:val="000000"/>
          <w:sz w:val="22"/>
        </w:rPr>
        <w:t>Raffronto intercantonale dell’onere fiscale dell’imposizione delle prestazioni in capitale della previdenza (imposta federale, cantonale e comunale) per le persone sole nel capoluogo cantonale nel 2022</w:t>
      </w:r>
      <w:r w:rsidR="003A5E2B" w:rsidRPr="004E2CEF">
        <w:rPr>
          <w:rFonts w:cs="Arial"/>
          <w:color w:val="000000"/>
          <w:sz w:val="22"/>
        </w:rPr>
        <w:t>”</w:t>
      </w:r>
    </w:p>
    <w:p w14:paraId="632BC0CC" w14:textId="64460B0D" w:rsidR="006C604A" w:rsidRPr="006C604A" w:rsidRDefault="006C604A" w:rsidP="006C604A">
      <w:pPr>
        <w:pStyle w:val="StandardRisoluzionedelConsigliodiStato"/>
        <w:numPr>
          <w:ilvl w:val="0"/>
          <w:numId w:val="27"/>
        </w:numPr>
        <w:spacing w:before="60"/>
        <w:ind w:left="284" w:hanging="284"/>
        <w:rPr>
          <w:rFonts w:cs="Arial"/>
          <w:i/>
          <w:sz w:val="22"/>
        </w:rPr>
      </w:pPr>
      <w:r w:rsidRPr="004E2CEF">
        <w:rPr>
          <w:sz w:val="22"/>
        </w:rPr>
        <w:t xml:space="preserve">Tabella </w:t>
      </w:r>
      <w:r>
        <w:rPr>
          <w:sz w:val="22"/>
        </w:rPr>
        <w:t>7</w:t>
      </w:r>
      <w:r w:rsidRPr="004E2CEF">
        <w:rPr>
          <w:sz w:val="22"/>
        </w:rPr>
        <w:t xml:space="preserve"> “</w:t>
      </w:r>
      <w:r w:rsidRPr="004E2CEF">
        <w:rPr>
          <w:rFonts w:cs="Arial"/>
          <w:i/>
          <w:sz w:val="22"/>
        </w:rPr>
        <w:t>Confronto dell’onere fiscale massimo ai fini dell’imposta sul reddito nel 2022</w:t>
      </w:r>
      <w:r w:rsidRPr="004E2CEF">
        <w:rPr>
          <w:rFonts w:cs="Arial"/>
          <w:sz w:val="22"/>
        </w:rPr>
        <w:t>”</w:t>
      </w:r>
    </w:p>
    <w:p w14:paraId="5CE2FFDD" w14:textId="12A17E52" w:rsidR="000C080A" w:rsidRDefault="000C080A">
      <w:pPr>
        <w:rPr>
          <w:b/>
          <w:sz w:val="24"/>
          <w:szCs w:val="24"/>
        </w:rPr>
      </w:pPr>
      <w:r>
        <w:rPr>
          <w:b/>
          <w:sz w:val="24"/>
          <w:szCs w:val="24"/>
        </w:rPr>
        <w:br w:type="page"/>
      </w:r>
    </w:p>
    <w:p w14:paraId="58C130F0" w14:textId="3A59AB1D" w:rsidR="00DB5F0A" w:rsidRPr="004E2CEF" w:rsidRDefault="00DB5F0A" w:rsidP="00DB5F0A">
      <w:pPr>
        <w:pStyle w:val="ALLEGATI"/>
      </w:pPr>
      <w:bookmarkStart w:id="59" w:name="_Toc139991924"/>
      <w:r w:rsidRPr="004E2CEF">
        <w:t>ALLEGATI</w:t>
      </w:r>
      <w:bookmarkEnd w:id="59"/>
    </w:p>
    <w:p w14:paraId="3D63F904" w14:textId="5B01A32F" w:rsidR="00DB5F0A" w:rsidRPr="004E2CEF" w:rsidRDefault="00DB5F0A">
      <w:pPr>
        <w:rPr>
          <w:sz w:val="24"/>
        </w:rPr>
      </w:pPr>
    </w:p>
    <w:p w14:paraId="2CB81EE4" w14:textId="0794ADF8" w:rsidR="002218F9" w:rsidRPr="004E2CEF" w:rsidRDefault="002218F9" w:rsidP="006D2131">
      <w:pPr>
        <w:pStyle w:val="TABELLE"/>
      </w:pPr>
      <w:bookmarkStart w:id="60" w:name="_Toc139991925"/>
      <w:r w:rsidRPr="004E2CEF">
        <w:t xml:space="preserve">Tabella </w:t>
      </w:r>
      <w:r w:rsidR="006C604A">
        <w:t>1</w:t>
      </w:r>
      <w:r w:rsidR="00AA0792" w:rsidRPr="004E2CEF">
        <w:t xml:space="preserve">: </w:t>
      </w:r>
      <w:r w:rsidRPr="004E2CEF">
        <w:t xml:space="preserve">Deduzione forfettaria per altre spese professionali </w:t>
      </w:r>
      <w:r w:rsidR="00707613" w:rsidRPr="004E2CEF">
        <w:t xml:space="preserve">dell’attività lucrativa dipendente </w:t>
      </w:r>
      <w:r w:rsidRPr="004E2CEF">
        <w:t>nei 26 Cantoni e nella Confederazione per l'anno 2022</w:t>
      </w:r>
      <w:bookmarkEnd w:id="60"/>
    </w:p>
    <w:tbl>
      <w:tblPr>
        <w:tblW w:w="9511" w:type="dxa"/>
        <w:tblInd w:w="-10" w:type="dxa"/>
        <w:tblCellMar>
          <w:left w:w="70" w:type="dxa"/>
          <w:right w:w="70" w:type="dxa"/>
        </w:tblCellMar>
        <w:tblLook w:val="04A0" w:firstRow="1" w:lastRow="0" w:firstColumn="1" w:lastColumn="0" w:noHBand="0" w:noVBand="1"/>
      </w:tblPr>
      <w:tblGrid>
        <w:gridCol w:w="2020"/>
        <w:gridCol w:w="6037"/>
        <w:gridCol w:w="1454"/>
      </w:tblGrid>
      <w:tr w:rsidR="002218F9" w:rsidRPr="004E2CEF" w14:paraId="7AF40532" w14:textId="77777777" w:rsidTr="006C604A">
        <w:trPr>
          <w:trHeight w:val="768"/>
        </w:trPr>
        <w:tc>
          <w:tcPr>
            <w:tcW w:w="2020" w:type="dxa"/>
            <w:vMerge w:val="restart"/>
            <w:tcBorders>
              <w:top w:val="single" w:sz="8" w:space="0" w:color="auto"/>
              <w:left w:val="single" w:sz="8" w:space="0" w:color="auto"/>
              <w:bottom w:val="single" w:sz="8" w:space="0" w:color="000000"/>
              <w:right w:val="single" w:sz="8" w:space="0" w:color="auto"/>
            </w:tcBorders>
            <w:shd w:val="clear" w:color="auto" w:fill="D6E3BC" w:themeFill="accent3" w:themeFillTint="66"/>
            <w:noWrap/>
            <w:vAlign w:val="center"/>
            <w:hideMark/>
          </w:tcPr>
          <w:p w14:paraId="2E85CBB9" w14:textId="77777777" w:rsidR="002218F9" w:rsidRPr="004E2CEF" w:rsidRDefault="002218F9" w:rsidP="002218F9">
            <w:pPr>
              <w:jc w:val="center"/>
              <w:rPr>
                <w:rFonts w:eastAsia="Times New Roman" w:cs="Arial"/>
                <w:b/>
                <w:lang w:eastAsia="it-CH"/>
              </w:rPr>
            </w:pPr>
            <w:r w:rsidRPr="004E2CEF">
              <w:rPr>
                <w:rFonts w:eastAsia="Times New Roman" w:cs="Arial"/>
                <w:b/>
                <w:lang w:eastAsia="it-CH"/>
              </w:rPr>
              <w:t>Cantone</w:t>
            </w:r>
          </w:p>
        </w:tc>
        <w:tc>
          <w:tcPr>
            <w:tcW w:w="6037" w:type="dxa"/>
            <w:vMerge w:val="restart"/>
            <w:tcBorders>
              <w:top w:val="single" w:sz="8" w:space="0" w:color="auto"/>
              <w:left w:val="single" w:sz="8" w:space="0" w:color="auto"/>
              <w:bottom w:val="single" w:sz="8" w:space="0" w:color="000000"/>
              <w:right w:val="single" w:sz="8" w:space="0" w:color="auto"/>
            </w:tcBorders>
            <w:shd w:val="clear" w:color="auto" w:fill="D6E3BC" w:themeFill="accent3" w:themeFillTint="66"/>
            <w:vAlign w:val="center"/>
            <w:hideMark/>
          </w:tcPr>
          <w:p w14:paraId="5DE54934" w14:textId="77777777" w:rsidR="002218F9" w:rsidRPr="004E2CEF" w:rsidRDefault="002218F9" w:rsidP="002218F9">
            <w:pPr>
              <w:jc w:val="center"/>
              <w:rPr>
                <w:rFonts w:eastAsia="Times New Roman" w:cs="Arial"/>
                <w:b/>
                <w:lang w:eastAsia="it-CH"/>
              </w:rPr>
            </w:pPr>
            <w:r w:rsidRPr="004E2CEF">
              <w:rPr>
                <w:rFonts w:eastAsia="Times New Roman" w:cs="Arial"/>
                <w:b/>
                <w:lang w:eastAsia="it-CH"/>
              </w:rPr>
              <w:t>Regolamentazione</w:t>
            </w:r>
          </w:p>
        </w:tc>
        <w:tc>
          <w:tcPr>
            <w:tcW w:w="1454" w:type="dxa"/>
            <w:tcBorders>
              <w:top w:val="single" w:sz="8" w:space="0" w:color="auto"/>
              <w:left w:val="nil"/>
              <w:bottom w:val="nil"/>
              <w:right w:val="single" w:sz="8" w:space="0" w:color="auto"/>
            </w:tcBorders>
            <w:shd w:val="clear" w:color="auto" w:fill="D6E3BC" w:themeFill="accent3" w:themeFillTint="66"/>
            <w:vAlign w:val="center"/>
            <w:hideMark/>
          </w:tcPr>
          <w:p w14:paraId="4036374B" w14:textId="77777777" w:rsidR="002218F9" w:rsidRPr="004E2CEF" w:rsidRDefault="002218F9" w:rsidP="002218F9">
            <w:pPr>
              <w:jc w:val="center"/>
              <w:rPr>
                <w:rFonts w:eastAsia="Times New Roman" w:cs="Arial"/>
                <w:b/>
                <w:lang w:eastAsia="it-CH"/>
              </w:rPr>
            </w:pPr>
            <w:r w:rsidRPr="004E2CEF">
              <w:rPr>
                <w:rFonts w:eastAsia="Times New Roman" w:cs="Arial"/>
                <w:b/>
                <w:lang w:eastAsia="it-CH"/>
              </w:rPr>
              <w:t>Deduzione massima</w:t>
            </w:r>
          </w:p>
        </w:tc>
      </w:tr>
      <w:tr w:rsidR="002218F9" w:rsidRPr="004E2CEF" w14:paraId="7B1CECD7" w14:textId="77777777" w:rsidTr="006C604A">
        <w:trPr>
          <w:trHeight w:val="316"/>
        </w:trPr>
        <w:tc>
          <w:tcPr>
            <w:tcW w:w="2020" w:type="dxa"/>
            <w:vMerge/>
            <w:tcBorders>
              <w:top w:val="single" w:sz="8" w:space="0" w:color="auto"/>
              <w:left w:val="single" w:sz="8" w:space="0" w:color="auto"/>
              <w:bottom w:val="single" w:sz="8" w:space="0" w:color="000000"/>
              <w:right w:val="single" w:sz="8" w:space="0" w:color="auto"/>
            </w:tcBorders>
            <w:shd w:val="clear" w:color="auto" w:fill="D6E3BC" w:themeFill="accent3" w:themeFillTint="66"/>
            <w:vAlign w:val="center"/>
            <w:hideMark/>
          </w:tcPr>
          <w:p w14:paraId="7E783DE8" w14:textId="77777777" w:rsidR="002218F9" w:rsidRPr="004E2CEF" w:rsidRDefault="002218F9" w:rsidP="002218F9">
            <w:pPr>
              <w:jc w:val="left"/>
              <w:rPr>
                <w:rFonts w:eastAsia="Times New Roman" w:cs="Arial"/>
                <w:b/>
                <w:lang w:eastAsia="it-CH"/>
              </w:rPr>
            </w:pPr>
          </w:p>
        </w:tc>
        <w:tc>
          <w:tcPr>
            <w:tcW w:w="6037" w:type="dxa"/>
            <w:vMerge/>
            <w:tcBorders>
              <w:top w:val="single" w:sz="8" w:space="0" w:color="auto"/>
              <w:left w:val="single" w:sz="8" w:space="0" w:color="auto"/>
              <w:bottom w:val="single" w:sz="8" w:space="0" w:color="000000"/>
              <w:right w:val="single" w:sz="8" w:space="0" w:color="auto"/>
            </w:tcBorders>
            <w:shd w:val="clear" w:color="auto" w:fill="D6E3BC" w:themeFill="accent3" w:themeFillTint="66"/>
            <w:vAlign w:val="center"/>
            <w:hideMark/>
          </w:tcPr>
          <w:p w14:paraId="65EBD91A" w14:textId="77777777" w:rsidR="002218F9" w:rsidRPr="004E2CEF" w:rsidRDefault="002218F9" w:rsidP="002218F9">
            <w:pPr>
              <w:jc w:val="left"/>
              <w:rPr>
                <w:rFonts w:eastAsia="Times New Roman" w:cs="Arial"/>
                <w:b/>
                <w:lang w:eastAsia="it-CH"/>
              </w:rPr>
            </w:pPr>
          </w:p>
        </w:tc>
        <w:tc>
          <w:tcPr>
            <w:tcW w:w="1454" w:type="dxa"/>
            <w:tcBorders>
              <w:top w:val="nil"/>
              <w:left w:val="nil"/>
              <w:bottom w:val="single" w:sz="8" w:space="0" w:color="auto"/>
              <w:right w:val="single" w:sz="8" w:space="0" w:color="auto"/>
            </w:tcBorders>
            <w:shd w:val="clear" w:color="auto" w:fill="D6E3BC" w:themeFill="accent3" w:themeFillTint="66"/>
            <w:hideMark/>
          </w:tcPr>
          <w:p w14:paraId="23F4A2F9" w14:textId="77777777" w:rsidR="002218F9" w:rsidRPr="004E2CEF" w:rsidRDefault="002218F9" w:rsidP="002218F9">
            <w:pPr>
              <w:jc w:val="center"/>
              <w:rPr>
                <w:rFonts w:eastAsia="Times New Roman" w:cs="Arial"/>
                <w:b/>
                <w:i/>
                <w:iCs/>
                <w:lang w:eastAsia="it-CH"/>
              </w:rPr>
            </w:pPr>
            <w:r w:rsidRPr="004E2CEF">
              <w:rPr>
                <w:rFonts w:eastAsia="Times New Roman" w:cs="Arial"/>
                <w:b/>
                <w:i/>
                <w:iCs/>
                <w:lang w:eastAsia="it-CH"/>
              </w:rPr>
              <w:t>in franchi</w:t>
            </w:r>
          </w:p>
        </w:tc>
      </w:tr>
      <w:tr w:rsidR="002218F9" w:rsidRPr="004E2CEF" w14:paraId="72DE7C23"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1FB6F1C3" w14:textId="77777777" w:rsidR="002218F9" w:rsidRPr="004E2CEF" w:rsidRDefault="002218F9" w:rsidP="002218F9">
            <w:pPr>
              <w:jc w:val="center"/>
              <w:rPr>
                <w:rFonts w:eastAsia="Times New Roman" w:cs="Arial"/>
                <w:lang w:eastAsia="it-CH"/>
              </w:rPr>
            </w:pPr>
            <w:r w:rsidRPr="004E2CEF">
              <w:rPr>
                <w:rFonts w:eastAsia="Times New Roman" w:cs="Arial"/>
                <w:lang w:eastAsia="it-CH"/>
              </w:rPr>
              <w:t>NW</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486590D8" w14:textId="77777777" w:rsidR="002218F9" w:rsidRPr="004E2CEF" w:rsidRDefault="002218F9" w:rsidP="002218F9">
            <w:pPr>
              <w:jc w:val="center"/>
              <w:rPr>
                <w:rFonts w:eastAsia="Times New Roman" w:cs="Arial"/>
                <w:lang w:eastAsia="it-CH"/>
              </w:rPr>
            </w:pPr>
            <w:r w:rsidRPr="004E2CEF">
              <w:rPr>
                <w:rFonts w:eastAsia="Times New Roman" w:cs="Arial"/>
                <w:lang w:eastAsia="it-CH"/>
              </w:rPr>
              <w:t>5% del reddito netto</w:t>
            </w:r>
          </w:p>
        </w:tc>
        <w:tc>
          <w:tcPr>
            <w:tcW w:w="1454" w:type="dxa"/>
            <w:tcBorders>
              <w:top w:val="nil"/>
              <w:left w:val="nil"/>
              <w:bottom w:val="single" w:sz="4" w:space="0" w:color="auto"/>
              <w:right w:val="single" w:sz="8" w:space="0" w:color="auto"/>
            </w:tcBorders>
            <w:shd w:val="clear" w:color="auto" w:fill="auto"/>
            <w:noWrap/>
            <w:vAlign w:val="bottom"/>
            <w:hideMark/>
          </w:tcPr>
          <w:p w14:paraId="7B72817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7'000</w:t>
            </w:r>
          </w:p>
        </w:tc>
      </w:tr>
      <w:tr w:rsidR="002218F9" w:rsidRPr="004E2CEF" w14:paraId="2C691BC0"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C4D41ED" w14:textId="77777777" w:rsidR="002218F9" w:rsidRPr="004E2CEF" w:rsidRDefault="002218F9" w:rsidP="002218F9">
            <w:pPr>
              <w:jc w:val="center"/>
              <w:rPr>
                <w:rFonts w:eastAsia="Times New Roman" w:cs="Arial"/>
                <w:lang w:eastAsia="it-CH"/>
              </w:rPr>
            </w:pPr>
            <w:r w:rsidRPr="004E2CEF">
              <w:rPr>
                <w:rFonts w:eastAsia="Times New Roman" w:cs="Arial"/>
                <w:lang w:eastAsia="it-CH"/>
              </w:rPr>
              <w:t>SZ</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1AE6FAA4" w14:textId="77777777" w:rsidR="002218F9" w:rsidRPr="004E2CEF" w:rsidRDefault="002218F9" w:rsidP="002218F9">
            <w:pPr>
              <w:jc w:val="center"/>
              <w:rPr>
                <w:rFonts w:eastAsia="Times New Roman" w:cs="Arial"/>
                <w:lang w:eastAsia="it-CH"/>
              </w:rPr>
            </w:pPr>
            <w:r w:rsidRPr="004E2CEF">
              <w:rPr>
                <w:rFonts w:eastAsia="Times New Roman" w:cs="Arial"/>
                <w:lang w:eastAsia="it-CH"/>
              </w:rPr>
              <w:t>20% del reddito netto</w:t>
            </w:r>
          </w:p>
        </w:tc>
        <w:tc>
          <w:tcPr>
            <w:tcW w:w="1454" w:type="dxa"/>
            <w:tcBorders>
              <w:top w:val="nil"/>
              <w:left w:val="nil"/>
              <w:bottom w:val="single" w:sz="4" w:space="0" w:color="auto"/>
              <w:right w:val="single" w:sz="8" w:space="0" w:color="auto"/>
            </w:tcBorders>
            <w:shd w:val="clear" w:color="auto" w:fill="auto"/>
            <w:noWrap/>
            <w:vAlign w:val="bottom"/>
            <w:hideMark/>
          </w:tcPr>
          <w:p w14:paraId="2A2A1B6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6'900</w:t>
            </w:r>
          </w:p>
        </w:tc>
      </w:tr>
      <w:tr w:rsidR="002218F9" w:rsidRPr="004E2CEF" w14:paraId="2AA18911"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75A617A" w14:textId="77777777" w:rsidR="002218F9" w:rsidRPr="004E2CEF" w:rsidRDefault="002218F9" w:rsidP="002218F9">
            <w:pPr>
              <w:jc w:val="center"/>
              <w:rPr>
                <w:rFonts w:eastAsia="Times New Roman" w:cs="Arial"/>
                <w:lang w:eastAsia="it-CH"/>
              </w:rPr>
            </w:pPr>
            <w:r w:rsidRPr="004E2CEF">
              <w:rPr>
                <w:rFonts w:eastAsia="Times New Roman" w:cs="Arial"/>
                <w:lang w:eastAsia="it-CH"/>
              </w:rPr>
              <w:t>AI</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415A5F29" w14:textId="77777777" w:rsidR="002218F9" w:rsidRPr="004E2CEF" w:rsidRDefault="002218F9" w:rsidP="002218F9">
            <w:pPr>
              <w:jc w:val="center"/>
              <w:rPr>
                <w:rFonts w:eastAsia="Times New Roman" w:cs="Arial"/>
                <w:lang w:eastAsia="it-CH"/>
              </w:rPr>
            </w:pPr>
            <w:r w:rsidRPr="004E2CEF">
              <w:rPr>
                <w:rFonts w:eastAsia="Times New Roman" w:cs="Arial"/>
                <w:lang w:eastAsia="it-CH"/>
              </w:rPr>
              <w:t>Forfait di base 1'000 franchi, +5% del reddito netto</w:t>
            </w:r>
          </w:p>
        </w:tc>
        <w:tc>
          <w:tcPr>
            <w:tcW w:w="1454" w:type="dxa"/>
            <w:tcBorders>
              <w:top w:val="nil"/>
              <w:left w:val="nil"/>
              <w:bottom w:val="single" w:sz="4" w:space="0" w:color="auto"/>
              <w:right w:val="single" w:sz="8" w:space="0" w:color="auto"/>
            </w:tcBorders>
            <w:shd w:val="clear" w:color="auto" w:fill="auto"/>
            <w:noWrap/>
            <w:vAlign w:val="bottom"/>
            <w:hideMark/>
          </w:tcPr>
          <w:p w14:paraId="4301799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5'000</w:t>
            </w:r>
          </w:p>
        </w:tc>
      </w:tr>
      <w:tr w:rsidR="002218F9" w:rsidRPr="004E2CEF" w14:paraId="1744A341"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12141F67" w14:textId="77777777" w:rsidR="002218F9" w:rsidRPr="004E2CEF" w:rsidRDefault="002218F9" w:rsidP="002218F9">
            <w:pPr>
              <w:jc w:val="center"/>
              <w:rPr>
                <w:rFonts w:eastAsia="Times New Roman" w:cs="Arial"/>
                <w:lang w:eastAsia="it-CH"/>
              </w:rPr>
            </w:pPr>
            <w:r w:rsidRPr="004E2CEF">
              <w:rPr>
                <w:rFonts w:eastAsia="Times New Roman" w:cs="Arial"/>
                <w:lang w:eastAsia="it-CH"/>
              </w:rPr>
              <w:t>OW</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29057E2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52C629F6"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42603DA7"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3F37A2C5" w14:textId="77777777" w:rsidR="002218F9" w:rsidRPr="004E2CEF" w:rsidRDefault="002218F9" w:rsidP="002218F9">
            <w:pPr>
              <w:jc w:val="center"/>
              <w:rPr>
                <w:rFonts w:eastAsia="Times New Roman" w:cs="Arial"/>
                <w:lang w:eastAsia="it-CH"/>
              </w:rPr>
            </w:pPr>
            <w:r w:rsidRPr="004E2CEF">
              <w:rPr>
                <w:rFonts w:eastAsia="Times New Roman" w:cs="Arial"/>
                <w:lang w:eastAsia="it-CH"/>
              </w:rPr>
              <w:t>ZG</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546C3535"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564223B2"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1F872638"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012A0F48" w14:textId="77777777" w:rsidR="002218F9" w:rsidRPr="004E2CEF" w:rsidRDefault="002218F9" w:rsidP="002218F9">
            <w:pPr>
              <w:jc w:val="center"/>
              <w:rPr>
                <w:rFonts w:eastAsia="Times New Roman" w:cs="Arial"/>
                <w:lang w:eastAsia="it-CH"/>
              </w:rPr>
            </w:pPr>
            <w:r w:rsidRPr="004E2CEF">
              <w:rPr>
                <w:rFonts w:eastAsia="Times New Roman" w:cs="Arial"/>
                <w:lang w:eastAsia="it-CH"/>
              </w:rPr>
              <w:t>FR</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4598E7F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1606D787"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0829CDAF"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1ED1F375" w14:textId="77777777" w:rsidR="002218F9" w:rsidRPr="004E2CEF" w:rsidRDefault="002218F9" w:rsidP="002218F9">
            <w:pPr>
              <w:jc w:val="center"/>
              <w:rPr>
                <w:rFonts w:eastAsia="Times New Roman" w:cs="Arial"/>
                <w:lang w:eastAsia="it-CH"/>
              </w:rPr>
            </w:pPr>
            <w:r w:rsidRPr="004E2CEF">
              <w:rPr>
                <w:rFonts w:eastAsia="Times New Roman" w:cs="Arial"/>
                <w:lang w:eastAsia="it-CH"/>
              </w:rPr>
              <w:t>ZH</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7775A36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770B50DB"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1925ED49"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46C46A3F" w14:textId="77777777" w:rsidR="002218F9" w:rsidRPr="004E2CEF" w:rsidRDefault="002218F9" w:rsidP="002218F9">
            <w:pPr>
              <w:jc w:val="center"/>
              <w:rPr>
                <w:rFonts w:eastAsia="Times New Roman" w:cs="Arial"/>
                <w:lang w:eastAsia="it-CH"/>
              </w:rPr>
            </w:pPr>
            <w:r w:rsidRPr="004E2CEF">
              <w:rPr>
                <w:rFonts w:eastAsia="Times New Roman" w:cs="Arial"/>
                <w:lang w:eastAsia="it-CH"/>
              </w:rPr>
              <w:t>SO</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782CCB26"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697A6FF5"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51193A89"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F0CD6D8" w14:textId="77777777" w:rsidR="002218F9" w:rsidRPr="004E2CEF" w:rsidRDefault="002218F9" w:rsidP="002218F9">
            <w:pPr>
              <w:jc w:val="center"/>
              <w:rPr>
                <w:rFonts w:eastAsia="Times New Roman" w:cs="Arial"/>
                <w:lang w:eastAsia="it-CH"/>
              </w:rPr>
            </w:pPr>
            <w:r w:rsidRPr="004E2CEF">
              <w:rPr>
                <w:rFonts w:eastAsia="Times New Roman" w:cs="Arial"/>
                <w:lang w:eastAsia="it-CH"/>
              </w:rPr>
              <w:t>GL</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0A9B07B2"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7882E85D"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163ABA13"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4FE77242" w14:textId="77777777" w:rsidR="002218F9" w:rsidRPr="004E2CEF" w:rsidRDefault="002218F9" w:rsidP="002218F9">
            <w:pPr>
              <w:jc w:val="center"/>
              <w:rPr>
                <w:rFonts w:eastAsia="Times New Roman" w:cs="Arial"/>
                <w:lang w:eastAsia="it-CH"/>
              </w:rPr>
            </w:pPr>
            <w:r w:rsidRPr="004E2CEF">
              <w:rPr>
                <w:rFonts w:eastAsia="Times New Roman" w:cs="Arial"/>
                <w:lang w:eastAsia="it-CH"/>
              </w:rPr>
              <w:t>BE</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7D173BAB"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7F590C53"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616CCC28"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6601305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LU</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56A921DF"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318549CB"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2899B7E9"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25E10B73" w14:textId="77777777" w:rsidR="002218F9" w:rsidRPr="004E2CEF" w:rsidRDefault="002218F9" w:rsidP="002218F9">
            <w:pPr>
              <w:jc w:val="center"/>
              <w:rPr>
                <w:rFonts w:eastAsia="Times New Roman" w:cs="Arial"/>
                <w:lang w:eastAsia="it-CH"/>
              </w:rPr>
            </w:pPr>
            <w:r w:rsidRPr="004E2CEF">
              <w:rPr>
                <w:rFonts w:eastAsia="Times New Roman" w:cs="Arial"/>
                <w:lang w:eastAsia="it-CH"/>
              </w:rPr>
              <w:t>NE</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45810A5A"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0276F4CB"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549A92F3"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2C3126E9" w14:textId="77777777" w:rsidR="002218F9" w:rsidRPr="004E2CEF" w:rsidRDefault="002218F9" w:rsidP="002218F9">
            <w:pPr>
              <w:jc w:val="center"/>
              <w:rPr>
                <w:rFonts w:eastAsia="Times New Roman" w:cs="Arial"/>
                <w:lang w:eastAsia="it-CH"/>
              </w:rPr>
            </w:pPr>
            <w:r w:rsidRPr="004E2CEF">
              <w:rPr>
                <w:rFonts w:eastAsia="Times New Roman" w:cs="Arial"/>
                <w:lang w:eastAsia="it-CH"/>
              </w:rPr>
              <w:t>VS</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74AE8B23"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671CBD64"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345E8738"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49044427" w14:textId="77777777" w:rsidR="002218F9" w:rsidRPr="004E2CEF" w:rsidRDefault="002218F9" w:rsidP="002218F9">
            <w:pPr>
              <w:jc w:val="center"/>
              <w:rPr>
                <w:rFonts w:eastAsia="Times New Roman" w:cs="Arial"/>
                <w:lang w:eastAsia="it-CH"/>
              </w:rPr>
            </w:pPr>
            <w:r w:rsidRPr="004E2CEF">
              <w:rPr>
                <w:rFonts w:eastAsia="Times New Roman" w:cs="Arial"/>
                <w:lang w:eastAsia="it-CH"/>
              </w:rPr>
              <w:t>UR</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43B757C5"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6BAF04F8"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0C8D514D"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2976433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AG</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38FC6C18"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46CB9E86"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6AD3A569"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2474A98D" w14:textId="77777777" w:rsidR="002218F9" w:rsidRPr="004E2CEF" w:rsidRDefault="002218F9" w:rsidP="002218F9">
            <w:pPr>
              <w:jc w:val="center"/>
              <w:rPr>
                <w:rFonts w:eastAsia="Times New Roman" w:cs="Arial"/>
                <w:lang w:eastAsia="it-CH"/>
              </w:rPr>
            </w:pPr>
            <w:r w:rsidRPr="004E2CEF">
              <w:rPr>
                <w:rFonts w:eastAsia="Times New Roman" w:cs="Arial"/>
                <w:lang w:eastAsia="it-CH"/>
              </w:rPr>
              <w:t>SH</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2A99510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56C5517A"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6625F4CD"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47DA328" w14:textId="77777777" w:rsidR="002218F9" w:rsidRPr="004E2CEF" w:rsidRDefault="002218F9" w:rsidP="002218F9">
            <w:pPr>
              <w:jc w:val="center"/>
              <w:rPr>
                <w:rFonts w:eastAsia="Times New Roman" w:cs="Arial"/>
                <w:lang w:eastAsia="it-CH"/>
              </w:rPr>
            </w:pPr>
            <w:r w:rsidRPr="004E2CEF">
              <w:rPr>
                <w:rFonts w:eastAsia="Times New Roman" w:cs="Arial"/>
                <w:lang w:eastAsia="it-CH"/>
              </w:rPr>
              <w:t>VD</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72E912AA"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727DFB7E"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298CBE43"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92D493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TG</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395DCC25" w14:textId="77777777" w:rsidR="002218F9" w:rsidRPr="004E2CEF" w:rsidRDefault="002218F9" w:rsidP="002218F9">
            <w:pPr>
              <w:jc w:val="center"/>
              <w:rPr>
                <w:rFonts w:eastAsia="Times New Roman" w:cs="Arial"/>
                <w:lang w:eastAsia="it-CH"/>
              </w:rPr>
            </w:pPr>
            <w:r w:rsidRPr="004E2CEF">
              <w:rPr>
                <w:rFonts w:eastAsia="Times New Roman" w:cs="Arial"/>
                <w:lang w:eastAsia="it-CH"/>
              </w:rPr>
              <w:t xml:space="preserve">3% del reddito netto (minimo 2'000) </w:t>
            </w:r>
          </w:p>
        </w:tc>
        <w:tc>
          <w:tcPr>
            <w:tcW w:w="1454" w:type="dxa"/>
            <w:tcBorders>
              <w:top w:val="nil"/>
              <w:left w:val="nil"/>
              <w:bottom w:val="single" w:sz="4" w:space="0" w:color="auto"/>
              <w:right w:val="single" w:sz="8" w:space="0" w:color="auto"/>
            </w:tcBorders>
            <w:shd w:val="clear" w:color="auto" w:fill="auto"/>
            <w:noWrap/>
            <w:vAlign w:val="bottom"/>
            <w:hideMark/>
          </w:tcPr>
          <w:p w14:paraId="5E6D7E22"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79D68A96"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176BD700" w14:textId="77777777" w:rsidR="002218F9" w:rsidRPr="004E2CEF" w:rsidRDefault="002218F9" w:rsidP="002218F9">
            <w:pPr>
              <w:jc w:val="center"/>
              <w:rPr>
                <w:rFonts w:eastAsia="Times New Roman" w:cs="Arial"/>
                <w:lang w:eastAsia="it-CH"/>
              </w:rPr>
            </w:pPr>
            <w:r w:rsidRPr="004E2CEF">
              <w:rPr>
                <w:rFonts w:eastAsia="Times New Roman" w:cs="Arial"/>
                <w:lang w:eastAsia="it-CH"/>
              </w:rPr>
              <w:t>BS</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1F23D97E" w14:textId="77777777" w:rsidR="002218F9" w:rsidRPr="004E2CEF" w:rsidRDefault="002218F9" w:rsidP="002218F9">
            <w:pPr>
              <w:jc w:val="center"/>
              <w:rPr>
                <w:rFonts w:eastAsia="Times New Roman" w:cs="Arial"/>
                <w:lang w:eastAsia="it-CH"/>
              </w:rPr>
            </w:pPr>
            <w:r w:rsidRPr="004E2CEF">
              <w:rPr>
                <w:rFonts w:eastAsia="Times New Roman" w:cs="Arial"/>
                <w:lang w:eastAsia="it-CH"/>
              </w:rPr>
              <w:t>Deduzione forfettaria fissa</w:t>
            </w:r>
          </w:p>
        </w:tc>
        <w:tc>
          <w:tcPr>
            <w:tcW w:w="1454" w:type="dxa"/>
            <w:tcBorders>
              <w:top w:val="nil"/>
              <w:left w:val="nil"/>
              <w:bottom w:val="single" w:sz="4" w:space="0" w:color="auto"/>
              <w:right w:val="single" w:sz="8" w:space="0" w:color="auto"/>
            </w:tcBorders>
            <w:shd w:val="clear" w:color="auto" w:fill="auto"/>
            <w:noWrap/>
            <w:vAlign w:val="bottom"/>
            <w:hideMark/>
          </w:tcPr>
          <w:p w14:paraId="3D5B7CFB" w14:textId="77777777" w:rsidR="002218F9" w:rsidRPr="004E2CEF" w:rsidRDefault="002218F9" w:rsidP="002218F9">
            <w:pPr>
              <w:jc w:val="center"/>
              <w:rPr>
                <w:rFonts w:eastAsia="Times New Roman" w:cs="Arial"/>
                <w:lang w:eastAsia="it-CH"/>
              </w:rPr>
            </w:pPr>
            <w:r w:rsidRPr="004E2CEF">
              <w:rPr>
                <w:rFonts w:eastAsia="Times New Roman" w:cs="Arial"/>
                <w:lang w:eastAsia="it-CH"/>
              </w:rPr>
              <w:t>4'000</w:t>
            </w:r>
          </w:p>
        </w:tc>
      </w:tr>
      <w:tr w:rsidR="002218F9" w:rsidRPr="004E2CEF" w14:paraId="66A812C1"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368FA1CA" w14:textId="77777777" w:rsidR="002218F9" w:rsidRPr="004E2CEF" w:rsidRDefault="002218F9" w:rsidP="002218F9">
            <w:pPr>
              <w:jc w:val="center"/>
              <w:rPr>
                <w:rFonts w:eastAsia="Times New Roman" w:cs="Arial"/>
                <w:lang w:eastAsia="it-CH"/>
              </w:rPr>
            </w:pPr>
            <w:r w:rsidRPr="004E2CEF">
              <w:rPr>
                <w:rFonts w:eastAsia="Times New Roman" w:cs="Arial"/>
                <w:lang w:eastAsia="it-CH"/>
              </w:rPr>
              <w:t>JU</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3F3EA19E" w14:textId="77777777" w:rsidR="002218F9" w:rsidRPr="004E2CEF" w:rsidRDefault="002218F9" w:rsidP="002218F9">
            <w:pPr>
              <w:jc w:val="center"/>
              <w:rPr>
                <w:rFonts w:eastAsia="Times New Roman" w:cs="Arial"/>
                <w:lang w:eastAsia="it-CH"/>
              </w:rPr>
            </w:pPr>
            <w:r w:rsidRPr="004E2CEF">
              <w:rPr>
                <w:rFonts w:eastAsia="Times New Roman" w:cs="Arial"/>
                <w:lang w:eastAsia="it-CH"/>
              </w:rPr>
              <w:t>20% del reddito da attività lucrativa</w:t>
            </w:r>
          </w:p>
        </w:tc>
        <w:tc>
          <w:tcPr>
            <w:tcW w:w="1454" w:type="dxa"/>
            <w:tcBorders>
              <w:top w:val="nil"/>
              <w:left w:val="nil"/>
              <w:bottom w:val="single" w:sz="4" w:space="0" w:color="auto"/>
              <w:right w:val="single" w:sz="8" w:space="0" w:color="auto"/>
            </w:tcBorders>
            <w:shd w:val="clear" w:color="auto" w:fill="auto"/>
            <w:noWrap/>
            <w:vAlign w:val="bottom"/>
            <w:hideMark/>
          </w:tcPr>
          <w:p w14:paraId="60CAFF11" w14:textId="77777777" w:rsidR="002218F9" w:rsidRPr="004E2CEF" w:rsidRDefault="002218F9" w:rsidP="002218F9">
            <w:pPr>
              <w:jc w:val="center"/>
              <w:rPr>
                <w:rFonts w:eastAsia="Times New Roman" w:cs="Arial"/>
                <w:lang w:eastAsia="it-CH"/>
              </w:rPr>
            </w:pPr>
            <w:r w:rsidRPr="004E2CEF">
              <w:rPr>
                <w:rFonts w:eastAsia="Times New Roman" w:cs="Arial"/>
                <w:lang w:eastAsia="it-CH"/>
              </w:rPr>
              <w:t>3'800</w:t>
            </w:r>
          </w:p>
        </w:tc>
      </w:tr>
      <w:tr w:rsidR="002218F9" w:rsidRPr="004E2CEF" w14:paraId="6B51A4EE"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8E45F50" w14:textId="77777777" w:rsidR="002218F9" w:rsidRPr="004E2CEF" w:rsidRDefault="002218F9" w:rsidP="002218F9">
            <w:pPr>
              <w:jc w:val="center"/>
              <w:rPr>
                <w:rFonts w:eastAsia="Times New Roman" w:cs="Arial"/>
                <w:lang w:eastAsia="it-CH"/>
              </w:rPr>
            </w:pPr>
            <w:r w:rsidRPr="004E2CEF">
              <w:rPr>
                <w:rFonts w:eastAsia="Times New Roman" w:cs="Arial"/>
                <w:lang w:eastAsia="it-CH"/>
              </w:rPr>
              <w:t>GR</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4C295ACD" w14:textId="77777777" w:rsidR="002218F9" w:rsidRPr="004E2CEF" w:rsidRDefault="002218F9" w:rsidP="002218F9">
            <w:pPr>
              <w:jc w:val="center"/>
              <w:rPr>
                <w:rFonts w:eastAsia="Times New Roman" w:cs="Arial"/>
                <w:lang w:eastAsia="it-CH"/>
              </w:rPr>
            </w:pPr>
            <w:r w:rsidRPr="004E2CEF">
              <w:rPr>
                <w:rFonts w:eastAsia="Times New Roman" w:cs="Arial"/>
                <w:lang w:eastAsia="it-CH"/>
              </w:rPr>
              <w:t>10% del salario netto (minimo 1'300)</w:t>
            </w:r>
          </w:p>
        </w:tc>
        <w:tc>
          <w:tcPr>
            <w:tcW w:w="1454" w:type="dxa"/>
            <w:tcBorders>
              <w:top w:val="nil"/>
              <w:left w:val="nil"/>
              <w:bottom w:val="single" w:sz="4" w:space="0" w:color="auto"/>
              <w:right w:val="single" w:sz="8" w:space="0" w:color="auto"/>
            </w:tcBorders>
            <w:shd w:val="clear" w:color="auto" w:fill="auto"/>
            <w:noWrap/>
            <w:vAlign w:val="bottom"/>
            <w:hideMark/>
          </w:tcPr>
          <w:p w14:paraId="698D4309" w14:textId="77777777" w:rsidR="002218F9" w:rsidRPr="004E2CEF" w:rsidRDefault="002218F9" w:rsidP="002218F9">
            <w:pPr>
              <w:jc w:val="center"/>
              <w:rPr>
                <w:rFonts w:eastAsia="Times New Roman" w:cs="Arial"/>
                <w:lang w:eastAsia="it-CH"/>
              </w:rPr>
            </w:pPr>
            <w:r w:rsidRPr="004E2CEF">
              <w:rPr>
                <w:rFonts w:eastAsia="Times New Roman" w:cs="Arial"/>
                <w:lang w:eastAsia="it-CH"/>
              </w:rPr>
              <w:t>3'100</w:t>
            </w:r>
          </w:p>
        </w:tc>
      </w:tr>
      <w:tr w:rsidR="002218F9" w:rsidRPr="004E2CEF" w14:paraId="42E481A8"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3631378C" w14:textId="77777777" w:rsidR="002218F9" w:rsidRPr="004E2CEF" w:rsidRDefault="002218F9" w:rsidP="002218F9">
            <w:pPr>
              <w:jc w:val="center"/>
              <w:rPr>
                <w:rFonts w:eastAsia="Times New Roman" w:cs="Arial"/>
                <w:color w:val="FF0000"/>
                <w:lang w:eastAsia="it-CH"/>
              </w:rPr>
            </w:pPr>
            <w:r w:rsidRPr="004E2CEF">
              <w:rPr>
                <w:rFonts w:eastAsia="Times New Roman" w:cs="Arial"/>
                <w:color w:val="FF0000"/>
                <w:lang w:eastAsia="it-CH"/>
              </w:rPr>
              <w:t>TI</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192CBDB8" w14:textId="77777777" w:rsidR="002218F9" w:rsidRPr="004E2CEF" w:rsidRDefault="002218F9" w:rsidP="002218F9">
            <w:pPr>
              <w:jc w:val="center"/>
              <w:rPr>
                <w:rFonts w:eastAsia="Times New Roman" w:cs="Arial"/>
                <w:b/>
                <w:bCs/>
                <w:color w:val="FF0000"/>
                <w:lang w:eastAsia="it-CH"/>
              </w:rPr>
            </w:pPr>
            <w:r w:rsidRPr="004E2CEF">
              <w:rPr>
                <w:rFonts w:eastAsia="Times New Roman" w:cs="Arial"/>
                <w:b/>
                <w:bCs/>
                <w:color w:val="FF0000"/>
                <w:lang w:eastAsia="it-CH"/>
              </w:rPr>
              <w:t>Deduzione forfettaria fissa</w:t>
            </w:r>
          </w:p>
        </w:tc>
        <w:tc>
          <w:tcPr>
            <w:tcW w:w="1454" w:type="dxa"/>
            <w:tcBorders>
              <w:top w:val="nil"/>
              <w:left w:val="nil"/>
              <w:bottom w:val="single" w:sz="4" w:space="0" w:color="auto"/>
              <w:right w:val="single" w:sz="8" w:space="0" w:color="auto"/>
            </w:tcBorders>
            <w:shd w:val="clear" w:color="auto" w:fill="auto"/>
            <w:noWrap/>
            <w:vAlign w:val="bottom"/>
            <w:hideMark/>
          </w:tcPr>
          <w:p w14:paraId="6476F6BC" w14:textId="77777777" w:rsidR="002218F9" w:rsidRPr="004E2CEF" w:rsidRDefault="002218F9" w:rsidP="002218F9">
            <w:pPr>
              <w:jc w:val="center"/>
              <w:rPr>
                <w:rFonts w:eastAsia="Times New Roman" w:cs="Arial"/>
                <w:b/>
                <w:bCs/>
                <w:color w:val="FF0000"/>
                <w:lang w:eastAsia="it-CH"/>
              </w:rPr>
            </w:pPr>
            <w:r w:rsidRPr="004E2CEF">
              <w:rPr>
                <w:rFonts w:eastAsia="Times New Roman" w:cs="Arial"/>
                <w:b/>
                <w:bCs/>
                <w:color w:val="FF0000"/>
                <w:lang w:eastAsia="it-CH"/>
              </w:rPr>
              <w:t>2'500</w:t>
            </w:r>
          </w:p>
        </w:tc>
      </w:tr>
      <w:tr w:rsidR="002218F9" w:rsidRPr="004E2CEF" w14:paraId="327F9BA8"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34EF16E" w14:textId="77777777" w:rsidR="002218F9" w:rsidRPr="004E2CEF" w:rsidRDefault="002218F9" w:rsidP="002218F9">
            <w:pPr>
              <w:jc w:val="center"/>
              <w:rPr>
                <w:rFonts w:eastAsia="Times New Roman" w:cs="Arial"/>
                <w:lang w:eastAsia="it-CH"/>
              </w:rPr>
            </w:pPr>
            <w:r w:rsidRPr="004E2CEF">
              <w:rPr>
                <w:rFonts w:eastAsia="Times New Roman" w:cs="Arial"/>
                <w:lang w:eastAsia="it-CH"/>
              </w:rPr>
              <w:t>SG</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1690FC47" w14:textId="77777777" w:rsidR="002218F9" w:rsidRPr="004E2CEF" w:rsidRDefault="002218F9" w:rsidP="002218F9">
            <w:pPr>
              <w:jc w:val="center"/>
              <w:rPr>
                <w:rFonts w:eastAsia="Times New Roman" w:cs="Arial"/>
                <w:lang w:eastAsia="it-CH"/>
              </w:rPr>
            </w:pPr>
            <w:r w:rsidRPr="004E2CEF">
              <w:rPr>
                <w:rFonts w:eastAsia="Times New Roman" w:cs="Arial"/>
                <w:lang w:eastAsia="it-CH"/>
              </w:rPr>
              <w:t>Forfait base di 700 franchi, +10% del reddito netto</w:t>
            </w:r>
          </w:p>
        </w:tc>
        <w:tc>
          <w:tcPr>
            <w:tcW w:w="1454" w:type="dxa"/>
            <w:tcBorders>
              <w:top w:val="nil"/>
              <w:left w:val="nil"/>
              <w:bottom w:val="single" w:sz="4" w:space="0" w:color="auto"/>
              <w:right w:val="single" w:sz="8" w:space="0" w:color="auto"/>
            </w:tcBorders>
            <w:shd w:val="clear" w:color="auto" w:fill="auto"/>
            <w:noWrap/>
            <w:vAlign w:val="bottom"/>
            <w:hideMark/>
          </w:tcPr>
          <w:p w14:paraId="532AF82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2'400</w:t>
            </w:r>
          </w:p>
        </w:tc>
      </w:tr>
      <w:tr w:rsidR="002218F9" w:rsidRPr="004E2CEF" w14:paraId="404FF2C8"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6483568B" w14:textId="77777777" w:rsidR="002218F9" w:rsidRPr="004E2CEF" w:rsidRDefault="002218F9" w:rsidP="002218F9">
            <w:pPr>
              <w:jc w:val="center"/>
              <w:rPr>
                <w:rFonts w:eastAsia="Times New Roman" w:cs="Arial"/>
                <w:lang w:eastAsia="it-CH"/>
              </w:rPr>
            </w:pPr>
            <w:r w:rsidRPr="004E2CEF">
              <w:rPr>
                <w:rFonts w:eastAsia="Times New Roman" w:cs="Arial"/>
                <w:lang w:eastAsia="it-CH"/>
              </w:rPr>
              <w:t>AR</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1D9BFC86" w14:textId="77777777" w:rsidR="002218F9" w:rsidRPr="004E2CEF" w:rsidRDefault="002218F9" w:rsidP="002218F9">
            <w:pPr>
              <w:jc w:val="center"/>
              <w:rPr>
                <w:rFonts w:eastAsia="Times New Roman" w:cs="Arial"/>
                <w:lang w:eastAsia="it-CH"/>
              </w:rPr>
            </w:pPr>
            <w:r w:rsidRPr="004E2CEF">
              <w:rPr>
                <w:rFonts w:eastAsia="Times New Roman" w:cs="Arial"/>
                <w:lang w:eastAsia="it-CH"/>
              </w:rPr>
              <w:t>Forfait base di 700 franchi, +10% del reddito netto</w:t>
            </w:r>
          </w:p>
        </w:tc>
        <w:tc>
          <w:tcPr>
            <w:tcW w:w="1454" w:type="dxa"/>
            <w:tcBorders>
              <w:top w:val="nil"/>
              <w:left w:val="nil"/>
              <w:bottom w:val="single" w:sz="4" w:space="0" w:color="auto"/>
              <w:right w:val="single" w:sz="8" w:space="0" w:color="auto"/>
            </w:tcBorders>
            <w:shd w:val="clear" w:color="auto" w:fill="auto"/>
            <w:noWrap/>
            <w:vAlign w:val="bottom"/>
            <w:hideMark/>
          </w:tcPr>
          <w:p w14:paraId="043354F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2'400</w:t>
            </w:r>
          </w:p>
        </w:tc>
      </w:tr>
      <w:tr w:rsidR="002218F9" w:rsidRPr="004E2CEF" w14:paraId="6A431E01"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5621B514" w14:textId="77777777" w:rsidR="002218F9" w:rsidRPr="004E2CEF" w:rsidRDefault="002218F9" w:rsidP="002218F9">
            <w:pPr>
              <w:jc w:val="center"/>
              <w:rPr>
                <w:rFonts w:eastAsia="Times New Roman" w:cs="Arial"/>
                <w:lang w:eastAsia="it-CH"/>
              </w:rPr>
            </w:pPr>
            <w:r w:rsidRPr="004E2CEF">
              <w:rPr>
                <w:rFonts w:eastAsia="Times New Roman" w:cs="Arial"/>
                <w:lang w:eastAsia="it-CH"/>
              </w:rPr>
              <w:t>GE</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662C929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3% del reddito netto (minimo 609 franchi)</w:t>
            </w:r>
          </w:p>
        </w:tc>
        <w:tc>
          <w:tcPr>
            <w:tcW w:w="1454" w:type="dxa"/>
            <w:tcBorders>
              <w:top w:val="nil"/>
              <w:left w:val="nil"/>
              <w:bottom w:val="single" w:sz="4" w:space="0" w:color="auto"/>
              <w:right w:val="single" w:sz="8" w:space="0" w:color="auto"/>
            </w:tcBorders>
            <w:shd w:val="clear" w:color="auto" w:fill="auto"/>
            <w:noWrap/>
            <w:vAlign w:val="bottom"/>
            <w:hideMark/>
          </w:tcPr>
          <w:p w14:paraId="57015C69" w14:textId="77777777" w:rsidR="002218F9" w:rsidRPr="004E2CEF" w:rsidRDefault="002218F9" w:rsidP="002218F9">
            <w:pPr>
              <w:jc w:val="center"/>
              <w:rPr>
                <w:rFonts w:eastAsia="Times New Roman" w:cs="Arial"/>
                <w:lang w:eastAsia="it-CH"/>
              </w:rPr>
            </w:pPr>
            <w:r w:rsidRPr="004E2CEF">
              <w:rPr>
                <w:rFonts w:eastAsia="Times New Roman" w:cs="Arial"/>
                <w:lang w:eastAsia="it-CH"/>
              </w:rPr>
              <w:t>1'725</w:t>
            </w:r>
          </w:p>
        </w:tc>
      </w:tr>
      <w:tr w:rsidR="002218F9" w:rsidRPr="004E2CEF" w14:paraId="634FF56F" w14:textId="77777777" w:rsidTr="006C604A">
        <w:trPr>
          <w:trHeight w:val="301"/>
        </w:trPr>
        <w:tc>
          <w:tcPr>
            <w:tcW w:w="2020" w:type="dxa"/>
            <w:tcBorders>
              <w:top w:val="nil"/>
              <w:left w:val="single" w:sz="8" w:space="0" w:color="auto"/>
              <w:bottom w:val="single" w:sz="4" w:space="0" w:color="auto"/>
              <w:right w:val="nil"/>
            </w:tcBorders>
            <w:shd w:val="clear" w:color="auto" w:fill="auto"/>
            <w:noWrap/>
            <w:vAlign w:val="bottom"/>
            <w:hideMark/>
          </w:tcPr>
          <w:p w14:paraId="2BE301DA" w14:textId="77777777" w:rsidR="002218F9" w:rsidRPr="004E2CEF" w:rsidRDefault="002218F9" w:rsidP="002218F9">
            <w:pPr>
              <w:jc w:val="center"/>
              <w:rPr>
                <w:rFonts w:eastAsia="Times New Roman" w:cs="Arial"/>
                <w:lang w:eastAsia="it-CH"/>
              </w:rPr>
            </w:pPr>
            <w:r w:rsidRPr="004E2CEF">
              <w:rPr>
                <w:rFonts w:eastAsia="Times New Roman" w:cs="Arial"/>
                <w:lang w:eastAsia="it-CH"/>
              </w:rPr>
              <w:t>BL</w:t>
            </w:r>
          </w:p>
        </w:tc>
        <w:tc>
          <w:tcPr>
            <w:tcW w:w="6037" w:type="dxa"/>
            <w:tcBorders>
              <w:top w:val="nil"/>
              <w:left w:val="single" w:sz="8" w:space="0" w:color="auto"/>
              <w:bottom w:val="single" w:sz="4" w:space="0" w:color="auto"/>
              <w:right w:val="single" w:sz="8" w:space="0" w:color="auto"/>
            </w:tcBorders>
            <w:shd w:val="clear" w:color="auto" w:fill="auto"/>
            <w:noWrap/>
            <w:vAlign w:val="bottom"/>
            <w:hideMark/>
          </w:tcPr>
          <w:p w14:paraId="3ECADAD7" w14:textId="77777777" w:rsidR="002218F9" w:rsidRPr="004E2CEF" w:rsidRDefault="002218F9" w:rsidP="002218F9">
            <w:pPr>
              <w:jc w:val="center"/>
              <w:rPr>
                <w:rFonts w:eastAsia="Times New Roman" w:cs="Arial"/>
                <w:lang w:eastAsia="it-CH"/>
              </w:rPr>
            </w:pPr>
            <w:r w:rsidRPr="004E2CEF">
              <w:rPr>
                <w:rFonts w:eastAsia="Times New Roman" w:cs="Arial"/>
                <w:lang w:eastAsia="it-CH"/>
              </w:rPr>
              <w:t>Deduzione forfettaria fissa</w:t>
            </w:r>
          </w:p>
        </w:tc>
        <w:tc>
          <w:tcPr>
            <w:tcW w:w="1454" w:type="dxa"/>
            <w:tcBorders>
              <w:top w:val="nil"/>
              <w:left w:val="nil"/>
              <w:bottom w:val="single" w:sz="4" w:space="0" w:color="auto"/>
              <w:right w:val="single" w:sz="8" w:space="0" w:color="auto"/>
            </w:tcBorders>
            <w:shd w:val="clear" w:color="auto" w:fill="auto"/>
            <w:noWrap/>
            <w:vAlign w:val="bottom"/>
            <w:hideMark/>
          </w:tcPr>
          <w:p w14:paraId="073A515C" w14:textId="77777777" w:rsidR="002218F9" w:rsidRPr="004E2CEF" w:rsidRDefault="002218F9" w:rsidP="002218F9">
            <w:pPr>
              <w:jc w:val="center"/>
              <w:rPr>
                <w:rFonts w:eastAsia="Times New Roman" w:cs="Arial"/>
                <w:lang w:eastAsia="it-CH"/>
              </w:rPr>
            </w:pPr>
            <w:r w:rsidRPr="004E2CEF">
              <w:rPr>
                <w:rFonts w:eastAsia="Times New Roman" w:cs="Arial"/>
                <w:lang w:eastAsia="it-CH"/>
              </w:rPr>
              <w:t>500</w:t>
            </w:r>
          </w:p>
        </w:tc>
      </w:tr>
      <w:tr w:rsidR="002218F9" w:rsidRPr="004E2CEF" w14:paraId="182F5C4D" w14:textId="77777777" w:rsidTr="006C604A">
        <w:trPr>
          <w:trHeight w:val="301"/>
        </w:trPr>
        <w:tc>
          <w:tcPr>
            <w:tcW w:w="2020" w:type="dxa"/>
            <w:tcBorders>
              <w:top w:val="nil"/>
              <w:left w:val="single" w:sz="8" w:space="0" w:color="auto"/>
              <w:bottom w:val="single" w:sz="4" w:space="0" w:color="auto"/>
              <w:right w:val="single" w:sz="8" w:space="0" w:color="auto"/>
            </w:tcBorders>
            <w:shd w:val="clear" w:color="auto" w:fill="auto"/>
            <w:noWrap/>
            <w:vAlign w:val="bottom"/>
            <w:hideMark/>
          </w:tcPr>
          <w:p w14:paraId="0D879A50" w14:textId="77777777" w:rsidR="002218F9" w:rsidRPr="004E2CEF" w:rsidRDefault="002218F9" w:rsidP="002218F9">
            <w:pPr>
              <w:jc w:val="center"/>
              <w:rPr>
                <w:rFonts w:eastAsia="Times New Roman" w:cs="Arial"/>
                <w:b/>
                <w:bCs/>
                <w:color w:val="00B050"/>
                <w:lang w:eastAsia="it-CH"/>
              </w:rPr>
            </w:pPr>
            <w:r w:rsidRPr="004E2CEF">
              <w:rPr>
                <w:rFonts w:eastAsia="Times New Roman" w:cs="Arial"/>
                <w:b/>
                <w:bCs/>
                <w:color w:val="00B050"/>
                <w:lang w:eastAsia="it-CH"/>
              </w:rPr>
              <w:t>Media CH:</w:t>
            </w:r>
          </w:p>
        </w:tc>
        <w:tc>
          <w:tcPr>
            <w:tcW w:w="6037" w:type="dxa"/>
            <w:tcBorders>
              <w:top w:val="nil"/>
              <w:left w:val="nil"/>
              <w:bottom w:val="single" w:sz="4" w:space="0" w:color="auto"/>
              <w:right w:val="single" w:sz="8" w:space="0" w:color="auto"/>
            </w:tcBorders>
            <w:shd w:val="clear" w:color="auto" w:fill="auto"/>
            <w:noWrap/>
            <w:vAlign w:val="bottom"/>
            <w:hideMark/>
          </w:tcPr>
          <w:p w14:paraId="2637B3A0" w14:textId="77777777" w:rsidR="002218F9" w:rsidRPr="004E2CEF" w:rsidRDefault="002218F9" w:rsidP="002218F9">
            <w:pPr>
              <w:jc w:val="center"/>
              <w:rPr>
                <w:rFonts w:eastAsia="Times New Roman" w:cs="Arial"/>
                <w:b/>
                <w:bCs/>
                <w:color w:val="00B050"/>
                <w:lang w:eastAsia="it-CH"/>
              </w:rPr>
            </w:pPr>
            <w:r w:rsidRPr="004E2CEF">
              <w:rPr>
                <w:rFonts w:eastAsia="Times New Roman" w:cs="Arial"/>
                <w:b/>
                <w:bCs/>
                <w:color w:val="00B050"/>
                <w:lang w:eastAsia="it-CH"/>
              </w:rPr>
              <w:t> </w:t>
            </w:r>
          </w:p>
        </w:tc>
        <w:tc>
          <w:tcPr>
            <w:tcW w:w="1454" w:type="dxa"/>
            <w:tcBorders>
              <w:top w:val="nil"/>
              <w:left w:val="nil"/>
              <w:bottom w:val="single" w:sz="4" w:space="0" w:color="auto"/>
              <w:right w:val="single" w:sz="8" w:space="0" w:color="auto"/>
            </w:tcBorders>
            <w:shd w:val="clear" w:color="auto" w:fill="auto"/>
            <w:noWrap/>
            <w:vAlign w:val="bottom"/>
            <w:hideMark/>
          </w:tcPr>
          <w:p w14:paraId="41F2BC52" w14:textId="77777777" w:rsidR="002218F9" w:rsidRPr="004E2CEF" w:rsidRDefault="002218F9" w:rsidP="002218F9">
            <w:pPr>
              <w:jc w:val="center"/>
              <w:rPr>
                <w:rFonts w:eastAsia="Times New Roman" w:cs="Arial"/>
                <w:b/>
                <w:bCs/>
                <w:color w:val="00B050"/>
                <w:lang w:eastAsia="it-CH"/>
              </w:rPr>
            </w:pPr>
            <w:r w:rsidRPr="004E2CEF">
              <w:rPr>
                <w:rFonts w:eastAsia="Times New Roman" w:cs="Arial"/>
                <w:b/>
                <w:bCs/>
                <w:color w:val="00B050"/>
                <w:lang w:eastAsia="it-CH"/>
              </w:rPr>
              <w:t>3'820</w:t>
            </w:r>
          </w:p>
        </w:tc>
      </w:tr>
      <w:tr w:rsidR="002218F9" w:rsidRPr="004E2CEF" w14:paraId="23820AD0" w14:textId="77777777" w:rsidTr="006C604A">
        <w:trPr>
          <w:trHeight w:val="316"/>
        </w:trPr>
        <w:tc>
          <w:tcPr>
            <w:tcW w:w="2020" w:type="dxa"/>
            <w:tcBorders>
              <w:top w:val="nil"/>
              <w:left w:val="single" w:sz="8" w:space="0" w:color="auto"/>
              <w:bottom w:val="single" w:sz="8" w:space="0" w:color="auto"/>
              <w:right w:val="nil"/>
            </w:tcBorders>
            <w:shd w:val="clear" w:color="auto" w:fill="auto"/>
            <w:noWrap/>
            <w:vAlign w:val="bottom"/>
            <w:hideMark/>
          </w:tcPr>
          <w:p w14:paraId="6BF4A686" w14:textId="77777777" w:rsidR="002218F9" w:rsidRPr="004E2CEF" w:rsidRDefault="002218F9" w:rsidP="002218F9">
            <w:pPr>
              <w:jc w:val="center"/>
              <w:rPr>
                <w:rFonts w:eastAsia="Times New Roman" w:cs="Arial"/>
                <w:b/>
                <w:bCs/>
                <w:color w:val="ED7D31"/>
                <w:lang w:eastAsia="it-CH"/>
              </w:rPr>
            </w:pPr>
            <w:r w:rsidRPr="004E2CEF">
              <w:rPr>
                <w:rFonts w:eastAsia="Times New Roman" w:cs="Arial"/>
                <w:b/>
                <w:bCs/>
                <w:color w:val="ED7D31"/>
                <w:lang w:eastAsia="it-CH"/>
              </w:rPr>
              <w:t>LIFD</w:t>
            </w:r>
          </w:p>
        </w:tc>
        <w:tc>
          <w:tcPr>
            <w:tcW w:w="6037" w:type="dxa"/>
            <w:tcBorders>
              <w:top w:val="nil"/>
              <w:left w:val="single" w:sz="8" w:space="0" w:color="auto"/>
              <w:bottom w:val="single" w:sz="8" w:space="0" w:color="auto"/>
              <w:right w:val="single" w:sz="8" w:space="0" w:color="auto"/>
            </w:tcBorders>
            <w:shd w:val="clear" w:color="auto" w:fill="auto"/>
            <w:noWrap/>
            <w:vAlign w:val="bottom"/>
            <w:hideMark/>
          </w:tcPr>
          <w:p w14:paraId="23A5577F" w14:textId="77777777" w:rsidR="002218F9" w:rsidRPr="004E2CEF" w:rsidRDefault="002218F9" w:rsidP="002218F9">
            <w:pPr>
              <w:jc w:val="center"/>
              <w:rPr>
                <w:rFonts w:eastAsia="Times New Roman" w:cs="Arial"/>
                <w:b/>
                <w:bCs/>
                <w:color w:val="ED7D31"/>
                <w:lang w:eastAsia="it-CH"/>
              </w:rPr>
            </w:pPr>
            <w:r w:rsidRPr="004E2CEF">
              <w:rPr>
                <w:rFonts w:eastAsia="Times New Roman" w:cs="Arial"/>
                <w:b/>
                <w:bCs/>
                <w:color w:val="ED7D31"/>
                <w:lang w:eastAsia="it-CH"/>
              </w:rPr>
              <w:t xml:space="preserve">3% del reddito netto (minimo 2'000) </w:t>
            </w:r>
          </w:p>
        </w:tc>
        <w:tc>
          <w:tcPr>
            <w:tcW w:w="1454" w:type="dxa"/>
            <w:tcBorders>
              <w:top w:val="nil"/>
              <w:left w:val="nil"/>
              <w:bottom w:val="single" w:sz="8" w:space="0" w:color="auto"/>
              <w:right w:val="single" w:sz="8" w:space="0" w:color="auto"/>
            </w:tcBorders>
            <w:shd w:val="clear" w:color="auto" w:fill="auto"/>
            <w:noWrap/>
            <w:vAlign w:val="bottom"/>
            <w:hideMark/>
          </w:tcPr>
          <w:p w14:paraId="191A5D82" w14:textId="77777777" w:rsidR="002218F9" w:rsidRPr="004E2CEF" w:rsidRDefault="002218F9" w:rsidP="002218F9">
            <w:pPr>
              <w:jc w:val="center"/>
              <w:rPr>
                <w:rFonts w:eastAsia="Times New Roman" w:cs="Arial"/>
                <w:b/>
                <w:bCs/>
                <w:color w:val="ED7D31"/>
                <w:lang w:eastAsia="it-CH"/>
              </w:rPr>
            </w:pPr>
            <w:r w:rsidRPr="004E2CEF">
              <w:rPr>
                <w:rFonts w:eastAsia="Times New Roman" w:cs="Arial"/>
                <w:b/>
                <w:bCs/>
                <w:color w:val="ED7D31"/>
                <w:lang w:eastAsia="it-CH"/>
              </w:rPr>
              <w:t>4'000</w:t>
            </w:r>
          </w:p>
        </w:tc>
      </w:tr>
    </w:tbl>
    <w:p w14:paraId="4EE58515" w14:textId="77777777" w:rsidR="00707613" w:rsidRPr="004E2CEF" w:rsidRDefault="00707613" w:rsidP="00D33940">
      <w:pPr>
        <w:pStyle w:val="StandardRisoluzionedelConsigliodiStato"/>
        <w:ind w:right="-1"/>
      </w:pPr>
    </w:p>
    <w:p w14:paraId="562F6752" w14:textId="77777777" w:rsidR="00707613" w:rsidRPr="004E2CEF" w:rsidRDefault="00707613">
      <w:pPr>
        <w:rPr>
          <w:sz w:val="24"/>
        </w:rPr>
      </w:pPr>
      <w:r w:rsidRPr="004E2CEF">
        <w:br w:type="page"/>
      </w:r>
    </w:p>
    <w:p w14:paraId="739B95D2" w14:textId="35E0428F" w:rsidR="00707613" w:rsidRPr="004E2CEF" w:rsidRDefault="00707613" w:rsidP="006D2131">
      <w:pPr>
        <w:pStyle w:val="TABELLE"/>
      </w:pPr>
      <w:bookmarkStart w:id="61" w:name="_Toc139991926"/>
      <w:r w:rsidRPr="004E2CEF">
        <w:t xml:space="preserve">Tabella </w:t>
      </w:r>
      <w:r w:rsidR="006C604A">
        <w:t>2</w:t>
      </w:r>
      <w:r w:rsidR="00AA0792" w:rsidRPr="004E2CEF">
        <w:t xml:space="preserve">: </w:t>
      </w:r>
      <w:r w:rsidRPr="004E2CEF">
        <w:t>Deduzione forfettaria per altre spese professionali dell’attività accessoria nei 26 Cantoni e nella Confederazione per l'anno 2022</w:t>
      </w:r>
      <w:bookmarkEnd w:id="61"/>
    </w:p>
    <w:tbl>
      <w:tblPr>
        <w:tblW w:w="9422" w:type="dxa"/>
        <w:tblCellMar>
          <w:left w:w="70" w:type="dxa"/>
          <w:right w:w="70" w:type="dxa"/>
        </w:tblCellMar>
        <w:tblLook w:val="04A0" w:firstRow="1" w:lastRow="0" w:firstColumn="1" w:lastColumn="0" w:noHBand="0" w:noVBand="1"/>
      </w:tblPr>
      <w:tblGrid>
        <w:gridCol w:w="2001"/>
        <w:gridCol w:w="5980"/>
        <w:gridCol w:w="1441"/>
      </w:tblGrid>
      <w:tr w:rsidR="00707613" w:rsidRPr="004E2CEF" w14:paraId="2E341E58" w14:textId="77777777" w:rsidTr="006C604A">
        <w:trPr>
          <w:trHeight w:val="517"/>
        </w:trPr>
        <w:tc>
          <w:tcPr>
            <w:tcW w:w="2001" w:type="dxa"/>
            <w:vMerge w:val="restart"/>
            <w:tcBorders>
              <w:top w:val="single" w:sz="8" w:space="0" w:color="auto"/>
              <w:left w:val="single" w:sz="8" w:space="0" w:color="auto"/>
              <w:bottom w:val="single" w:sz="8" w:space="0" w:color="000000"/>
              <w:right w:val="single" w:sz="8" w:space="0" w:color="auto"/>
            </w:tcBorders>
            <w:shd w:val="clear" w:color="auto" w:fill="D6E3BC" w:themeFill="accent3" w:themeFillTint="66"/>
            <w:noWrap/>
            <w:vAlign w:val="center"/>
            <w:hideMark/>
          </w:tcPr>
          <w:p w14:paraId="32CF7BBF" w14:textId="77777777" w:rsidR="00707613" w:rsidRPr="004E2CEF" w:rsidRDefault="00707613" w:rsidP="00707613">
            <w:pPr>
              <w:jc w:val="center"/>
              <w:rPr>
                <w:rFonts w:eastAsia="Times New Roman" w:cs="Arial"/>
                <w:b/>
                <w:lang w:eastAsia="it-CH"/>
              </w:rPr>
            </w:pPr>
            <w:r w:rsidRPr="004E2CEF">
              <w:rPr>
                <w:rFonts w:eastAsia="Times New Roman" w:cs="Arial"/>
                <w:b/>
                <w:lang w:eastAsia="it-CH"/>
              </w:rPr>
              <w:t>Cantone</w:t>
            </w:r>
          </w:p>
        </w:tc>
        <w:tc>
          <w:tcPr>
            <w:tcW w:w="5980" w:type="dxa"/>
            <w:vMerge w:val="restart"/>
            <w:tcBorders>
              <w:top w:val="single" w:sz="8" w:space="0" w:color="auto"/>
              <w:left w:val="single" w:sz="8" w:space="0" w:color="auto"/>
              <w:bottom w:val="single" w:sz="8" w:space="0" w:color="000000"/>
              <w:right w:val="single" w:sz="8" w:space="0" w:color="auto"/>
            </w:tcBorders>
            <w:shd w:val="clear" w:color="auto" w:fill="D6E3BC" w:themeFill="accent3" w:themeFillTint="66"/>
            <w:vAlign w:val="center"/>
            <w:hideMark/>
          </w:tcPr>
          <w:p w14:paraId="5CCB1BF0" w14:textId="77777777" w:rsidR="00707613" w:rsidRPr="004E2CEF" w:rsidRDefault="00707613" w:rsidP="00707613">
            <w:pPr>
              <w:jc w:val="center"/>
              <w:rPr>
                <w:rFonts w:eastAsia="Times New Roman" w:cs="Arial"/>
                <w:b/>
                <w:lang w:eastAsia="it-CH"/>
              </w:rPr>
            </w:pPr>
            <w:r w:rsidRPr="004E2CEF">
              <w:rPr>
                <w:rFonts w:eastAsia="Times New Roman" w:cs="Arial"/>
                <w:b/>
                <w:lang w:eastAsia="it-CH"/>
              </w:rPr>
              <w:t>Regolamentazione</w:t>
            </w:r>
          </w:p>
        </w:tc>
        <w:tc>
          <w:tcPr>
            <w:tcW w:w="1441" w:type="dxa"/>
            <w:tcBorders>
              <w:top w:val="single" w:sz="8" w:space="0" w:color="auto"/>
              <w:left w:val="nil"/>
              <w:bottom w:val="nil"/>
              <w:right w:val="single" w:sz="8" w:space="0" w:color="auto"/>
            </w:tcBorders>
            <w:shd w:val="clear" w:color="auto" w:fill="D6E3BC" w:themeFill="accent3" w:themeFillTint="66"/>
            <w:vAlign w:val="center"/>
            <w:hideMark/>
          </w:tcPr>
          <w:p w14:paraId="76FB9FF3" w14:textId="77777777" w:rsidR="00707613" w:rsidRPr="004E2CEF" w:rsidRDefault="00707613" w:rsidP="00707613">
            <w:pPr>
              <w:jc w:val="center"/>
              <w:rPr>
                <w:rFonts w:eastAsia="Times New Roman" w:cs="Arial"/>
                <w:b/>
                <w:lang w:eastAsia="it-CH"/>
              </w:rPr>
            </w:pPr>
            <w:r w:rsidRPr="004E2CEF">
              <w:rPr>
                <w:rFonts w:eastAsia="Times New Roman" w:cs="Arial"/>
                <w:b/>
                <w:lang w:eastAsia="it-CH"/>
              </w:rPr>
              <w:t>Deduzione massima</w:t>
            </w:r>
          </w:p>
        </w:tc>
      </w:tr>
      <w:tr w:rsidR="00707613" w:rsidRPr="004E2CEF" w14:paraId="147C4CDC" w14:textId="77777777" w:rsidTr="006C604A">
        <w:trPr>
          <w:trHeight w:val="319"/>
        </w:trPr>
        <w:tc>
          <w:tcPr>
            <w:tcW w:w="2001" w:type="dxa"/>
            <w:vMerge/>
            <w:tcBorders>
              <w:top w:val="single" w:sz="8" w:space="0" w:color="auto"/>
              <w:left w:val="single" w:sz="8" w:space="0" w:color="auto"/>
              <w:bottom w:val="single" w:sz="8" w:space="0" w:color="000000"/>
              <w:right w:val="single" w:sz="8" w:space="0" w:color="auto"/>
            </w:tcBorders>
            <w:shd w:val="clear" w:color="auto" w:fill="D6E3BC" w:themeFill="accent3" w:themeFillTint="66"/>
            <w:vAlign w:val="center"/>
            <w:hideMark/>
          </w:tcPr>
          <w:p w14:paraId="207CF38E" w14:textId="77777777" w:rsidR="00707613" w:rsidRPr="004E2CEF" w:rsidRDefault="00707613" w:rsidP="00707613">
            <w:pPr>
              <w:jc w:val="left"/>
              <w:rPr>
                <w:rFonts w:eastAsia="Times New Roman" w:cs="Arial"/>
                <w:b/>
                <w:lang w:eastAsia="it-CH"/>
              </w:rPr>
            </w:pPr>
          </w:p>
        </w:tc>
        <w:tc>
          <w:tcPr>
            <w:tcW w:w="5980" w:type="dxa"/>
            <w:vMerge/>
            <w:tcBorders>
              <w:top w:val="single" w:sz="8" w:space="0" w:color="auto"/>
              <w:left w:val="single" w:sz="8" w:space="0" w:color="auto"/>
              <w:bottom w:val="single" w:sz="8" w:space="0" w:color="000000"/>
              <w:right w:val="single" w:sz="8" w:space="0" w:color="auto"/>
            </w:tcBorders>
            <w:shd w:val="clear" w:color="auto" w:fill="D6E3BC" w:themeFill="accent3" w:themeFillTint="66"/>
            <w:vAlign w:val="center"/>
            <w:hideMark/>
          </w:tcPr>
          <w:p w14:paraId="74986367" w14:textId="77777777" w:rsidR="00707613" w:rsidRPr="004E2CEF" w:rsidRDefault="00707613" w:rsidP="00707613">
            <w:pPr>
              <w:jc w:val="left"/>
              <w:rPr>
                <w:rFonts w:eastAsia="Times New Roman" w:cs="Arial"/>
                <w:b/>
                <w:lang w:eastAsia="it-CH"/>
              </w:rPr>
            </w:pPr>
          </w:p>
        </w:tc>
        <w:tc>
          <w:tcPr>
            <w:tcW w:w="1441" w:type="dxa"/>
            <w:tcBorders>
              <w:top w:val="nil"/>
              <w:left w:val="nil"/>
              <w:bottom w:val="single" w:sz="8" w:space="0" w:color="auto"/>
              <w:right w:val="single" w:sz="8" w:space="0" w:color="auto"/>
            </w:tcBorders>
            <w:shd w:val="clear" w:color="auto" w:fill="D6E3BC" w:themeFill="accent3" w:themeFillTint="66"/>
            <w:hideMark/>
          </w:tcPr>
          <w:p w14:paraId="152A57F0" w14:textId="77777777" w:rsidR="00707613" w:rsidRPr="004E2CEF" w:rsidRDefault="00707613" w:rsidP="00707613">
            <w:pPr>
              <w:jc w:val="center"/>
              <w:rPr>
                <w:rFonts w:eastAsia="Times New Roman" w:cs="Arial"/>
                <w:b/>
                <w:i/>
                <w:iCs/>
                <w:lang w:eastAsia="it-CH"/>
              </w:rPr>
            </w:pPr>
            <w:r w:rsidRPr="004E2CEF">
              <w:rPr>
                <w:rFonts w:eastAsia="Times New Roman" w:cs="Arial"/>
                <w:b/>
                <w:i/>
                <w:iCs/>
                <w:lang w:eastAsia="it-CH"/>
              </w:rPr>
              <w:t>in franchi</w:t>
            </w:r>
          </w:p>
        </w:tc>
      </w:tr>
      <w:tr w:rsidR="00707613" w:rsidRPr="004E2CEF" w14:paraId="506437C8"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center"/>
            <w:hideMark/>
          </w:tcPr>
          <w:p w14:paraId="7F9D500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BS</w:t>
            </w:r>
          </w:p>
        </w:tc>
        <w:tc>
          <w:tcPr>
            <w:tcW w:w="5980" w:type="dxa"/>
            <w:tcBorders>
              <w:top w:val="nil"/>
              <w:left w:val="single" w:sz="8" w:space="0" w:color="auto"/>
              <w:bottom w:val="single" w:sz="4" w:space="0" w:color="auto"/>
              <w:right w:val="single" w:sz="8" w:space="0" w:color="auto"/>
            </w:tcBorders>
            <w:shd w:val="clear" w:color="auto" w:fill="auto"/>
            <w:vAlign w:val="center"/>
            <w:hideMark/>
          </w:tcPr>
          <w:p w14:paraId="511376D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Deduzione forfettaria fissa</w:t>
            </w:r>
          </w:p>
        </w:tc>
        <w:tc>
          <w:tcPr>
            <w:tcW w:w="1441" w:type="dxa"/>
            <w:tcBorders>
              <w:top w:val="nil"/>
              <w:left w:val="nil"/>
              <w:bottom w:val="single" w:sz="4" w:space="0" w:color="auto"/>
              <w:right w:val="single" w:sz="8" w:space="0" w:color="auto"/>
            </w:tcBorders>
            <w:shd w:val="clear" w:color="auto" w:fill="auto"/>
            <w:noWrap/>
            <w:vAlign w:val="bottom"/>
            <w:hideMark/>
          </w:tcPr>
          <w:p w14:paraId="72C37B75" w14:textId="77777777" w:rsidR="00707613" w:rsidRPr="004E2CEF" w:rsidRDefault="00707613" w:rsidP="00707613">
            <w:pPr>
              <w:jc w:val="center"/>
              <w:rPr>
                <w:rFonts w:eastAsia="Times New Roman" w:cs="Arial"/>
                <w:lang w:eastAsia="it-CH"/>
              </w:rPr>
            </w:pPr>
            <w:r w:rsidRPr="004E2CEF">
              <w:rPr>
                <w:rFonts w:eastAsia="Times New Roman" w:cs="Arial"/>
                <w:lang w:eastAsia="it-CH"/>
              </w:rPr>
              <w:t>4'000</w:t>
            </w:r>
          </w:p>
        </w:tc>
      </w:tr>
      <w:tr w:rsidR="00707613" w:rsidRPr="004E2CEF" w14:paraId="645073E9"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2FBCCC4C" w14:textId="77777777" w:rsidR="00707613" w:rsidRPr="004E2CEF" w:rsidRDefault="00707613" w:rsidP="00707613">
            <w:pPr>
              <w:jc w:val="center"/>
              <w:rPr>
                <w:rFonts w:eastAsia="Times New Roman" w:cs="Arial"/>
                <w:lang w:eastAsia="it-CH"/>
              </w:rPr>
            </w:pPr>
            <w:r w:rsidRPr="004E2CEF">
              <w:rPr>
                <w:rFonts w:eastAsia="Times New Roman" w:cs="Arial"/>
                <w:lang w:eastAsia="it-CH"/>
              </w:rPr>
              <w:t>NW</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78F654E0"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1D230A5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7400224A"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7D7B9658" w14:textId="77777777" w:rsidR="00707613" w:rsidRPr="004E2CEF" w:rsidRDefault="00707613" w:rsidP="00707613">
            <w:pPr>
              <w:jc w:val="center"/>
              <w:rPr>
                <w:rFonts w:eastAsia="Times New Roman" w:cs="Arial"/>
                <w:lang w:eastAsia="it-CH"/>
              </w:rPr>
            </w:pPr>
            <w:r w:rsidRPr="004E2CEF">
              <w:rPr>
                <w:rFonts w:eastAsia="Times New Roman" w:cs="Arial"/>
                <w:lang w:eastAsia="it-CH"/>
              </w:rPr>
              <w:t>AI</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0943B2F8"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05359775"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19AB813A"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44307954" w14:textId="77777777" w:rsidR="00707613" w:rsidRPr="004E2CEF" w:rsidRDefault="00707613" w:rsidP="00707613">
            <w:pPr>
              <w:jc w:val="center"/>
              <w:rPr>
                <w:rFonts w:eastAsia="Times New Roman" w:cs="Arial"/>
                <w:lang w:eastAsia="it-CH"/>
              </w:rPr>
            </w:pPr>
            <w:r w:rsidRPr="004E2CEF">
              <w:rPr>
                <w:rFonts w:eastAsia="Times New Roman" w:cs="Arial"/>
                <w:lang w:eastAsia="it-CH"/>
              </w:rPr>
              <w:t>OW</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12AB5C84"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5308F4FD"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31A04BE8"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6389567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JU</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26C6657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242EC74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5F85174E"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6D8CDDF1" w14:textId="77777777" w:rsidR="00707613" w:rsidRPr="004E2CEF" w:rsidRDefault="00707613" w:rsidP="00707613">
            <w:pPr>
              <w:jc w:val="center"/>
              <w:rPr>
                <w:rFonts w:eastAsia="Times New Roman" w:cs="Arial"/>
                <w:lang w:eastAsia="it-CH"/>
              </w:rPr>
            </w:pPr>
            <w:r w:rsidRPr="004E2CEF">
              <w:rPr>
                <w:rFonts w:eastAsia="Times New Roman" w:cs="Arial"/>
                <w:lang w:eastAsia="it-CH"/>
              </w:rPr>
              <w:t>GR</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502B5E8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2AD59A16"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574D9302"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0FDBF8F6" w14:textId="77777777" w:rsidR="00707613" w:rsidRPr="004E2CEF" w:rsidRDefault="00707613" w:rsidP="00707613">
            <w:pPr>
              <w:jc w:val="center"/>
              <w:rPr>
                <w:rFonts w:eastAsia="Times New Roman" w:cs="Arial"/>
                <w:lang w:eastAsia="it-CH"/>
              </w:rPr>
            </w:pPr>
            <w:r w:rsidRPr="004E2CEF">
              <w:rPr>
                <w:rFonts w:eastAsia="Times New Roman" w:cs="Arial"/>
                <w:lang w:eastAsia="it-CH"/>
              </w:rPr>
              <w:t>ZG</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04EA9EE2"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37DDE95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365D30CC"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560D9CD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FR</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63472AF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3C48226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69BA559C"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3025D85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ZH</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36E9D128"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4309CAE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4D7AC908"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2C734360" w14:textId="77777777" w:rsidR="00707613" w:rsidRPr="004E2CEF" w:rsidRDefault="00707613" w:rsidP="00707613">
            <w:pPr>
              <w:jc w:val="center"/>
              <w:rPr>
                <w:rFonts w:eastAsia="Times New Roman" w:cs="Arial"/>
                <w:lang w:eastAsia="it-CH"/>
              </w:rPr>
            </w:pPr>
            <w:r w:rsidRPr="004E2CEF">
              <w:rPr>
                <w:rFonts w:eastAsia="Times New Roman" w:cs="Arial"/>
                <w:lang w:eastAsia="it-CH"/>
              </w:rPr>
              <w:t>SO</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5CEC7D75"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7795EB8F"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3DF7F70F"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7A7F09F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GL</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76ADAB81"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7F997A5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2FB7C033"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6CCDD9F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BE</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303062B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4B484CD1"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23C94972"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375528F0" w14:textId="77777777" w:rsidR="00707613" w:rsidRPr="004E2CEF" w:rsidRDefault="00707613" w:rsidP="00707613">
            <w:pPr>
              <w:jc w:val="center"/>
              <w:rPr>
                <w:rFonts w:eastAsia="Times New Roman" w:cs="Arial"/>
                <w:lang w:eastAsia="it-CH"/>
              </w:rPr>
            </w:pPr>
            <w:r w:rsidRPr="004E2CEF">
              <w:rPr>
                <w:rFonts w:eastAsia="Times New Roman" w:cs="Arial"/>
                <w:lang w:eastAsia="it-CH"/>
              </w:rPr>
              <w:t>LU</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591052CE"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62459DF2"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13AA1D1D"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7C136FE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NE</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10B8FAC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2379D341"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105BA696"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002B935E" w14:textId="77777777" w:rsidR="00707613" w:rsidRPr="004E2CEF" w:rsidRDefault="00707613" w:rsidP="00707613">
            <w:pPr>
              <w:jc w:val="center"/>
              <w:rPr>
                <w:rFonts w:eastAsia="Times New Roman" w:cs="Arial"/>
                <w:lang w:eastAsia="it-CH"/>
              </w:rPr>
            </w:pPr>
            <w:r w:rsidRPr="004E2CEF">
              <w:rPr>
                <w:rFonts w:eastAsia="Times New Roman" w:cs="Arial"/>
                <w:lang w:eastAsia="it-CH"/>
              </w:rPr>
              <w:t>VS</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22C1289C"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673FA9A2"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5247FE31"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2712903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SG</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0E32C7D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4D29A912"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213E41FD"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2EEF71CC" w14:textId="77777777" w:rsidR="00707613" w:rsidRPr="004E2CEF" w:rsidRDefault="00707613" w:rsidP="00707613">
            <w:pPr>
              <w:jc w:val="center"/>
              <w:rPr>
                <w:rFonts w:eastAsia="Times New Roman" w:cs="Arial"/>
                <w:lang w:eastAsia="it-CH"/>
              </w:rPr>
            </w:pPr>
            <w:r w:rsidRPr="004E2CEF">
              <w:rPr>
                <w:rFonts w:eastAsia="Times New Roman" w:cs="Arial"/>
                <w:lang w:eastAsia="it-CH"/>
              </w:rPr>
              <w:t>UR</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32ED6A5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59154D2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50B9E9DB"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6C7658CE" w14:textId="77777777" w:rsidR="00707613" w:rsidRPr="004E2CEF" w:rsidRDefault="00707613" w:rsidP="00707613">
            <w:pPr>
              <w:jc w:val="center"/>
              <w:rPr>
                <w:rFonts w:eastAsia="Times New Roman" w:cs="Arial"/>
                <w:lang w:eastAsia="it-CH"/>
              </w:rPr>
            </w:pPr>
            <w:r w:rsidRPr="004E2CEF">
              <w:rPr>
                <w:rFonts w:eastAsia="Times New Roman" w:cs="Arial"/>
                <w:lang w:eastAsia="it-CH"/>
              </w:rPr>
              <w:t>AR</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1339C522"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2A4C6B3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5303C34E"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074D5E5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AG</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3E28D2AC"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3F26EAA0"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617AE378"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5268769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SH</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0C9AE809"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2DC45EF0"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7980391A"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42755AF8" w14:textId="77777777" w:rsidR="00707613" w:rsidRPr="004E2CEF" w:rsidRDefault="00707613" w:rsidP="00707613">
            <w:pPr>
              <w:jc w:val="center"/>
              <w:rPr>
                <w:rFonts w:eastAsia="Times New Roman" w:cs="Arial"/>
                <w:lang w:eastAsia="it-CH"/>
              </w:rPr>
            </w:pPr>
            <w:r w:rsidRPr="004E2CEF">
              <w:rPr>
                <w:rFonts w:eastAsia="Times New Roman" w:cs="Arial"/>
                <w:lang w:eastAsia="it-CH"/>
              </w:rPr>
              <w:t>VD</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2B2FB6E9"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6088C1D0"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4ECD287C"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471B93E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BL</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0805EFB2"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66C92CEB"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347F0C19"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2F96F33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TG</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4CFD5A79" w14:textId="77777777" w:rsidR="00707613" w:rsidRPr="004E2CEF" w:rsidRDefault="00707613" w:rsidP="00707613">
            <w:pPr>
              <w:jc w:val="center"/>
              <w:rPr>
                <w:rFonts w:eastAsia="Times New Roman" w:cs="Arial"/>
                <w:lang w:eastAsia="it-CH"/>
              </w:rPr>
            </w:pPr>
            <w:r w:rsidRPr="004E2CEF">
              <w:rPr>
                <w:rFonts w:eastAsia="Times New Roman" w:cs="Arial"/>
                <w:lang w:eastAsia="it-CH"/>
              </w:rPr>
              <w:t xml:space="preserve">20% del reddito netto (minimo 800) </w:t>
            </w:r>
          </w:p>
        </w:tc>
        <w:tc>
          <w:tcPr>
            <w:tcW w:w="1441" w:type="dxa"/>
            <w:tcBorders>
              <w:top w:val="nil"/>
              <w:left w:val="nil"/>
              <w:bottom w:val="single" w:sz="4" w:space="0" w:color="auto"/>
              <w:right w:val="single" w:sz="8" w:space="0" w:color="auto"/>
            </w:tcBorders>
            <w:shd w:val="clear" w:color="auto" w:fill="auto"/>
            <w:noWrap/>
            <w:vAlign w:val="bottom"/>
            <w:hideMark/>
          </w:tcPr>
          <w:p w14:paraId="2E84B77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2'400</w:t>
            </w:r>
          </w:p>
        </w:tc>
      </w:tr>
      <w:tr w:rsidR="00707613" w:rsidRPr="004E2CEF" w14:paraId="460261CB"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08FFF9F2" w14:textId="77777777" w:rsidR="00707613" w:rsidRPr="004E2CEF" w:rsidRDefault="00707613" w:rsidP="00707613">
            <w:pPr>
              <w:jc w:val="center"/>
              <w:rPr>
                <w:rFonts w:eastAsia="Times New Roman" w:cs="Arial"/>
                <w:color w:val="FF0000"/>
                <w:lang w:eastAsia="it-CH"/>
              </w:rPr>
            </w:pPr>
            <w:r w:rsidRPr="004E2CEF">
              <w:rPr>
                <w:rFonts w:eastAsia="Times New Roman" w:cs="Arial"/>
                <w:color w:val="FF0000"/>
                <w:lang w:eastAsia="it-CH"/>
              </w:rPr>
              <w:t>TI</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5F246ABD" w14:textId="77777777" w:rsidR="00707613" w:rsidRPr="004E2CEF" w:rsidRDefault="00707613" w:rsidP="00707613">
            <w:pPr>
              <w:jc w:val="center"/>
              <w:rPr>
                <w:rFonts w:eastAsia="Times New Roman" w:cs="Arial"/>
                <w:b/>
                <w:bCs/>
                <w:color w:val="FF0000"/>
                <w:lang w:eastAsia="it-CH"/>
              </w:rPr>
            </w:pPr>
            <w:r w:rsidRPr="004E2CEF">
              <w:rPr>
                <w:rFonts w:eastAsia="Times New Roman" w:cs="Arial"/>
                <w:b/>
                <w:bCs/>
                <w:color w:val="FF0000"/>
                <w:lang w:eastAsia="it-CH"/>
              </w:rPr>
              <w:t>Deduzione forfettaria fissa</w:t>
            </w:r>
          </w:p>
        </w:tc>
        <w:tc>
          <w:tcPr>
            <w:tcW w:w="1441" w:type="dxa"/>
            <w:tcBorders>
              <w:top w:val="nil"/>
              <w:left w:val="nil"/>
              <w:bottom w:val="single" w:sz="4" w:space="0" w:color="auto"/>
              <w:right w:val="single" w:sz="8" w:space="0" w:color="auto"/>
            </w:tcBorders>
            <w:shd w:val="clear" w:color="auto" w:fill="auto"/>
            <w:noWrap/>
            <w:vAlign w:val="bottom"/>
            <w:hideMark/>
          </w:tcPr>
          <w:p w14:paraId="131FCCD9" w14:textId="77777777" w:rsidR="00707613" w:rsidRPr="004E2CEF" w:rsidRDefault="00707613" w:rsidP="00707613">
            <w:pPr>
              <w:jc w:val="center"/>
              <w:rPr>
                <w:rFonts w:eastAsia="Times New Roman" w:cs="Arial"/>
                <w:b/>
                <w:bCs/>
                <w:color w:val="FF0000"/>
                <w:lang w:eastAsia="it-CH"/>
              </w:rPr>
            </w:pPr>
            <w:r w:rsidRPr="004E2CEF">
              <w:rPr>
                <w:rFonts w:eastAsia="Times New Roman" w:cs="Arial"/>
                <w:b/>
                <w:bCs/>
                <w:color w:val="FF0000"/>
                <w:lang w:eastAsia="it-CH"/>
              </w:rPr>
              <w:t>800</w:t>
            </w:r>
          </w:p>
        </w:tc>
      </w:tr>
      <w:tr w:rsidR="00707613" w:rsidRPr="004E2CEF" w14:paraId="7A9E5A9C"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646E9517" w14:textId="77777777" w:rsidR="00707613" w:rsidRPr="004E2CEF" w:rsidRDefault="00707613" w:rsidP="00707613">
            <w:pPr>
              <w:jc w:val="center"/>
              <w:rPr>
                <w:rFonts w:eastAsia="Times New Roman" w:cs="Arial"/>
                <w:lang w:eastAsia="it-CH"/>
              </w:rPr>
            </w:pPr>
            <w:r w:rsidRPr="004E2CEF">
              <w:rPr>
                <w:rFonts w:eastAsia="Times New Roman" w:cs="Arial"/>
                <w:lang w:eastAsia="it-CH"/>
              </w:rPr>
              <w:t>SZ</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015A863A" w14:textId="77777777" w:rsidR="00707613" w:rsidRPr="004E2CEF" w:rsidRDefault="00707613" w:rsidP="00707613">
            <w:pPr>
              <w:jc w:val="center"/>
              <w:rPr>
                <w:rFonts w:eastAsia="Times New Roman" w:cs="Arial"/>
                <w:lang w:eastAsia="it-CH"/>
              </w:rPr>
            </w:pPr>
            <w:r w:rsidRPr="004E2CEF">
              <w:rPr>
                <w:rFonts w:eastAsia="Times New Roman" w:cs="Arial"/>
                <w:lang w:eastAsia="it-CH"/>
              </w:rPr>
              <w:t>Nessuna deduzione</w:t>
            </w:r>
          </w:p>
        </w:tc>
        <w:tc>
          <w:tcPr>
            <w:tcW w:w="1441" w:type="dxa"/>
            <w:tcBorders>
              <w:top w:val="nil"/>
              <w:left w:val="nil"/>
              <w:bottom w:val="single" w:sz="4" w:space="0" w:color="auto"/>
              <w:right w:val="single" w:sz="8" w:space="0" w:color="auto"/>
            </w:tcBorders>
            <w:shd w:val="clear" w:color="auto" w:fill="auto"/>
            <w:noWrap/>
            <w:vAlign w:val="bottom"/>
            <w:hideMark/>
          </w:tcPr>
          <w:p w14:paraId="08DBFDA5" w14:textId="77777777" w:rsidR="00707613" w:rsidRPr="004E2CEF" w:rsidRDefault="00707613" w:rsidP="00707613">
            <w:pPr>
              <w:jc w:val="center"/>
              <w:rPr>
                <w:rFonts w:eastAsia="Times New Roman" w:cs="Arial"/>
                <w:lang w:eastAsia="it-CH"/>
              </w:rPr>
            </w:pPr>
            <w:r w:rsidRPr="004E2CEF">
              <w:rPr>
                <w:rFonts w:eastAsia="Times New Roman" w:cs="Arial"/>
                <w:lang w:eastAsia="it-CH"/>
              </w:rPr>
              <w:t>0</w:t>
            </w:r>
          </w:p>
        </w:tc>
      </w:tr>
      <w:tr w:rsidR="00707613" w:rsidRPr="004E2CEF" w14:paraId="5FD251C9" w14:textId="77777777" w:rsidTr="006C604A">
        <w:trPr>
          <w:trHeight w:val="304"/>
        </w:trPr>
        <w:tc>
          <w:tcPr>
            <w:tcW w:w="2001" w:type="dxa"/>
            <w:tcBorders>
              <w:top w:val="nil"/>
              <w:left w:val="single" w:sz="8" w:space="0" w:color="auto"/>
              <w:bottom w:val="single" w:sz="4" w:space="0" w:color="auto"/>
              <w:right w:val="nil"/>
            </w:tcBorders>
            <w:shd w:val="clear" w:color="auto" w:fill="auto"/>
            <w:noWrap/>
            <w:vAlign w:val="bottom"/>
            <w:hideMark/>
          </w:tcPr>
          <w:p w14:paraId="28071CCE" w14:textId="77777777" w:rsidR="00707613" w:rsidRPr="004E2CEF" w:rsidRDefault="00707613" w:rsidP="00707613">
            <w:pPr>
              <w:jc w:val="center"/>
              <w:rPr>
                <w:rFonts w:eastAsia="Times New Roman" w:cs="Arial"/>
                <w:lang w:eastAsia="it-CH"/>
              </w:rPr>
            </w:pPr>
            <w:r w:rsidRPr="004E2CEF">
              <w:rPr>
                <w:rFonts w:eastAsia="Times New Roman" w:cs="Arial"/>
                <w:lang w:eastAsia="it-CH"/>
              </w:rPr>
              <w:t>GE</w:t>
            </w:r>
          </w:p>
        </w:tc>
        <w:tc>
          <w:tcPr>
            <w:tcW w:w="5980" w:type="dxa"/>
            <w:tcBorders>
              <w:top w:val="nil"/>
              <w:left w:val="single" w:sz="8" w:space="0" w:color="auto"/>
              <w:bottom w:val="single" w:sz="4" w:space="0" w:color="auto"/>
              <w:right w:val="single" w:sz="8" w:space="0" w:color="auto"/>
            </w:tcBorders>
            <w:shd w:val="clear" w:color="auto" w:fill="auto"/>
            <w:noWrap/>
            <w:vAlign w:val="bottom"/>
            <w:hideMark/>
          </w:tcPr>
          <w:p w14:paraId="33E8CBF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Nessuna deduzione</w:t>
            </w:r>
          </w:p>
        </w:tc>
        <w:tc>
          <w:tcPr>
            <w:tcW w:w="1441" w:type="dxa"/>
            <w:tcBorders>
              <w:top w:val="nil"/>
              <w:left w:val="nil"/>
              <w:bottom w:val="single" w:sz="4" w:space="0" w:color="auto"/>
              <w:right w:val="single" w:sz="8" w:space="0" w:color="auto"/>
            </w:tcBorders>
            <w:shd w:val="clear" w:color="auto" w:fill="auto"/>
            <w:noWrap/>
            <w:vAlign w:val="bottom"/>
            <w:hideMark/>
          </w:tcPr>
          <w:p w14:paraId="04E4FD33" w14:textId="77777777" w:rsidR="00707613" w:rsidRPr="004E2CEF" w:rsidRDefault="00707613" w:rsidP="00707613">
            <w:pPr>
              <w:jc w:val="center"/>
              <w:rPr>
                <w:rFonts w:eastAsia="Times New Roman" w:cs="Arial"/>
                <w:lang w:eastAsia="it-CH"/>
              </w:rPr>
            </w:pPr>
            <w:r w:rsidRPr="004E2CEF">
              <w:rPr>
                <w:rFonts w:eastAsia="Times New Roman" w:cs="Arial"/>
                <w:lang w:eastAsia="it-CH"/>
              </w:rPr>
              <w:t>0</w:t>
            </w:r>
          </w:p>
        </w:tc>
      </w:tr>
      <w:tr w:rsidR="00707613" w:rsidRPr="004E2CEF" w14:paraId="787F3A2B" w14:textId="77777777" w:rsidTr="006C604A">
        <w:trPr>
          <w:trHeight w:val="304"/>
        </w:trPr>
        <w:tc>
          <w:tcPr>
            <w:tcW w:w="2001" w:type="dxa"/>
            <w:tcBorders>
              <w:top w:val="nil"/>
              <w:left w:val="single" w:sz="8" w:space="0" w:color="auto"/>
              <w:bottom w:val="single" w:sz="4" w:space="0" w:color="auto"/>
              <w:right w:val="single" w:sz="8" w:space="0" w:color="auto"/>
            </w:tcBorders>
            <w:shd w:val="clear" w:color="auto" w:fill="auto"/>
            <w:noWrap/>
            <w:vAlign w:val="bottom"/>
            <w:hideMark/>
          </w:tcPr>
          <w:p w14:paraId="22987811" w14:textId="77777777" w:rsidR="00707613" w:rsidRPr="004E2CEF" w:rsidRDefault="00707613" w:rsidP="00707613">
            <w:pPr>
              <w:jc w:val="center"/>
              <w:rPr>
                <w:rFonts w:eastAsia="Times New Roman" w:cs="Arial"/>
                <w:b/>
                <w:bCs/>
                <w:color w:val="00B050"/>
                <w:lang w:eastAsia="it-CH"/>
              </w:rPr>
            </w:pPr>
            <w:r w:rsidRPr="004E2CEF">
              <w:rPr>
                <w:rFonts w:eastAsia="Times New Roman" w:cs="Arial"/>
                <w:b/>
                <w:bCs/>
                <w:color w:val="00B050"/>
                <w:lang w:eastAsia="it-CH"/>
              </w:rPr>
              <w:t>Media CH:</w:t>
            </w:r>
          </w:p>
        </w:tc>
        <w:tc>
          <w:tcPr>
            <w:tcW w:w="5980" w:type="dxa"/>
            <w:tcBorders>
              <w:top w:val="nil"/>
              <w:left w:val="nil"/>
              <w:bottom w:val="single" w:sz="4" w:space="0" w:color="auto"/>
              <w:right w:val="single" w:sz="8" w:space="0" w:color="auto"/>
            </w:tcBorders>
            <w:shd w:val="clear" w:color="auto" w:fill="auto"/>
            <w:noWrap/>
            <w:vAlign w:val="bottom"/>
            <w:hideMark/>
          </w:tcPr>
          <w:p w14:paraId="4E42FB2B" w14:textId="77777777" w:rsidR="00707613" w:rsidRPr="004E2CEF" w:rsidRDefault="00707613" w:rsidP="00707613">
            <w:pPr>
              <w:jc w:val="center"/>
              <w:rPr>
                <w:rFonts w:eastAsia="Times New Roman" w:cs="Arial"/>
                <w:b/>
                <w:bCs/>
                <w:color w:val="00B050"/>
                <w:lang w:eastAsia="it-CH"/>
              </w:rPr>
            </w:pPr>
            <w:r w:rsidRPr="004E2CEF">
              <w:rPr>
                <w:rFonts w:eastAsia="Times New Roman" w:cs="Arial"/>
                <w:b/>
                <w:bCs/>
                <w:color w:val="00B050"/>
                <w:lang w:eastAsia="it-CH"/>
              </w:rPr>
              <w:t> </w:t>
            </w:r>
          </w:p>
        </w:tc>
        <w:tc>
          <w:tcPr>
            <w:tcW w:w="1441" w:type="dxa"/>
            <w:tcBorders>
              <w:top w:val="nil"/>
              <w:left w:val="nil"/>
              <w:bottom w:val="single" w:sz="4" w:space="0" w:color="auto"/>
              <w:right w:val="single" w:sz="8" w:space="0" w:color="auto"/>
            </w:tcBorders>
            <w:shd w:val="clear" w:color="auto" w:fill="auto"/>
            <w:noWrap/>
            <w:vAlign w:val="bottom"/>
            <w:hideMark/>
          </w:tcPr>
          <w:p w14:paraId="7AAA7609" w14:textId="77777777" w:rsidR="00707613" w:rsidRPr="004E2CEF" w:rsidRDefault="00707613" w:rsidP="00707613">
            <w:pPr>
              <w:jc w:val="center"/>
              <w:rPr>
                <w:rFonts w:eastAsia="Times New Roman" w:cs="Arial"/>
                <w:b/>
                <w:bCs/>
                <w:color w:val="00B050"/>
                <w:lang w:eastAsia="it-CH"/>
              </w:rPr>
            </w:pPr>
            <w:r w:rsidRPr="004E2CEF">
              <w:rPr>
                <w:rFonts w:eastAsia="Times New Roman" w:cs="Arial"/>
                <w:b/>
                <w:bCs/>
                <w:color w:val="00B050"/>
                <w:lang w:eastAsia="it-CH"/>
              </w:rPr>
              <w:t>2'215</w:t>
            </w:r>
          </w:p>
        </w:tc>
      </w:tr>
      <w:tr w:rsidR="00707613" w:rsidRPr="004E2CEF" w14:paraId="13534ADD" w14:textId="77777777" w:rsidTr="006C604A">
        <w:trPr>
          <w:trHeight w:val="319"/>
        </w:trPr>
        <w:tc>
          <w:tcPr>
            <w:tcW w:w="2001" w:type="dxa"/>
            <w:tcBorders>
              <w:top w:val="nil"/>
              <w:left w:val="single" w:sz="8" w:space="0" w:color="auto"/>
              <w:bottom w:val="single" w:sz="8" w:space="0" w:color="auto"/>
              <w:right w:val="nil"/>
            </w:tcBorders>
            <w:shd w:val="clear" w:color="auto" w:fill="auto"/>
            <w:noWrap/>
            <w:vAlign w:val="bottom"/>
            <w:hideMark/>
          </w:tcPr>
          <w:p w14:paraId="43E76A0C" w14:textId="77777777" w:rsidR="00707613" w:rsidRPr="004E2CEF" w:rsidRDefault="00707613" w:rsidP="00707613">
            <w:pPr>
              <w:jc w:val="center"/>
              <w:rPr>
                <w:rFonts w:eastAsia="Times New Roman" w:cs="Arial"/>
                <w:b/>
                <w:bCs/>
                <w:color w:val="ED7D31"/>
                <w:lang w:eastAsia="it-CH"/>
              </w:rPr>
            </w:pPr>
            <w:r w:rsidRPr="004E2CEF">
              <w:rPr>
                <w:rFonts w:eastAsia="Times New Roman" w:cs="Arial"/>
                <w:b/>
                <w:bCs/>
                <w:color w:val="ED7D31"/>
                <w:lang w:eastAsia="it-CH"/>
              </w:rPr>
              <w:t>LIFD</w:t>
            </w:r>
          </w:p>
        </w:tc>
        <w:tc>
          <w:tcPr>
            <w:tcW w:w="5980" w:type="dxa"/>
            <w:tcBorders>
              <w:top w:val="nil"/>
              <w:left w:val="single" w:sz="8" w:space="0" w:color="auto"/>
              <w:bottom w:val="single" w:sz="8" w:space="0" w:color="auto"/>
              <w:right w:val="single" w:sz="8" w:space="0" w:color="auto"/>
            </w:tcBorders>
            <w:shd w:val="clear" w:color="auto" w:fill="auto"/>
            <w:noWrap/>
            <w:vAlign w:val="bottom"/>
            <w:hideMark/>
          </w:tcPr>
          <w:p w14:paraId="1FDC33E4" w14:textId="77777777" w:rsidR="00707613" w:rsidRPr="004E2CEF" w:rsidRDefault="00707613" w:rsidP="00707613">
            <w:pPr>
              <w:jc w:val="center"/>
              <w:rPr>
                <w:rFonts w:eastAsia="Times New Roman" w:cs="Arial"/>
                <w:b/>
                <w:bCs/>
                <w:color w:val="ED7D31"/>
                <w:lang w:eastAsia="it-CH"/>
              </w:rPr>
            </w:pPr>
            <w:r w:rsidRPr="004E2CEF">
              <w:rPr>
                <w:rFonts w:eastAsia="Times New Roman" w:cs="Arial"/>
                <w:b/>
                <w:bCs/>
                <w:color w:val="ED7D31"/>
                <w:lang w:eastAsia="it-CH"/>
              </w:rPr>
              <w:t xml:space="preserve">20% del reddito netto (minimo 800) </w:t>
            </w:r>
          </w:p>
        </w:tc>
        <w:tc>
          <w:tcPr>
            <w:tcW w:w="1441" w:type="dxa"/>
            <w:tcBorders>
              <w:top w:val="nil"/>
              <w:left w:val="nil"/>
              <w:bottom w:val="single" w:sz="8" w:space="0" w:color="auto"/>
              <w:right w:val="single" w:sz="8" w:space="0" w:color="auto"/>
            </w:tcBorders>
            <w:shd w:val="clear" w:color="auto" w:fill="auto"/>
            <w:noWrap/>
            <w:vAlign w:val="bottom"/>
            <w:hideMark/>
          </w:tcPr>
          <w:p w14:paraId="5DBF6A06" w14:textId="77777777" w:rsidR="00707613" w:rsidRPr="004E2CEF" w:rsidRDefault="00707613" w:rsidP="00707613">
            <w:pPr>
              <w:jc w:val="center"/>
              <w:rPr>
                <w:rFonts w:eastAsia="Times New Roman" w:cs="Arial"/>
                <w:b/>
                <w:bCs/>
                <w:color w:val="ED7D31"/>
                <w:lang w:eastAsia="it-CH"/>
              </w:rPr>
            </w:pPr>
            <w:r w:rsidRPr="004E2CEF">
              <w:rPr>
                <w:rFonts w:eastAsia="Times New Roman" w:cs="Arial"/>
                <w:b/>
                <w:bCs/>
                <w:color w:val="ED7D31"/>
                <w:lang w:eastAsia="it-CH"/>
              </w:rPr>
              <w:t>2'400</w:t>
            </w:r>
          </w:p>
        </w:tc>
      </w:tr>
    </w:tbl>
    <w:p w14:paraId="7D6BBC39" w14:textId="77777777" w:rsidR="009D0E96" w:rsidRPr="004E2CEF" w:rsidRDefault="009D0E96" w:rsidP="00D33940">
      <w:pPr>
        <w:pStyle w:val="StandardRisoluzionedelConsigliodiStato"/>
        <w:ind w:right="-1"/>
      </w:pPr>
    </w:p>
    <w:p w14:paraId="2920E2E6" w14:textId="77777777" w:rsidR="009D0E96" w:rsidRPr="004E2CEF" w:rsidRDefault="009D0E96">
      <w:pPr>
        <w:rPr>
          <w:sz w:val="24"/>
        </w:rPr>
      </w:pPr>
      <w:r w:rsidRPr="004E2CEF">
        <w:br w:type="page"/>
      </w:r>
    </w:p>
    <w:p w14:paraId="6DAD65B2" w14:textId="01CCFDD5" w:rsidR="00AA0792" w:rsidRPr="004E2CEF" w:rsidRDefault="009D0E96" w:rsidP="006D2131">
      <w:pPr>
        <w:pStyle w:val="TABELLE"/>
      </w:pPr>
      <w:bookmarkStart w:id="62" w:name="_Toc139991927"/>
      <w:r w:rsidRPr="004E2CEF">
        <w:t xml:space="preserve">Tabella </w:t>
      </w:r>
      <w:r w:rsidR="006C604A">
        <w:t>3</w:t>
      </w:r>
      <w:r w:rsidR="00AA0792" w:rsidRPr="004E2CEF">
        <w:t xml:space="preserve">: </w:t>
      </w:r>
      <w:r w:rsidRPr="004E2CEF">
        <w:t>Impatto dell’aumento del forfait deducibile per le altre spese professionali per singole fasce di stipendio netto</w:t>
      </w:r>
      <w:bookmarkEnd w:id="62"/>
      <w:r w:rsidRPr="004E2CEF">
        <w:t xml:space="preserve"> </w:t>
      </w:r>
    </w:p>
    <w:p w14:paraId="30235D31" w14:textId="77777777" w:rsidR="00AA0792" w:rsidRPr="004E2CEF" w:rsidRDefault="00AA0792" w:rsidP="00D33940">
      <w:pPr>
        <w:pStyle w:val="StandardRisoluzionedelConsigliodiStato"/>
        <w:ind w:right="-1"/>
        <w:rPr>
          <w:b/>
          <w:i/>
        </w:rPr>
      </w:pPr>
    </w:p>
    <w:p w14:paraId="57BB00A2" w14:textId="77777777" w:rsidR="009D0E96" w:rsidRPr="004E2CEF" w:rsidRDefault="00AA0792" w:rsidP="00D33940">
      <w:pPr>
        <w:pStyle w:val="StandardRisoluzionedelConsigliodiStato"/>
        <w:ind w:right="-1"/>
        <w:rPr>
          <w:b/>
          <w:i/>
        </w:rPr>
      </w:pPr>
      <w:r w:rsidRPr="004E2CEF">
        <w:rPr>
          <w:b/>
          <w:i/>
        </w:rPr>
        <w:t>P</w:t>
      </w:r>
      <w:r w:rsidR="009D0E96" w:rsidRPr="004E2CEF">
        <w:rPr>
          <w:b/>
          <w:i/>
        </w:rPr>
        <w:t xml:space="preserve">ersone sole </w:t>
      </w:r>
    </w:p>
    <w:tbl>
      <w:tblPr>
        <w:tblW w:w="9343" w:type="dxa"/>
        <w:tblCellMar>
          <w:left w:w="70" w:type="dxa"/>
          <w:right w:w="70" w:type="dxa"/>
        </w:tblCellMar>
        <w:tblLook w:val="04A0" w:firstRow="1" w:lastRow="0" w:firstColumn="1" w:lastColumn="0" w:noHBand="0" w:noVBand="1"/>
      </w:tblPr>
      <w:tblGrid>
        <w:gridCol w:w="2024"/>
        <w:gridCol w:w="1928"/>
        <w:gridCol w:w="2214"/>
        <w:gridCol w:w="1993"/>
        <w:gridCol w:w="1184"/>
      </w:tblGrid>
      <w:tr w:rsidR="009D0E96" w:rsidRPr="004E2CEF" w14:paraId="1396381C" w14:textId="77777777" w:rsidTr="009D0E96">
        <w:trPr>
          <w:trHeight w:val="292"/>
        </w:trPr>
        <w:tc>
          <w:tcPr>
            <w:tcW w:w="2024" w:type="dxa"/>
            <w:tcBorders>
              <w:top w:val="single" w:sz="4" w:space="0" w:color="auto"/>
              <w:left w:val="single" w:sz="4" w:space="0" w:color="auto"/>
              <w:bottom w:val="nil"/>
              <w:right w:val="single" w:sz="4" w:space="0" w:color="auto"/>
            </w:tcBorders>
            <w:shd w:val="clear" w:color="auto" w:fill="auto"/>
            <w:noWrap/>
            <w:vAlign w:val="bottom"/>
            <w:hideMark/>
          </w:tcPr>
          <w:p w14:paraId="3C142CE8" w14:textId="77777777" w:rsidR="009D0E96" w:rsidRPr="004E2CEF" w:rsidRDefault="009D0E96" w:rsidP="009D0E96">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Stipendio</w:t>
            </w:r>
          </w:p>
        </w:tc>
        <w:tc>
          <w:tcPr>
            <w:tcW w:w="414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D0B82E4"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Imposta dovuta (Cantone e Comune)</w:t>
            </w:r>
          </w:p>
        </w:tc>
        <w:tc>
          <w:tcPr>
            <w:tcW w:w="3177" w:type="dxa"/>
            <w:gridSpan w:val="2"/>
            <w:tcBorders>
              <w:top w:val="single" w:sz="4" w:space="0" w:color="auto"/>
              <w:left w:val="nil"/>
              <w:bottom w:val="single" w:sz="4" w:space="0" w:color="auto"/>
              <w:right w:val="single" w:sz="4" w:space="0" w:color="auto"/>
            </w:tcBorders>
            <w:shd w:val="clear" w:color="auto" w:fill="auto"/>
            <w:noWrap/>
            <w:vAlign w:val="bottom"/>
            <w:hideMark/>
          </w:tcPr>
          <w:p w14:paraId="6DA95106"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Differenza</w:t>
            </w:r>
          </w:p>
        </w:tc>
      </w:tr>
      <w:tr w:rsidR="009D0E96" w:rsidRPr="004E2CEF" w14:paraId="6A0FD793"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04F3576D" w14:textId="77777777" w:rsidR="009D0E96" w:rsidRPr="004E2CEF" w:rsidRDefault="009D0E96" w:rsidP="002809E8">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 xml:space="preserve">netto in </w:t>
            </w:r>
            <w:r w:rsidR="002809E8" w:rsidRPr="004E2CEF">
              <w:rPr>
                <w:rFonts w:eastAsia="Times New Roman" w:cs="Arial"/>
                <w:b/>
                <w:bCs/>
                <w:color w:val="000000"/>
                <w:sz w:val="20"/>
                <w:szCs w:val="20"/>
                <w:lang w:eastAsia="it-CH"/>
              </w:rPr>
              <w:t>Fr.</w:t>
            </w:r>
            <w:r w:rsidRPr="004E2CEF">
              <w:rPr>
                <w:rFonts w:eastAsia="Times New Roman" w:cs="Arial"/>
                <w:b/>
                <w:bCs/>
                <w:color w:val="000000"/>
                <w:sz w:val="20"/>
                <w:szCs w:val="20"/>
                <w:lang w:eastAsia="it-CH"/>
              </w:rPr>
              <w:t xml:space="preserve"> </w:t>
            </w:r>
          </w:p>
        </w:tc>
        <w:tc>
          <w:tcPr>
            <w:tcW w:w="1928" w:type="dxa"/>
            <w:tcBorders>
              <w:top w:val="nil"/>
              <w:left w:val="nil"/>
              <w:bottom w:val="single" w:sz="4" w:space="0" w:color="auto"/>
              <w:right w:val="single" w:sz="4" w:space="0" w:color="auto"/>
            </w:tcBorders>
            <w:shd w:val="clear" w:color="auto" w:fill="auto"/>
            <w:noWrap/>
            <w:vAlign w:val="bottom"/>
            <w:hideMark/>
          </w:tcPr>
          <w:p w14:paraId="066DAE7E" w14:textId="77777777" w:rsidR="009D0E96" w:rsidRPr="004E2CEF" w:rsidRDefault="00EA1F09"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2023</w:t>
            </w:r>
          </w:p>
        </w:tc>
        <w:tc>
          <w:tcPr>
            <w:tcW w:w="2214" w:type="dxa"/>
            <w:tcBorders>
              <w:top w:val="nil"/>
              <w:left w:val="nil"/>
              <w:bottom w:val="single" w:sz="4" w:space="0" w:color="auto"/>
              <w:right w:val="single" w:sz="4" w:space="0" w:color="auto"/>
            </w:tcBorders>
            <w:shd w:val="clear" w:color="auto" w:fill="auto"/>
            <w:noWrap/>
            <w:vAlign w:val="bottom"/>
            <w:hideMark/>
          </w:tcPr>
          <w:p w14:paraId="38CBCC99" w14:textId="77777777" w:rsidR="009D0E96" w:rsidRPr="004E2CEF" w:rsidRDefault="00EA1F09"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2024</w:t>
            </w:r>
          </w:p>
        </w:tc>
        <w:tc>
          <w:tcPr>
            <w:tcW w:w="1993" w:type="dxa"/>
            <w:tcBorders>
              <w:top w:val="nil"/>
              <w:left w:val="nil"/>
              <w:bottom w:val="single" w:sz="4" w:space="0" w:color="auto"/>
              <w:right w:val="single" w:sz="4" w:space="0" w:color="auto"/>
            </w:tcBorders>
            <w:shd w:val="clear" w:color="auto" w:fill="auto"/>
            <w:noWrap/>
            <w:vAlign w:val="bottom"/>
            <w:hideMark/>
          </w:tcPr>
          <w:p w14:paraId="7D74E597"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Fr.</w:t>
            </w:r>
          </w:p>
        </w:tc>
        <w:tc>
          <w:tcPr>
            <w:tcW w:w="1184" w:type="dxa"/>
            <w:tcBorders>
              <w:top w:val="nil"/>
              <w:left w:val="nil"/>
              <w:bottom w:val="single" w:sz="4" w:space="0" w:color="auto"/>
              <w:right w:val="single" w:sz="4" w:space="0" w:color="auto"/>
            </w:tcBorders>
            <w:shd w:val="clear" w:color="auto" w:fill="auto"/>
            <w:noWrap/>
            <w:vAlign w:val="bottom"/>
            <w:hideMark/>
          </w:tcPr>
          <w:p w14:paraId="0898D429"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in %</w:t>
            </w:r>
          </w:p>
        </w:tc>
      </w:tr>
      <w:tr w:rsidR="009D0E96" w:rsidRPr="004E2CEF" w14:paraId="59E403D7"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7CCE0275"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40'000 </w:t>
            </w:r>
          </w:p>
        </w:tc>
        <w:tc>
          <w:tcPr>
            <w:tcW w:w="1928" w:type="dxa"/>
            <w:tcBorders>
              <w:top w:val="nil"/>
              <w:left w:val="nil"/>
              <w:bottom w:val="single" w:sz="4" w:space="0" w:color="auto"/>
              <w:right w:val="single" w:sz="4" w:space="0" w:color="auto"/>
            </w:tcBorders>
            <w:shd w:val="clear" w:color="auto" w:fill="auto"/>
            <w:noWrap/>
            <w:vAlign w:val="bottom"/>
            <w:hideMark/>
          </w:tcPr>
          <w:p w14:paraId="06413D77"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1'120.3 </w:t>
            </w:r>
          </w:p>
        </w:tc>
        <w:tc>
          <w:tcPr>
            <w:tcW w:w="2214" w:type="dxa"/>
            <w:tcBorders>
              <w:top w:val="nil"/>
              <w:left w:val="nil"/>
              <w:bottom w:val="single" w:sz="4" w:space="0" w:color="auto"/>
              <w:right w:val="single" w:sz="4" w:space="0" w:color="auto"/>
            </w:tcBorders>
            <w:shd w:val="clear" w:color="auto" w:fill="auto"/>
            <w:noWrap/>
            <w:vAlign w:val="bottom"/>
            <w:hideMark/>
          </w:tcPr>
          <w:p w14:paraId="0FDFB48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1'103.4 </w:t>
            </w:r>
          </w:p>
        </w:tc>
        <w:tc>
          <w:tcPr>
            <w:tcW w:w="1993" w:type="dxa"/>
            <w:tcBorders>
              <w:top w:val="nil"/>
              <w:left w:val="nil"/>
              <w:bottom w:val="single" w:sz="4" w:space="0" w:color="auto"/>
              <w:right w:val="single" w:sz="4" w:space="0" w:color="auto"/>
            </w:tcBorders>
            <w:shd w:val="clear" w:color="auto" w:fill="auto"/>
            <w:noWrap/>
            <w:vAlign w:val="bottom"/>
            <w:hideMark/>
          </w:tcPr>
          <w:p w14:paraId="141E7984"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-16.9 </w:t>
            </w:r>
          </w:p>
        </w:tc>
        <w:tc>
          <w:tcPr>
            <w:tcW w:w="1184" w:type="dxa"/>
            <w:tcBorders>
              <w:top w:val="nil"/>
              <w:left w:val="nil"/>
              <w:bottom w:val="single" w:sz="4" w:space="0" w:color="auto"/>
              <w:right w:val="single" w:sz="4" w:space="0" w:color="auto"/>
            </w:tcBorders>
            <w:shd w:val="clear" w:color="auto" w:fill="auto"/>
            <w:noWrap/>
            <w:vAlign w:val="bottom"/>
            <w:hideMark/>
          </w:tcPr>
          <w:p w14:paraId="70286CD4"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-1.5%</w:t>
            </w:r>
          </w:p>
        </w:tc>
      </w:tr>
      <w:tr w:rsidR="009D0E96" w:rsidRPr="004E2CEF" w14:paraId="5ACF71EF"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1B742EA4"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50'000 </w:t>
            </w:r>
          </w:p>
        </w:tc>
        <w:tc>
          <w:tcPr>
            <w:tcW w:w="1928" w:type="dxa"/>
            <w:tcBorders>
              <w:top w:val="nil"/>
              <w:left w:val="nil"/>
              <w:bottom w:val="single" w:sz="4" w:space="0" w:color="auto"/>
              <w:right w:val="single" w:sz="4" w:space="0" w:color="auto"/>
            </w:tcBorders>
            <w:shd w:val="clear" w:color="auto" w:fill="auto"/>
            <w:noWrap/>
            <w:vAlign w:val="bottom"/>
            <w:hideMark/>
          </w:tcPr>
          <w:p w14:paraId="532E13C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2'595.8 </w:t>
            </w:r>
          </w:p>
        </w:tc>
        <w:tc>
          <w:tcPr>
            <w:tcW w:w="2214" w:type="dxa"/>
            <w:tcBorders>
              <w:top w:val="nil"/>
              <w:left w:val="nil"/>
              <w:bottom w:val="single" w:sz="4" w:space="0" w:color="auto"/>
              <w:right w:val="single" w:sz="4" w:space="0" w:color="auto"/>
            </w:tcBorders>
            <w:shd w:val="clear" w:color="auto" w:fill="auto"/>
            <w:noWrap/>
            <w:vAlign w:val="bottom"/>
            <w:hideMark/>
          </w:tcPr>
          <w:p w14:paraId="29B8CC93"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2'552.4 </w:t>
            </w:r>
          </w:p>
        </w:tc>
        <w:tc>
          <w:tcPr>
            <w:tcW w:w="1993" w:type="dxa"/>
            <w:tcBorders>
              <w:top w:val="nil"/>
              <w:left w:val="nil"/>
              <w:bottom w:val="single" w:sz="4" w:space="0" w:color="auto"/>
              <w:right w:val="single" w:sz="4" w:space="0" w:color="auto"/>
            </w:tcBorders>
            <w:shd w:val="clear" w:color="auto" w:fill="auto"/>
            <w:noWrap/>
            <w:vAlign w:val="bottom"/>
            <w:hideMark/>
          </w:tcPr>
          <w:p w14:paraId="318CE7BD"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-43.4 </w:t>
            </w:r>
          </w:p>
        </w:tc>
        <w:tc>
          <w:tcPr>
            <w:tcW w:w="1184" w:type="dxa"/>
            <w:tcBorders>
              <w:top w:val="nil"/>
              <w:left w:val="nil"/>
              <w:bottom w:val="single" w:sz="4" w:space="0" w:color="auto"/>
              <w:right w:val="single" w:sz="4" w:space="0" w:color="auto"/>
            </w:tcBorders>
            <w:shd w:val="clear" w:color="auto" w:fill="auto"/>
            <w:noWrap/>
            <w:vAlign w:val="bottom"/>
            <w:hideMark/>
          </w:tcPr>
          <w:p w14:paraId="05A30A51"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-1.7%</w:t>
            </w:r>
          </w:p>
        </w:tc>
      </w:tr>
      <w:tr w:rsidR="009D0E96" w:rsidRPr="004E2CEF" w14:paraId="38140234"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6352B39E"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60'000 </w:t>
            </w:r>
          </w:p>
        </w:tc>
        <w:tc>
          <w:tcPr>
            <w:tcW w:w="1928" w:type="dxa"/>
            <w:tcBorders>
              <w:top w:val="nil"/>
              <w:left w:val="nil"/>
              <w:bottom w:val="single" w:sz="4" w:space="0" w:color="auto"/>
              <w:right w:val="single" w:sz="4" w:space="0" w:color="auto"/>
            </w:tcBorders>
            <w:shd w:val="clear" w:color="auto" w:fill="auto"/>
            <w:noWrap/>
            <w:vAlign w:val="bottom"/>
            <w:hideMark/>
          </w:tcPr>
          <w:p w14:paraId="76C18D69"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4'396.0 </w:t>
            </w:r>
          </w:p>
        </w:tc>
        <w:tc>
          <w:tcPr>
            <w:tcW w:w="2214" w:type="dxa"/>
            <w:tcBorders>
              <w:top w:val="nil"/>
              <w:left w:val="nil"/>
              <w:bottom w:val="single" w:sz="4" w:space="0" w:color="auto"/>
              <w:right w:val="single" w:sz="4" w:space="0" w:color="auto"/>
            </w:tcBorders>
            <w:shd w:val="clear" w:color="auto" w:fill="auto"/>
            <w:noWrap/>
            <w:vAlign w:val="bottom"/>
            <w:hideMark/>
          </w:tcPr>
          <w:p w14:paraId="7A5AED40"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4'375.5 </w:t>
            </w:r>
          </w:p>
        </w:tc>
        <w:tc>
          <w:tcPr>
            <w:tcW w:w="1993" w:type="dxa"/>
            <w:tcBorders>
              <w:top w:val="nil"/>
              <w:left w:val="nil"/>
              <w:bottom w:val="single" w:sz="4" w:space="0" w:color="auto"/>
              <w:right w:val="single" w:sz="4" w:space="0" w:color="auto"/>
            </w:tcBorders>
            <w:shd w:val="clear" w:color="auto" w:fill="auto"/>
            <w:noWrap/>
            <w:vAlign w:val="bottom"/>
            <w:hideMark/>
          </w:tcPr>
          <w:p w14:paraId="0D4CB70D"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-20.4 </w:t>
            </w:r>
          </w:p>
        </w:tc>
        <w:tc>
          <w:tcPr>
            <w:tcW w:w="1184" w:type="dxa"/>
            <w:tcBorders>
              <w:top w:val="nil"/>
              <w:left w:val="nil"/>
              <w:bottom w:val="single" w:sz="4" w:space="0" w:color="auto"/>
              <w:right w:val="single" w:sz="4" w:space="0" w:color="auto"/>
            </w:tcBorders>
            <w:shd w:val="clear" w:color="auto" w:fill="auto"/>
            <w:noWrap/>
            <w:vAlign w:val="bottom"/>
            <w:hideMark/>
          </w:tcPr>
          <w:p w14:paraId="5317188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-0.5%</w:t>
            </w:r>
          </w:p>
        </w:tc>
      </w:tr>
      <w:tr w:rsidR="009D0E96" w:rsidRPr="004E2CEF" w14:paraId="0F7A4896"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72A54999"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70'000 </w:t>
            </w:r>
          </w:p>
        </w:tc>
        <w:tc>
          <w:tcPr>
            <w:tcW w:w="1928" w:type="dxa"/>
            <w:tcBorders>
              <w:top w:val="nil"/>
              <w:left w:val="nil"/>
              <w:bottom w:val="single" w:sz="4" w:space="0" w:color="auto"/>
              <w:right w:val="single" w:sz="4" w:space="0" w:color="auto"/>
            </w:tcBorders>
            <w:shd w:val="clear" w:color="auto" w:fill="auto"/>
            <w:noWrap/>
            <w:vAlign w:val="bottom"/>
            <w:hideMark/>
          </w:tcPr>
          <w:p w14:paraId="4A056213"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6'303.4 </w:t>
            </w:r>
          </w:p>
        </w:tc>
        <w:tc>
          <w:tcPr>
            <w:tcW w:w="2214" w:type="dxa"/>
            <w:tcBorders>
              <w:top w:val="nil"/>
              <w:left w:val="nil"/>
              <w:bottom w:val="single" w:sz="4" w:space="0" w:color="auto"/>
              <w:right w:val="single" w:sz="4" w:space="0" w:color="auto"/>
            </w:tcBorders>
            <w:shd w:val="clear" w:color="auto" w:fill="auto"/>
            <w:noWrap/>
            <w:vAlign w:val="bottom"/>
            <w:hideMark/>
          </w:tcPr>
          <w:p w14:paraId="4B905788"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6'309.7 </w:t>
            </w:r>
          </w:p>
        </w:tc>
        <w:tc>
          <w:tcPr>
            <w:tcW w:w="1993" w:type="dxa"/>
            <w:tcBorders>
              <w:top w:val="nil"/>
              <w:left w:val="nil"/>
              <w:bottom w:val="single" w:sz="4" w:space="0" w:color="auto"/>
              <w:right w:val="single" w:sz="4" w:space="0" w:color="auto"/>
            </w:tcBorders>
            <w:shd w:val="clear" w:color="auto" w:fill="auto"/>
            <w:noWrap/>
            <w:vAlign w:val="bottom"/>
            <w:hideMark/>
          </w:tcPr>
          <w:p w14:paraId="7B7AD41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6.3 </w:t>
            </w:r>
          </w:p>
        </w:tc>
        <w:tc>
          <w:tcPr>
            <w:tcW w:w="1184" w:type="dxa"/>
            <w:tcBorders>
              <w:top w:val="nil"/>
              <w:left w:val="nil"/>
              <w:bottom w:val="single" w:sz="4" w:space="0" w:color="auto"/>
              <w:right w:val="single" w:sz="4" w:space="0" w:color="auto"/>
            </w:tcBorders>
            <w:shd w:val="clear" w:color="auto" w:fill="auto"/>
            <w:noWrap/>
            <w:vAlign w:val="bottom"/>
            <w:hideMark/>
          </w:tcPr>
          <w:p w14:paraId="3226A44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0.1%</w:t>
            </w:r>
          </w:p>
        </w:tc>
      </w:tr>
      <w:tr w:rsidR="009D0E96" w:rsidRPr="004E2CEF" w14:paraId="10866211"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613F6CD2"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80'000 </w:t>
            </w:r>
          </w:p>
        </w:tc>
        <w:tc>
          <w:tcPr>
            <w:tcW w:w="1928" w:type="dxa"/>
            <w:tcBorders>
              <w:top w:val="nil"/>
              <w:left w:val="nil"/>
              <w:bottom w:val="single" w:sz="4" w:space="0" w:color="auto"/>
              <w:right w:val="single" w:sz="4" w:space="0" w:color="auto"/>
            </w:tcBorders>
            <w:shd w:val="clear" w:color="auto" w:fill="auto"/>
            <w:noWrap/>
            <w:vAlign w:val="bottom"/>
            <w:hideMark/>
          </w:tcPr>
          <w:p w14:paraId="593E955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8'402.5 </w:t>
            </w:r>
          </w:p>
        </w:tc>
        <w:tc>
          <w:tcPr>
            <w:tcW w:w="2214" w:type="dxa"/>
            <w:tcBorders>
              <w:top w:val="nil"/>
              <w:left w:val="nil"/>
              <w:bottom w:val="single" w:sz="4" w:space="0" w:color="auto"/>
              <w:right w:val="single" w:sz="4" w:space="0" w:color="auto"/>
            </w:tcBorders>
            <w:shd w:val="clear" w:color="auto" w:fill="auto"/>
            <w:noWrap/>
            <w:vAlign w:val="bottom"/>
            <w:hideMark/>
          </w:tcPr>
          <w:p w14:paraId="50F34D3E"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8'393.4 </w:t>
            </w:r>
          </w:p>
        </w:tc>
        <w:tc>
          <w:tcPr>
            <w:tcW w:w="1993" w:type="dxa"/>
            <w:tcBorders>
              <w:top w:val="nil"/>
              <w:left w:val="nil"/>
              <w:bottom w:val="single" w:sz="4" w:space="0" w:color="auto"/>
              <w:right w:val="single" w:sz="4" w:space="0" w:color="auto"/>
            </w:tcBorders>
            <w:shd w:val="clear" w:color="auto" w:fill="auto"/>
            <w:noWrap/>
            <w:vAlign w:val="bottom"/>
            <w:hideMark/>
          </w:tcPr>
          <w:p w14:paraId="20E7374A"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-9.1 </w:t>
            </w:r>
          </w:p>
        </w:tc>
        <w:tc>
          <w:tcPr>
            <w:tcW w:w="1184" w:type="dxa"/>
            <w:tcBorders>
              <w:top w:val="nil"/>
              <w:left w:val="nil"/>
              <w:bottom w:val="single" w:sz="4" w:space="0" w:color="auto"/>
              <w:right w:val="single" w:sz="4" w:space="0" w:color="auto"/>
            </w:tcBorders>
            <w:shd w:val="clear" w:color="auto" w:fill="auto"/>
            <w:noWrap/>
            <w:vAlign w:val="bottom"/>
            <w:hideMark/>
          </w:tcPr>
          <w:p w14:paraId="6140DDB5"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-0.1%</w:t>
            </w:r>
          </w:p>
        </w:tc>
      </w:tr>
      <w:tr w:rsidR="009D0E96" w:rsidRPr="004E2CEF" w14:paraId="07CBD5EB"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0E6CDC94"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90'000 </w:t>
            </w:r>
          </w:p>
        </w:tc>
        <w:tc>
          <w:tcPr>
            <w:tcW w:w="1928" w:type="dxa"/>
            <w:tcBorders>
              <w:top w:val="nil"/>
              <w:left w:val="nil"/>
              <w:bottom w:val="single" w:sz="4" w:space="0" w:color="auto"/>
              <w:right w:val="single" w:sz="4" w:space="0" w:color="auto"/>
            </w:tcBorders>
            <w:shd w:val="clear" w:color="auto" w:fill="auto"/>
            <w:noWrap/>
            <w:vAlign w:val="bottom"/>
            <w:hideMark/>
          </w:tcPr>
          <w:p w14:paraId="0156C84D"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10'511.6 </w:t>
            </w:r>
          </w:p>
        </w:tc>
        <w:tc>
          <w:tcPr>
            <w:tcW w:w="2214" w:type="dxa"/>
            <w:tcBorders>
              <w:top w:val="nil"/>
              <w:left w:val="nil"/>
              <w:bottom w:val="single" w:sz="4" w:space="0" w:color="auto"/>
              <w:right w:val="single" w:sz="4" w:space="0" w:color="auto"/>
            </w:tcBorders>
            <w:shd w:val="clear" w:color="auto" w:fill="auto"/>
            <w:noWrap/>
            <w:vAlign w:val="bottom"/>
            <w:hideMark/>
          </w:tcPr>
          <w:p w14:paraId="794EDDBA"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10'456.2 </w:t>
            </w:r>
          </w:p>
        </w:tc>
        <w:tc>
          <w:tcPr>
            <w:tcW w:w="1993" w:type="dxa"/>
            <w:tcBorders>
              <w:top w:val="nil"/>
              <w:left w:val="nil"/>
              <w:bottom w:val="single" w:sz="4" w:space="0" w:color="auto"/>
              <w:right w:val="single" w:sz="4" w:space="0" w:color="auto"/>
            </w:tcBorders>
            <w:shd w:val="clear" w:color="auto" w:fill="auto"/>
            <w:noWrap/>
            <w:vAlign w:val="bottom"/>
            <w:hideMark/>
          </w:tcPr>
          <w:p w14:paraId="619D2BC5"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-55.4 </w:t>
            </w:r>
          </w:p>
        </w:tc>
        <w:tc>
          <w:tcPr>
            <w:tcW w:w="1184" w:type="dxa"/>
            <w:tcBorders>
              <w:top w:val="nil"/>
              <w:left w:val="nil"/>
              <w:bottom w:val="single" w:sz="4" w:space="0" w:color="auto"/>
              <w:right w:val="single" w:sz="4" w:space="0" w:color="auto"/>
            </w:tcBorders>
            <w:shd w:val="clear" w:color="auto" w:fill="auto"/>
            <w:noWrap/>
            <w:vAlign w:val="bottom"/>
            <w:hideMark/>
          </w:tcPr>
          <w:p w14:paraId="65A50C0A"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-0.5%</w:t>
            </w:r>
          </w:p>
        </w:tc>
      </w:tr>
      <w:tr w:rsidR="009D0E96" w:rsidRPr="004E2CEF" w14:paraId="54201404"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31DA5CA2"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100'000 </w:t>
            </w:r>
          </w:p>
        </w:tc>
        <w:tc>
          <w:tcPr>
            <w:tcW w:w="1928" w:type="dxa"/>
            <w:tcBorders>
              <w:top w:val="nil"/>
              <w:left w:val="nil"/>
              <w:bottom w:val="single" w:sz="4" w:space="0" w:color="auto"/>
              <w:right w:val="single" w:sz="4" w:space="0" w:color="auto"/>
            </w:tcBorders>
            <w:shd w:val="clear" w:color="auto" w:fill="auto"/>
            <w:noWrap/>
            <w:vAlign w:val="bottom"/>
            <w:hideMark/>
          </w:tcPr>
          <w:p w14:paraId="21207889"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12'599.1 </w:t>
            </w:r>
          </w:p>
        </w:tc>
        <w:tc>
          <w:tcPr>
            <w:tcW w:w="2214" w:type="dxa"/>
            <w:tcBorders>
              <w:top w:val="nil"/>
              <w:left w:val="nil"/>
              <w:bottom w:val="single" w:sz="4" w:space="0" w:color="auto"/>
              <w:right w:val="single" w:sz="4" w:space="0" w:color="auto"/>
            </w:tcBorders>
            <w:shd w:val="clear" w:color="auto" w:fill="auto"/>
            <w:noWrap/>
            <w:vAlign w:val="bottom"/>
            <w:hideMark/>
          </w:tcPr>
          <w:p w14:paraId="75BCF6C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12'493.8 </w:t>
            </w:r>
          </w:p>
        </w:tc>
        <w:tc>
          <w:tcPr>
            <w:tcW w:w="1993" w:type="dxa"/>
            <w:tcBorders>
              <w:top w:val="nil"/>
              <w:left w:val="nil"/>
              <w:bottom w:val="single" w:sz="4" w:space="0" w:color="auto"/>
              <w:right w:val="single" w:sz="4" w:space="0" w:color="auto"/>
            </w:tcBorders>
            <w:shd w:val="clear" w:color="auto" w:fill="auto"/>
            <w:noWrap/>
            <w:vAlign w:val="bottom"/>
            <w:hideMark/>
          </w:tcPr>
          <w:p w14:paraId="6D536C41"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-105.3 </w:t>
            </w:r>
          </w:p>
        </w:tc>
        <w:tc>
          <w:tcPr>
            <w:tcW w:w="1184" w:type="dxa"/>
            <w:tcBorders>
              <w:top w:val="nil"/>
              <w:left w:val="nil"/>
              <w:bottom w:val="single" w:sz="4" w:space="0" w:color="auto"/>
              <w:right w:val="single" w:sz="4" w:space="0" w:color="auto"/>
            </w:tcBorders>
            <w:shd w:val="clear" w:color="auto" w:fill="auto"/>
            <w:noWrap/>
            <w:vAlign w:val="bottom"/>
            <w:hideMark/>
          </w:tcPr>
          <w:p w14:paraId="346CFC84"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-0.8%</w:t>
            </w:r>
          </w:p>
        </w:tc>
      </w:tr>
      <w:tr w:rsidR="009D0E96" w:rsidRPr="004E2CEF" w14:paraId="360D8C37"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6DACC2E7"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110'000 </w:t>
            </w:r>
          </w:p>
        </w:tc>
        <w:tc>
          <w:tcPr>
            <w:tcW w:w="1928" w:type="dxa"/>
            <w:tcBorders>
              <w:top w:val="nil"/>
              <w:left w:val="nil"/>
              <w:bottom w:val="single" w:sz="4" w:space="0" w:color="auto"/>
              <w:right w:val="single" w:sz="4" w:space="0" w:color="auto"/>
            </w:tcBorders>
            <w:shd w:val="clear" w:color="auto" w:fill="auto"/>
            <w:noWrap/>
            <w:vAlign w:val="bottom"/>
            <w:hideMark/>
          </w:tcPr>
          <w:p w14:paraId="17BE15E0"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14'787.1 </w:t>
            </w:r>
          </w:p>
        </w:tc>
        <w:tc>
          <w:tcPr>
            <w:tcW w:w="2214" w:type="dxa"/>
            <w:tcBorders>
              <w:top w:val="nil"/>
              <w:left w:val="nil"/>
              <w:bottom w:val="single" w:sz="4" w:space="0" w:color="auto"/>
              <w:right w:val="single" w:sz="4" w:space="0" w:color="auto"/>
            </w:tcBorders>
            <w:shd w:val="clear" w:color="auto" w:fill="auto"/>
            <w:noWrap/>
            <w:vAlign w:val="bottom"/>
            <w:hideMark/>
          </w:tcPr>
          <w:p w14:paraId="7259F2E3"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14'603.4 </w:t>
            </w:r>
          </w:p>
        </w:tc>
        <w:tc>
          <w:tcPr>
            <w:tcW w:w="1993" w:type="dxa"/>
            <w:tcBorders>
              <w:top w:val="nil"/>
              <w:left w:val="nil"/>
              <w:bottom w:val="single" w:sz="4" w:space="0" w:color="auto"/>
              <w:right w:val="single" w:sz="4" w:space="0" w:color="auto"/>
            </w:tcBorders>
            <w:shd w:val="clear" w:color="auto" w:fill="auto"/>
            <w:noWrap/>
            <w:vAlign w:val="bottom"/>
            <w:hideMark/>
          </w:tcPr>
          <w:p w14:paraId="7FC7D75C"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-183.7 </w:t>
            </w:r>
          </w:p>
        </w:tc>
        <w:tc>
          <w:tcPr>
            <w:tcW w:w="1184" w:type="dxa"/>
            <w:tcBorders>
              <w:top w:val="nil"/>
              <w:left w:val="nil"/>
              <w:bottom w:val="single" w:sz="4" w:space="0" w:color="auto"/>
              <w:right w:val="single" w:sz="4" w:space="0" w:color="auto"/>
            </w:tcBorders>
            <w:shd w:val="clear" w:color="auto" w:fill="auto"/>
            <w:noWrap/>
            <w:vAlign w:val="bottom"/>
            <w:hideMark/>
          </w:tcPr>
          <w:p w14:paraId="309DF004"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-1.2%</w:t>
            </w:r>
          </w:p>
        </w:tc>
      </w:tr>
      <w:tr w:rsidR="009D0E96" w:rsidRPr="004E2CEF" w14:paraId="0CD4BB00" w14:textId="77777777" w:rsidTr="002809E8">
        <w:trPr>
          <w:trHeight w:val="292"/>
        </w:trPr>
        <w:tc>
          <w:tcPr>
            <w:tcW w:w="2024" w:type="dxa"/>
            <w:tcBorders>
              <w:top w:val="nil"/>
              <w:left w:val="single" w:sz="4" w:space="0" w:color="auto"/>
              <w:bottom w:val="single" w:sz="4" w:space="0" w:color="auto"/>
              <w:right w:val="single" w:sz="4" w:space="0" w:color="auto"/>
            </w:tcBorders>
            <w:shd w:val="clear" w:color="auto" w:fill="auto"/>
            <w:noWrap/>
            <w:vAlign w:val="bottom"/>
            <w:hideMark/>
          </w:tcPr>
          <w:p w14:paraId="40C8EDC0" w14:textId="77777777" w:rsidR="009D0E96" w:rsidRPr="004E2CEF" w:rsidRDefault="009D0E96" w:rsidP="002809E8">
            <w:pPr>
              <w:rPr>
                <w:rFonts w:eastAsia="Times New Roman" w:cs="Arial"/>
                <w:sz w:val="20"/>
                <w:szCs w:val="20"/>
                <w:lang w:eastAsia="it-CH"/>
              </w:rPr>
            </w:pPr>
            <w:r w:rsidRPr="004E2CEF">
              <w:rPr>
                <w:rFonts w:eastAsia="Times New Roman" w:cs="Arial"/>
                <w:sz w:val="20"/>
                <w:szCs w:val="20"/>
                <w:lang w:eastAsia="it-CH"/>
              </w:rPr>
              <w:t xml:space="preserve">        120'000 </w:t>
            </w:r>
          </w:p>
        </w:tc>
        <w:tc>
          <w:tcPr>
            <w:tcW w:w="1928" w:type="dxa"/>
            <w:tcBorders>
              <w:top w:val="nil"/>
              <w:left w:val="nil"/>
              <w:bottom w:val="single" w:sz="4" w:space="0" w:color="auto"/>
              <w:right w:val="single" w:sz="4" w:space="0" w:color="auto"/>
            </w:tcBorders>
            <w:shd w:val="clear" w:color="auto" w:fill="auto"/>
            <w:noWrap/>
            <w:vAlign w:val="bottom"/>
            <w:hideMark/>
          </w:tcPr>
          <w:p w14:paraId="7755BB6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17'031.8 </w:t>
            </w:r>
          </w:p>
        </w:tc>
        <w:tc>
          <w:tcPr>
            <w:tcW w:w="2214" w:type="dxa"/>
            <w:tcBorders>
              <w:top w:val="nil"/>
              <w:left w:val="nil"/>
              <w:bottom w:val="single" w:sz="4" w:space="0" w:color="auto"/>
              <w:right w:val="single" w:sz="4" w:space="0" w:color="auto"/>
            </w:tcBorders>
            <w:shd w:val="clear" w:color="auto" w:fill="auto"/>
            <w:noWrap/>
            <w:vAlign w:val="bottom"/>
            <w:hideMark/>
          </w:tcPr>
          <w:p w14:paraId="2F04859D"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16'794.0 </w:t>
            </w:r>
          </w:p>
        </w:tc>
        <w:tc>
          <w:tcPr>
            <w:tcW w:w="1993" w:type="dxa"/>
            <w:tcBorders>
              <w:top w:val="nil"/>
              <w:left w:val="nil"/>
              <w:bottom w:val="single" w:sz="4" w:space="0" w:color="auto"/>
              <w:right w:val="single" w:sz="4" w:space="0" w:color="auto"/>
            </w:tcBorders>
            <w:shd w:val="clear" w:color="auto" w:fill="auto"/>
            <w:noWrap/>
            <w:vAlign w:val="bottom"/>
            <w:hideMark/>
          </w:tcPr>
          <w:p w14:paraId="5B86AE47"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-237.8 </w:t>
            </w:r>
          </w:p>
        </w:tc>
        <w:tc>
          <w:tcPr>
            <w:tcW w:w="1184" w:type="dxa"/>
            <w:tcBorders>
              <w:top w:val="nil"/>
              <w:left w:val="nil"/>
              <w:bottom w:val="single" w:sz="4" w:space="0" w:color="auto"/>
              <w:right w:val="single" w:sz="4" w:space="0" w:color="auto"/>
            </w:tcBorders>
            <w:shd w:val="clear" w:color="auto" w:fill="auto"/>
            <w:noWrap/>
            <w:vAlign w:val="bottom"/>
            <w:hideMark/>
          </w:tcPr>
          <w:p w14:paraId="58D8B641"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-1.4%</w:t>
            </w:r>
          </w:p>
        </w:tc>
      </w:tr>
    </w:tbl>
    <w:p w14:paraId="5816AB3E" w14:textId="77777777" w:rsidR="009D0E96" w:rsidRPr="004E2CEF" w:rsidRDefault="009D0E96" w:rsidP="00D33940">
      <w:pPr>
        <w:pStyle w:val="StandardRisoluzionedelConsigliodiStato"/>
        <w:ind w:right="-1"/>
      </w:pPr>
    </w:p>
    <w:p w14:paraId="78B444DC" w14:textId="77777777" w:rsidR="009D0E96" w:rsidRPr="004E2CEF" w:rsidRDefault="00AA0792" w:rsidP="009D0E96">
      <w:pPr>
        <w:pStyle w:val="StandardRisoluzionedelConsigliodiStato"/>
        <w:ind w:right="-1"/>
        <w:rPr>
          <w:b/>
          <w:i/>
        </w:rPr>
      </w:pPr>
      <w:r w:rsidRPr="004E2CEF">
        <w:rPr>
          <w:b/>
          <w:i/>
        </w:rPr>
        <w:t>C</w:t>
      </w:r>
      <w:r w:rsidR="009D0E96" w:rsidRPr="004E2CEF">
        <w:rPr>
          <w:b/>
          <w:i/>
        </w:rPr>
        <w:t>oniugati con un solo reddito</w:t>
      </w:r>
    </w:p>
    <w:tbl>
      <w:tblPr>
        <w:tblW w:w="9388" w:type="dxa"/>
        <w:tblCellMar>
          <w:left w:w="70" w:type="dxa"/>
          <w:right w:w="70" w:type="dxa"/>
        </w:tblCellMar>
        <w:tblLook w:val="04A0" w:firstRow="1" w:lastRow="0" w:firstColumn="1" w:lastColumn="0" w:noHBand="0" w:noVBand="1"/>
      </w:tblPr>
      <w:tblGrid>
        <w:gridCol w:w="2034"/>
        <w:gridCol w:w="1937"/>
        <w:gridCol w:w="2225"/>
        <w:gridCol w:w="2003"/>
        <w:gridCol w:w="1189"/>
      </w:tblGrid>
      <w:tr w:rsidR="009D0E96" w:rsidRPr="004E2CEF" w14:paraId="65D75FC8" w14:textId="77777777" w:rsidTr="009D0E96">
        <w:trPr>
          <w:trHeight w:val="292"/>
        </w:trPr>
        <w:tc>
          <w:tcPr>
            <w:tcW w:w="2034" w:type="dxa"/>
            <w:tcBorders>
              <w:top w:val="single" w:sz="4" w:space="0" w:color="auto"/>
              <w:left w:val="single" w:sz="4" w:space="0" w:color="auto"/>
              <w:bottom w:val="nil"/>
              <w:right w:val="single" w:sz="4" w:space="0" w:color="auto"/>
            </w:tcBorders>
            <w:shd w:val="clear" w:color="auto" w:fill="auto"/>
            <w:noWrap/>
            <w:vAlign w:val="bottom"/>
            <w:hideMark/>
          </w:tcPr>
          <w:p w14:paraId="36C295DF" w14:textId="77777777" w:rsidR="009D0E96" w:rsidRPr="004E2CEF" w:rsidRDefault="009D0E96" w:rsidP="009D0E96">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Stipendio</w:t>
            </w:r>
          </w:p>
        </w:tc>
        <w:tc>
          <w:tcPr>
            <w:tcW w:w="416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1FC5FDB"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Imposta dovuta (Cantone e Comune)</w:t>
            </w:r>
          </w:p>
        </w:tc>
        <w:tc>
          <w:tcPr>
            <w:tcW w:w="319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9F63837"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Differenza</w:t>
            </w:r>
          </w:p>
        </w:tc>
      </w:tr>
      <w:tr w:rsidR="009D0E96" w:rsidRPr="004E2CEF" w14:paraId="3578F2B3"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128278A4" w14:textId="77777777" w:rsidR="009D0E96" w:rsidRPr="004E2CEF" w:rsidRDefault="009D0E96" w:rsidP="002809E8">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 xml:space="preserve">netto in </w:t>
            </w:r>
            <w:r w:rsidR="002809E8" w:rsidRPr="004E2CEF">
              <w:rPr>
                <w:rFonts w:eastAsia="Times New Roman" w:cs="Arial"/>
                <w:b/>
                <w:bCs/>
                <w:color w:val="000000"/>
                <w:sz w:val="20"/>
                <w:szCs w:val="20"/>
                <w:lang w:eastAsia="it-CH"/>
              </w:rPr>
              <w:t>Fr.</w:t>
            </w:r>
          </w:p>
        </w:tc>
        <w:tc>
          <w:tcPr>
            <w:tcW w:w="1937" w:type="dxa"/>
            <w:tcBorders>
              <w:top w:val="nil"/>
              <w:left w:val="nil"/>
              <w:bottom w:val="single" w:sz="4" w:space="0" w:color="auto"/>
              <w:right w:val="single" w:sz="4" w:space="0" w:color="auto"/>
            </w:tcBorders>
            <w:shd w:val="clear" w:color="auto" w:fill="auto"/>
            <w:noWrap/>
            <w:vAlign w:val="bottom"/>
            <w:hideMark/>
          </w:tcPr>
          <w:p w14:paraId="325ADE28" w14:textId="77777777" w:rsidR="009D0E96" w:rsidRPr="004E2CEF" w:rsidRDefault="00EA1F09"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2023</w:t>
            </w:r>
          </w:p>
        </w:tc>
        <w:tc>
          <w:tcPr>
            <w:tcW w:w="2225" w:type="dxa"/>
            <w:tcBorders>
              <w:top w:val="nil"/>
              <w:left w:val="nil"/>
              <w:bottom w:val="single" w:sz="4" w:space="0" w:color="auto"/>
              <w:right w:val="single" w:sz="4" w:space="0" w:color="auto"/>
            </w:tcBorders>
            <w:shd w:val="clear" w:color="auto" w:fill="auto"/>
            <w:noWrap/>
            <w:vAlign w:val="bottom"/>
            <w:hideMark/>
          </w:tcPr>
          <w:p w14:paraId="63096F4F" w14:textId="77777777" w:rsidR="009D0E96" w:rsidRPr="004E2CEF" w:rsidRDefault="00EA1F09"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2024</w:t>
            </w:r>
          </w:p>
        </w:tc>
        <w:tc>
          <w:tcPr>
            <w:tcW w:w="2003" w:type="dxa"/>
            <w:tcBorders>
              <w:top w:val="nil"/>
              <w:left w:val="nil"/>
              <w:bottom w:val="single" w:sz="4" w:space="0" w:color="auto"/>
              <w:right w:val="single" w:sz="4" w:space="0" w:color="auto"/>
            </w:tcBorders>
            <w:shd w:val="clear" w:color="auto" w:fill="auto"/>
            <w:noWrap/>
            <w:vAlign w:val="bottom"/>
            <w:hideMark/>
          </w:tcPr>
          <w:p w14:paraId="7C000E2D"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Fr.</w:t>
            </w:r>
          </w:p>
        </w:tc>
        <w:tc>
          <w:tcPr>
            <w:tcW w:w="1189" w:type="dxa"/>
            <w:tcBorders>
              <w:top w:val="nil"/>
              <w:left w:val="nil"/>
              <w:bottom w:val="single" w:sz="4" w:space="0" w:color="auto"/>
              <w:right w:val="single" w:sz="4" w:space="0" w:color="auto"/>
            </w:tcBorders>
            <w:shd w:val="clear" w:color="auto" w:fill="auto"/>
            <w:noWrap/>
            <w:vAlign w:val="bottom"/>
            <w:hideMark/>
          </w:tcPr>
          <w:p w14:paraId="292CC471" w14:textId="77777777" w:rsidR="009D0E96" w:rsidRPr="004E2CEF" w:rsidRDefault="009D0E96" w:rsidP="009D0E96">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in %</w:t>
            </w:r>
          </w:p>
        </w:tc>
      </w:tr>
      <w:tr w:rsidR="009D0E96" w:rsidRPr="004E2CEF" w14:paraId="64D735B5"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7C039A16"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40'000 </w:t>
            </w:r>
          </w:p>
        </w:tc>
        <w:tc>
          <w:tcPr>
            <w:tcW w:w="1937" w:type="dxa"/>
            <w:tcBorders>
              <w:top w:val="nil"/>
              <w:left w:val="nil"/>
              <w:bottom w:val="single" w:sz="4" w:space="0" w:color="auto"/>
              <w:right w:val="single" w:sz="4" w:space="0" w:color="auto"/>
            </w:tcBorders>
            <w:shd w:val="clear" w:color="auto" w:fill="auto"/>
            <w:noWrap/>
            <w:vAlign w:val="bottom"/>
            <w:hideMark/>
          </w:tcPr>
          <w:p w14:paraId="313B2EC3"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   </w:t>
            </w:r>
          </w:p>
        </w:tc>
        <w:tc>
          <w:tcPr>
            <w:tcW w:w="2225" w:type="dxa"/>
            <w:tcBorders>
              <w:top w:val="nil"/>
              <w:left w:val="nil"/>
              <w:bottom w:val="single" w:sz="4" w:space="0" w:color="auto"/>
              <w:right w:val="single" w:sz="4" w:space="0" w:color="auto"/>
            </w:tcBorders>
            <w:shd w:val="clear" w:color="auto" w:fill="auto"/>
            <w:noWrap/>
            <w:vAlign w:val="bottom"/>
            <w:hideMark/>
          </w:tcPr>
          <w:p w14:paraId="467DB08D"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   </w:t>
            </w:r>
          </w:p>
        </w:tc>
        <w:tc>
          <w:tcPr>
            <w:tcW w:w="2003" w:type="dxa"/>
            <w:tcBorders>
              <w:top w:val="nil"/>
              <w:left w:val="nil"/>
              <w:bottom w:val="single" w:sz="4" w:space="0" w:color="auto"/>
              <w:right w:val="single" w:sz="4" w:space="0" w:color="auto"/>
            </w:tcBorders>
            <w:shd w:val="clear" w:color="auto" w:fill="auto"/>
            <w:noWrap/>
            <w:vAlign w:val="bottom"/>
            <w:hideMark/>
          </w:tcPr>
          <w:p w14:paraId="5EEAF686"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   </w:t>
            </w:r>
          </w:p>
        </w:tc>
        <w:tc>
          <w:tcPr>
            <w:tcW w:w="1189" w:type="dxa"/>
            <w:tcBorders>
              <w:top w:val="nil"/>
              <w:left w:val="nil"/>
              <w:bottom w:val="single" w:sz="4" w:space="0" w:color="auto"/>
              <w:right w:val="single" w:sz="4" w:space="0" w:color="auto"/>
            </w:tcBorders>
            <w:shd w:val="clear" w:color="auto" w:fill="auto"/>
            <w:noWrap/>
            <w:vAlign w:val="bottom"/>
            <w:hideMark/>
          </w:tcPr>
          <w:p w14:paraId="770062B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w:t>
            </w:r>
          </w:p>
        </w:tc>
      </w:tr>
      <w:tr w:rsidR="009D0E96" w:rsidRPr="004E2CEF" w14:paraId="22726EAB"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2F344216"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50'000 </w:t>
            </w:r>
          </w:p>
        </w:tc>
        <w:tc>
          <w:tcPr>
            <w:tcW w:w="1937" w:type="dxa"/>
            <w:tcBorders>
              <w:top w:val="nil"/>
              <w:left w:val="nil"/>
              <w:bottom w:val="single" w:sz="4" w:space="0" w:color="auto"/>
              <w:right w:val="single" w:sz="4" w:space="0" w:color="auto"/>
            </w:tcBorders>
            <w:shd w:val="clear" w:color="auto" w:fill="auto"/>
            <w:noWrap/>
            <w:vAlign w:val="bottom"/>
            <w:hideMark/>
          </w:tcPr>
          <w:p w14:paraId="02D81DF6"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683.8 </w:t>
            </w:r>
          </w:p>
        </w:tc>
        <w:tc>
          <w:tcPr>
            <w:tcW w:w="2225" w:type="dxa"/>
            <w:tcBorders>
              <w:top w:val="nil"/>
              <w:left w:val="nil"/>
              <w:bottom w:val="single" w:sz="4" w:space="0" w:color="auto"/>
              <w:right w:val="single" w:sz="4" w:space="0" w:color="auto"/>
            </w:tcBorders>
            <w:shd w:val="clear" w:color="auto" w:fill="auto"/>
            <w:noWrap/>
            <w:vAlign w:val="bottom"/>
            <w:hideMark/>
          </w:tcPr>
          <w:p w14:paraId="38022349"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671.4 </w:t>
            </w:r>
          </w:p>
        </w:tc>
        <w:tc>
          <w:tcPr>
            <w:tcW w:w="2003" w:type="dxa"/>
            <w:tcBorders>
              <w:top w:val="nil"/>
              <w:left w:val="nil"/>
              <w:bottom w:val="single" w:sz="4" w:space="0" w:color="auto"/>
              <w:right w:val="single" w:sz="4" w:space="0" w:color="auto"/>
            </w:tcBorders>
            <w:shd w:val="clear" w:color="auto" w:fill="auto"/>
            <w:noWrap/>
            <w:vAlign w:val="bottom"/>
            <w:hideMark/>
          </w:tcPr>
          <w:p w14:paraId="451074D9"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-12.4 </w:t>
            </w:r>
          </w:p>
        </w:tc>
        <w:tc>
          <w:tcPr>
            <w:tcW w:w="1189" w:type="dxa"/>
            <w:tcBorders>
              <w:top w:val="nil"/>
              <w:left w:val="nil"/>
              <w:bottom w:val="single" w:sz="4" w:space="0" w:color="auto"/>
              <w:right w:val="single" w:sz="4" w:space="0" w:color="auto"/>
            </w:tcBorders>
            <w:shd w:val="clear" w:color="auto" w:fill="auto"/>
            <w:noWrap/>
            <w:vAlign w:val="bottom"/>
            <w:hideMark/>
          </w:tcPr>
          <w:p w14:paraId="235F84B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-1.8%</w:t>
            </w:r>
          </w:p>
        </w:tc>
      </w:tr>
      <w:tr w:rsidR="009D0E96" w:rsidRPr="004E2CEF" w14:paraId="06C31650"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1B0C4CF9"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60'000 </w:t>
            </w:r>
          </w:p>
        </w:tc>
        <w:tc>
          <w:tcPr>
            <w:tcW w:w="1937" w:type="dxa"/>
            <w:tcBorders>
              <w:top w:val="nil"/>
              <w:left w:val="nil"/>
              <w:bottom w:val="single" w:sz="4" w:space="0" w:color="auto"/>
              <w:right w:val="single" w:sz="4" w:space="0" w:color="auto"/>
            </w:tcBorders>
            <w:shd w:val="clear" w:color="auto" w:fill="auto"/>
            <w:noWrap/>
            <w:vAlign w:val="bottom"/>
            <w:hideMark/>
          </w:tcPr>
          <w:p w14:paraId="41F19E6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1'319.5 </w:t>
            </w:r>
          </w:p>
        </w:tc>
        <w:tc>
          <w:tcPr>
            <w:tcW w:w="2225" w:type="dxa"/>
            <w:tcBorders>
              <w:top w:val="nil"/>
              <w:left w:val="nil"/>
              <w:bottom w:val="single" w:sz="4" w:space="0" w:color="auto"/>
              <w:right w:val="single" w:sz="4" w:space="0" w:color="auto"/>
            </w:tcBorders>
            <w:shd w:val="clear" w:color="auto" w:fill="auto"/>
            <w:noWrap/>
            <w:vAlign w:val="bottom"/>
            <w:hideMark/>
          </w:tcPr>
          <w:p w14:paraId="6D57E815"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1'305.9 </w:t>
            </w:r>
          </w:p>
        </w:tc>
        <w:tc>
          <w:tcPr>
            <w:tcW w:w="2003" w:type="dxa"/>
            <w:tcBorders>
              <w:top w:val="nil"/>
              <w:left w:val="nil"/>
              <w:bottom w:val="single" w:sz="4" w:space="0" w:color="auto"/>
              <w:right w:val="single" w:sz="4" w:space="0" w:color="auto"/>
            </w:tcBorders>
            <w:shd w:val="clear" w:color="auto" w:fill="auto"/>
            <w:noWrap/>
            <w:vAlign w:val="bottom"/>
            <w:hideMark/>
          </w:tcPr>
          <w:p w14:paraId="606F4CB6"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-13.6 </w:t>
            </w:r>
          </w:p>
        </w:tc>
        <w:tc>
          <w:tcPr>
            <w:tcW w:w="1189" w:type="dxa"/>
            <w:tcBorders>
              <w:top w:val="nil"/>
              <w:left w:val="nil"/>
              <w:bottom w:val="single" w:sz="4" w:space="0" w:color="auto"/>
              <w:right w:val="single" w:sz="4" w:space="0" w:color="auto"/>
            </w:tcBorders>
            <w:shd w:val="clear" w:color="auto" w:fill="auto"/>
            <w:noWrap/>
            <w:vAlign w:val="bottom"/>
            <w:hideMark/>
          </w:tcPr>
          <w:p w14:paraId="28DECF4A"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-1.0%</w:t>
            </w:r>
          </w:p>
        </w:tc>
      </w:tr>
      <w:tr w:rsidR="009D0E96" w:rsidRPr="004E2CEF" w14:paraId="4D8279AA"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053BB908"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70'000 </w:t>
            </w:r>
          </w:p>
        </w:tc>
        <w:tc>
          <w:tcPr>
            <w:tcW w:w="1937" w:type="dxa"/>
            <w:tcBorders>
              <w:top w:val="nil"/>
              <w:left w:val="nil"/>
              <w:bottom w:val="single" w:sz="4" w:space="0" w:color="auto"/>
              <w:right w:val="single" w:sz="4" w:space="0" w:color="auto"/>
            </w:tcBorders>
            <w:shd w:val="clear" w:color="auto" w:fill="auto"/>
            <w:noWrap/>
            <w:vAlign w:val="bottom"/>
            <w:hideMark/>
          </w:tcPr>
          <w:p w14:paraId="5F3623B3"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2'480.1 </w:t>
            </w:r>
          </w:p>
        </w:tc>
        <w:tc>
          <w:tcPr>
            <w:tcW w:w="2225" w:type="dxa"/>
            <w:tcBorders>
              <w:top w:val="nil"/>
              <w:left w:val="nil"/>
              <w:bottom w:val="single" w:sz="4" w:space="0" w:color="auto"/>
              <w:right w:val="single" w:sz="4" w:space="0" w:color="auto"/>
            </w:tcBorders>
            <w:shd w:val="clear" w:color="auto" w:fill="auto"/>
            <w:noWrap/>
            <w:vAlign w:val="bottom"/>
            <w:hideMark/>
          </w:tcPr>
          <w:p w14:paraId="3B0461EB"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2'449.8 </w:t>
            </w:r>
          </w:p>
        </w:tc>
        <w:tc>
          <w:tcPr>
            <w:tcW w:w="2003" w:type="dxa"/>
            <w:tcBorders>
              <w:top w:val="nil"/>
              <w:left w:val="nil"/>
              <w:bottom w:val="single" w:sz="4" w:space="0" w:color="auto"/>
              <w:right w:val="single" w:sz="4" w:space="0" w:color="auto"/>
            </w:tcBorders>
            <w:shd w:val="clear" w:color="auto" w:fill="auto"/>
            <w:noWrap/>
            <w:vAlign w:val="bottom"/>
            <w:hideMark/>
          </w:tcPr>
          <w:p w14:paraId="322D50A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-30.3 </w:t>
            </w:r>
          </w:p>
        </w:tc>
        <w:tc>
          <w:tcPr>
            <w:tcW w:w="1189" w:type="dxa"/>
            <w:tcBorders>
              <w:top w:val="nil"/>
              <w:left w:val="nil"/>
              <w:bottom w:val="single" w:sz="4" w:space="0" w:color="auto"/>
              <w:right w:val="single" w:sz="4" w:space="0" w:color="auto"/>
            </w:tcBorders>
            <w:shd w:val="clear" w:color="auto" w:fill="auto"/>
            <w:noWrap/>
            <w:vAlign w:val="bottom"/>
            <w:hideMark/>
          </w:tcPr>
          <w:p w14:paraId="0F7D1B06"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-1.2%</w:t>
            </w:r>
          </w:p>
        </w:tc>
      </w:tr>
      <w:tr w:rsidR="009D0E96" w:rsidRPr="004E2CEF" w14:paraId="154623B7"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21824959"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80'000 </w:t>
            </w:r>
          </w:p>
        </w:tc>
        <w:tc>
          <w:tcPr>
            <w:tcW w:w="1937" w:type="dxa"/>
            <w:tcBorders>
              <w:top w:val="nil"/>
              <w:left w:val="nil"/>
              <w:bottom w:val="single" w:sz="4" w:space="0" w:color="auto"/>
              <w:right w:val="single" w:sz="4" w:space="0" w:color="auto"/>
            </w:tcBorders>
            <w:shd w:val="clear" w:color="auto" w:fill="auto"/>
            <w:noWrap/>
            <w:vAlign w:val="bottom"/>
            <w:hideMark/>
          </w:tcPr>
          <w:p w14:paraId="1E44A5F7"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3'921.4 </w:t>
            </w:r>
          </w:p>
        </w:tc>
        <w:tc>
          <w:tcPr>
            <w:tcW w:w="2225" w:type="dxa"/>
            <w:tcBorders>
              <w:top w:val="nil"/>
              <w:left w:val="nil"/>
              <w:bottom w:val="single" w:sz="4" w:space="0" w:color="auto"/>
              <w:right w:val="single" w:sz="4" w:space="0" w:color="auto"/>
            </w:tcBorders>
            <w:shd w:val="clear" w:color="auto" w:fill="auto"/>
            <w:noWrap/>
            <w:vAlign w:val="bottom"/>
            <w:hideMark/>
          </w:tcPr>
          <w:p w14:paraId="4A9FA4E9"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3'857.4 </w:t>
            </w:r>
          </w:p>
        </w:tc>
        <w:tc>
          <w:tcPr>
            <w:tcW w:w="2003" w:type="dxa"/>
            <w:tcBorders>
              <w:top w:val="nil"/>
              <w:left w:val="nil"/>
              <w:bottom w:val="single" w:sz="4" w:space="0" w:color="auto"/>
              <w:right w:val="single" w:sz="4" w:space="0" w:color="auto"/>
            </w:tcBorders>
            <w:shd w:val="clear" w:color="auto" w:fill="auto"/>
            <w:noWrap/>
            <w:vAlign w:val="bottom"/>
            <w:hideMark/>
          </w:tcPr>
          <w:p w14:paraId="6986509D"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-64.0 </w:t>
            </w:r>
          </w:p>
        </w:tc>
        <w:tc>
          <w:tcPr>
            <w:tcW w:w="1189" w:type="dxa"/>
            <w:tcBorders>
              <w:top w:val="nil"/>
              <w:left w:val="nil"/>
              <w:bottom w:val="single" w:sz="4" w:space="0" w:color="auto"/>
              <w:right w:val="single" w:sz="4" w:space="0" w:color="auto"/>
            </w:tcBorders>
            <w:shd w:val="clear" w:color="auto" w:fill="auto"/>
            <w:noWrap/>
            <w:vAlign w:val="bottom"/>
            <w:hideMark/>
          </w:tcPr>
          <w:p w14:paraId="60CF8C4C"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-1.6%</w:t>
            </w:r>
          </w:p>
        </w:tc>
      </w:tr>
      <w:tr w:rsidR="009D0E96" w:rsidRPr="004E2CEF" w14:paraId="6F32C9B6"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3ED4F0BB"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90'000 </w:t>
            </w:r>
          </w:p>
        </w:tc>
        <w:tc>
          <w:tcPr>
            <w:tcW w:w="1937" w:type="dxa"/>
            <w:tcBorders>
              <w:top w:val="nil"/>
              <w:left w:val="nil"/>
              <w:bottom w:val="single" w:sz="4" w:space="0" w:color="auto"/>
              <w:right w:val="single" w:sz="4" w:space="0" w:color="auto"/>
            </w:tcBorders>
            <w:shd w:val="clear" w:color="auto" w:fill="auto"/>
            <w:noWrap/>
            <w:vAlign w:val="bottom"/>
            <w:hideMark/>
          </w:tcPr>
          <w:p w14:paraId="0A241A31"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5'741.9 </w:t>
            </w:r>
          </w:p>
        </w:tc>
        <w:tc>
          <w:tcPr>
            <w:tcW w:w="2225" w:type="dxa"/>
            <w:tcBorders>
              <w:top w:val="nil"/>
              <w:left w:val="nil"/>
              <w:bottom w:val="single" w:sz="4" w:space="0" w:color="auto"/>
              <w:right w:val="single" w:sz="4" w:space="0" w:color="auto"/>
            </w:tcBorders>
            <w:shd w:val="clear" w:color="auto" w:fill="auto"/>
            <w:noWrap/>
            <w:vAlign w:val="bottom"/>
            <w:hideMark/>
          </w:tcPr>
          <w:p w14:paraId="260D7EA1"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5'560.2 </w:t>
            </w:r>
          </w:p>
        </w:tc>
        <w:tc>
          <w:tcPr>
            <w:tcW w:w="2003" w:type="dxa"/>
            <w:tcBorders>
              <w:top w:val="nil"/>
              <w:left w:val="nil"/>
              <w:bottom w:val="single" w:sz="4" w:space="0" w:color="auto"/>
              <w:right w:val="single" w:sz="4" w:space="0" w:color="auto"/>
            </w:tcBorders>
            <w:shd w:val="clear" w:color="auto" w:fill="auto"/>
            <w:noWrap/>
            <w:vAlign w:val="bottom"/>
            <w:hideMark/>
          </w:tcPr>
          <w:p w14:paraId="6EBF9C2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-181.7 </w:t>
            </w:r>
          </w:p>
        </w:tc>
        <w:tc>
          <w:tcPr>
            <w:tcW w:w="1189" w:type="dxa"/>
            <w:tcBorders>
              <w:top w:val="nil"/>
              <w:left w:val="nil"/>
              <w:bottom w:val="single" w:sz="4" w:space="0" w:color="auto"/>
              <w:right w:val="single" w:sz="4" w:space="0" w:color="auto"/>
            </w:tcBorders>
            <w:shd w:val="clear" w:color="auto" w:fill="auto"/>
            <w:noWrap/>
            <w:vAlign w:val="bottom"/>
            <w:hideMark/>
          </w:tcPr>
          <w:p w14:paraId="47D5C6A7"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-3.2%</w:t>
            </w:r>
          </w:p>
        </w:tc>
      </w:tr>
      <w:tr w:rsidR="009D0E96" w:rsidRPr="004E2CEF" w14:paraId="792E77CA"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0A712B2E"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100'000 </w:t>
            </w:r>
          </w:p>
        </w:tc>
        <w:tc>
          <w:tcPr>
            <w:tcW w:w="1937" w:type="dxa"/>
            <w:tcBorders>
              <w:top w:val="nil"/>
              <w:left w:val="nil"/>
              <w:bottom w:val="single" w:sz="4" w:space="0" w:color="auto"/>
              <w:right w:val="single" w:sz="4" w:space="0" w:color="auto"/>
            </w:tcBorders>
            <w:shd w:val="clear" w:color="auto" w:fill="auto"/>
            <w:noWrap/>
            <w:vAlign w:val="bottom"/>
            <w:hideMark/>
          </w:tcPr>
          <w:p w14:paraId="32923218"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7'600.4 </w:t>
            </w:r>
          </w:p>
        </w:tc>
        <w:tc>
          <w:tcPr>
            <w:tcW w:w="2225" w:type="dxa"/>
            <w:tcBorders>
              <w:top w:val="nil"/>
              <w:left w:val="nil"/>
              <w:bottom w:val="single" w:sz="4" w:space="0" w:color="auto"/>
              <w:right w:val="single" w:sz="4" w:space="0" w:color="auto"/>
            </w:tcBorders>
            <w:shd w:val="clear" w:color="auto" w:fill="auto"/>
            <w:noWrap/>
            <w:vAlign w:val="bottom"/>
            <w:hideMark/>
          </w:tcPr>
          <w:p w14:paraId="2D9886E8"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7'425.0 </w:t>
            </w:r>
          </w:p>
        </w:tc>
        <w:tc>
          <w:tcPr>
            <w:tcW w:w="2003" w:type="dxa"/>
            <w:tcBorders>
              <w:top w:val="nil"/>
              <w:left w:val="nil"/>
              <w:bottom w:val="single" w:sz="4" w:space="0" w:color="auto"/>
              <w:right w:val="single" w:sz="4" w:space="0" w:color="auto"/>
            </w:tcBorders>
            <w:shd w:val="clear" w:color="auto" w:fill="auto"/>
            <w:noWrap/>
            <w:vAlign w:val="bottom"/>
            <w:hideMark/>
          </w:tcPr>
          <w:p w14:paraId="4F7C30F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-175.4 </w:t>
            </w:r>
          </w:p>
        </w:tc>
        <w:tc>
          <w:tcPr>
            <w:tcW w:w="1189" w:type="dxa"/>
            <w:tcBorders>
              <w:top w:val="nil"/>
              <w:left w:val="nil"/>
              <w:bottom w:val="single" w:sz="4" w:space="0" w:color="auto"/>
              <w:right w:val="single" w:sz="4" w:space="0" w:color="auto"/>
            </w:tcBorders>
            <w:shd w:val="clear" w:color="auto" w:fill="auto"/>
            <w:noWrap/>
            <w:vAlign w:val="bottom"/>
            <w:hideMark/>
          </w:tcPr>
          <w:p w14:paraId="6A7081B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-2.3%</w:t>
            </w:r>
          </w:p>
        </w:tc>
      </w:tr>
      <w:tr w:rsidR="009D0E96" w:rsidRPr="004E2CEF" w14:paraId="1D1F67CB"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06B686CF"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110'000 </w:t>
            </w:r>
          </w:p>
        </w:tc>
        <w:tc>
          <w:tcPr>
            <w:tcW w:w="1937" w:type="dxa"/>
            <w:tcBorders>
              <w:top w:val="nil"/>
              <w:left w:val="nil"/>
              <w:bottom w:val="single" w:sz="4" w:space="0" w:color="auto"/>
              <w:right w:val="single" w:sz="4" w:space="0" w:color="auto"/>
            </w:tcBorders>
            <w:shd w:val="clear" w:color="auto" w:fill="auto"/>
            <w:noWrap/>
            <w:vAlign w:val="bottom"/>
            <w:hideMark/>
          </w:tcPr>
          <w:p w14:paraId="235E6195"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9'653.6 </w:t>
            </w:r>
          </w:p>
        </w:tc>
        <w:tc>
          <w:tcPr>
            <w:tcW w:w="2225" w:type="dxa"/>
            <w:tcBorders>
              <w:top w:val="nil"/>
              <w:left w:val="nil"/>
              <w:bottom w:val="single" w:sz="4" w:space="0" w:color="auto"/>
              <w:right w:val="single" w:sz="4" w:space="0" w:color="auto"/>
            </w:tcBorders>
            <w:shd w:val="clear" w:color="auto" w:fill="auto"/>
            <w:noWrap/>
            <w:vAlign w:val="bottom"/>
            <w:hideMark/>
          </w:tcPr>
          <w:p w14:paraId="76D25550"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9'376.2 </w:t>
            </w:r>
          </w:p>
        </w:tc>
        <w:tc>
          <w:tcPr>
            <w:tcW w:w="2003" w:type="dxa"/>
            <w:tcBorders>
              <w:top w:val="nil"/>
              <w:left w:val="nil"/>
              <w:bottom w:val="single" w:sz="4" w:space="0" w:color="auto"/>
              <w:right w:val="single" w:sz="4" w:space="0" w:color="auto"/>
            </w:tcBorders>
            <w:shd w:val="clear" w:color="auto" w:fill="auto"/>
            <w:noWrap/>
            <w:vAlign w:val="bottom"/>
            <w:hideMark/>
          </w:tcPr>
          <w:p w14:paraId="7E1FC323"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-277.4 </w:t>
            </w:r>
          </w:p>
        </w:tc>
        <w:tc>
          <w:tcPr>
            <w:tcW w:w="1189" w:type="dxa"/>
            <w:tcBorders>
              <w:top w:val="nil"/>
              <w:left w:val="nil"/>
              <w:bottom w:val="single" w:sz="4" w:space="0" w:color="auto"/>
              <w:right w:val="single" w:sz="4" w:space="0" w:color="auto"/>
            </w:tcBorders>
            <w:shd w:val="clear" w:color="auto" w:fill="auto"/>
            <w:noWrap/>
            <w:vAlign w:val="bottom"/>
            <w:hideMark/>
          </w:tcPr>
          <w:p w14:paraId="238E1745"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-2.9%</w:t>
            </w:r>
          </w:p>
        </w:tc>
      </w:tr>
      <w:tr w:rsidR="009D0E96" w:rsidRPr="004E2CEF" w14:paraId="780A6773" w14:textId="77777777" w:rsidTr="009D0E96">
        <w:trPr>
          <w:trHeight w:val="292"/>
        </w:trPr>
        <w:tc>
          <w:tcPr>
            <w:tcW w:w="2034" w:type="dxa"/>
            <w:tcBorders>
              <w:top w:val="nil"/>
              <w:left w:val="single" w:sz="4" w:space="0" w:color="auto"/>
              <w:bottom w:val="single" w:sz="4" w:space="0" w:color="auto"/>
              <w:right w:val="single" w:sz="4" w:space="0" w:color="auto"/>
            </w:tcBorders>
            <w:shd w:val="clear" w:color="auto" w:fill="auto"/>
            <w:noWrap/>
            <w:vAlign w:val="bottom"/>
            <w:hideMark/>
          </w:tcPr>
          <w:p w14:paraId="58DD9349" w14:textId="77777777" w:rsidR="009D0E96" w:rsidRPr="004E2CEF" w:rsidRDefault="009D0E96" w:rsidP="009D0E96">
            <w:pPr>
              <w:jc w:val="left"/>
              <w:rPr>
                <w:rFonts w:eastAsia="Times New Roman" w:cs="Arial"/>
                <w:sz w:val="20"/>
                <w:szCs w:val="20"/>
                <w:lang w:eastAsia="it-CH"/>
              </w:rPr>
            </w:pPr>
            <w:r w:rsidRPr="004E2CEF">
              <w:rPr>
                <w:rFonts w:eastAsia="Times New Roman" w:cs="Arial"/>
                <w:sz w:val="20"/>
                <w:szCs w:val="20"/>
                <w:lang w:eastAsia="it-CH"/>
              </w:rPr>
              <w:t xml:space="preserve">        120'000 </w:t>
            </w:r>
          </w:p>
        </w:tc>
        <w:tc>
          <w:tcPr>
            <w:tcW w:w="1937" w:type="dxa"/>
            <w:tcBorders>
              <w:top w:val="nil"/>
              <w:left w:val="nil"/>
              <w:bottom w:val="single" w:sz="4" w:space="0" w:color="auto"/>
              <w:right w:val="single" w:sz="4" w:space="0" w:color="auto"/>
            </w:tcBorders>
            <w:shd w:val="clear" w:color="auto" w:fill="auto"/>
            <w:noWrap/>
            <w:vAlign w:val="bottom"/>
            <w:hideMark/>
          </w:tcPr>
          <w:p w14:paraId="47684EBB"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11'928.0 </w:t>
            </w:r>
          </w:p>
        </w:tc>
        <w:tc>
          <w:tcPr>
            <w:tcW w:w="2225" w:type="dxa"/>
            <w:tcBorders>
              <w:top w:val="nil"/>
              <w:left w:val="nil"/>
              <w:bottom w:val="single" w:sz="4" w:space="0" w:color="auto"/>
              <w:right w:val="single" w:sz="4" w:space="0" w:color="auto"/>
            </w:tcBorders>
            <w:shd w:val="clear" w:color="auto" w:fill="auto"/>
            <w:noWrap/>
            <w:vAlign w:val="bottom"/>
            <w:hideMark/>
          </w:tcPr>
          <w:p w14:paraId="07A13567"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11'599.2 </w:t>
            </w:r>
          </w:p>
        </w:tc>
        <w:tc>
          <w:tcPr>
            <w:tcW w:w="2003" w:type="dxa"/>
            <w:tcBorders>
              <w:top w:val="nil"/>
              <w:left w:val="nil"/>
              <w:bottom w:val="single" w:sz="4" w:space="0" w:color="auto"/>
              <w:right w:val="single" w:sz="4" w:space="0" w:color="auto"/>
            </w:tcBorders>
            <w:shd w:val="clear" w:color="auto" w:fill="auto"/>
            <w:noWrap/>
            <w:vAlign w:val="bottom"/>
            <w:hideMark/>
          </w:tcPr>
          <w:p w14:paraId="4E8A5F3F"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 xml:space="preserve">      -328.8 </w:t>
            </w:r>
          </w:p>
        </w:tc>
        <w:tc>
          <w:tcPr>
            <w:tcW w:w="1189" w:type="dxa"/>
            <w:tcBorders>
              <w:top w:val="nil"/>
              <w:left w:val="nil"/>
              <w:bottom w:val="single" w:sz="4" w:space="0" w:color="auto"/>
              <w:right w:val="single" w:sz="4" w:space="0" w:color="auto"/>
            </w:tcBorders>
            <w:shd w:val="clear" w:color="auto" w:fill="auto"/>
            <w:noWrap/>
            <w:vAlign w:val="bottom"/>
            <w:hideMark/>
          </w:tcPr>
          <w:p w14:paraId="2D74E1E2" w14:textId="77777777" w:rsidR="009D0E96" w:rsidRPr="004E2CEF" w:rsidRDefault="009D0E96" w:rsidP="002809E8">
            <w:pPr>
              <w:jc w:val="right"/>
              <w:rPr>
                <w:rFonts w:eastAsia="Times New Roman" w:cs="Arial"/>
                <w:sz w:val="20"/>
                <w:szCs w:val="20"/>
                <w:lang w:eastAsia="it-CH"/>
              </w:rPr>
            </w:pPr>
            <w:r w:rsidRPr="004E2CEF">
              <w:rPr>
                <w:rFonts w:eastAsia="Times New Roman" w:cs="Arial"/>
                <w:sz w:val="20"/>
                <w:szCs w:val="20"/>
                <w:lang w:eastAsia="it-CH"/>
              </w:rPr>
              <w:t>-2.8%</w:t>
            </w:r>
          </w:p>
        </w:tc>
      </w:tr>
    </w:tbl>
    <w:p w14:paraId="422FAA80" w14:textId="77777777" w:rsidR="009D0E96" w:rsidRPr="004E2CEF" w:rsidRDefault="009D0E96" w:rsidP="009D0E96">
      <w:pPr>
        <w:pStyle w:val="StandardRisoluzionedelConsigliodiStato"/>
        <w:ind w:right="-1"/>
        <w:rPr>
          <w:b/>
          <w:i/>
        </w:rPr>
      </w:pPr>
    </w:p>
    <w:p w14:paraId="39ACD6ED" w14:textId="77777777" w:rsidR="002809E8" w:rsidRPr="004E2CEF" w:rsidRDefault="002809E8" w:rsidP="002809E8">
      <w:pPr>
        <w:pStyle w:val="StandardRisoluzionedelConsigliodiStato"/>
        <w:ind w:right="-1"/>
        <w:rPr>
          <w:b/>
          <w:i/>
        </w:rPr>
      </w:pPr>
      <w:r w:rsidRPr="004E2CEF">
        <w:rPr>
          <w:b/>
          <w:i/>
        </w:rPr>
        <w:t>Coniugati con doppio reddito</w:t>
      </w:r>
      <w:r w:rsidRPr="004E2CEF">
        <w:rPr>
          <w:rStyle w:val="Rimandonotaapidipagina"/>
          <w:b/>
          <w:i/>
        </w:rPr>
        <w:footnoteReference w:id="24"/>
      </w:r>
    </w:p>
    <w:tbl>
      <w:tblPr>
        <w:tblW w:w="9448" w:type="dxa"/>
        <w:tblCellMar>
          <w:left w:w="70" w:type="dxa"/>
          <w:right w:w="70" w:type="dxa"/>
        </w:tblCellMar>
        <w:tblLook w:val="04A0" w:firstRow="1" w:lastRow="0" w:firstColumn="1" w:lastColumn="0" w:noHBand="0" w:noVBand="1"/>
      </w:tblPr>
      <w:tblGrid>
        <w:gridCol w:w="2047"/>
        <w:gridCol w:w="1949"/>
        <w:gridCol w:w="2240"/>
        <w:gridCol w:w="2015"/>
        <w:gridCol w:w="1197"/>
      </w:tblGrid>
      <w:tr w:rsidR="002809E8" w:rsidRPr="004E2CEF" w14:paraId="33BBD6B8" w14:textId="77777777" w:rsidTr="002809E8">
        <w:trPr>
          <w:trHeight w:val="297"/>
        </w:trPr>
        <w:tc>
          <w:tcPr>
            <w:tcW w:w="2047" w:type="dxa"/>
            <w:tcBorders>
              <w:top w:val="single" w:sz="4" w:space="0" w:color="auto"/>
              <w:left w:val="single" w:sz="4" w:space="0" w:color="auto"/>
              <w:bottom w:val="nil"/>
              <w:right w:val="single" w:sz="4" w:space="0" w:color="auto"/>
            </w:tcBorders>
            <w:shd w:val="clear" w:color="auto" w:fill="auto"/>
            <w:noWrap/>
            <w:vAlign w:val="bottom"/>
            <w:hideMark/>
          </w:tcPr>
          <w:p w14:paraId="36BE278D" w14:textId="77777777" w:rsidR="002809E8" w:rsidRPr="004E2CEF" w:rsidRDefault="002809E8" w:rsidP="002809E8">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Stipendio</w:t>
            </w:r>
          </w:p>
        </w:tc>
        <w:tc>
          <w:tcPr>
            <w:tcW w:w="4189" w:type="dxa"/>
            <w:gridSpan w:val="2"/>
            <w:tcBorders>
              <w:top w:val="single" w:sz="4" w:space="0" w:color="auto"/>
              <w:left w:val="nil"/>
              <w:bottom w:val="single" w:sz="4" w:space="0" w:color="auto"/>
              <w:right w:val="single" w:sz="4" w:space="0" w:color="auto"/>
            </w:tcBorders>
            <w:shd w:val="clear" w:color="auto" w:fill="auto"/>
            <w:noWrap/>
            <w:vAlign w:val="bottom"/>
            <w:hideMark/>
          </w:tcPr>
          <w:p w14:paraId="380023D1" w14:textId="77777777" w:rsidR="002809E8" w:rsidRPr="004E2CEF" w:rsidRDefault="002809E8" w:rsidP="002809E8">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Imposta dovuta (Cantone e Comune)</w:t>
            </w:r>
          </w:p>
        </w:tc>
        <w:tc>
          <w:tcPr>
            <w:tcW w:w="3212" w:type="dxa"/>
            <w:gridSpan w:val="2"/>
            <w:tcBorders>
              <w:top w:val="single" w:sz="4" w:space="0" w:color="auto"/>
              <w:left w:val="nil"/>
              <w:bottom w:val="single" w:sz="4" w:space="0" w:color="auto"/>
              <w:right w:val="single" w:sz="4" w:space="0" w:color="auto"/>
            </w:tcBorders>
            <w:shd w:val="clear" w:color="auto" w:fill="auto"/>
            <w:noWrap/>
            <w:vAlign w:val="bottom"/>
            <w:hideMark/>
          </w:tcPr>
          <w:p w14:paraId="786AC95C" w14:textId="77777777" w:rsidR="002809E8" w:rsidRPr="004E2CEF" w:rsidRDefault="002809E8" w:rsidP="002809E8">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Differenza</w:t>
            </w:r>
          </w:p>
        </w:tc>
      </w:tr>
      <w:tr w:rsidR="002809E8" w:rsidRPr="004E2CEF" w14:paraId="4D99F359"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482913E8" w14:textId="77777777" w:rsidR="002809E8" w:rsidRPr="004E2CEF" w:rsidRDefault="002809E8" w:rsidP="002809E8">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netto in Fr.</w:t>
            </w:r>
          </w:p>
        </w:tc>
        <w:tc>
          <w:tcPr>
            <w:tcW w:w="1949" w:type="dxa"/>
            <w:tcBorders>
              <w:top w:val="nil"/>
              <w:left w:val="nil"/>
              <w:bottom w:val="single" w:sz="4" w:space="0" w:color="auto"/>
              <w:right w:val="single" w:sz="4" w:space="0" w:color="auto"/>
            </w:tcBorders>
            <w:shd w:val="clear" w:color="auto" w:fill="auto"/>
            <w:noWrap/>
            <w:vAlign w:val="bottom"/>
            <w:hideMark/>
          </w:tcPr>
          <w:p w14:paraId="6AED748F" w14:textId="77777777" w:rsidR="002809E8" w:rsidRPr="004E2CEF" w:rsidRDefault="002809E8" w:rsidP="002809E8">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2023</w:t>
            </w:r>
          </w:p>
        </w:tc>
        <w:tc>
          <w:tcPr>
            <w:tcW w:w="2239" w:type="dxa"/>
            <w:tcBorders>
              <w:top w:val="nil"/>
              <w:left w:val="nil"/>
              <w:bottom w:val="single" w:sz="4" w:space="0" w:color="auto"/>
              <w:right w:val="single" w:sz="4" w:space="0" w:color="auto"/>
            </w:tcBorders>
            <w:shd w:val="clear" w:color="auto" w:fill="auto"/>
            <w:noWrap/>
            <w:vAlign w:val="bottom"/>
            <w:hideMark/>
          </w:tcPr>
          <w:p w14:paraId="329D8484" w14:textId="77777777" w:rsidR="002809E8" w:rsidRPr="004E2CEF" w:rsidRDefault="002809E8" w:rsidP="002809E8">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2024</w:t>
            </w:r>
          </w:p>
        </w:tc>
        <w:tc>
          <w:tcPr>
            <w:tcW w:w="2015" w:type="dxa"/>
            <w:tcBorders>
              <w:top w:val="nil"/>
              <w:left w:val="nil"/>
              <w:bottom w:val="single" w:sz="4" w:space="0" w:color="auto"/>
              <w:right w:val="single" w:sz="4" w:space="0" w:color="auto"/>
            </w:tcBorders>
            <w:shd w:val="clear" w:color="auto" w:fill="auto"/>
            <w:noWrap/>
            <w:vAlign w:val="bottom"/>
            <w:hideMark/>
          </w:tcPr>
          <w:p w14:paraId="5FF18B73" w14:textId="77777777" w:rsidR="002809E8" w:rsidRPr="004E2CEF" w:rsidRDefault="002809E8" w:rsidP="002809E8">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Fr.</w:t>
            </w:r>
          </w:p>
        </w:tc>
        <w:tc>
          <w:tcPr>
            <w:tcW w:w="1196" w:type="dxa"/>
            <w:tcBorders>
              <w:top w:val="nil"/>
              <w:left w:val="nil"/>
              <w:bottom w:val="single" w:sz="4" w:space="0" w:color="auto"/>
              <w:right w:val="single" w:sz="4" w:space="0" w:color="auto"/>
            </w:tcBorders>
            <w:shd w:val="clear" w:color="auto" w:fill="auto"/>
            <w:noWrap/>
            <w:vAlign w:val="bottom"/>
            <w:hideMark/>
          </w:tcPr>
          <w:p w14:paraId="507FB044" w14:textId="77777777" w:rsidR="002809E8" w:rsidRPr="004E2CEF" w:rsidRDefault="002809E8" w:rsidP="002809E8">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in %</w:t>
            </w:r>
          </w:p>
        </w:tc>
      </w:tr>
      <w:tr w:rsidR="002809E8" w:rsidRPr="004E2CEF" w14:paraId="21DF40DD"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26198496"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80'000 </w:t>
            </w:r>
          </w:p>
        </w:tc>
        <w:tc>
          <w:tcPr>
            <w:tcW w:w="1949" w:type="dxa"/>
            <w:tcBorders>
              <w:top w:val="nil"/>
              <w:left w:val="nil"/>
              <w:bottom w:val="single" w:sz="4" w:space="0" w:color="auto"/>
              <w:right w:val="single" w:sz="4" w:space="0" w:color="auto"/>
            </w:tcBorders>
            <w:shd w:val="clear" w:color="auto" w:fill="auto"/>
            <w:noWrap/>
            <w:vAlign w:val="bottom"/>
            <w:hideMark/>
          </w:tcPr>
          <w:p w14:paraId="3C002D8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1'693.7 </w:t>
            </w:r>
          </w:p>
        </w:tc>
        <w:tc>
          <w:tcPr>
            <w:tcW w:w="2239" w:type="dxa"/>
            <w:tcBorders>
              <w:top w:val="nil"/>
              <w:left w:val="nil"/>
              <w:bottom w:val="single" w:sz="4" w:space="0" w:color="auto"/>
              <w:right w:val="single" w:sz="4" w:space="0" w:color="auto"/>
            </w:tcBorders>
            <w:shd w:val="clear" w:color="auto" w:fill="auto"/>
            <w:noWrap/>
            <w:vAlign w:val="bottom"/>
            <w:hideMark/>
          </w:tcPr>
          <w:p w14:paraId="6DDEA4D9"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1'602.7 </w:t>
            </w:r>
          </w:p>
        </w:tc>
        <w:tc>
          <w:tcPr>
            <w:tcW w:w="2015" w:type="dxa"/>
            <w:tcBorders>
              <w:top w:val="nil"/>
              <w:left w:val="nil"/>
              <w:bottom w:val="single" w:sz="4" w:space="0" w:color="auto"/>
              <w:right w:val="single" w:sz="4" w:space="0" w:color="auto"/>
            </w:tcBorders>
            <w:shd w:val="clear" w:color="auto" w:fill="auto"/>
            <w:noWrap/>
            <w:vAlign w:val="bottom"/>
            <w:hideMark/>
          </w:tcPr>
          <w:p w14:paraId="116703C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-91.0 </w:t>
            </w:r>
          </w:p>
        </w:tc>
        <w:tc>
          <w:tcPr>
            <w:tcW w:w="1196" w:type="dxa"/>
            <w:tcBorders>
              <w:top w:val="nil"/>
              <w:left w:val="nil"/>
              <w:bottom w:val="single" w:sz="4" w:space="0" w:color="auto"/>
              <w:right w:val="single" w:sz="4" w:space="0" w:color="auto"/>
            </w:tcBorders>
            <w:shd w:val="clear" w:color="auto" w:fill="auto"/>
            <w:noWrap/>
            <w:vAlign w:val="bottom"/>
            <w:hideMark/>
          </w:tcPr>
          <w:p w14:paraId="3807E4BF"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-5.4%</w:t>
            </w:r>
          </w:p>
        </w:tc>
      </w:tr>
      <w:tr w:rsidR="002809E8" w:rsidRPr="004E2CEF" w14:paraId="5A694350"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0CC83116"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100'000 </w:t>
            </w:r>
          </w:p>
        </w:tc>
        <w:tc>
          <w:tcPr>
            <w:tcW w:w="1949" w:type="dxa"/>
            <w:tcBorders>
              <w:top w:val="nil"/>
              <w:left w:val="nil"/>
              <w:bottom w:val="single" w:sz="4" w:space="0" w:color="auto"/>
              <w:right w:val="single" w:sz="4" w:space="0" w:color="auto"/>
            </w:tcBorders>
            <w:shd w:val="clear" w:color="auto" w:fill="auto"/>
            <w:noWrap/>
            <w:vAlign w:val="bottom"/>
            <w:hideMark/>
          </w:tcPr>
          <w:p w14:paraId="770FC173"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4'631.5 </w:t>
            </w:r>
          </w:p>
        </w:tc>
        <w:tc>
          <w:tcPr>
            <w:tcW w:w="2239" w:type="dxa"/>
            <w:tcBorders>
              <w:top w:val="nil"/>
              <w:left w:val="nil"/>
              <w:bottom w:val="single" w:sz="4" w:space="0" w:color="auto"/>
              <w:right w:val="single" w:sz="4" w:space="0" w:color="auto"/>
            </w:tcBorders>
            <w:shd w:val="clear" w:color="auto" w:fill="auto"/>
            <w:noWrap/>
            <w:vAlign w:val="bottom"/>
            <w:hideMark/>
          </w:tcPr>
          <w:p w14:paraId="327D5C47"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4'523.4 </w:t>
            </w:r>
          </w:p>
        </w:tc>
        <w:tc>
          <w:tcPr>
            <w:tcW w:w="2015" w:type="dxa"/>
            <w:tcBorders>
              <w:top w:val="nil"/>
              <w:left w:val="nil"/>
              <w:bottom w:val="single" w:sz="4" w:space="0" w:color="auto"/>
              <w:right w:val="single" w:sz="4" w:space="0" w:color="auto"/>
            </w:tcBorders>
            <w:shd w:val="clear" w:color="auto" w:fill="auto"/>
            <w:noWrap/>
            <w:vAlign w:val="bottom"/>
            <w:hideMark/>
          </w:tcPr>
          <w:p w14:paraId="0E49E13E"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-108.1 </w:t>
            </w:r>
          </w:p>
        </w:tc>
        <w:tc>
          <w:tcPr>
            <w:tcW w:w="1196" w:type="dxa"/>
            <w:tcBorders>
              <w:top w:val="nil"/>
              <w:left w:val="nil"/>
              <w:bottom w:val="single" w:sz="4" w:space="0" w:color="auto"/>
              <w:right w:val="single" w:sz="4" w:space="0" w:color="auto"/>
            </w:tcBorders>
            <w:shd w:val="clear" w:color="auto" w:fill="auto"/>
            <w:noWrap/>
            <w:vAlign w:val="bottom"/>
            <w:hideMark/>
          </w:tcPr>
          <w:p w14:paraId="4352CC0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-2.3%</w:t>
            </w:r>
          </w:p>
        </w:tc>
      </w:tr>
      <w:tr w:rsidR="002809E8" w:rsidRPr="004E2CEF" w14:paraId="7654D9F3"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1348450F"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120'000 </w:t>
            </w:r>
          </w:p>
        </w:tc>
        <w:tc>
          <w:tcPr>
            <w:tcW w:w="1949" w:type="dxa"/>
            <w:tcBorders>
              <w:top w:val="nil"/>
              <w:left w:val="nil"/>
              <w:bottom w:val="single" w:sz="4" w:space="0" w:color="auto"/>
              <w:right w:val="single" w:sz="4" w:space="0" w:color="auto"/>
            </w:tcBorders>
            <w:shd w:val="clear" w:color="auto" w:fill="auto"/>
            <w:noWrap/>
            <w:vAlign w:val="bottom"/>
            <w:hideMark/>
          </w:tcPr>
          <w:p w14:paraId="568E00A1"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8'378.3 </w:t>
            </w:r>
          </w:p>
        </w:tc>
        <w:tc>
          <w:tcPr>
            <w:tcW w:w="2239" w:type="dxa"/>
            <w:tcBorders>
              <w:top w:val="nil"/>
              <w:left w:val="nil"/>
              <w:bottom w:val="single" w:sz="4" w:space="0" w:color="auto"/>
              <w:right w:val="single" w:sz="4" w:space="0" w:color="auto"/>
            </w:tcBorders>
            <w:shd w:val="clear" w:color="auto" w:fill="auto"/>
            <w:noWrap/>
            <w:vAlign w:val="bottom"/>
            <w:hideMark/>
          </w:tcPr>
          <w:p w14:paraId="20BAF276"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8'317.7 </w:t>
            </w:r>
          </w:p>
        </w:tc>
        <w:tc>
          <w:tcPr>
            <w:tcW w:w="2015" w:type="dxa"/>
            <w:tcBorders>
              <w:top w:val="nil"/>
              <w:left w:val="nil"/>
              <w:bottom w:val="single" w:sz="4" w:space="0" w:color="auto"/>
              <w:right w:val="single" w:sz="4" w:space="0" w:color="auto"/>
            </w:tcBorders>
            <w:shd w:val="clear" w:color="auto" w:fill="auto"/>
            <w:noWrap/>
            <w:vAlign w:val="bottom"/>
            <w:hideMark/>
          </w:tcPr>
          <w:p w14:paraId="3EF467C4"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-60.6 </w:t>
            </w:r>
          </w:p>
        </w:tc>
        <w:tc>
          <w:tcPr>
            <w:tcW w:w="1196" w:type="dxa"/>
            <w:tcBorders>
              <w:top w:val="nil"/>
              <w:left w:val="nil"/>
              <w:bottom w:val="single" w:sz="4" w:space="0" w:color="auto"/>
              <w:right w:val="single" w:sz="4" w:space="0" w:color="auto"/>
            </w:tcBorders>
            <w:shd w:val="clear" w:color="auto" w:fill="auto"/>
            <w:noWrap/>
            <w:vAlign w:val="bottom"/>
            <w:hideMark/>
          </w:tcPr>
          <w:p w14:paraId="413DAE4F"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-0.7%</w:t>
            </w:r>
          </w:p>
        </w:tc>
      </w:tr>
      <w:tr w:rsidR="002809E8" w:rsidRPr="004E2CEF" w14:paraId="3AC34083"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303A2388"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140'000 </w:t>
            </w:r>
          </w:p>
        </w:tc>
        <w:tc>
          <w:tcPr>
            <w:tcW w:w="1949" w:type="dxa"/>
            <w:tcBorders>
              <w:top w:val="nil"/>
              <w:left w:val="nil"/>
              <w:bottom w:val="single" w:sz="4" w:space="0" w:color="auto"/>
              <w:right w:val="single" w:sz="4" w:space="0" w:color="auto"/>
            </w:tcBorders>
            <w:shd w:val="clear" w:color="auto" w:fill="auto"/>
            <w:noWrap/>
            <w:vAlign w:val="bottom"/>
            <w:hideMark/>
          </w:tcPr>
          <w:p w14:paraId="4171F3BE"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12'817.5 </w:t>
            </w:r>
          </w:p>
        </w:tc>
        <w:tc>
          <w:tcPr>
            <w:tcW w:w="2239" w:type="dxa"/>
            <w:tcBorders>
              <w:top w:val="nil"/>
              <w:left w:val="nil"/>
              <w:bottom w:val="single" w:sz="4" w:space="0" w:color="auto"/>
              <w:right w:val="single" w:sz="4" w:space="0" w:color="auto"/>
            </w:tcBorders>
            <w:shd w:val="clear" w:color="auto" w:fill="auto"/>
            <w:noWrap/>
            <w:vAlign w:val="bottom"/>
            <w:hideMark/>
          </w:tcPr>
          <w:p w14:paraId="4BA0A9F9"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12'801.6 </w:t>
            </w:r>
          </w:p>
        </w:tc>
        <w:tc>
          <w:tcPr>
            <w:tcW w:w="2015" w:type="dxa"/>
            <w:tcBorders>
              <w:top w:val="nil"/>
              <w:left w:val="nil"/>
              <w:bottom w:val="single" w:sz="4" w:space="0" w:color="auto"/>
              <w:right w:val="single" w:sz="4" w:space="0" w:color="auto"/>
            </w:tcBorders>
            <w:shd w:val="clear" w:color="auto" w:fill="auto"/>
            <w:noWrap/>
            <w:vAlign w:val="bottom"/>
            <w:hideMark/>
          </w:tcPr>
          <w:p w14:paraId="6DA58926"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-15.9 </w:t>
            </w:r>
          </w:p>
        </w:tc>
        <w:tc>
          <w:tcPr>
            <w:tcW w:w="1196" w:type="dxa"/>
            <w:tcBorders>
              <w:top w:val="nil"/>
              <w:left w:val="nil"/>
              <w:bottom w:val="single" w:sz="4" w:space="0" w:color="auto"/>
              <w:right w:val="single" w:sz="4" w:space="0" w:color="auto"/>
            </w:tcBorders>
            <w:shd w:val="clear" w:color="auto" w:fill="auto"/>
            <w:noWrap/>
            <w:vAlign w:val="bottom"/>
            <w:hideMark/>
          </w:tcPr>
          <w:p w14:paraId="028B72E4"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-0.1%</w:t>
            </w:r>
          </w:p>
        </w:tc>
      </w:tr>
      <w:tr w:rsidR="002809E8" w:rsidRPr="004E2CEF" w14:paraId="3EA46DD3"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F8EB775"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160'000 </w:t>
            </w:r>
          </w:p>
        </w:tc>
        <w:tc>
          <w:tcPr>
            <w:tcW w:w="1949" w:type="dxa"/>
            <w:tcBorders>
              <w:top w:val="nil"/>
              <w:left w:val="nil"/>
              <w:bottom w:val="single" w:sz="4" w:space="0" w:color="auto"/>
              <w:right w:val="single" w:sz="4" w:space="0" w:color="auto"/>
            </w:tcBorders>
            <w:shd w:val="clear" w:color="auto" w:fill="auto"/>
            <w:noWrap/>
            <w:vAlign w:val="bottom"/>
            <w:hideMark/>
          </w:tcPr>
          <w:p w14:paraId="5120FA7D"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17'314.6 </w:t>
            </w:r>
          </w:p>
        </w:tc>
        <w:tc>
          <w:tcPr>
            <w:tcW w:w="2239" w:type="dxa"/>
            <w:tcBorders>
              <w:top w:val="nil"/>
              <w:left w:val="nil"/>
              <w:bottom w:val="single" w:sz="4" w:space="0" w:color="auto"/>
              <w:right w:val="single" w:sz="4" w:space="0" w:color="auto"/>
            </w:tcBorders>
            <w:shd w:val="clear" w:color="auto" w:fill="auto"/>
            <w:noWrap/>
            <w:vAlign w:val="bottom"/>
            <w:hideMark/>
          </w:tcPr>
          <w:p w14:paraId="79367854"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17'299.8 </w:t>
            </w:r>
          </w:p>
        </w:tc>
        <w:tc>
          <w:tcPr>
            <w:tcW w:w="2015" w:type="dxa"/>
            <w:tcBorders>
              <w:top w:val="nil"/>
              <w:left w:val="nil"/>
              <w:bottom w:val="single" w:sz="4" w:space="0" w:color="auto"/>
              <w:right w:val="single" w:sz="4" w:space="0" w:color="auto"/>
            </w:tcBorders>
            <w:shd w:val="clear" w:color="auto" w:fill="auto"/>
            <w:noWrap/>
            <w:vAlign w:val="bottom"/>
            <w:hideMark/>
          </w:tcPr>
          <w:p w14:paraId="39B33670"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-14.8 </w:t>
            </w:r>
          </w:p>
        </w:tc>
        <w:tc>
          <w:tcPr>
            <w:tcW w:w="1196" w:type="dxa"/>
            <w:tcBorders>
              <w:top w:val="nil"/>
              <w:left w:val="nil"/>
              <w:bottom w:val="single" w:sz="4" w:space="0" w:color="auto"/>
              <w:right w:val="single" w:sz="4" w:space="0" w:color="auto"/>
            </w:tcBorders>
            <w:shd w:val="clear" w:color="auto" w:fill="auto"/>
            <w:noWrap/>
            <w:vAlign w:val="bottom"/>
            <w:hideMark/>
          </w:tcPr>
          <w:p w14:paraId="2B3C2D59"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-0.1%</w:t>
            </w:r>
          </w:p>
        </w:tc>
      </w:tr>
      <w:tr w:rsidR="002809E8" w:rsidRPr="004E2CEF" w14:paraId="3EE49F0F"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4515FDDC"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180'000 </w:t>
            </w:r>
          </w:p>
        </w:tc>
        <w:tc>
          <w:tcPr>
            <w:tcW w:w="1949" w:type="dxa"/>
            <w:tcBorders>
              <w:top w:val="nil"/>
              <w:left w:val="nil"/>
              <w:bottom w:val="single" w:sz="4" w:space="0" w:color="auto"/>
              <w:right w:val="single" w:sz="4" w:space="0" w:color="auto"/>
            </w:tcBorders>
            <w:shd w:val="clear" w:color="auto" w:fill="auto"/>
            <w:noWrap/>
            <w:vAlign w:val="bottom"/>
            <w:hideMark/>
          </w:tcPr>
          <w:p w14:paraId="77B8C253"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21'762.9 </w:t>
            </w:r>
          </w:p>
        </w:tc>
        <w:tc>
          <w:tcPr>
            <w:tcW w:w="2239" w:type="dxa"/>
            <w:tcBorders>
              <w:top w:val="nil"/>
              <w:left w:val="nil"/>
              <w:bottom w:val="single" w:sz="4" w:space="0" w:color="auto"/>
              <w:right w:val="single" w:sz="4" w:space="0" w:color="auto"/>
            </w:tcBorders>
            <w:shd w:val="clear" w:color="auto" w:fill="auto"/>
            <w:noWrap/>
            <w:vAlign w:val="bottom"/>
            <w:hideMark/>
          </w:tcPr>
          <w:p w14:paraId="0603EF74"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21'610.8 </w:t>
            </w:r>
          </w:p>
        </w:tc>
        <w:tc>
          <w:tcPr>
            <w:tcW w:w="2015" w:type="dxa"/>
            <w:tcBorders>
              <w:top w:val="nil"/>
              <w:left w:val="nil"/>
              <w:bottom w:val="single" w:sz="4" w:space="0" w:color="auto"/>
              <w:right w:val="single" w:sz="4" w:space="0" w:color="auto"/>
            </w:tcBorders>
            <w:shd w:val="clear" w:color="auto" w:fill="auto"/>
            <w:noWrap/>
            <w:vAlign w:val="bottom"/>
            <w:hideMark/>
          </w:tcPr>
          <w:p w14:paraId="6005EE0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-152.1 </w:t>
            </w:r>
          </w:p>
        </w:tc>
        <w:tc>
          <w:tcPr>
            <w:tcW w:w="1196" w:type="dxa"/>
            <w:tcBorders>
              <w:top w:val="nil"/>
              <w:left w:val="nil"/>
              <w:bottom w:val="single" w:sz="4" w:space="0" w:color="auto"/>
              <w:right w:val="single" w:sz="4" w:space="0" w:color="auto"/>
            </w:tcBorders>
            <w:shd w:val="clear" w:color="auto" w:fill="auto"/>
            <w:noWrap/>
            <w:vAlign w:val="bottom"/>
            <w:hideMark/>
          </w:tcPr>
          <w:p w14:paraId="5E88BDC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-0.7%</w:t>
            </w:r>
          </w:p>
        </w:tc>
      </w:tr>
      <w:tr w:rsidR="002809E8" w:rsidRPr="004E2CEF" w14:paraId="05A2D505"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63B6C549"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200'000 </w:t>
            </w:r>
          </w:p>
        </w:tc>
        <w:tc>
          <w:tcPr>
            <w:tcW w:w="1949" w:type="dxa"/>
            <w:tcBorders>
              <w:top w:val="nil"/>
              <w:left w:val="nil"/>
              <w:bottom w:val="single" w:sz="4" w:space="0" w:color="auto"/>
              <w:right w:val="single" w:sz="4" w:space="0" w:color="auto"/>
            </w:tcBorders>
            <w:shd w:val="clear" w:color="auto" w:fill="auto"/>
            <w:noWrap/>
            <w:vAlign w:val="bottom"/>
            <w:hideMark/>
          </w:tcPr>
          <w:p w14:paraId="75BB5C41"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26'409.1 </w:t>
            </w:r>
          </w:p>
        </w:tc>
        <w:tc>
          <w:tcPr>
            <w:tcW w:w="2239" w:type="dxa"/>
            <w:tcBorders>
              <w:top w:val="nil"/>
              <w:left w:val="nil"/>
              <w:bottom w:val="single" w:sz="4" w:space="0" w:color="auto"/>
              <w:right w:val="single" w:sz="4" w:space="0" w:color="auto"/>
            </w:tcBorders>
            <w:shd w:val="clear" w:color="auto" w:fill="auto"/>
            <w:noWrap/>
            <w:vAlign w:val="bottom"/>
            <w:hideMark/>
          </w:tcPr>
          <w:p w14:paraId="2FCF288B"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26'146.8 </w:t>
            </w:r>
          </w:p>
        </w:tc>
        <w:tc>
          <w:tcPr>
            <w:tcW w:w="2015" w:type="dxa"/>
            <w:tcBorders>
              <w:top w:val="nil"/>
              <w:left w:val="nil"/>
              <w:bottom w:val="single" w:sz="4" w:space="0" w:color="auto"/>
              <w:right w:val="single" w:sz="4" w:space="0" w:color="auto"/>
            </w:tcBorders>
            <w:shd w:val="clear" w:color="auto" w:fill="auto"/>
            <w:noWrap/>
            <w:vAlign w:val="bottom"/>
            <w:hideMark/>
          </w:tcPr>
          <w:p w14:paraId="39532AF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-262.3 </w:t>
            </w:r>
          </w:p>
        </w:tc>
        <w:tc>
          <w:tcPr>
            <w:tcW w:w="1196" w:type="dxa"/>
            <w:tcBorders>
              <w:top w:val="nil"/>
              <w:left w:val="nil"/>
              <w:bottom w:val="single" w:sz="4" w:space="0" w:color="auto"/>
              <w:right w:val="single" w:sz="4" w:space="0" w:color="auto"/>
            </w:tcBorders>
            <w:shd w:val="clear" w:color="auto" w:fill="auto"/>
            <w:noWrap/>
            <w:vAlign w:val="bottom"/>
            <w:hideMark/>
          </w:tcPr>
          <w:p w14:paraId="46A3669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-1.0%</w:t>
            </w:r>
          </w:p>
        </w:tc>
      </w:tr>
      <w:tr w:rsidR="002809E8" w:rsidRPr="004E2CEF" w14:paraId="6482E305"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52D2DC75"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220'000 </w:t>
            </w:r>
          </w:p>
        </w:tc>
        <w:tc>
          <w:tcPr>
            <w:tcW w:w="1949" w:type="dxa"/>
            <w:tcBorders>
              <w:top w:val="nil"/>
              <w:left w:val="nil"/>
              <w:bottom w:val="single" w:sz="4" w:space="0" w:color="auto"/>
              <w:right w:val="single" w:sz="4" w:space="0" w:color="auto"/>
            </w:tcBorders>
            <w:shd w:val="clear" w:color="auto" w:fill="auto"/>
            <w:noWrap/>
            <w:vAlign w:val="bottom"/>
            <w:hideMark/>
          </w:tcPr>
          <w:p w14:paraId="7E6064D1"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31'163.7 </w:t>
            </w:r>
          </w:p>
        </w:tc>
        <w:tc>
          <w:tcPr>
            <w:tcW w:w="2239" w:type="dxa"/>
            <w:tcBorders>
              <w:top w:val="nil"/>
              <w:left w:val="nil"/>
              <w:bottom w:val="single" w:sz="4" w:space="0" w:color="auto"/>
              <w:right w:val="single" w:sz="4" w:space="0" w:color="auto"/>
            </w:tcBorders>
            <w:shd w:val="clear" w:color="auto" w:fill="auto"/>
            <w:noWrap/>
            <w:vAlign w:val="bottom"/>
            <w:hideMark/>
          </w:tcPr>
          <w:p w14:paraId="5308B0D8"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30'733.2 </w:t>
            </w:r>
          </w:p>
        </w:tc>
        <w:tc>
          <w:tcPr>
            <w:tcW w:w="2015" w:type="dxa"/>
            <w:tcBorders>
              <w:top w:val="nil"/>
              <w:left w:val="nil"/>
              <w:bottom w:val="single" w:sz="4" w:space="0" w:color="auto"/>
              <w:right w:val="single" w:sz="4" w:space="0" w:color="auto"/>
            </w:tcBorders>
            <w:shd w:val="clear" w:color="auto" w:fill="auto"/>
            <w:noWrap/>
            <w:vAlign w:val="bottom"/>
            <w:hideMark/>
          </w:tcPr>
          <w:p w14:paraId="0F751F52"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-430.5 </w:t>
            </w:r>
          </w:p>
        </w:tc>
        <w:tc>
          <w:tcPr>
            <w:tcW w:w="1196" w:type="dxa"/>
            <w:tcBorders>
              <w:top w:val="nil"/>
              <w:left w:val="nil"/>
              <w:bottom w:val="single" w:sz="4" w:space="0" w:color="auto"/>
              <w:right w:val="single" w:sz="4" w:space="0" w:color="auto"/>
            </w:tcBorders>
            <w:shd w:val="clear" w:color="auto" w:fill="auto"/>
            <w:noWrap/>
            <w:vAlign w:val="bottom"/>
            <w:hideMark/>
          </w:tcPr>
          <w:p w14:paraId="1B3F3FE5"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-1.4%</w:t>
            </w:r>
          </w:p>
        </w:tc>
      </w:tr>
      <w:tr w:rsidR="002809E8" w:rsidRPr="004E2CEF" w14:paraId="29A70E5F" w14:textId="77777777" w:rsidTr="002809E8">
        <w:trPr>
          <w:trHeight w:val="297"/>
        </w:trPr>
        <w:tc>
          <w:tcPr>
            <w:tcW w:w="2047" w:type="dxa"/>
            <w:tcBorders>
              <w:top w:val="nil"/>
              <w:left w:val="single" w:sz="4" w:space="0" w:color="auto"/>
              <w:bottom w:val="single" w:sz="4" w:space="0" w:color="auto"/>
              <w:right w:val="single" w:sz="4" w:space="0" w:color="auto"/>
            </w:tcBorders>
            <w:shd w:val="clear" w:color="auto" w:fill="auto"/>
            <w:noWrap/>
            <w:vAlign w:val="bottom"/>
            <w:hideMark/>
          </w:tcPr>
          <w:p w14:paraId="0C4C24D1" w14:textId="77777777" w:rsidR="002809E8" w:rsidRPr="004E2CEF" w:rsidRDefault="002809E8" w:rsidP="002809E8">
            <w:pPr>
              <w:jc w:val="left"/>
              <w:rPr>
                <w:rFonts w:eastAsia="Times New Roman" w:cs="Arial"/>
                <w:sz w:val="20"/>
                <w:szCs w:val="20"/>
                <w:lang w:eastAsia="it-CH"/>
              </w:rPr>
            </w:pPr>
            <w:r w:rsidRPr="004E2CEF">
              <w:rPr>
                <w:rFonts w:eastAsia="Times New Roman" w:cs="Arial"/>
                <w:sz w:val="20"/>
                <w:szCs w:val="20"/>
                <w:lang w:eastAsia="it-CH"/>
              </w:rPr>
              <w:t xml:space="preserve">        240'000 </w:t>
            </w:r>
          </w:p>
        </w:tc>
        <w:tc>
          <w:tcPr>
            <w:tcW w:w="1949" w:type="dxa"/>
            <w:tcBorders>
              <w:top w:val="nil"/>
              <w:left w:val="nil"/>
              <w:bottom w:val="single" w:sz="4" w:space="0" w:color="auto"/>
              <w:right w:val="single" w:sz="4" w:space="0" w:color="auto"/>
            </w:tcBorders>
            <w:shd w:val="clear" w:color="auto" w:fill="auto"/>
            <w:noWrap/>
            <w:vAlign w:val="bottom"/>
            <w:hideMark/>
          </w:tcPr>
          <w:p w14:paraId="602D0BEA"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36'123.7 </w:t>
            </w:r>
          </w:p>
        </w:tc>
        <w:tc>
          <w:tcPr>
            <w:tcW w:w="2239" w:type="dxa"/>
            <w:tcBorders>
              <w:top w:val="nil"/>
              <w:left w:val="nil"/>
              <w:bottom w:val="single" w:sz="4" w:space="0" w:color="auto"/>
              <w:right w:val="single" w:sz="4" w:space="0" w:color="auto"/>
            </w:tcBorders>
            <w:shd w:val="clear" w:color="auto" w:fill="auto"/>
            <w:noWrap/>
            <w:vAlign w:val="bottom"/>
            <w:hideMark/>
          </w:tcPr>
          <w:p w14:paraId="3B2EED5E"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35'575.2 </w:t>
            </w:r>
          </w:p>
        </w:tc>
        <w:tc>
          <w:tcPr>
            <w:tcW w:w="2015" w:type="dxa"/>
            <w:tcBorders>
              <w:top w:val="nil"/>
              <w:left w:val="nil"/>
              <w:bottom w:val="single" w:sz="4" w:space="0" w:color="auto"/>
              <w:right w:val="single" w:sz="4" w:space="0" w:color="auto"/>
            </w:tcBorders>
            <w:shd w:val="clear" w:color="auto" w:fill="auto"/>
            <w:noWrap/>
            <w:vAlign w:val="bottom"/>
            <w:hideMark/>
          </w:tcPr>
          <w:p w14:paraId="1255156E"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 xml:space="preserve">      -548.5 </w:t>
            </w:r>
          </w:p>
        </w:tc>
        <w:tc>
          <w:tcPr>
            <w:tcW w:w="1196" w:type="dxa"/>
            <w:tcBorders>
              <w:top w:val="nil"/>
              <w:left w:val="nil"/>
              <w:bottom w:val="single" w:sz="4" w:space="0" w:color="auto"/>
              <w:right w:val="single" w:sz="4" w:space="0" w:color="auto"/>
            </w:tcBorders>
            <w:shd w:val="clear" w:color="auto" w:fill="auto"/>
            <w:noWrap/>
            <w:vAlign w:val="bottom"/>
            <w:hideMark/>
          </w:tcPr>
          <w:p w14:paraId="6523CE1D" w14:textId="77777777" w:rsidR="002809E8" w:rsidRPr="004E2CEF" w:rsidRDefault="002809E8" w:rsidP="002809E8">
            <w:pPr>
              <w:jc w:val="right"/>
              <w:rPr>
                <w:rFonts w:eastAsia="Times New Roman" w:cs="Arial"/>
                <w:sz w:val="20"/>
                <w:szCs w:val="20"/>
                <w:lang w:eastAsia="it-CH"/>
              </w:rPr>
            </w:pPr>
            <w:r w:rsidRPr="004E2CEF">
              <w:rPr>
                <w:rFonts w:eastAsia="Times New Roman" w:cs="Arial"/>
                <w:sz w:val="20"/>
                <w:szCs w:val="20"/>
                <w:lang w:eastAsia="it-CH"/>
              </w:rPr>
              <w:t>-1.5%</w:t>
            </w:r>
          </w:p>
        </w:tc>
      </w:tr>
    </w:tbl>
    <w:p w14:paraId="7C8A72BD" w14:textId="77777777" w:rsidR="00160D9A" w:rsidRPr="004E2CEF" w:rsidRDefault="00160D9A"/>
    <w:p w14:paraId="4B1C35A4" w14:textId="77777777" w:rsidR="00CF2311" w:rsidRPr="004E2CEF" w:rsidRDefault="00CF2311">
      <w:pPr>
        <w:rPr>
          <w:sz w:val="24"/>
        </w:rPr>
        <w:sectPr w:rsidR="00CF2311" w:rsidRPr="004E2CEF" w:rsidSect="00D46AD4">
          <w:headerReference w:type="default" r:id="rId22"/>
          <w:footerReference w:type="default" r:id="rId23"/>
          <w:headerReference w:type="first" r:id="rId24"/>
          <w:footerReference w:type="first" r:id="rId25"/>
          <w:pgSz w:w="11906" w:h="16838" w:code="9"/>
          <w:pgMar w:top="1985" w:right="862" w:bottom="1134" w:left="1559" w:header="533" w:footer="397" w:gutter="0"/>
          <w:cols w:space="708"/>
          <w:titlePg/>
          <w:docGrid w:linePitch="360"/>
        </w:sectPr>
      </w:pPr>
    </w:p>
    <w:p w14:paraId="08DF1234" w14:textId="5EB7C562" w:rsidR="009D0E96" w:rsidRPr="004E2CEF" w:rsidRDefault="009D0E96">
      <w:pPr>
        <w:rPr>
          <w:sz w:val="24"/>
        </w:rPr>
      </w:pPr>
    </w:p>
    <w:p w14:paraId="70CA1780" w14:textId="3F2E9ED0" w:rsidR="00040794" w:rsidRPr="004E2CEF" w:rsidRDefault="00040794" w:rsidP="006D2131">
      <w:pPr>
        <w:pStyle w:val="TABELLE"/>
      </w:pPr>
      <w:bookmarkStart w:id="63" w:name="_Toc139991928"/>
      <w:r w:rsidRPr="004E2CEF">
        <w:t xml:space="preserve">Tabella </w:t>
      </w:r>
      <w:r w:rsidR="006C604A">
        <w:t>4</w:t>
      </w:r>
      <w:r w:rsidRPr="004E2CEF">
        <w:t>: Confronto intercantonale delle aliquote massime ai fini dell'imposta di successione e donazione (anno 2022)</w:t>
      </w:r>
      <w:bookmarkEnd w:id="63"/>
    </w:p>
    <w:p w14:paraId="24541298" w14:textId="2E2794EF" w:rsidR="00040794" w:rsidRPr="004E2CEF" w:rsidRDefault="00040794" w:rsidP="00A144A9">
      <w:pPr>
        <w:pStyle w:val="StandardRisoluzionedelConsigliodiStato"/>
        <w:ind w:right="-1"/>
        <w:rPr>
          <w:b/>
          <w:i/>
        </w:rPr>
      </w:pPr>
      <w:r w:rsidRPr="004E2CEF">
        <w:rPr>
          <w:noProof/>
          <w:lang w:eastAsia="it-CH"/>
        </w:rPr>
        <w:drawing>
          <wp:inline distT="0" distB="0" distL="0" distR="0" wp14:anchorId="7076C7CD" wp14:editId="4F486C5F">
            <wp:extent cx="7243638" cy="4874897"/>
            <wp:effectExtent l="0" t="0" r="0" b="1905"/>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247476" cy="4877480"/>
                    </a:xfrm>
                    <a:prstGeom prst="rect">
                      <a:avLst/>
                    </a:prstGeom>
                    <a:noFill/>
                    <a:ln>
                      <a:noFill/>
                    </a:ln>
                  </pic:spPr>
                </pic:pic>
              </a:graphicData>
            </a:graphic>
          </wp:inline>
        </w:drawing>
      </w:r>
    </w:p>
    <w:p w14:paraId="439CEB80" w14:textId="6B27192D" w:rsidR="00CF2311" w:rsidRPr="00F03B2D" w:rsidRDefault="00040794" w:rsidP="00622399">
      <w:pPr>
        <w:spacing w:before="120"/>
        <w:rPr>
          <w:i/>
          <w:sz w:val="18"/>
          <w:szCs w:val="18"/>
          <w:lang w:val="fr-FR"/>
        </w:rPr>
        <w:sectPr w:rsidR="00CF2311" w:rsidRPr="00F03B2D" w:rsidSect="00CF2311">
          <w:headerReference w:type="default" r:id="rId27"/>
          <w:footerReference w:type="default" r:id="rId28"/>
          <w:pgSz w:w="16838" w:h="11906" w:orient="landscape" w:code="9"/>
          <w:pgMar w:top="1560" w:right="1985" w:bottom="861" w:left="1134" w:header="533" w:footer="397" w:gutter="0"/>
          <w:cols w:space="708"/>
          <w:docGrid w:linePitch="360"/>
        </w:sectPr>
      </w:pPr>
      <w:r w:rsidRPr="00F03B2D">
        <w:rPr>
          <w:i/>
          <w:sz w:val="18"/>
          <w:szCs w:val="18"/>
          <w:lang w:val="fr-FR"/>
        </w:rPr>
        <w:t xml:space="preserve">Fonte: </w:t>
      </w:r>
      <w:hyperlink r:id="rId29" w:history="1">
        <w:r w:rsidRPr="00F03B2D">
          <w:rPr>
            <w:rStyle w:val="Collegamentoipertestuale"/>
            <w:i/>
            <w:sz w:val="18"/>
            <w:szCs w:val="18"/>
            <w:lang w:val="fr-FR"/>
          </w:rPr>
          <w:t>https://www.estv.admin.ch/estv/fr/accueil/afc/systeme-fiscal-suisse/brochures-fiscales.html</w:t>
        </w:r>
      </w:hyperlink>
    </w:p>
    <w:p w14:paraId="11B5929C" w14:textId="62ACC8B3" w:rsidR="009D0E96" w:rsidRPr="004E2CEF" w:rsidRDefault="00AA0792" w:rsidP="006D2131">
      <w:pPr>
        <w:pStyle w:val="TABELLE"/>
      </w:pPr>
      <w:bookmarkStart w:id="64" w:name="_Toc139991929"/>
      <w:r w:rsidRPr="004E2CEF">
        <w:t xml:space="preserve">Tabella </w:t>
      </w:r>
      <w:r w:rsidR="006C604A">
        <w:t>5</w:t>
      </w:r>
      <w:r w:rsidRPr="004E2CEF">
        <w:t xml:space="preserve">: </w:t>
      </w:r>
      <w:r w:rsidR="009D0E96" w:rsidRPr="004E2CEF">
        <w:t>Panoramica intercantonale dei sistemi d’imposizione delle prestazioni in capitale della previdenza</w:t>
      </w:r>
      <w:bookmarkEnd w:id="64"/>
      <w:r w:rsidR="009D0E96" w:rsidRPr="004E2CEF">
        <w:t xml:space="preserve"> </w:t>
      </w:r>
    </w:p>
    <w:p w14:paraId="7DC62EA1" w14:textId="77777777" w:rsidR="009D0E96" w:rsidRPr="004E2CEF" w:rsidRDefault="009D0E96" w:rsidP="00D33940">
      <w:pPr>
        <w:pStyle w:val="StandardRisoluzionedelConsigliodiStato"/>
        <w:ind w:right="-1"/>
      </w:pPr>
    </w:p>
    <w:tbl>
      <w:tblPr>
        <w:tblW w:w="5000" w:type="pct"/>
        <w:tblCellMar>
          <w:left w:w="70" w:type="dxa"/>
          <w:right w:w="70" w:type="dxa"/>
        </w:tblCellMar>
        <w:tblLook w:val="04A0" w:firstRow="1" w:lastRow="0" w:firstColumn="1" w:lastColumn="0" w:noHBand="0" w:noVBand="1"/>
      </w:tblPr>
      <w:tblGrid>
        <w:gridCol w:w="521"/>
        <w:gridCol w:w="8954"/>
      </w:tblGrid>
      <w:tr w:rsidR="009D0E96" w:rsidRPr="004E2CEF" w14:paraId="09862EB2" w14:textId="77777777" w:rsidTr="0018374F">
        <w:trPr>
          <w:trHeight w:val="480"/>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7CD07"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AI</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5B8146CE"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L’aliquota ammonta a 1/4 dell’aliquota dell’imposta ordinaria sul reddito, ma almeno allo 0,5%.</w:t>
            </w:r>
          </w:p>
        </w:tc>
      </w:tr>
      <w:tr w:rsidR="009D0E96" w:rsidRPr="004E2CEF" w14:paraId="317FAAAD"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BBA1EAE"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UR</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E37E602"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L’imposta ammonta all’1,9% per il cantone, all’1,9% per i comuni e allo 0,5% per le chiese nazionali o le loro parrocchie.</w:t>
            </w:r>
          </w:p>
        </w:tc>
      </w:tr>
      <w:tr w:rsidR="009D0E96" w:rsidRPr="004E2CEF" w14:paraId="7EE6AFAA"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09C3816C"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ZG</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C48C628"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Se la prestazione in capitale è inferiore a franchi 218’200 l’aliquota ammonta al 30% dell’aliquota ordinaria sul reddito, mentre se è superiore a franchi 218’200 ammonta al 40%, ritenuto un’imposta almeno dell’1%.</w:t>
            </w:r>
          </w:p>
        </w:tc>
      </w:tr>
      <w:tr w:rsidR="009D0E96" w:rsidRPr="004E2CEF" w14:paraId="28A645F7"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2EE035E"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SH</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30041BAB"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applicabile di 1/5 delle aliquote ordinarie sul reddito.</w:t>
            </w:r>
          </w:p>
        </w:tc>
      </w:tr>
      <w:tr w:rsidR="009D0E96" w:rsidRPr="004E2CEF" w14:paraId="3142504C"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0DD6DC37"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BL</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06CAE866"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Aliquota applicabile del 2% per i primi franchi 400’000 e per l’importo che eccede, del 6%, ritenuto un importo massimo del 4.5% totale.</w:t>
            </w:r>
          </w:p>
        </w:tc>
      </w:tr>
      <w:tr w:rsidR="009D0E96" w:rsidRPr="004E2CEF" w14:paraId="73E80216"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80F32C6"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GL</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5A1BB47D"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al 4%</w:t>
            </w:r>
          </w:p>
        </w:tc>
      </w:tr>
      <w:tr w:rsidR="009D0E96" w:rsidRPr="004E2CEF" w14:paraId="495C11C7"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D6E3BC" w:themeFill="accent3" w:themeFillTint="66"/>
            <w:noWrap/>
            <w:vAlign w:val="center"/>
            <w:hideMark/>
          </w:tcPr>
          <w:p w14:paraId="26A50EAA"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TI</w:t>
            </w:r>
          </w:p>
        </w:tc>
        <w:tc>
          <w:tcPr>
            <w:tcW w:w="4725" w:type="pct"/>
            <w:tcBorders>
              <w:top w:val="single" w:sz="4" w:space="0" w:color="auto"/>
              <w:left w:val="nil"/>
              <w:bottom w:val="single" w:sz="4" w:space="0" w:color="auto"/>
              <w:right w:val="single" w:sz="4" w:space="0" w:color="auto"/>
            </w:tcBorders>
            <w:shd w:val="clear" w:color="auto" w:fill="D6E3BC" w:themeFill="accent3" w:themeFillTint="66"/>
            <w:vAlign w:val="center"/>
            <w:hideMark/>
          </w:tcPr>
          <w:p w14:paraId="25304F39"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L’imposta è calcolata con l’aliquota che sarebbe applicabile se al posto della prestazione unica fosse versata una prestazione annua corrispondente. L’aliquota minima è del 2%.</w:t>
            </w:r>
          </w:p>
        </w:tc>
      </w:tr>
      <w:tr w:rsidR="009D0E96" w:rsidRPr="004E2CEF" w14:paraId="31CEF1B9"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C22D17D"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OW</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0ECB8C38"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 2/5 dell’aliquota dell’imposta sul reddito.</w:t>
            </w:r>
          </w:p>
        </w:tc>
      </w:tr>
      <w:tr w:rsidR="009D0E96" w:rsidRPr="004E2CEF" w14:paraId="6F714919"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B1C1494"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SO</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F4E71D2"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 1/4 dell’aliquota dell’imposta sul reddito.</w:t>
            </w:r>
          </w:p>
        </w:tc>
      </w:tr>
      <w:tr w:rsidR="009D0E96" w:rsidRPr="004E2CEF" w14:paraId="4044C3A2"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80E2CAE"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NW</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02D4FEEF"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 1/4 dell’aliquota dell’imposta sul reddito, ma almeno il 0.8%.</w:t>
            </w:r>
          </w:p>
        </w:tc>
      </w:tr>
      <w:tr w:rsidR="009D0E96" w:rsidRPr="004E2CEF" w14:paraId="0CF2ED5C"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2911E929"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SG</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F2A8311"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 xml:space="preserve">Imposizione annua intera separata dagli altri redditi. Per i coniugi, così come per i contribuenti vedovi, separati, divorziati e single che vivono nella stessa famiglia con figli o persone bisognose a carico, l’imposta ammonta al 2% e per gli altri contribuenti del 2,2%. </w:t>
            </w:r>
          </w:p>
        </w:tc>
      </w:tr>
      <w:tr w:rsidR="009D0E96" w:rsidRPr="004E2CEF" w14:paraId="7595D24C"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5E888F27"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GE</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37E8B5DE"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Aliquota di 1/5 dell’aliquota sull’imposta sul reddito. Per le coppie coniugate l’aliquota corrisponde al 50% dell’aliquota sull’imposta sul reddito.</w:t>
            </w:r>
          </w:p>
        </w:tc>
      </w:tr>
      <w:tr w:rsidR="009D0E96" w:rsidRPr="004E2CEF" w14:paraId="0449DD1A"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0FB1A6D9"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LU</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D5A826A"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 1/3 dell’aliquota dell’imposta sul reddito, ma almeno il 0,5%.</w:t>
            </w:r>
          </w:p>
        </w:tc>
      </w:tr>
      <w:tr w:rsidR="009D0E96" w:rsidRPr="004E2CEF" w14:paraId="13F9FF02"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20B3D197"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AG</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D7C489A"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al 30% dell’aliquota dell’imposta sul reddito, ma almeno l’1%.</w:t>
            </w:r>
          </w:p>
        </w:tc>
      </w:tr>
      <w:tr w:rsidR="009D0E96" w:rsidRPr="004E2CEF" w14:paraId="112072F7"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8B8B901"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TG</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619E4DED"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al 2,4% per i coniugi e al 2% per gli altri contribuenti.</w:t>
            </w:r>
          </w:p>
        </w:tc>
      </w:tr>
      <w:tr w:rsidR="009D0E96" w:rsidRPr="004E2CEF" w14:paraId="29079A20"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24E7167E"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BE</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5056B26B"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applicata secondo l’apposita scala di aliquote (progressive) tra il 0,65% e il 2%.</w:t>
            </w:r>
          </w:p>
        </w:tc>
      </w:tr>
      <w:tr w:rsidR="009D0E96" w:rsidRPr="004E2CEF" w14:paraId="599F3F73"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23B07CA4"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NE</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44AA7033"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Aliquota ammonta a 1/4 dell’aliquota dell’imposta sul reddito, ma almeno il 2.5%.</w:t>
            </w:r>
          </w:p>
        </w:tc>
      </w:tr>
      <w:tr w:rsidR="009D0E96" w:rsidRPr="004E2CEF" w14:paraId="01F401AC" w14:textId="77777777" w:rsidTr="0018374F">
        <w:trPr>
          <w:trHeight w:val="495"/>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4D520055"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VS</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5DE3A9C0"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L’imposta è calcolata con l’aliquota che sarebbe applicabile se al posto della prestazione unica fosse versata una prestazione annua corrispondente. L’aliquota massima ammonta al 4%. Per i contribuenti sposati che vivono in comunione domestica e per i contribuenti vedovi, separati, divorziati o single con bambini o persone bisognose a carico, l’imposta dovuta è ridotta del 2%, ma non più di 2’340 franchi.</w:t>
            </w:r>
          </w:p>
        </w:tc>
      </w:tr>
      <w:tr w:rsidR="009D0E96" w:rsidRPr="004E2CEF" w14:paraId="5F5C29A2" w14:textId="77777777" w:rsidTr="0018374F">
        <w:trPr>
          <w:trHeight w:val="54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08F0CB93"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GR</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18BE80B4"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all’aliquota che sarebbe applicabile se una prestazione annuale di 1/15 della prestazione in capitale fosse pagata al posto della prestazione in capitale. Aliquota minima: 1,5% per i coniugi e 2% per gli altri contribuenti. Aliquota massima ammonta al 2,6% per i coniugi e al 4% per gli altri contribuenti. Le prestazioni inferiori a franchi 5’800 non sono tassate.</w:t>
            </w:r>
          </w:p>
        </w:tc>
      </w:tr>
      <w:tr w:rsidR="009D0E96" w:rsidRPr="004E2CEF" w14:paraId="488DE67E" w14:textId="77777777" w:rsidTr="000638B9">
        <w:trPr>
          <w:trHeight w:val="555"/>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6DB61BE8"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SZ</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7E597296"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L’imposta è calcolata con l’aliquota che sarebbe applicabile se al posto della prestazione unica fosse versata una prestazione annua di 1/25 della prestazione in capitale. L’aliquota massima ammonta al 2.5%.</w:t>
            </w:r>
          </w:p>
        </w:tc>
      </w:tr>
      <w:tr w:rsidR="009D0E96" w:rsidRPr="004E2CEF" w14:paraId="2FC1B1D6" w14:textId="77777777" w:rsidTr="000638B9">
        <w:trPr>
          <w:trHeight w:val="705"/>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04F50"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BS</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007F53E2"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e senza cumulo tra coniugi all’aliquota speciale (dal 3% all’8%), a condizione che la prestazione vada al contribuente, al coniuge superstite o a una persona mantenuta dal contribuente (coniuge, discendenti diretti, altre persone mantenute di cui il cliente era il principale responsabile). Se altre persone sono beneficiarie, la prestazione di capitale è tassata separatamente dagli altri redditi all’aliquota dell’imposta sul reddito (senza aliquota speciale).</w:t>
            </w:r>
          </w:p>
        </w:tc>
      </w:tr>
      <w:tr w:rsidR="009D0E96" w:rsidRPr="004E2CEF" w14:paraId="080A8065" w14:textId="77777777" w:rsidTr="000638B9">
        <w:trPr>
          <w:trHeight w:val="480"/>
        </w:trPr>
        <w:tc>
          <w:tcPr>
            <w:tcW w:w="2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02314"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JU</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FDE8E6C"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calcolata secondo le seguenti aliquote per coppie sposate e famiglie monoparentali ammonta allo 0,9% per i primi 53’600 franchi, all’1,1% per i seguenti 53’600 franchi e all’1,3% per importi maggiori. Per altri contribuenti ammonta all’1,1% per i primi 53’600 franchi, all’1,3% per i seguenti 53’600 franchi e all’1,7% per importi maggiori.</w:t>
            </w:r>
          </w:p>
        </w:tc>
      </w:tr>
      <w:tr w:rsidR="009D0E96" w:rsidRPr="004E2CEF" w14:paraId="44BFE3F0"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15EC5289"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AR</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26271791"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secondo la doppia tariffa: 0,75% per i primi 400’000 franchi e 1% per importi superiori a 400’000 franchi L’aliquota per coniugi ammonta all’1% per i primi 400’000 franchi e all’1,33% per importi superiori a 400’000 franchi.</w:t>
            </w:r>
          </w:p>
        </w:tc>
      </w:tr>
      <w:tr w:rsidR="009D0E96" w:rsidRPr="004E2CEF" w14:paraId="3E09EA38"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1098509C"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ZH</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3E59275F"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L’imposta è calcolata con l’aliquota che sarebbe applicabile se al posto della prestazione unica fosse versata una prestazione annua di 1/10 della prestazione in capitale. L’aliquota minima ammonta al 2%.</w:t>
            </w:r>
          </w:p>
          <w:p w14:paraId="7D4831E9"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Si segnala che a partire dal 2022, il Canton Zurigo adeguerà la propria modalità d’imposizione per i prelievi in capitale della previdenza. A partire dal 2022 la prestazione annua sarà calcolata con un rapporto 1/20 (ritenuta sempre un’aliquota minima del 2%). Tale modifica permette al Canton Zurigo di scalare la speciale classifica intercantonale come segue:</w:t>
            </w:r>
          </w:p>
          <w:p w14:paraId="55AFC602" w14:textId="77777777" w:rsidR="009D0E96" w:rsidRPr="004E2CEF" w:rsidRDefault="009D0E96" w:rsidP="0018374F">
            <w:pPr>
              <w:ind w:left="234" w:hanging="234"/>
              <w:rPr>
                <w:rFonts w:cs="Arial"/>
                <w:color w:val="000000"/>
                <w:sz w:val="18"/>
                <w:szCs w:val="18"/>
                <w:lang w:eastAsia="it-CH"/>
              </w:rPr>
            </w:pPr>
            <w:r w:rsidRPr="004E2CEF">
              <w:rPr>
                <w:rFonts w:cs="Arial"/>
                <w:color w:val="000000"/>
                <w:sz w:val="18"/>
                <w:szCs w:val="18"/>
                <w:lang w:eastAsia="it-CH"/>
              </w:rPr>
              <w:t>-</w:t>
            </w:r>
            <w:r w:rsidRPr="004E2CEF">
              <w:rPr>
                <w:rFonts w:cs="Arial"/>
                <w:color w:val="000000"/>
                <w:sz w:val="18"/>
                <w:szCs w:val="18"/>
                <w:lang w:eastAsia="it-CH"/>
              </w:rPr>
              <w:tab/>
              <w:t>per prestazioni di franchi 250’000 dal 14° al 8° rango</w:t>
            </w:r>
          </w:p>
          <w:p w14:paraId="534C190F" w14:textId="77777777" w:rsidR="009D0E96" w:rsidRPr="004E2CEF" w:rsidRDefault="009D0E96" w:rsidP="0018374F">
            <w:pPr>
              <w:ind w:left="234" w:hanging="234"/>
              <w:rPr>
                <w:rFonts w:cs="Arial"/>
                <w:color w:val="000000"/>
                <w:sz w:val="18"/>
                <w:szCs w:val="18"/>
                <w:lang w:eastAsia="it-CH"/>
              </w:rPr>
            </w:pPr>
            <w:r w:rsidRPr="004E2CEF">
              <w:rPr>
                <w:rFonts w:cs="Arial"/>
                <w:color w:val="000000"/>
                <w:sz w:val="18"/>
                <w:szCs w:val="18"/>
                <w:lang w:eastAsia="it-CH"/>
              </w:rPr>
              <w:t>-</w:t>
            </w:r>
            <w:r w:rsidRPr="004E2CEF">
              <w:rPr>
                <w:rFonts w:cs="Arial"/>
                <w:color w:val="000000"/>
                <w:sz w:val="18"/>
                <w:szCs w:val="18"/>
                <w:lang w:eastAsia="it-CH"/>
              </w:rPr>
              <w:tab/>
              <w:t>per prestazioni di franchi 500’000 dal 24° al 9° rango</w:t>
            </w:r>
          </w:p>
          <w:p w14:paraId="296A4897" w14:textId="77777777" w:rsidR="009D0E96" w:rsidRPr="004E2CEF" w:rsidRDefault="009D0E96" w:rsidP="0018374F">
            <w:pPr>
              <w:ind w:left="234" w:hanging="234"/>
              <w:rPr>
                <w:rFonts w:cs="Arial"/>
                <w:color w:val="000000"/>
                <w:sz w:val="18"/>
                <w:szCs w:val="18"/>
                <w:lang w:eastAsia="it-CH"/>
              </w:rPr>
            </w:pPr>
            <w:r w:rsidRPr="004E2CEF">
              <w:rPr>
                <w:rFonts w:cs="Arial"/>
                <w:color w:val="000000"/>
                <w:sz w:val="18"/>
                <w:szCs w:val="18"/>
                <w:lang w:eastAsia="it-CH"/>
              </w:rPr>
              <w:t>-</w:t>
            </w:r>
            <w:r w:rsidRPr="004E2CEF">
              <w:rPr>
                <w:rFonts w:cs="Arial"/>
                <w:color w:val="000000"/>
                <w:sz w:val="18"/>
                <w:szCs w:val="18"/>
                <w:lang w:eastAsia="it-CH"/>
              </w:rPr>
              <w:tab/>
              <w:t>per prestazioni di franchi 1’000’000 dal 26° al 22° rango</w:t>
            </w:r>
          </w:p>
          <w:p w14:paraId="6D6F9129" w14:textId="77777777" w:rsidR="009D0E96" w:rsidRPr="004E2CEF" w:rsidRDefault="009D0E96" w:rsidP="0018374F">
            <w:pPr>
              <w:ind w:left="234" w:hanging="234"/>
              <w:rPr>
                <w:rFonts w:cs="Arial"/>
                <w:color w:val="000000"/>
                <w:sz w:val="18"/>
                <w:szCs w:val="18"/>
                <w:lang w:eastAsia="it-CH"/>
              </w:rPr>
            </w:pPr>
            <w:r w:rsidRPr="004E2CEF">
              <w:rPr>
                <w:rFonts w:cs="Arial"/>
                <w:color w:val="000000"/>
                <w:sz w:val="18"/>
                <w:szCs w:val="18"/>
                <w:lang w:eastAsia="it-CH"/>
              </w:rPr>
              <w:t>-</w:t>
            </w:r>
            <w:r w:rsidRPr="004E2CEF">
              <w:rPr>
                <w:rFonts w:cs="Arial"/>
                <w:color w:val="000000"/>
                <w:sz w:val="18"/>
                <w:szCs w:val="18"/>
                <w:lang w:eastAsia="it-CH"/>
              </w:rPr>
              <w:tab/>
              <w:t>per prestazioni di franchi 2’000’000 dal 26° al 26° rango</w:t>
            </w:r>
          </w:p>
          <w:p w14:paraId="6C20B699"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Per i prelievi molto alti, Zurigo è ancora molto costosa, il che è dovuto alla progressione generalmente forte dell’imposta sul reddito. Per i prelievi di capitale medio-bassi (da franchi 250’000 a quasi franchi 1’000’000), invece, il cantone di Zurigo migliora notevolmente.</w:t>
            </w:r>
          </w:p>
        </w:tc>
      </w:tr>
      <w:tr w:rsidR="009D0E96" w:rsidRPr="004E2CEF" w14:paraId="30F98D94" w14:textId="77777777" w:rsidTr="0018374F">
        <w:trPr>
          <w:trHeight w:val="525"/>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1D6B29B5"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FR</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332BC38C"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separata dagli altri redditi ai seguenti tassi: 2% per i primi franchi 40’000 e 3% per i successivi franchi 40’000, 4% per i successivi franchi 50’000 e 5% per i successivi franchi 60’000 e 6% per tutti gl importi superiori; Per i coniugi, così come per i contribuenti vedovi, separati, divorziati e single che vivono nella stessa famiglia con figli o persone bisognose a carico, è concessa una riduzione di franchi 5’000.</w:t>
            </w:r>
          </w:p>
        </w:tc>
      </w:tr>
      <w:tr w:rsidR="009D0E96" w:rsidRPr="004E2CEF" w14:paraId="13E47CA9" w14:textId="77777777" w:rsidTr="0018374F">
        <w:trPr>
          <w:trHeight w:val="480"/>
        </w:trPr>
        <w:tc>
          <w:tcPr>
            <w:tcW w:w="275" w:type="pct"/>
            <w:tcBorders>
              <w:top w:val="nil"/>
              <w:left w:val="single" w:sz="4" w:space="0" w:color="auto"/>
              <w:bottom w:val="single" w:sz="4" w:space="0" w:color="auto"/>
              <w:right w:val="single" w:sz="4" w:space="0" w:color="auto"/>
            </w:tcBorders>
            <w:shd w:val="clear" w:color="auto" w:fill="auto"/>
            <w:noWrap/>
            <w:vAlign w:val="center"/>
            <w:hideMark/>
          </w:tcPr>
          <w:p w14:paraId="70B937AF" w14:textId="77777777" w:rsidR="009D0E96" w:rsidRPr="004E2CEF" w:rsidRDefault="009D0E96" w:rsidP="0018374F">
            <w:pPr>
              <w:jc w:val="center"/>
              <w:rPr>
                <w:rFonts w:ascii="Calibri" w:hAnsi="Calibri" w:cs="Calibri"/>
                <w:b/>
                <w:bCs/>
                <w:color w:val="000000"/>
                <w:lang w:eastAsia="it-CH"/>
              </w:rPr>
            </w:pPr>
            <w:r w:rsidRPr="004E2CEF">
              <w:rPr>
                <w:rFonts w:ascii="Calibri" w:hAnsi="Calibri" w:cs="Calibri"/>
                <w:b/>
                <w:bCs/>
                <w:color w:val="000000"/>
                <w:lang w:eastAsia="it-CH"/>
              </w:rPr>
              <w:t>VD</w:t>
            </w:r>
          </w:p>
        </w:tc>
        <w:tc>
          <w:tcPr>
            <w:tcW w:w="4725" w:type="pct"/>
            <w:tcBorders>
              <w:top w:val="single" w:sz="4" w:space="0" w:color="auto"/>
              <w:left w:val="nil"/>
              <w:bottom w:val="single" w:sz="4" w:space="0" w:color="auto"/>
              <w:right w:val="single" w:sz="4" w:space="0" w:color="auto"/>
            </w:tcBorders>
            <w:shd w:val="clear" w:color="auto" w:fill="auto"/>
            <w:vAlign w:val="center"/>
            <w:hideMark/>
          </w:tcPr>
          <w:p w14:paraId="0C9A3B60" w14:textId="77777777" w:rsidR="009D0E96" w:rsidRPr="004E2CEF" w:rsidRDefault="009D0E96" w:rsidP="0018374F">
            <w:pPr>
              <w:rPr>
                <w:rFonts w:cs="Arial"/>
                <w:color w:val="000000"/>
                <w:sz w:val="18"/>
                <w:szCs w:val="18"/>
                <w:lang w:eastAsia="it-CH"/>
              </w:rPr>
            </w:pPr>
            <w:r w:rsidRPr="004E2CEF">
              <w:rPr>
                <w:rFonts w:cs="Arial"/>
                <w:color w:val="000000"/>
                <w:sz w:val="18"/>
                <w:szCs w:val="18"/>
                <w:lang w:eastAsia="it-CH"/>
              </w:rPr>
              <w:t>Imposizione annua intera separata dagli altri redditi all’aliquota sul reddito.</w:t>
            </w:r>
          </w:p>
        </w:tc>
      </w:tr>
    </w:tbl>
    <w:p w14:paraId="3F8F2E5F" w14:textId="77777777" w:rsidR="009D0E96" w:rsidRPr="004E2CEF" w:rsidRDefault="009D0E96" w:rsidP="00D33940">
      <w:pPr>
        <w:pStyle w:val="StandardRisoluzionedelConsigliodiStato"/>
        <w:ind w:right="-1"/>
      </w:pPr>
    </w:p>
    <w:p w14:paraId="72F2B738" w14:textId="77777777" w:rsidR="009D0E96" w:rsidRPr="004E2CEF" w:rsidRDefault="009D0E96">
      <w:pPr>
        <w:rPr>
          <w:sz w:val="24"/>
        </w:rPr>
      </w:pPr>
      <w:r w:rsidRPr="004E2CEF">
        <w:br w:type="page"/>
      </w:r>
    </w:p>
    <w:p w14:paraId="646BCED6" w14:textId="37C8A622" w:rsidR="009D0E96" w:rsidRPr="004E2CEF" w:rsidRDefault="009D0E96" w:rsidP="006D2131">
      <w:pPr>
        <w:pStyle w:val="TABELLE"/>
      </w:pPr>
      <w:bookmarkStart w:id="65" w:name="_Toc139991930"/>
      <w:r w:rsidRPr="004E2CEF">
        <w:t xml:space="preserve">Tabella </w:t>
      </w:r>
      <w:r w:rsidR="006C604A">
        <w:t>6</w:t>
      </w:r>
      <w:r w:rsidR="00AA0792" w:rsidRPr="004E2CEF">
        <w:t xml:space="preserve">: </w:t>
      </w:r>
      <w:r w:rsidRPr="004E2CEF">
        <w:t>Raffronto intercantonale dell’oner</w:t>
      </w:r>
      <w:r w:rsidR="00EA1F09" w:rsidRPr="004E2CEF">
        <w:t>e fiscale dell’imposizione delle prestazioni in capitale della</w:t>
      </w:r>
      <w:r w:rsidRPr="004E2CEF">
        <w:t xml:space="preserve"> previdenza (</w:t>
      </w:r>
      <w:r w:rsidR="00EA1F09" w:rsidRPr="004E2CEF">
        <w:t>imposta federale, cantonale e comunale</w:t>
      </w:r>
      <w:r w:rsidRPr="004E2CEF">
        <w:t>) per le persone sole nel capoluogo cantonale nel 202</w:t>
      </w:r>
      <w:r w:rsidR="0018374F" w:rsidRPr="004E2CEF">
        <w:t>2</w:t>
      </w:r>
      <w:bookmarkEnd w:id="65"/>
    </w:p>
    <w:tbl>
      <w:tblPr>
        <w:tblW w:w="9600" w:type="dxa"/>
        <w:tblCellMar>
          <w:left w:w="70" w:type="dxa"/>
          <w:right w:w="70" w:type="dxa"/>
        </w:tblCellMar>
        <w:tblLook w:val="04A0" w:firstRow="1" w:lastRow="0" w:firstColumn="1" w:lastColumn="0" w:noHBand="0" w:noVBand="1"/>
      </w:tblPr>
      <w:tblGrid>
        <w:gridCol w:w="1240"/>
        <w:gridCol w:w="1840"/>
        <w:gridCol w:w="900"/>
        <w:gridCol w:w="1680"/>
        <w:gridCol w:w="1140"/>
        <w:gridCol w:w="1660"/>
        <w:gridCol w:w="1140"/>
      </w:tblGrid>
      <w:tr w:rsidR="0018374F" w:rsidRPr="004E2CEF" w14:paraId="79787179" w14:textId="77777777" w:rsidTr="0018374F">
        <w:trPr>
          <w:trHeight w:val="285"/>
        </w:trPr>
        <w:tc>
          <w:tcPr>
            <w:tcW w:w="1240" w:type="dxa"/>
            <w:tcBorders>
              <w:top w:val="nil"/>
              <w:left w:val="nil"/>
              <w:bottom w:val="nil"/>
              <w:right w:val="nil"/>
            </w:tcBorders>
            <w:shd w:val="clear" w:color="auto" w:fill="auto"/>
            <w:vAlign w:val="center"/>
            <w:hideMark/>
          </w:tcPr>
          <w:p w14:paraId="16EACC60" w14:textId="77777777" w:rsidR="0018374F" w:rsidRPr="004E2CEF" w:rsidRDefault="0018374F" w:rsidP="0018374F">
            <w:pPr>
              <w:jc w:val="left"/>
              <w:rPr>
                <w:rFonts w:ascii="Times New Roman" w:eastAsia="Times New Roman" w:hAnsi="Times New Roman" w:cs="Times New Roman"/>
                <w:sz w:val="24"/>
                <w:szCs w:val="24"/>
                <w:lang w:eastAsia="it-CH"/>
              </w:rPr>
            </w:pPr>
          </w:p>
        </w:tc>
        <w:tc>
          <w:tcPr>
            <w:tcW w:w="2740" w:type="dxa"/>
            <w:gridSpan w:val="2"/>
            <w:tcBorders>
              <w:top w:val="single" w:sz="4" w:space="0" w:color="auto"/>
              <w:left w:val="single" w:sz="4" w:space="0" w:color="auto"/>
              <w:bottom w:val="single" w:sz="4" w:space="0" w:color="auto"/>
              <w:right w:val="single" w:sz="4" w:space="0" w:color="auto"/>
            </w:tcBorders>
            <w:shd w:val="clear" w:color="000000" w:fill="E7E6E6"/>
            <w:vAlign w:val="center"/>
            <w:hideMark/>
          </w:tcPr>
          <w:p w14:paraId="48AF302D" w14:textId="77777777" w:rsidR="0018374F" w:rsidRPr="004E2CEF" w:rsidRDefault="0018374F" w:rsidP="0018374F">
            <w:pPr>
              <w:jc w:val="center"/>
              <w:rPr>
                <w:rFonts w:eastAsia="Times New Roman" w:cs="Arial"/>
                <w:b/>
                <w:bCs/>
                <w:color w:val="404040"/>
                <w:sz w:val="20"/>
                <w:szCs w:val="20"/>
                <w:lang w:eastAsia="it-CH"/>
              </w:rPr>
            </w:pPr>
            <w:r w:rsidRPr="004E2CEF">
              <w:rPr>
                <w:rFonts w:eastAsia="Times New Roman" w:cs="Arial"/>
                <w:b/>
                <w:bCs/>
                <w:color w:val="404040"/>
                <w:sz w:val="20"/>
                <w:szCs w:val="20"/>
                <w:lang w:eastAsia="it-CH"/>
              </w:rPr>
              <w:t>500'000 franchi</w:t>
            </w:r>
          </w:p>
        </w:tc>
        <w:tc>
          <w:tcPr>
            <w:tcW w:w="2820" w:type="dxa"/>
            <w:gridSpan w:val="2"/>
            <w:tcBorders>
              <w:top w:val="single" w:sz="4" w:space="0" w:color="auto"/>
              <w:left w:val="nil"/>
              <w:bottom w:val="single" w:sz="4" w:space="0" w:color="auto"/>
              <w:right w:val="single" w:sz="4" w:space="0" w:color="auto"/>
            </w:tcBorders>
            <w:shd w:val="clear" w:color="000000" w:fill="E7E6E6"/>
            <w:vAlign w:val="center"/>
            <w:hideMark/>
          </w:tcPr>
          <w:p w14:paraId="03D81C1F" w14:textId="77777777" w:rsidR="0018374F" w:rsidRPr="004E2CEF" w:rsidRDefault="0018374F" w:rsidP="0018374F">
            <w:pPr>
              <w:jc w:val="center"/>
              <w:rPr>
                <w:rFonts w:eastAsia="Times New Roman" w:cs="Arial"/>
                <w:b/>
                <w:bCs/>
                <w:color w:val="404040"/>
                <w:sz w:val="20"/>
                <w:szCs w:val="20"/>
                <w:lang w:eastAsia="it-CH"/>
              </w:rPr>
            </w:pPr>
            <w:r w:rsidRPr="004E2CEF">
              <w:rPr>
                <w:rFonts w:eastAsia="Times New Roman" w:cs="Arial"/>
                <w:b/>
                <w:bCs/>
                <w:color w:val="404040"/>
                <w:sz w:val="20"/>
                <w:szCs w:val="20"/>
                <w:lang w:eastAsia="it-CH"/>
              </w:rPr>
              <w:t>1'000'000 franchi</w:t>
            </w:r>
          </w:p>
        </w:tc>
        <w:tc>
          <w:tcPr>
            <w:tcW w:w="2800" w:type="dxa"/>
            <w:gridSpan w:val="2"/>
            <w:tcBorders>
              <w:top w:val="single" w:sz="4" w:space="0" w:color="auto"/>
              <w:left w:val="nil"/>
              <w:bottom w:val="single" w:sz="4" w:space="0" w:color="auto"/>
              <w:right w:val="single" w:sz="4" w:space="0" w:color="auto"/>
            </w:tcBorders>
            <w:shd w:val="clear" w:color="000000" w:fill="E7E6E6"/>
            <w:vAlign w:val="center"/>
            <w:hideMark/>
          </w:tcPr>
          <w:p w14:paraId="14BB88B6" w14:textId="77777777" w:rsidR="0018374F" w:rsidRPr="004E2CEF" w:rsidRDefault="0018374F" w:rsidP="0018374F">
            <w:pPr>
              <w:jc w:val="center"/>
              <w:rPr>
                <w:rFonts w:eastAsia="Times New Roman" w:cs="Arial"/>
                <w:b/>
                <w:bCs/>
                <w:color w:val="404040"/>
                <w:sz w:val="20"/>
                <w:szCs w:val="20"/>
                <w:lang w:eastAsia="it-CH"/>
              </w:rPr>
            </w:pPr>
            <w:r w:rsidRPr="004E2CEF">
              <w:rPr>
                <w:rFonts w:eastAsia="Times New Roman" w:cs="Arial"/>
                <w:b/>
                <w:bCs/>
                <w:color w:val="404040"/>
                <w:sz w:val="20"/>
                <w:szCs w:val="20"/>
                <w:lang w:eastAsia="it-CH"/>
              </w:rPr>
              <w:t>5'000'000 franchi</w:t>
            </w:r>
          </w:p>
        </w:tc>
      </w:tr>
      <w:tr w:rsidR="0018374F" w:rsidRPr="004E2CEF" w14:paraId="5E083277" w14:textId="77777777" w:rsidTr="0018374F">
        <w:trPr>
          <w:trHeight w:val="510"/>
        </w:trPr>
        <w:tc>
          <w:tcPr>
            <w:tcW w:w="1240" w:type="dxa"/>
            <w:tcBorders>
              <w:top w:val="single" w:sz="4" w:space="0" w:color="auto"/>
              <w:left w:val="single" w:sz="4" w:space="0" w:color="auto"/>
              <w:bottom w:val="single" w:sz="4" w:space="0" w:color="auto"/>
              <w:right w:val="single" w:sz="4" w:space="0" w:color="auto"/>
            </w:tcBorders>
            <w:shd w:val="clear" w:color="000000" w:fill="D6D6D6"/>
            <w:vAlign w:val="center"/>
            <w:hideMark/>
          </w:tcPr>
          <w:p w14:paraId="1CA63A7A" w14:textId="77777777" w:rsidR="0018374F" w:rsidRPr="004E2CEF" w:rsidRDefault="0018374F" w:rsidP="0018374F">
            <w:pPr>
              <w:jc w:val="left"/>
              <w:rPr>
                <w:rFonts w:eastAsia="Times New Roman" w:cs="Arial"/>
                <w:b/>
                <w:bCs/>
                <w:color w:val="000000"/>
                <w:sz w:val="20"/>
                <w:szCs w:val="20"/>
                <w:lang w:eastAsia="it-CH"/>
              </w:rPr>
            </w:pPr>
            <w:r w:rsidRPr="004E2CEF">
              <w:rPr>
                <w:rFonts w:eastAsia="Times New Roman" w:cs="Arial"/>
                <w:b/>
                <w:bCs/>
                <w:color w:val="000000"/>
                <w:sz w:val="20"/>
                <w:szCs w:val="20"/>
                <w:lang w:eastAsia="it-CH"/>
              </w:rPr>
              <w:t>Cantone</w:t>
            </w:r>
          </w:p>
        </w:tc>
        <w:tc>
          <w:tcPr>
            <w:tcW w:w="1840" w:type="dxa"/>
            <w:tcBorders>
              <w:top w:val="nil"/>
              <w:left w:val="nil"/>
              <w:bottom w:val="single" w:sz="4" w:space="0" w:color="auto"/>
              <w:right w:val="single" w:sz="4" w:space="0" w:color="auto"/>
            </w:tcBorders>
            <w:shd w:val="clear" w:color="000000" w:fill="E7E6E6"/>
            <w:vAlign w:val="center"/>
            <w:hideMark/>
          </w:tcPr>
          <w:p w14:paraId="301E1630" w14:textId="77777777" w:rsidR="0018374F" w:rsidRPr="004E2CEF" w:rsidRDefault="0018374F" w:rsidP="0018374F">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Imposte complessive</w:t>
            </w:r>
          </w:p>
        </w:tc>
        <w:tc>
          <w:tcPr>
            <w:tcW w:w="900" w:type="dxa"/>
            <w:tcBorders>
              <w:top w:val="nil"/>
              <w:left w:val="nil"/>
              <w:bottom w:val="single" w:sz="4" w:space="0" w:color="auto"/>
              <w:right w:val="single" w:sz="4" w:space="0" w:color="auto"/>
            </w:tcBorders>
            <w:shd w:val="clear" w:color="000000" w:fill="E7E6E6"/>
            <w:vAlign w:val="center"/>
            <w:hideMark/>
          </w:tcPr>
          <w:p w14:paraId="0D460E4D" w14:textId="77777777" w:rsidR="0018374F" w:rsidRPr="004E2CEF" w:rsidRDefault="0018374F" w:rsidP="0018374F">
            <w:pPr>
              <w:jc w:val="center"/>
              <w:rPr>
                <w:rFonts w:eastAsia="Times New Roman" w:cs="Arial"/>
                <w:b/>
                <w:bCs/>
                <w:i/>
                <w:iCs/>
                <w:color w:val="000000"/>
                <w:sz w:val="20"/>
                <w:szCs w:val="20"/>
                <w:lang w:eastAsia="it-CH"/>
              </w:rPr>
            </w:pPr>
            <w:r w:rsidRPr="004E2CEF">
              <w:rPr>
                <w:rFonts w:eastAsia="Times New Roman" w:cs="Arial"/>
                <w:b/>
                <w:bCs/>
                <w:i/>
                <w:iCs/>
                <w:color w:val="000000"/>
                <w:sz w:val="20"/>
                <w:szCs w:val="20"/>
                <w:lang w:eastAsia="it-CH"/>
              </w:rPr>
              <w:t>Rango</w:t>
            </w:r>
          </w:p>
        </w:tc>
        <w:tc>
          <w:tcPr>
            <w:tcW w:w="1680" w:type="dxa"/>
            <w:tcBorders>
              <w:top w:val="nil"/>
              <w:left w:val="nil"/>
              <w:bottom w:val="single" w:sz="4" w:space="0" w:color="auto"/>
              <w:right w:val="single" w:sz="4" w:space="0" w:color="auto"/>
            </w:tcBorders>
            <w:shd w:val="clear" w:color="000000" w:fill="E7E6E6"/>
            <w:vAlign w:val="center"/>
            <w:hideMark/>
          </w:tcPr>
          <w:p w14:paraId="539F51CD" w14:textId="77777777" w:rsidR="0018374F" w:rsidRPr="004E2CEF" w:rsidRDefault="0018374F" w:rsidP="0018374F">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Imposte complessive</w:t>
            </w:r>
          </w:p>
        </w:tc>
        <w:tc>
          <w:tcPr>
            <w:tcW w:w="1140" w:type="dxa"/>
            <w:tcBorders>
              <w:top w:val="nil"/>
              <w:left w:val="nil"/>
              <w:bottom w:val="single" w:sz="4" w:space="0" w:color="auto"/>
              <w:right w:val="single" w:sz="4" w:space="0" w:color="auto"/>
            </w:tcBorders>
            <w:shd w:val="clear" w:color="000000" w:fill="E7E6E6"/>
            <w:vAlign w:val="center"/>
            <w:hideMark/>
          </w:tcPr>
          <w:p w14:paraId="2211F74C" w14:textId="77777777" w:rsidR="0018374F" w:rsidRPr="004E2CEF" w:rsidRDefault="0018374F" w:rsidP="0018374F">
            <w:pPr>
              <w:jc w:val="center"/>
              <w:rPr>
                <w:rFonts w:eastAsia="Times New Roman" w:cs="Arial"/>
                <w:b/>
                <w:bCs/>
                <w:i/>
                <w:iCs/>
                <w:color w:val="000000"/>
                <w:sz w:val="20"/>
                <w:szCs w:val="20"/>
                <w:lang w:eastAsia="it-CH"/>
              </w:rPr>
            </w:pPr>
            <w:r w:rsidRPr="004E2CEF">
              <w:rPr>
                <w:rFonts w:eastAsia="Times New Roman" w:cs="Arial"/>
                <w:b/>
                <w:bCs/>
                <w:i/>
                <w:iCs/>
                <w:color w:val="000000"/>
                <w:sz w:val="20"/>
                <w:szCs w:val="20"/>
                <w:lang w:eastAsia="it-CH"/>
              </w:rPr>
              <w:t>Rango</w:t>
            </w:r>
          </w:p>
        </w:tc>
        <w:tc>
          <w:tcPr>
            <w:tcW w:w="1660" w:type="dxa"/>
            <w:tcBorders>
              <w:top w:val="nil"/>
              <w:left w:val="nil"/>
              <w:bottom w:val="single" w:sz="4" w:space="0" w:color="auto"/>
              <w:right w:val="single" w:sz="4" w:space="0" w:color="auto"/>
            </w:tcBorders>
            <w:shd w:val="clear" w:color="000000" w:fill="E7E6E6"/>
            <w:vAlign w:val="center"/>
            <w:hideMark/>
          </w:tcPr>
          <w:p w14:paraId="2648DF93" w14:textId="77777777" w:rsidR="0018374F" w:rsidRPr="004E2CEF" w:rsidRDefault="0018374F" w:rsidP="0018374F">
            <w:pPr>
              <w:jc w:val="center"/>
              <w:rPr>
                <w:rFonts w:eastAsia="Times New Roman" w:cs="Arial"/>
                <w:b/>
                <w:bCs/>
                <w:color w:val="000000"/>
                <w:sz w:val="20"/>
                <w:szCs w:val="20"/>
                <w:lang w:eastAsia="it-CH"/>
              </w:rPr>
            </w:pPr>
            <w:r w:rsidRPr="004E2CEF">
              <w:rPr>
                <w:rFonts w:eastAsia="Times New Roman" w:cs="Arial"/>
                <w:b/>
                <w:bCs/>
                <w:color w:val="000000"/>
                <w:sz w:val="20"/>
                <w:szCs w:val="20"/>
                <w:lang w:eastAsia="it-CH"/>
              </w:rPr>
              <w:t>Imposte complessive</w:t>
            </w:r>
          </w:p>
        </w:tc>
        <w:tc>
          <w:tcPr>
            <w:tcW w:w="1140" w:type="dxa"/>
            <w:tcBorders>
              <w:top w:val="nil"/>
              <w:left w:val="nil"/>
              <w:bottom w:val="single" w:sz="4" w:space="0" w:color="auto"/>
              <w:right w:val="single" w:sz="4" w:space="0" w:color="auto"/>
            </w:tcBorders>
            <w:shd w:val="clear" w:color="000000" w:fill="E7E6E6"/>
            <w:vAlign w:val="center"/>
            <w:hideMark/>
          </w:tcPr>
          <w:p w14:paraId="54B5D062" w14:textId="77777777" w:rsidR="0018374F" w:rsidRPr="004E2CEF" w:rsidRDefault="0018374F" w:rsidP="0018374F">
            <w:pPr>
              <w:jc w:val="center"/>
              <w:rPr>
                <w:rFonts w:eastAsia="Times New Roman" w:cs="Arial"/>
                <w:b/>
                <w:bCs/>
                <w:i/>
                <w:iCs/>
                <w:color w:val="000000"/>
                <w:sz w:val="20"/>
                <w:szCs w:val="20"/>
                <w:lang w:eastAsia="it-CH"/>
              </w:rPr>
            </w:pPr>
            <w:r w:rsidRPr="004E2CEF">
              <w:rPr>
                <w:rFonts w:eastAsia="Times New Roman" w:cs="Arial"/>
                <w:b/>
                <w:bCs/>
                <w:i/>
                <w:iCs/>
                <w:color w:val="000000"/>
                <w:sz w:val="20"/>
                <w:szCs w:val="20"/>
                <w:lang w:eastAsia="it-CH"/>
              </w:rPr>
              <w:t>Rango</w:t>
            </w:r>
          </w:p>
        </w:tc>
      </w:tr>
      <w:tr w:rsidR="0018374F" w:rsidRPr="004E2CEF" w14:paraId="7F7D2FDE"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B84EA86"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AI</w:t>
            </w:r>
          </w:p>
        </w:tc>
        <w:tc>
          <w:tcPr>
            <w:tcW w:w="1840" w:type="dxa"/>
            <w:tcBorders>
              <w:top w:val="nil"/>
              <w:left w:val="nil"/>
              <w:bottom w:val="single" w:sz="4" w:space="0" w:color="auto"/>
              <w:right w:val="single" w:sz="4" w:space="0" w:color="auto"/>
            </w:tcBorders>
            <w:shd w:val="clear" w:color="auto" w:fill="auto"/>
            <w:noWrap/>
            <w:vAlign w:val="center"/>
            <w:hideMark/>
          </w:tcPr>
          <w:p w14:paraId="35261B14"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26'032</w:t>
            </w:r>
          </w:p>
        </w:tc>
        <w:tc>
          <w:tcPr>
            <w:tcW w:w="900" w:type="dxa"/>
            <w:tcBorders>
              <w:top w:val="nil"/>
              <w:left w:val="nil"/>
              <w:bottom w:val="single" w:sz="4" w:space="0" w:color="auto"/>
              <w:right w:val="single" w:sz="4" w:space="0" w:color="auto"/>
            </w:tcBorders>
            <w:shd w:val="clear" w:color="auto" w:fill="auto"/>
            <w:noWrap/>
            <w:vAlign w:val="center"/>
            <w:hideMark/>
          </w:tcPr>
          <w:p w14:paraId="11E9A69C"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w:t>
            </w:r>
          </w:p>
        </w:tc>
        <w:tc>
          <w:tcPr>
            <w:tcW w:w="1680" w:type="dxa"/>
            <w:tcBorders>
              <w:top w:val="nil"/>
              <w:left w:val="nil"/>
              <w:bottom w:val="single" w:sz="4" w:space="0" w:color="auto"/>
              <w:right w:val="single" w:sz="4" w:space="0" w:color="auto"/>
            </w:tcBorders>
            <w:shd w:val="clear" w:color="auto" w:fill="auto"/>
            <w:noWrap/>
            <w:vAlign w:val="center"/>
            <w:hideMark/>
          </w:tcPr>
          <w:p w14:paraId="4BA96811"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53'800 </w:t>
            </w:r>
          </w:p>
        </w:tc>
        <w:tc>
          <w:tcPr>
            <w:tcW w:w="1140" w:type="dxa"/>
            <w:tcBorders>
              <w:top w:val="nil"/>
              <w:left w:val="nil"/>
              <w:bottom w:val="single" w:sz="4" w:space="0" w:color="auto"/>
              <w:right w:val="single" w:sz="4" w:space="0" w:color="auto"/>
            </w:tcBorders>
            <w:shd w:val="clear" w:color="auto" w:fill="auto"/>
            <w:noWrap/>
            <w:vAlign w:val="center"/>
            <w:hideMark/>
          </w:tcPr>
          <w:p w14:paraId="3D0A3343"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w:t>
            </w:r>
          </w:p>
        </w:tc>
        <w:tc>
          <w:tcPr>
            <w:tcW w:w="1660" w:type="dxa"/>
            <w:tcBorders>
              <w:top w:val="nil"/>
              <w:left w:val="nil"/>
              <w:bottom w:val="single" w:sz="4" w:space="0" w:color="auto"/>
              <w:right w:val="single" w:sz="4" w:space="0" w:color="auto"/>
            </w:tcBorders>
            <w:shd w:val="clear" w:color="auto" w:fill="auto"/>
            <w:noWrap/>
            <w:vAlign w:val="center"/>
            <w:hideMark/>
          </w:tcPr>
          <w:p w14:paraId="4B5D581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269'000 </w:t>
            </w:r>
          </w:p>
        </w:tc>
        <w:tc>
          <w:tcPr>
            <w:tcW w:w="1140" w:type="dxa"/>
            <w:tcBorders>
              <w:top w:val="nil"/>
              <w:left w:val="nil"/>
              <w:bottom w:val="single" w:sz="4" w:space="0" w:color="auto"/>
              <w:right w:val="single" w:sz="4" w:space="0" w:color="auto"/>
            </w:tcBorders>
            <w:shd w:val="clear" w:color="auto" w:fill="auto"/>
            <w:noWrap/>
            <w:vAlign w:val="center"/>
            <w:hideMark/>
          </w:tcPr>
          <w:p w14:paraId="5708965C"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w:t>
            </w:r>
          </w:p>
        </w:tc>
      </w:tr>
      <w:tr w:rsidR="0018374F" w:rsidRPr="004E2CEF" w14:paraId="63B1911E"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0A25FCC"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NW</w:t>
            </w:r>
          </w:p>
        </w:tc>
        <w:tc>
          <w:tcPr>
            <w:tcW w:w="1840" w:type="dxa"/>
            <w:tcBorders>
              <w:top w:val="nil"/>
              <w:left w:val="nil"/>
              <w:bottom w:val="single" w:sz="4" w:space="0" w:color="auto"/>
              <w:right w:val="single" w:sz="4" w:space="0" w:color="auto"/>
            </w:tcBorders>
            <w:shd w:val="clear" w:color="auto" w:fill="auto"/>
            <w:noWrap/>
            <w:vAlign w:val="center"/>
            <w:hideMark/>
          </w:tcPr>
          <w:p w14:paraId="7041CA3B"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27'854</w:t>
            </w:r>
          </w:p>
        </w:tc>
        <w:tc>
          <w:tcPr>
            <w:tcW w:w="900" w:type="dxa"/>
            <w:tcBorders>
              <w:top w:val="nil"/>
              <w:left w:val="nil"/>
              <w:bottom w:val="single" w:sz="4" w:space="0" w:color="auto"/>
              <w:right w:val="single" w:sz="4" w:space="0" w:color="auto"/>
            </w:tcBorders>
            <w:shd w:val="clear" w:color="auto" w:fill="auto"/>
            <w:noWrap/>
            <w:vAlign w:val="center"/>
            <w:hideMark/>
          </w:tcPr>
          <w:p w14:paraId="26F8315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w:t>
            </w:r>
          </w:p>
        </w:tc>
        <w:tc>
          <w:tcPr>
            <w:tcW w:w="1680" w:type="dxa"/>
            <w:tcBorders>
              <w:top w:val="nil"/>
              <w:left w:val="nil"/>
              <w:bottom w:val="single" w:sz="4" w:space="0" w:color="auto"/>
              <w:right w:val="single" w:sz="4" w:space="0" w:color="auto"/>
            </w:tcBorders>
            <w:shd w:val="clear" w:color="auto" w:fill="auto"/>
            <w:noWrap/>
            <w:vAlign w:val="center"/>
            <w:hideMark/>
          </w:tcPr>
          <w:p w14:paraId="1A88EDC9"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57'444 </w:t>
            </w:r>
          </w:p>
        </w:tc>
        <w:tc>
          <w:tcPr>
            <w:tcW w:w="1140" w:type="dxa"/>
            <w:tcBorders>
              <w:top w:val="nil"/>
              <w:left w:val="nil"/>
              <w:bottom w:val="single" w:sz="4" w:space="0" w:color="auto"/>
              <w:right w:val="single" w:sz="4" w:space="0" w:color="auto"/>
            </w:tcBorders>
            <w:shd w:val="clear" w:color="auto" w:fill="auto"/>
            <w:noWrap/>
            <w:vAlign w:val="center"/>
            <w:hideMark/>
          </w:tcPr>
          <w:p w14:paraId="1216E714"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w:t>
            </w:r>
          </w:p>
        </w:tc>
        <w:tc>
          <w:tcPr>
            <w:tcW w:w="1660" w:type="dxa"/>
            <w:tcBorders>
              <w:top w:val="nil"/>
              <w:left w:val="nil"/>
              <w:bottom w:val="single" w:sz="4" w:space="0" w:color="auto"/>
              <w:right w:val="single" w:sz="4" w:space="0" w:color="auto"/>
            </w:tcBorders>
            <w:shd w:val="clear" w:color="auto" w:fill="auto"/>
            <w:noWrap/>
            <w:vAlign w:val="center"/>
            <w:hideMark/>
          </w:tcPr>
          <w:p w14:paraId="13ABA071"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287'219 </w:t>
            </w:r>
          </w:p>
        </w:tc>
        <w:tc>
          <w:tcPr>
            <w:tcW w:w="1140" w:type="dxa"/>
            <w:tcBorders>
              <w:top w:val="nil"/>
              <w:left w:val="nil"/>
              <w:bottom w:val="single" w:sz="4" w:space="0" w:color="auto"/>
              <w:right w:val="single" w:sz="4" w:space="0" w:color="auto"/>
            </w:tcBorders>
            <w:shd w:val="clear" w:color="auto" w:fill="auto"/>
            <w:noWrap/>
            <w:vAlign w:val="center"/>
            <w:hideMark/>
          </w:tcPr>
          <w:p w14:paraId="3A36CF0A"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w:t>
            </w:r>
          </w:p>
        </w:tc>
      </w:tr>
      <w:tr w:rsidR="0018374F" w:rsidRPr="004E2CEF" w14:paraId="52CADBFD"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E19079D"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SH</w:t>
            </w:r>
          </w:p>
        </w:tc>
        <w:tc>
          <w:tcPr>
            <w:tcW w:w="1840" w:type="dxa"/>
            <w:tcBorders>
              <w:top w:val="nil"/>
              <w:left w:val="nil"/>
              <w:bottom w:val="single" w:sz="4" w:space="0" w:color="auto"/>
              <w:right w:val="single" w:sz="4" w:space="0" w:color="auto"/>
            </w:tcBorders>
            <w:shd w:val="clear" w:color="auto" w:fill="auto"/>
            <w:noWrap/>
            <w:vAlign w:val="center"/>
            <w:hideMark/>
          </w:tcPr>
          <w:p w14:paraId="1145D21A"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28'947</w:t>
            </w:r>
          </w:p>
        </w:tc>
        <w:tc>
          <w:tcPr>
            <w:tcW w:w="900" w:type="dxa"/>
            <w:tcBorders>
              <w:top w:val="nil"/>
              <w:left w:val="nil"/>
              <w:bottom w:val="single" w:sz="4" w:space="0" w:color="auto"/>
              <w:right w:val="single" w:sz="4" w:space="0" w:color="auto"/>
            </w:tcBorders>
            <w:shd w:val="clear" w:color="auto" w:fill="auto"/>
            <w:noWrap/>
            <w:vAlign w:val="center"/>
            <w:hideMark/>
          </w:tcPr>
          <w:p w14:paraId="3E99EE89"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3</w:t>
            </w:r>
          </w:p>
        </w:tc>
        <w:tc>
          <w:tcPr>
            <w:tcW w:w="1680" w:type="dxa"/>
            <w:tcBorders>
              <w:top w:val="nil"/>
              <w:left w:val="nil"/>
              <w:bottom w:val="single" w:sz="4" w:space="0" w:color="auto"/>
              <w:right w:val="single" w:sz="4" w:space="0" w:color="auto"/>
            </w:tcBorders>
            <w:shd w:val="clear" w:color="auto" w:fill="auto"/>
            <w:noWrap/>
            <w:vAlign w:val="center"/>
            <w:hideMark/>
          </w:tcPr>
          <w:p w14:paraId="3260D55D"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59'630 </w:t>
            </w:r>
          </w:p>
        </w:tc>
        <w:tc>
          <w:tcPr>
            <w:tcW w:w="1140" w:type="dxa"/>
            <w:tcBorders>
              <w:top w:val="nil"/>
              <w:left w:val="nil"/>
              <w:bottom w:val="single" w:sz="4" w:space="0" w:color="auto"/>
              <w:right w:val="single" w:sz="4" w:space="0" w:color="auto"/>
            </w:tcBorders>
            <w:shd w:val="clear" w:color="auto" w:fill="auto"/>
            <w:noWrap/>
            <w:vAlign w:val="center"/>
            <w:hideMark/>
          </w:tcPr>
          <w:p w14:paraId="47E61139"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3</w:t>
            </w:r>
          </w:p>
        </w:tc>
        <w:tc>
          <w:tcPr>
            <w:tcW w:w="1660" w:type="dxa"/>
            <w:tcBorders>
              <w:top w:val="nil"/>
              <w:left w:val="nil"/>
              <w:bottom w:val="single" w:sz="4" w:space="0" w:color="auto"/>
              <w:right w:val="single" w:sz="4" w:space="0" w:color="auto"/>
            </w:tcBorders>
            <w:shd w:val="clear" w:color="auto" w:fill="auto"/>
            <w:noWrap/>
            <w:vAlign w:val="center"/>
            <w:hideMark/>
          </w:tcPr>
          <w:p w14:paraId="602F99A3"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298'150 </w:t>
            </w:r>
          </w:p>
        </w:tc>
        <w:tc>
          <w:tcPr>
            <w:tcW w:w="1140" w:type="dxa"/>
            <w:tcBorders>
              <w:top w:val="nil"/>
              <w:left w:val="nil"/>
              <w:bottom w:val="single" w:sz="4" w:space="0" w:color="auto"/>
              <w:right w:val="single" w:sz="4" w:space="0" w:color="auto"/>
            </w:tcBorders>
            <w:shd w:val="clear" w:color="auto" w:fill="auto"/>
            <w:noWrap/>
            <w:vAlign w:val="center"/>
            <w:hideMark/>
          </w:tcPr>
          <w:p w14:paraId="1D25EB91"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3</w:t>
            </w:r>
          </w:p>
        </w:tc>
      </w:tr>
      <w:tr w:rsidR="0018374F" w:rsidRPr="004E2CEF" w14:paraId="00176DED"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B66493C"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UR</w:t>
            </w:r>
          </w:p>
        </w:tc>
        <w:tc>
          <w:tcPr>
            <w:tcW w:w="1840" w:type="dxa"/>
            <w:tcBorders>
              <w:top w:val="nil"/>
              <w:left w:val="nil"/>
              <w:bottom w:val="single" w:sz="4" w:space="0" w:color="auto"/>
              <w:right w:val="single" w:sz="4" w:space="0" w:color="auto"/>
            </w:tcBorders>
            <w:shd w:val="clear" w:color="auto" w:fill="auto"/>
            <w:noWrap/>
            <w:vAlign w:val="center"/>
            <w:hideMark/>
          </w:tcPr>
          <w:p w14:paraId="2E1451D9"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29'157</w:t>
            </w:r>
          </w:p>
        </w:tc>
        <w:tc>
          <w:tcPr>
            <w:tcW w:w="900" w:type="dxa"/>
            <w:tcBorders>
              <w:top w:val="nil"/>
              <w:left w:val="nil"/>
              <w:bottom w:val="single" w:sz="4" w:space="0" w:color="auto"/>
              <w:right w:val="single" w:sz="4" w:space="0" w:color="auto"/>
            </w:tcBorders>
            <w:shd w:val="clear" w:color="auto" w:fill="auto"/>
            <w:noWrap/>
            <w:vAlign w:val="center"/>
            <w:hideMark/>
          </w:tcPr>
          <w:p w14:paraId="5C94BD8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4</w:t>
            </w:r>
          </w:p>
        </w:tc>
        <w:tc>
          <w:tcPr>
            <w:tcW w:w="1680" w:type="dxa"/>
            <w:tcBorders>
              <w:top w:val="nil"/>
              <w:left w:val="nil"/>
              <w:bottom w:val="single" w:sz="4" w:space="0" w:color="auto"/>
              <w:right w:val="single" w:sz="4" w:space="0" w:color="auto"/>
            </w:tcBorders>
            <w:shd w:val="clear" w:color="auto" w:fill="auto"/>
            <w:noWrap/>
            <w:vAlign w:val="center"/>
            <w:hideMark/>
          </w:tcPr>
          <w:p w14:paraId="51370F99"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60'050 </w:t>
            </w:r>
          </w:p>
        </w:tc>
        <w:tc>
          <w:tcPr>
            <w:tcW w:w="1140" w:type="dxa"/>
            <w:tcBorders>
              <w:top w:val="nil"/>
              <w:left w:val="nil"/>
              <w:bottom w:val="single" w:sz="4" w:space="0" w:color="auto"/>
              <w:right w:val="single" w:sz="4" w:space="0" w:color="auto"/>
            </w:tcBorders>
            <w:shd w:val="clear" w:color="auto" w:fill="auto"/>
            <w:noWrap/>
            <w:vAlign w:val="center"/>
            <w:hideMark/>
          </w:tcPr>
          <w:p w14:paraId="485E4596"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4</w:t>
            </w:r>
          </w:p>
        </w:tc>
        <w:tc>
          <w:tcPr>
            <w:tcW w:w="1660" w:type="dxa"/>
            <w:tcBorders>
              <w:top w:val="nil"/>
              <w:left w:val="nil"/>
              <w:bottom w:val="single" w:sz="4" w:space="0" w:color="auto"/>
              <w:right w:val="single" w:sz="4" w:space="0" w:color="auto"/>
            </w:tcBorders>
            <w:shd w:val="clear" w:color="auto" w:fill="auto"/>
            <w:noWrap/>
            <w:vAlign w:val="center"/>
            <w:hideMark/>
          </w:tcPr>
          <w:p w14:paraId="63A05FA3"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300'250 </w:t>
            </w:r>
          </w:p>
        </w:tc>
        <w:tc>
          <w:tcPr>
            <w:tcW w:w="1140" w:type="dxa"/>
            <w:tcBorders>
              <w:top w:val="nil"/>
              <w:left w:val="nil"/>
              <w:bottom w:val="single" w:sz="4" w:space="0" w:color="auto"/>
              <w:right w:val="single" w:sz="4" w:space="0" w:color="auto"/>
            </w:tcBorders>
            <w:shd w:val="clear" w:color="auto" w:fill="auto"/>
            <w:noWrap/>
            <w:vAlign w:val="center"/>
            <w:hideMark/>
          </w:tcPr>
          <w:p w14:paraId="1A81C96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4</w:t>
            </w:r>
          </w:p>
        </w:tc>
      </w:tr>
      <w:tr w:rsidR="0018374F" w:rsidRPr="004E2CEF" w14:paraId="3C89AE35"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DE0CEDA"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GR</w:t>
            </w:r>
          </w:p>
        </w:tc>
        <w:tc>
          <w:tcPr>
            <w:tcW w:w="1840" w:type="dxa"/>
            <w:tcBorders>
              <w:top w:val="nil"/>
              <w:left w:val="nil"/>
              <w:bottom w:val="single" w:sz="4" w:space="0" w:color="auto"/>
              <w:right w:val="single" w:sz="4" w:space="0" w:color="auto"/>
            </w:tcBorders>
            <w:shd w:val="clear" w:color="auto" w:fill="auto"/>
            <w:noWrap/>
            <w:vAlign w:val="center"/>
            <w:hideMark/>
          </w:tcPr>
          <w:p w14:paraId="546C4C0D"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29'432</w:t>
            </w:r>
          </w:p>
        </w:tc>
        <w:tc>
          <w:tcPr>
            <w:tcW w:w="900" w:type="dxa"/>
            <w:tcBorders>
              <w:top w:val="nil"/>
              <w:left w:val="nil"/>
              <w:bottom w:val="single" w:sz="4" w:space="0" w:color="auto"/>
              <w:right w:val="single" w:sz="4" w:space="0" w:color="auto"/>
            </w:tcBorders>
            <w:shd w:val="clear" w:color="auto" w:fill="auto"/>
            <w:noWrap/>
            <w:vAlign w:val="center"/>
            <w:hideMark/>
          </w:tcPr>
          <w:p w14:paraId="59AE6171"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5</w:t>
            </w:r>
          </w:p>
        </w:tc>
        <w:tc>
          <w:tcPr>
            <w:tcW w:w="1680" w:type="dxa"/>
            <w:tcBorders>
              <w:top w:val="nil"/>
              <w:left w:val="nil"/>
              <w:bottom w:val="single" w:sz="4" w:space="0" w:color="auto"/>
              <w:right w:val="single" w:sz="4" w:space="0" w:color="auto"/>
            </w:tcBorders>
            <w:shd w:val="clear" w:color="auto" w:fill="auto"/>
            <w:noWrap/>
            <w:vAlign w:val="center"/>
            <w:hideMark/>
          </w:tcPr>
          <w:p w14:paraId="11DD1A46"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60'600 </w:t>
            </w:r>
          </w:p>
        </w:tc>
        <w:tc>
          <w:tcPr>
            <w:tcW w:w="1140" w:type="dxa"/>
            <w:tcBorders>
              <w:top w:val="nil"/>
              <w:left w:val="nil"/>
              <w:bottom w:val="single" w:sz="4" w:space="0" w:color="auto"/>
              <w:right w:val="single" w:sz="4" w:space="0" w:color="auto"/>
            </w:tcBorders>
            <w:shd w:val="clear" w:color="auto" w:fill="auto"/>
            <w:noWrap/>
            <w:vAlign w:val="center"/>
            <w:hideMark/>
          </w:tcPr>
          <w:p w14:paraId="6A45AA5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5</w:t>
            </w:r>
          </w:p>
        </w:tc>
        <w:tc>
          <w:tcPr>
            <w:tcW w:w="1660" w:type="dxa"/>
            <w:tcBorders>
              <w:top w:val="nil"/>
              <w:left w:val="nil"/>
              <w:bottom w:val="single" w:sz="4" w:space="0" w:color="auto"/>
              <w:right w:val="single" w:sz="4" w:space="0" w:color="auto"/>
            </w:tcBorders>
            <w:shd w:val="clear" w:color="auto" w:fill="auto"/>
            <w:noWrap/>
            <w:vAlign w:val="center"/>
            <w:hideMark/>
          </w:tcPr>
          <w:p w14:paraId="0DA4032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303'000 </w:t>
            </w:r>
          </w:p>
        </w:tc>
        <w:tc>
          <w:tcPr>
            <w:tcW w:w="1140" w:type="dxa"/>
            <w:tcBorders>
              <w:top w:val="nil"/>
              <w:left w:val="nil"/>
              <w:bottom w:val="single" w:sz="4" w:space="0" w:color="auto"/>
              <w:right w:val="single" w:sz="4" w:space="0" w:color="auto"/>
            </w:tcBorders>
            <w:shd w:val="clear" w:color="auto" w:fill="auto"/>
            <w:noWrap/>
            <w:vAlign w:val="center"/>
            <w:hideMark/>
          </w:tcPr>
          <w:p w14:paraId="6819B034"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5</w:t>
            </w:r>
          </w:p>
        </w:tc>
      </w:tr>
      <w:tr w:rsidR="0018374F" w:rsidRPr="004E2CEF" w14:paraId="4B73494B"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8ECEFA3"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ZG</w:t>
            </w:r>
          </w:p>
        </w:tc>
        <w:tc>
          <w:tcPr>
            <w:tcW w:w="1840" w:type="dxa"/>
            <w:tcBorders>
              <w:top w:val="nil"/>
              <w:left w:val="nil"/>
              <w:bottom w:val="single" w:sz="4" w:space="0" w:color="auto"/>
              <w:right w:val="single" w:sz="4" w:space="0" w:color="auto"/>
            </w:tcBorders>
            <w:shd w:val="clear" w:color="auto" w:fill="auto"/>
            <w:noWrap/>
            <w:vAlign w:val="center"/>
            <w:hideMark/>
          </w:tcPr>
          <w:p w14:paraId="04B20587"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29'732</w:t>
            </w:r>
          </w:p>
        </w:tc>
        <w:tc>
          <w:tcPr>
            <w:tcW w:w="900" w:type="dxa"/>
            <w:tcBorders>
              <w:top w:val="nil"/>
              <w:left w:val="nil"/>
              <w:bottom w:val="single" w:sz="4" w:space="0" w:color="auto"/>
              <w:right w:val="single" w:sz="4" w:space="0" w:color="auto"/>
            </w:tcBorders>
            <w:shd w:val="clear" w:color="auto" w:fill="auto"/>
            <w:noWrap/>
            <w:vAlign w:val="center"/>
            <w:hideMark/>
          </w:tcPr>
          <w:p w14:paraId="3C8AC03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6</w:t>
            </w:r>
          </w:p>
        </w:tc>
        <w:tc>
          <w:tcPr>
            <w:tcW w:w="1680" w:type="dxa"/>
            <w:tcBorders>
              <w:top w:val="nil"/>
              <w:left w:val="nil"/>
              <w:bottom w:val="single" w:sz="4" w:space="0" w:color="auto"/>
              <w:right w:val="single" w:sz="4" w:space="0" w:color="auto"/>
            </w:tcBorders>
            <w:shd w:val="clear" w:color="auto" w:fill="auto"/>
            <w:noWrap/>
            <w:vAlign w:val="center"/>
            <w:hideMark/>
          </w:tcPr>
          <w:p w14:paraId="31FC01D3"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63'540 </w:t>
            </w:r>
          </w:p>
        </w:tc>
        <w:tc>
          <w:tcPr>
            <w:tcW w:w="1140" w:type="dxa"/>
            <w:tcBorders>
              <w:top w:val="nil"/>
              <w:left w:val="nil"/>
              <w:bottom w:val="single" w:sz="4" w:space="0" w:color="auto"/>
              <w:right w:val="single" w:sz="4" w:space="0" w:color="auto"/>
            </w:tcBorders>
            <w:shd w:val="clear" w:color="auto" w:fill="auto"/>
            <w:noWrap/>
            <w:vAlign w:val="center"/>
            <w:hideMark/>
          </w:tcPr>
          <w:p w14:paraId="2BDED651"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6</w:t>
            </w:r>
          </w:p>
        </w:tc>
        <w:tc>
          <w:tcPr>
            <w:tcW w:w="1660" w:type="dxa"/>
            <w:tcBorders>
              <w:top w:val="nil"/>
              <w:left w:val="nil"/>
              <w:bottom w:val="single" w:sz="4" w:space="0" w:color="auto"/>
              <w:right w:val="single" w:sz="4" w:space="0" w:color="auto"/>
            </w:tcBorders>
            <w:shd w:val="clear" w:color="auto" w:fill="auto"/>
            <w:noWrap/>
            <w:vAlign w:val="center"/>
            <w:hideMark/>
          </w:tcPr>
          <w:p w14:paraId="1ED0B306"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327'060 </w:t>
            </w:r>
          </w:p>
        </w:tc>
        <w:tc>
          <w:tcPr>
            <w:tcW w:w="1140" w:type="dxa"/>
            <w:tcBorders>
              <w:top w:val="nil"/>
              <w:left w:val="nil"/>
              <w:bottom w:val="single" w:sz="4" w:space="0" w:color="auto"/>
              <w:right w:val="single" w:sz="4" w:space="0" w:color="auto"/>
            </w:tcBorders>
            <w:shd w:val="clear" w:color="auto" w:fill="auto"/>
            <w:noWrap/>
            <w:vAlign w:val="center"/>
            <w:hideMark/>
          </w:tcPr>
          <w:p w14:paraId="4770BF9A"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6</w:t>
            </w:r>
          </w:p>
        </w:tc>
      </w:tr>
      <w:tr w:rsidR="0018374F" w:rsidRPr="004E2CEF" w14:paraId="1651670E"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0CF8DA0"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GL</w:t>
            </w:r>
          </w:p>
        </w:tc>
        <w:tc>
          <w:tcPr>
            <w:tcW w:w="1840" w:type="dxa"/>
            <w:tcBorders>
              <w:top w:val="nil"/>
              <w:left w:val="nil"/>
              <w:bottom w:val="single" w:sz="4" w:space="0" w:color="auto"/>
              <w:right w:val="single" w:sz="4" w:space="0" w:color="auto"/>
            </w:tcBorders>
            <w:shd w:val="clear" w:color="auto" w:fill="auto"/>
            <w:noWrap/>
            <w:vAlign w:val="center"/>
            <w:hideMark/>
          </w:tcPr>
          <w:p w14:paraId="5579029F"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33'672</w:t>
            </w:r>
          </w:p>
        </w:tc>
        <w:tc>
          <w:tcPr>
            <w:tcW w:w="900" w:type="dxa"/>
            <w:tcBorders>
              <w:top w:val="nil"/>
              <w:left w:val="nil"/>
              <w:bottom w:val="single" w:sz="4" w:space="0" w:color="auto"/>
              <w:right w:val="single" w:sz="4" w:space="0" w:color="auto"/>
            </w:tcBorders>
            <w:shd w:val="clear" w:color="auto" w:fill="auto"/>
            <w:noWrap/>
            <w:vAlign w:val="center"/>
            <w:hideMark/>
          </w:tcPr>
          <w:p w14:paraId="1E668340"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7</w:t>
            </w:r>
          </w:p>
        </w:tc>
        <w:tc>
          <w:tcPr>
            <w:tcW w:w="1680" w:type="dxa"/>
            <w:tcBorders>
              <w:top w:val="nil"/>
              <w:left w:val="nil"/>
              <w:bottom w:val="single" w:sz="4" w:space="0" w:color="auto"/>
              <w:right w:val="single" w:sz="4" w:space="0" w:color="auto"/>
            </w:tcBorders>
            <w:shd w:val="clear" w:color="auto" w:fill="auto"/>
            <w:noWrap/>
            <w:vAlign w:val="center"/>
            <w:hideMark/>
          </w:tcPr>
          <w:p w14:paraId="5DC600E5"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69'080 </w:t>
            </w:r>
          </w:p>
        </w:tc>
        <w:tc>
          <w:tcPr>
            <w:tcW w:w="1140" w:type="dxa"/>
            <w:tcBorders>
              <w:top w:val="nil"/>
              <w:left w:val="nil"/>
              <w:bottom w:val="single" w:sz="4" w:space="0" w:color="auto"/>
              <w:right w:val="single" w:sz="4" w:space="0" w:color="auto"/>
            </w:tcBorders>
            <w:shd w:val="clear" w:color="auto" w:fill="auto"/>
            <w:noWrap/>
            <w:vAlign w:val="center"/>
            <w:hideMark/>
          </w:tcPr>
          <w:p w14:paraId="101D387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7</w:t>
            </w:r>
          </w:p>
        </w:tc>
        <w:tc>
          <w:tcPr>
            <w:tcW w:w="1660" w:type="dxa"/>
            <w:tcBorders>
              <w:top w:val="nil"/>
              <w:left w:val="nil"/>
              <w:bottom w:val="single" w:sz="4" w:space="0" w:color="auto"/>
              <w:right w:val="single" w:sz="4" w:space="0" w:color="auto"/>
            </w:tcBorders>
            <w:shd w:val="clear" w:color="auto" w:fill="auto"/>
            <w:noWrap/>
            <w:vAlign w:val="center"/>
            <w:hideMark/>
          </w:tcPr>
          <w:p w14:paraId="4C0B2C6E"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345'400 </w:t>
            </w:r>
          </w:p>
        </w:tc>
        <w:tc>
          <w:tcPr>
            <w:tcW w:w="1140" w:type="dxa"/>
            <w:tcBorders>
              <w:top w:val="nil"/>
              <w:left w:val="nil"/>
              <w:bottom w:val="single" w:sz="4" w:space="0" w:color="auto"/>
              <w:right w:val="single" w:sz="4" w:space="0" w:color="auto"/>
            </w:tcBorders>
            <w:shd w:val="clear" w:color="auto" w:fill="auto"/>
            <w:noWrap/>
            <w:vAlign w:val="center"/>
            <w:hideMark/>
          </w:tcPr>
          <w:p w14:paraId="63B4489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7</w:t>
            </w:r>
          </w:p>
        </w:tc>
      </w:tr>
      <w:tr w:rsidR="0018374F" w:rsidRPr="004E2CEF" w14:paraId="123C9315"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BEB3F4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BL</w:t>
            </w:r>
          </w:p>
        </w:tc>
        <w:tc>
          <w:tcPr>
            <w:tcW w:w="1840" w:type="dxa"/>
            <w:tcBorders>
              <w:top w:val="nil"/>
              <w:left w:val="nil"/>
              <w:bottom w:val="single" w:sz="4" w:space="0" w:color="auto"/>
              <w:right w:val="single" w:sz="4" w:space="0" w:color="auto"/>
            </w:tcBorders>
            <w:shd w:val="clear" w:color="auto" w:fill="auto"/>
            <w:noWrap/>
            <w:vAlign w:val="center"/>
            <w:hideMark/>
          </w:tcPr>
          <w:p w14:paraId="1AE773AB"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33'732</w:t>
            </w:r>
          </w:p>
        </w:tc>
        <w:tc>
          <w:tcPr>
            <w:tcW w:w="900" w:type="dxa"/>
            <w:tcBorders>
              <w:top w:val="nil"/>
              <w:left w:val="nil"/>
              <w:bottom w:val="single" w:sz="4" w:space="0" w:color="auto"/>
              <w:right w:val="single" w:sz="4" w:space="0" w:color="auto"/>
            </w:tcBorders>
            <w:shd w:val="clear" w:color="auto" w:fill="auto"/>
            <w:noWrap/>
            <w:vAlign w:val="center"/>
            <w:hideMark/>
          </w:tcPr>
          <w:p w14:paraId="3C4D17AD"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8</w:t>
            </w:r>
          </w:p>
        </w:tc>
        <w:tc>
          <w:tcPr>
            <w:tcW w:w="1680" w:type="dxa"/>
            <w:tcBorders>
              <w:top w:val="nil"/>
              <w:left w:val="nil"/>
              <w:bottom w:val="single" w:sz="4" w:space="0" w:color="auto"/>
              <w:right w:val="single" w:sz="4" w:space="0" w:color="auto"/>
            </w:tcBorders>
            <w:shd w:val="clear" w:color="auto" w:fill="auto"/>
            <w:noWrap/>
            <w:vAlign w:val="center"/>
            <w:hideMark/>
          </w:tcPr>
          <w:p w14:paraId="7492164B"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95'600 </w:t>
            </w:r>
          </w:p>
        </w:tc>
        <w:tc>
          <w:tcPr>
            <w:tcW w:w="1140" w:type="dxa"/>
            <w:tcBorders>
              <w:top w:val="nil"/>
              <w:left w:val="nil"/>
              <w:bottom w:val="single" w:sz="4" w:space="0" w:color="auto"/>
              <w:right w:val="single" w:sz="4" w:space="0" w:color="auto"/>
            </w:tcBorders>
            <w:shd w:val="clear" w:color="auto" w:fill="auto"/>
            <w:noWrap/>
            <w:vAlign w:val="center"/>
            <w:hideMark/>
          </w:tcPr>
          <w:p w14:paraId="236E424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17</w:t>
            </w:r>
          </w:p>
        </w:tc>
        <w:tc>
          <w:tcPr>
            <w:tcW w:w="1660" w:type="dxa"/>
            <w:tcBorders>
              <w:top w:val="nil"/>
              <w:left w:val="nil"/>
              <w:bottom w:val="single" w:sz="4" w:space="0" w:color="auto"/>
              <w:right w:val="single" w:sz="4" w:space="0" w:color="auto"/>
            </w:tcBorders>
            <w:shd w:val="clear" w:color="auto" w:fill="auto"/>
            <w:noWrap/>
            <w:vAlign w:val="center"/>
            <w:hideMark/>
          </w:tcPr>
          <w:p w14:paraId="57F110D4"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486'250 </w:t>
            </w:r>
          </w:p>
        </w:tc>
        <w:tc>
          <w:tcPr>
            <w:tcW w:w="1140" w:type="dxa"/>
            <w:tcBorders>
              <w:top w:val="nil"/>
              <w:left w:val="nil"/>
              <w:bottom w:val="single" w:sz="4" w:space="0" w:color="auto"/>
              <w:right w:val="single" w:sz="4" w:space="0" w:color="auto"/>
            </w:tcBorders>
            <w:shd w:val="clear" w:color="auto" w:fill="auto"/>
            <w:noWrap/>
            <w:vAlign w:val="center"/>
            <w:hideMark/>
          </w:tcPr>
          <w:p w14:paraId="561F84F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17</w:t>
            </w:r>
          </w:p>
        </w:tc>
      </w:tr>
      <w:tr w:rsidR="0018374F" w:rsidRPr="004E2CEF" w14:paraId="141E8F52"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8E34B9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OW</w:t>
            </w:r>
          </w:p>
        </w:tc>
        <w:tc>
          <w:tcPr>
            <w:tcW w:w="1840" w:type="dxa"/>
            <w:tcBorders>
              <w:top w:val="nil"/>
              <w:left w:val="nil"/>
              <w:bottom w:val="single" w:sz="4" w:space="0" w:color="auto"/>
              <w:right w:val="single" w:sz="4" w:space="0" w:color="auto"/>
            </w:tcBorders>
            <w:shd w:val="clear" w:color="auto" w:fill="auto"/>
            <w:noWrap/>
            <w:vAlign w:val="center"/>
            <w:hideMark/>
          </w:tcPr>
          <w:p w14:paraId="02D6E9B3"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36'228</w:t>
            </w:r>
          </w:p>
        </w:tc>
        <w:tc>
          <w:tcPr>
            <w:tcW w:w="900" w:type="dxa"/>
            <w:tcBorders>
              <w:top w:val="nil"/>
              <w:left w:val="nil"/>
              <w:bottom w:val="single" w:sz="4" w:space="0" w:color="auto"/>
              <w:right w:val="single" w:sz="4" w:space="0" w:color="auto"/>
            </w:tcBorders>
            <w:shd w:val="clear" w:color="auto" w:fill="auto"/>
            <w:noWrap/>
            <w:vAlign w:val="center"/>
            <w:hideMark/>
          </w:tcPr>
          <w:p w14:paraId="09D01A59"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9</w:t>
            </w:r>
          </w:p>
        </w:tc>
        <w:tc>
          <w:tcPr>
            <w:tcW w:w="1680" w:type="dxa"/>
            <w:tcBorders>
              <w:top w:val="nil"/>
              <w:left w:val="nil"/>
              <w:bottom w:val="single" w:sz="4" w:space="0" w:color="auto"/>
              <w:right w:val="single" w:sz="4" w:space="0" w:color="auto"/>
            </w:tcBorders>
            <w:shd w:val="clear" w:color="auto" w:fill="auto"/>
            <w:noWrap/>
            <w:vAlign w:val="center"/>
            <w:hideMark/>
          </w:tcPr>
          <w:p w14:paraId="0F8F832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74'192 </w:t>
            </w:r>
          </w:p>
        </w:tc>
        <w:tc>
          <w:tcPr>
            <w:tcW w:w="1140" w:type="dxa"/>
            <w:tcBorders>
              <w:top w:val="nil"/>
              <w:left w:val="nil"/>
              <w:bottom w:val="single" w:sz="4" w:space="0" w:color="auto"/>
              <w:right w:val="single" w:sz="4" w:space="0" w:color="auto"/>
            </w:tcBorders>
            <w:shd w:val="clear" w:color="auto" w:fill="auto"/>
            <w:noWrap/>
            <w:vAlign w:val="center"/>
            <w:hideMark/>
          </w:tcPr>
          <w:p w14:paraId="0FA7503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8</w:t>
            </w:r>
          </w:p>
        </w:tc>
        <w:tc>
          <w:tcPr>
            <w:tcW w:w="1660" w:type="dxa"/>
            <w:tcBorders>
              <w:top w:val="nil"/>
              <w:left w:val="nil"/>
              <w:bottom w:val="single" w:sz="4" w:space="0" w:color="auto"/>
              <w:right w:val="single" w:sz="4" w:space="0" w:color="auto"/>
            </w:tcBorders>
            <w:shd w:val="clear" w:color="auto" w:fill="auto"/>
            <w:noWrap/>
            <w:vAlign w:val="center"/>
            <w:hideMark/>
          </w:tcPr>
          <w:p w14:paraId="20BC3B03"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370'960 </w:t>
            </w:r>
          </w:p>
        </w:tc>
        <w:tc>
          <w:tcPr>
            <w:tcW w:w="1140" w:type="dxa"/>
            <w:tcBorders>
              <w:top w:val="nil"/>
              <w:left w:val="nil"/>
              <w:bottom w:val="single" w:sz="4" w:space="0" w:color="auto"/>
              <w:right w:val="single" w:sz="4" w:space="0" w:color="auto"/>
            </w:tcBorders>
            <w:shd w:val="clear" w:color="auto" w:fill="auto"/>
            <w:noWrap/>
            <w:vAlign w:val="center"/>
            <w:hideMark/>
          </w:tcPr>
          <w:p w14:paraId="70309DB1"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8</w:t>
            </w:r>
          </w:p>
        </w:tc>
      </w:tr>
      <w:tr w:rsidR="0018374F" w:rsidRPr="004E2CEF" w14:paraId="65ACA741"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36CE9F8" w14:textId="77777777" w:rsidR="0018374F" w:rsidRPr="004E2CEF" w:rsidRDefault="0018374F" w:rsidP="0018374F">
            <w:pPr>
              <w:jc w:val="left"/>
              <w:rPr>
                <w:rFonts w:eastAsia="Times New Roman" w:cs="Arial"/>
                <w:color w:val="FF0000"/>
                <w:sz w:val="20"/>
                <w:szCs w:val="20"/>
                <w:lang w:eastAsia="it-CH"/>
              </w:rPr>
            </w:pPr>
            <w:r w:rsidRPr="004E2CEF">
              <w:rPr>
                <w:rFonts w:eastAsia="Times New Roman" w:cs="Arial"/>
                <w:color w:val="FF0000"/>
                <w:sz w:val="20"/>
                <w:szCs w:val="20"/>
                <w:lang w:eastAsia="it-CH"/>
              </w:rPr>
              <w:t>TI</w:t>
            </w:r>
          </w:p>
        </w:tc>
        <w:tc>
          <w:tcPr>
            <w:tcW w:w="1840" w:type="dxa"/>
            <w:tcBorders>
              <w:top w:val="nil"/>
              <w:left w:val="nil"/>
              <w:bottom w:val="single" w:sz="4" w:space="0" w:color="auto"/>
              <w:right w:val="single" w:sz="4" w:space="0" w:color="auto"/>
            </w:tcBorders>
            <w:shd w:val="clear" w:color="auto" w:fill="auto"/>
            <w:noWrap/>
            <w:vAlign w:val="center"/>
            <w:hideMark/>
          </w:tcPr>
          <w:p w14:paraId="3458BD3D" w14:textId="77777777" w:rsidR="0018374F" w:rsidRPr="004E2CEF" w:rsidRDefault="0018374F" w:rsidP="0018374F">
            <w:pPr>
              <w:jc w:val="right"/>
              <w:rPr>
                <w:rFonts w:eastAsia="Times New Roman" w:cs="Arial"/>
                <w:color w:val="FF0000"/>
                <w:sz w:val="20"/>
                <w:szCs w:val="20"/>
                <w:lang w:eastAsia="it-CH"/>
              </w:rPr>
            </w:pPr>
            <w:r w:rsidRPr="004E2CEF">
              <w:rPr>
                <w:rFonts w:eastAsia="Times New Roman" w:cs="Arial"/>
                <w:color w:val="FF0000"/>
                <w:sz w:val="20"/>
                <w:szCs w:val="20"/>
                <w:lang w:eastAsia="it-CH"/>
              </w:rPr>
              <w:t>36'606</w:t>
            </w:r>
          </w:p>
        </w:tc>
        <w:tc>
          <w:tcPr>
            <w:tcW w:w="900" w:type="dxa"/>
            <w:tcBorders>
              <w:top w:val="nil"/>
              <w:left w:val="nil"/>
              <w:bottom w:val="single" w:sz="4" w:space="0" w:color="auto"/>
              <w:right w:val="single" w:sz="4" w:space="0" w:color="auto"/>
            </w:tcBorders>
            <w:shd w:val="clear" w:color="auto" w:fill="auto"/>
            <w:noWrap/>
            <w:vAlign w:val="center"/>
            <w:hideMark/>
          </w:tcPr>
          <w:p w14:paraId="4B60A799" w14:textId="77777777" w:rsidR="0018374F" w:rsidRPr="004E2CEF" w:rsidRDefault="0018374F" w:rsidP="0018374F">
            <w:pPr>
              <w:jc w:val="right"/>
              <w:rPr>
                <w:rFonts w:eastAsia="Times New Roman" w:cs="Arial"/>
                <w:i/>
                <w:iCs/>
                <w:color w:val="FF0000"/>
                <w:sz w:val="20"/>
                <w:szCs w:val="20"/>
                <w:lang w:eastAsia="it-CH"/>
              </w:rPr>
            </w:pPr>
            <w:r w:rsidRPr="004E2CEF">
              <w:rPr>
                <w:rFonts w:eastAsia="Times New Roman" w:cs="Arial"/>
                <w:i/>
                <w:iCs/>
                <w:color w:val="FF0000"/>
                <w:sz w:val="20"/>
                <w:szCs w:val="20"/>
                <w:lang w:eastAsia="it-CH"/>
              </w:rPr>
              <w:t>10</w:t>
            </w:r>
          </w:p>
        </w:tc>
        <w:tc>
          <w:tcPr>
            <w:tcW w:w="1680" w:type="dxa"/>
            <w:tcBorders>
              <w:top w:val="nil"/>
              <w:left w:val="nil"/>
              <w:bottom w:val="single" w:sz="4" w:space="0" w:color="auto"/>
              <w:right w:val="single" w:sz="4" w:space="0" w:color="auto"/>
            </w:tcBorders>
            <w:shd w:val="clear" w:color="auto" w:fill="auto"/>
            <w:noWrap/>
            <w:vAlign w:val="center"/>
            <w:hideMark/>
          </w:tcPr>
          <w:p w14:paraId="560A7BA3" w14:textId="77777777" w:rsidR="0018374F" w:rsidRPr="004E2CEF" w:rsidRDefault="0018374F" w:rsidP="0018374F">
            <w:pPr>
              <w:jc w:val="left"/>
              <w:rPr>
                <w:rFonts w:eastAsia="Times New Roman" w:cs="Arial"/>
                <w:color w:val="FF0000"/>
                <w:sz w:val="20"/>
                <w:szCs w:val="20"/>
                <w:lang w:eastAsia="it-CH"/>
              </w:rPr>
            </w:pPr>
            <w:r w:rsidRPr="004E2CEF">
              <w:rPr>
                <w:rFonts w:eastAsia="Times New Roman" w:cs="Arial"/>
                <w:color w:val="FF0000"/>
                <w:sz w:val="20"/>
                <w:szCs w:val="20"/>
                <w:lang w:eastAsia="it-CH"/>
              </w:rPr>
              <w:t xml:space="preserve">              142'222 </w:t>
            </w:r>
          </w:p>
        </w:tc>
        <w:tc>
          <w:tcPr>
            <w:tcW w:w="1140" w:type="dxa"/>
            <w:tcBorders>
              <w:top w:val="nil"/>
              <w:left w:val="nil"/>
              <w:bottom w:val="single" w:sz="4" w:space="0" w:color="auto"/>
              <w:right w:val="single" w:sz="4" w:space="0" w:color="auto"/>
            </w:tcBorders>
            <w:shd w:val="clear" w:color="auto" w:fill="auto"/>
            <w:noWrap/>
            <w:vAlign w:val="center"/>
            <w:hideMark/>
          </w:tcPr>
          <w:p w14:paraId="6B35FAFF" w14:textId="77777777" w:rsidR="0018374F" w:rsidRPr="004E2CEF" w:rsidRDefault="0018374F" w:rsidP="0018374F">
            <w:pPr>
              <w:jc w:val="right"/>
              <w:rPr>
                <w:rFonts w:eastAsia="Times New Roman" w:cs="Arial"/>
                <w:i/>
                <w:iCs/>
                <w:color w:val="FF0000"/>
                <w:sz w:val="20"/>
                <w:szCs w:val="20"/>
                <w:lang w:eastAsia="it-CH"/>
              </w:rPr>
            </w:pPr>
            <w:r w:rsidRPr="004E2CEF">
              <w:rPr>
                <w:rFonts w:eastAsia="Times New Roman" w:cs="Arial"/>
                <w:i/>
                <w:iCs/>
                <w:color w:val="FF0000"/>
                <w:sz w:val="20"/>
                <w:szCs w:val="20"/>
                <w:lang w:eastAsia="it-CH"/>
              </w:rPr>
              <w:t>26</w:t>
            </w:r>
          </w:p>
        </w:tc>
        <w:tc>
          <w:tcPr>
            <w:tcW w:w="1660" w:type="dxa"/>
            <w:tcBorders>
              <w:top w:val="nil"/>
              <w:left w:val="nil"/>
              <w:bottom w:val="single" w:sz="4" w:space="0" w:color="auto"/>
              <w:right w:val="single" w:sz="4" w:space="0" w:color="auto"/>
            </w:tcBorders>
            <w:shd w:val="clear" w:color="auto" w:fill="auto"/>
            <w:noWrap/>
            <w:vAlign w:val="center"/>
            <w:hideMark/>
          </w:tcPr>
          <w:p w14:paraId="10EB003A" w14:textId="77777777" w:rsidR="0018374F" w:rsidRPr="004E2CEF" w:rsidRDefault="0018374F" w:rsidP="00192E87">
            <w:pPr>
              <w:jc w:val="left"/>
              <w:rPr>
                <w:rFonts w:eastAsia="Times New Roman" w:cs="Arial"/>
                <w:color w:val="FF0000"/>
                <w:sz w:val="20"/>
                <w:szCs w:val="20"/>
                <w:lang w:eastAsia="it-CH"/>
              </w:rPr>
            </w:pPr>
            <w:r w:rsidRPr="004E2CEF">
              <w:rPr>
                <w:rFonts w:eastAsia="Times New Roman" w:cs="Arial"/>
                <w:color w:val="FF0000"/>
                <w:sz w:val="20"/>
                <w:szCs w:val="20"/>
                <w:lang w:eastAsia="it-CH"/>
              </w:rPr>
              <w:t xml:space="preserve">         </w:t>
            </w:r>
            <w:r w:rsidR="00192E87" w:rsidRPr="004E2CEF">
              <w:rPr>
                <w:rFonts w:eastAsia="Times New Roman" w:cs="Arial"/>
                <w:color w:val="FF0000"/>
                <w:sz w:val="20"/>
                <w:szCs w:val="20"/>
                <w:lang w:eastAsia="it-CH"/>
              </w:rPr>
              <w:t xml:space="preserve"> </w:t>
            </w:r>
            <w:r w:rsidRPr="004E2CEF">
              <w:rPr>
                <w:rFonts w:eastAsia="Times New Roman" w:cs="Arial"/>
                <w:color w:val="FF0000"/>
                <w:sz w:val="20"/>
                <w:szCs w:val="20"/>
                <w:lang w:eastAsia="it-CH"/>
              </w:rPr>
              <w:t xml:space="preserve"> </w:t>
            </w:r>
            <w:r w:rsidR="00192E87" w:rsidRPr="004E2CEF">
              <w:rPr>
                <w:rFonts w:eastAsia="Times New Roman" w:cs="Arial"/>
                <w:color w:val="FF0000"/>
                <w:sz w:val="20"/>
                <w:szCs w:val="20"/>
                <w:lang w:eastAsia="it-CH"/>
              </w:rPr>
              <w:t>1</w:t>
            </w:r>
            <w:r w:rsidRPr="004E2CEF">
              <w:rPr>
                <w:rFonts w:eastAsia="Times New Roman" w:cs="Arial"/>
                <w:color w:val="FF0000"/>
                <w:sz w:val="20"/>
                <w:szCs w:val="20"/>
                <w:lang w:eastAsia="it-CH"/>
              </w:rPr>
              <w:t xml:space="preserve">'232'198 </w:t>
            </w:r>
          </w:p>
        </w:tc>
        <w:tc>
          <w:tcPr>
            <w:tcW w:w="1140" w:type="dxa"/>
            <w:tcBorders>
              <w:top w:val="nil"/>
              <w:left w:val="nil"/>
              <w:bottom w:val="single" w:sz="4" w:space="0" w:color="auto"/>
              <w:right w:val="single" w:sz="4" w:space="0" w:color="auto"/>
            </w:tcBorders>
            <w:shd w:val="clear" w:color="auto" w:fill="auto"/>
            <w:noWrap/>
            <w:vAlign w:val="center"/>
            <w:hideMark/>
          </w:tcPr>
          <w:p w14:paraId="227460A7" w14:textId="77777777" w:rsidR="0018374F" w:rsidRPr="004E2CEF" w:rsidRDefault="0018374F" w:rsidP="0018374F">
            <w:pPr>
              <w:jc w:val="right"/>
              <w:rPr>
                <w:rFonts w:eastAsia="Times New Roman" w:cs="Arial"/>
                <w:i/>
                <w:iCs/>
                <w:color w:val="FF0000"/>
                <w:sz w:val="20"/>
                <w:szCs w:val="20"/>
                <w:lang w:eastAsia="it-CH"/>
              </w:rPr>
            </w:pPr>
            <w:r w:rsidRPr="004E2CEF">
              <w:rPr>
                <w:rFonts w:eastAsia="Times New Roman" w:cs="Arial"/>
                <w:i/>
                <w:iCs/>
                <w:color w:val="FF0000"/>
                <w:sz w:val="20"/>
                <w:szCs w:val="20"/>
                <w:lang w:eastAsia="it-CH"/>
              </w:rPr>
              <w:t>26</w:t>
            </w:r>
          </w:p>
        </w:tc>
      </w:tr>
      <w:tr w:rsidR="0018374F" w:rsidRPr="004E2CEF" w14:paraId="294B6E35"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B99587C"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ZH</w:t>
            </w:r>
          </w:p>
        </w:tc>
        <w:tc>
          <w:tcPr>
            <w:tcW w:w="1840" w:type="dxa"/>
            <w:tcBorders>
              <w:top w:val="nil"/>
              <w:left w:val="nil"/>
              <w:bottom w:val="single" w:sz="4" w:space="0" w:color="auto"/>
              <w:right w:val="single" w:sz="4" w:space="0" w:color="auto"/>
            </w:tcBorders>
            <w:shd w:val="clear" w:color="auto" w:fill="auto"/>
            <w:noWrap/>
            <w:vAlign w:val="center"/>
            <w:hideMark/>
          </w:tcPr>
          <w:p w14:paraId="34E447CB"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36'966</w:t>
            </w:r>
          </w:p>
        </w:tc>
        <w:tc>
          <w:tcPr>
            <w:tcW w:w="900" w:type="dxa"/>
            <w:tcBorders>
              <w:top w:val="nil"/>
              <w:left w:val="nil"/>
              <w:bottom w:val="single" w:sz="4" w:space="0" w:color="auto"/>
              <w:right w:val="single" w:sz="4" w:space="0" w:color="auto"/>
            </w:tcBorders>
            <w:shd w:val="clear" w:color="auto" w:fill="auto"/>
            <w:noWrap/>
            <w:vAlign w:val="center"/>
            <w:hideMark/>
          </w:tcPr>
          <w:p w14:paraId="34A2F9CF"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11</w:t>
            </w:r>
          </w:p>
        </w:tc>
        <w:tc>
          <w:tcPr>
            <w:tcW w:w="1680" w:type="dxa"/>
            <w:tcBorders>
              <w:top w:val="nil"/>
              <w:left w:val="nil"/>
              <w:bottom w:val="single" w:sz="4" w:space="0" w:color="auto"/>
              <w:right w:val="single" w:sz="4" w:space="0" w:color="auto"/>
            </w:tcBorders>
            <w:shd w:val="clear" w:color="auto" w:fill="auto"/>
            <w:noWrap/>
            <w:vAlign w:val="center"/>
            <w:hideMark/>
          </w:tcPr>
          <w:p w14:paraId="6B56437A"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113'994 </w:t>
            </w:r>
          </w:p>
        </w:tc>
        <w:tc>
          <w:tcPr>
            <w:tcW w:w="1140" w:type="dxa"/>
            <w:tcBorders>
              <w:top w:val="nil"/>
              <w:left w:val="nil"/>
              <w:bottom w:val="single" w:sz="4" w:space="0" w:color="auto"/>
              <w:right w:val="single" w:sz="4" w:space="0" w:color="auto"/>
            </w:tcBorders>
            <w:shd w:val="clear" w:color="auto" w:fill="auto"/>
            <w:noWrap/>
            <w:vAlign w:val="center"/>
            <w:hideMark/>
          </w:tcPr>
          <w:p w14:paraId="676791E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24</w:t>
            </w:r>
          </w:p>
        </w:tc>
        <w:tc>
          <w:tcPr>
            <w:tcW w:w="1660" w:type="dxa"/>
            <w:tcBorders>
              <w:top w:val="nil"/>
              <w:left w:val="nil"/>
              <w:bottom w:val="single" w:sz="4" w:space="0" w:color="auto"/>
              <w:right w:val="single" w:sz="4" w:space="0" w:color="auto"/>
            </w:tcBorders>
            <w:shd w:val="clear" w:color="auto" w:fill="auto"/>
            <w:noWrap/>
            <w:vAlign w:val="center"/>
            <w:hideMark/>
          </w:tcPr>
          <w:p w14:paraId="0B5480F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1'116'798 </w:t>
            </w:r>
          </w:p>
        </w:tc>
        <w:tc>
          <w:tcPr>
            <w:tcW w:w="1140" w:type="dxa"/>
            <w:tcBorders>
              <w:top w:val="nil"/>
              <w:left w:val="nil"/>
              <w:bottom w:val="single" w:sz="4" w:space="0" w:color="auto"/>
              <w:right w:val="single" w:sz="4" w:space="0" w:color="auto"/>
            </w:tcBorders>
            <w:shd w:val="clear" w:color="auto" w:fill="auto"/>
            <w:noWrap/>
            <w:vAlign w:val="center"/>
            <w:hideMark/>
          </w:tcPr>
          <w:p w14:paraId="43E452D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25</w:t>
            </w:r>
          </w:p>
        </w:tc>
      </w:tr>
      <w:tr w:rsidR="0018374F" w:rsidRPr="004E2CEF" w14:paraId="192D7CFC"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DCFA824"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SG</w:t>
            </w:r>
          </w:p>
        </w:tc>
        <w:tc>
          <w:tcPr>
            <w:tcW w:w="1840" w:type="dxa"/>
            <w:tcBorders>
              <w:top w:val="nil"/>
              <w:left w:val="nil"/>
              <w:bottom w:val="single" w:sz="4" w:space="0" w:color="auto"/>
              <w:right w:val="single" w:sz="4" w:space="0" w:color="auto"/>
            </w:tcBorders>
            <w:shd w:val="clear" w:color="auto" w:fill="auto"/>
            <w:noWrap/>
            <w:vAlign w:val="center"/>
            <w:hideMark/>
          </w:tcPr>
          <w:p w14:paraId="32725275"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38'242</w:t>
            </w:r>
          </w:p>
        </w:tc>
        <w:tc>
          <w:tcPr>
            <w:tcW w:w="900" w:type="dxa"/>
            <w:tcBorders>
              <w:top w:val="nil"/>
              <w:left w:val="nil"/>
              <w:bottom w:val="single" w:sz="4" w:space="0" w:color="auto"/>
              <w:right w:val="single" w:sz="4" w:space="0" w:color="auto"/>
            </w:tcBorders>
            <w:shd w:val="clear" w:color="auto" w:fill="auto"/>
            <w:noWrap/>
            <w:vAlign w:val="center"/>
            <w:hideMark/>
          </w:tcPr>
          <w:p w14:paraId="66D22320"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12</w:t>
            </w:r>
          </w:p>
        </w:tc>
        <w:tc>
          <w:tcPr>
            <w:tcW w:w="1680" w:type="dxa"/>
            <w:tcBorders>
              <w:top w:val="nil"/>
              <w:left w:val="nil"/>
              <w:bottom w:val="single" w:sz="4" w:space="0" w:color="auto"/>
              <w:right w:val="single" w:sz="4" w:space="0" w:color="auto"/>
            </w:tcBorders>
            <w:shd w:val="clear" w:color="auto" w:fill="auto"/>
            <w:noWrap/>
            <w:vAlign w:val="center"/>
            <w:hideMark/>
          </w:tcPr>
          <w:p w14:paraId="269A6D8D"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78'220 </w:t>
            </w:r>
          </w:p>
        </w:tc>
        <w:tc>
          <w:tcPr>
            <w:tcW w:w="1140" w:type="dxa"/>
            <w:tcBorders>
              <w:top w:val="nil"/>
              <w:left w:val="nil"/>
              <w:bottom w:val="single" w:sz="4" w:space="0" w:color="auto"/>
              <w:right w:val="single" w:sz="4" w:space="0" w:color="auto"/>
            </w:tcBorders>
            <w:shd w:val="clear" w:color="auto" w:fill="auto"/>
            <w:noWrap/>
            <w:vAlign w:val="center"/>
            <w:hideMark/>
          </w:tcPr>
          <w:p w14:paraId="0D69756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9</w:t>
            </w:r>
          </w:p>
        </w:tc>
        <w:tc>
          <w:tcPr>
            <w:tcW w:w="1660" w:type="dxa"/>
            <w:tcBorders>
              <w:top w:val="nil"/>
              <w:left w:val="nil"/>
              <w:bottom w:val="single" w:sz="4" w:space="0" w:color="auto"/>
              <w:right w:val="single" w:sz="4" w:space="0" w:color="auto"/>
            </w:tcBorders>
            <w:shd w:val="clear" w:color="auto" w:fill="auto"/>
            <w:noWrap/>
            <w:vAlign w:val="center"/>
            <w:hideMark/>
          </w:tcPr>
          <w:p w14:paraId="21CA5061"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391'100 </w:t>
            </w:r>
          </w:p>
        </w:tc>
        <w:tc>
          <w:tcPr>
            <w:tcW w:w="1140" w:type="dxa"/>
            <w:tcBorders>
              <w:top w:val="nil"/>
              <w:left w:val="nil"/>
              <w:bottom w:val="single" w:sz="4" w:space="0" w:color="auto"/>
              <w:right w:val="single" w:sz="4" w:space="0" w:color="auto"/>
            </w:tcBorders>
            <w:shd w:val="clear" w:color="auto" w:fill="auto"/>
            <w:noWrap/>
            <w:vAlign w:val="center"/>
            <w:hideMark/>
          </w:tcPr>
          <w:p w14:paraId="697A7027"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9</w:t>
            </w:r>
          </w:p>
        </w:tc>
      </w:tr>
      <w:tr w:rsidR="0018374F" w:rsidRPr="004E2CEF" w14:paraId="17C2B61A"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12089D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SO</w:t>
            </w:r>
          </w:p>
        </w:tc>
        <w:tc>
          <w:tcPr>
            <w:tcW w:w="1840" w:type="dxa"/>
            <w:tcBorders>
              <w:top w:val="nil"/>
              <w:left w:val="nil"/>
              <w:bottom w:val="single" w:sz="4" w:space="0" w:color="auto"/>
              <w:right w:val="single" w:sz="4" w:space="0" w:color="auto"/>
            </w:tcBorders>
            <w:shd w:val="clear" w:color="auto" w:fill="auto"/>
            <w:noWrap/>
            <w:vAlign w:val="center"/>
            <w:hideMark/>
          </w:tcPr>
          <w:p w14:paraId="5854E315"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38'326</w:t>
            </w:r>
          </w:p>
        </w:tc>
        <w:tc>
          <w:tcPr>
            <w:tcW w:w="900" w:type="dxa"/>
            <w:tcBorders>
              <w:top w:val="nil"/>
              <w:left w:val="nil"/>
              <w:bottom w:val="single" w:sz="4" w:space="0" w:color="auto"/>
              <w:right w:val="single" w:sz="4" w:space="0" w:color="auto"/>
            </w:tcBorders>
            <w:shd w:val="clear" w:color="auto" w:fill="auto"/>
            <w:noWrap/>
            <w:vAlign w:val="center"/>
            <w:hideMark/>
          </w:tcPr>
          <w:p w14:paraId="4B987EA3"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13</w:t>
            </w:r>
          </w:p>
        </w:tc>
        <w:tc>
          <w:tcPr>
            <w:tcW w:w="1680" w:type="dxa"/>
            <w:tcBorders>
              <w:top w:val="nil"/>
              <w:left w:val="nil"/>
              <w:bottom w:val="single" w:sz="4" w:space="0" w:color="auto"/>
              <w:right w:val="single" w:sz="4" w:space="0" w:color="auto"/>
            </w:tcBorders>
            <w:shd w:val="clear" w:color="auto" w:fill="auto"/>
            <w:noWrap/>
            <w:vAlign w:val="center"/>
            <w:hideMark/>
          </w:tcPr>
          <w:p w14:paraId="343F08A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78'388 </w:t>
            </w:r>
          </w:p>
        </w:tc>
        <w:tc>
          <w:tcPr>
            <w:tcW w:w="1140" w:type="dxa"/>
            <w:tcBorders>
              <w:top w:val="nil"/>
              <w:left w:val="nil"/>
              <w:bottom w:val="single" w:sz="4" w:space="0" w:color="auto"/>
              <w:right w:val="single" w:sz="4" w:space="0" w:color="auto"/>
            </w:tcBorders>
            <w:shd w:val="clear" w:color="auto" w:fill="auto"/>
            <w:noWrap/>
            <w:vAlign w:val="center"/>
            <w:hideMark/>
          </w:tcPr>
          <w:p w14:paraId="713B0B63"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10</w:t>
            </w:r>
          </w:p>
        </w:tc>
        <w:tc>
          <w:tcPr>
            <w:tcW w:w="1660" w:type="dxa"/>
            <w:tcBorders>
              <w:top w:val="nil"/>
              <w:left w:val="nil"/>
              <w:bottom w:val="single" w:sz="4" w:space="0" w:color="auto"/>
              <w:right w:val="single" w:sz="4" w:space="0" w:color="auto"/>
            </w:tcBorders>
            <w:shd w:val="clear" w:color="auto" w:fill="auto"/>
            <w:noWrap/>
            <w:vAlign w:val="center"/>
            <w:hideMark/>
          </w:tcPr>
          <w:p w14:paraId="0130BB5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391'938 </w:t>
            </w:r>
          </w:p>
        </w:tc>
        <w:tc>
          <w:tcPr>
            <w:tcW w:w="1140" w:type="dxa"/>
            <w:tcBorders>
              <w:top w:val="nil"/>
              <w:left w:val="nil"/>
              <w:bottom w:val="single" w:sz="4" w:space="0" w:color="auto"/>
              <w:right w:val="single" w:sz="4" w:space="0" w:color="auto"/>
            </w:tcBorders>
            <w:shd w:val="clear" w:color="auto" w:fill="auto"/>
            <w:noWrap/>
            <w:vAlign w:val="center"/>
            <w:hideMark/>
          </w:tcPr>
          <w:p w14:paraId="458EF10F"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10</w:t>
            </w:r>
          </w:p>
        </w:tc>
      </w:tr>
      <w:tr w:rsidR="0018374F" w:rsidRPr="004E2CEF" w14:paraId="526D898A"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3D0C6BC"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GE</w:t>
            </w:r>
          </w:p>
        </w:tc>
        <w:tc>
          <w:tcPr>
            <w:tcW w:w="1840" w:type="dxa"/>
            <w:tcBorders>
              <w:top w:val="nil"/>
              <w:left w:val="nil"/>
              <w:bottom w:val="single" w:sz="4" w:space="0" w:color="auto"/>
              <w:right w:val="single" w:sz="4" w:space="0" w:color="auto"/>
            </w:tcBorders>
            <w:shd w:val="clear" w:color="auto" w:fill="auto"/>
            <w:noWrap/>
            <w:vAlign w:val="center"/>
            <w:hideMark/>
          </w:tcPr>
          <w:p w14:paraId="1B64D21F"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39'399</w:t>
            </w:r>
          </w:p>
        </w:tc>
        <w:tc>
          <w:tcPr>
            <w:tcW w:w="900" w:type="dxa"/>
            <w:tcBorders>
              <w:top w:val="nil"/>
              <w:left w:val="nil"/>
              <w:bottom w:val="single" w:sz="4" w:space="0" w:color="auto"/>
              <w:right w:val="single" w:sz="4" w:space="0" w:color="auto"/>
            </w:tcBorders>
            <w:shd w:val="clear" w:color="auto" w:fill="auto"/>
            <w:noWrap/>
            <w:vAlign w:val="center"/>
            <w:hideMark/>
          </w:tcPr>
          <w:p w14:paraId="05DDAF1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14</w:t>
            </w:r>
          </w:p>
        </w:tc>
        <w:tc>
          <w:tcPr>
            <w:tcW w:w="1680" w:type="dxa"/>
            <w:tcBorders>
              <w:top w:val="nil"/>
              <w:left w:val="nil"/>
              <w:bottom w:val="single" w:sz="4" w:space="0" w:color="auto"/>
              <w:right w:val="single" w:sz="4" w:space="0" w:color="auto"/>
            </w:tcBorders>
            <w:shd w:val="clear" w:color="auto" w:fill="auto"/>
            <w:noWrap/>
            <w:vAlign w:val="center"/>
            <w:hideMark/>
          </w:tcPr>
          <w:p w14:paraId="249348FF"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85'057 </w:t>
            </w:r>
          </w:p>
        </w:tc>
        <w:tc>
          <w:tcPr>
            <w:tcW w:w="1140" w:type="dxa"/>
            <w:tcBorders>
              <w:top w:val="nil"/>
              <w:left w:val="nil"/>
              <w:bottom w:val="single" w:sz="4" w:space="0" w:color="auto"/>
              <w:right w:val="single" w:sz="4" w:space="0" w:color="auto"/>
            </w:tcBorders>
            <w:shd w:val="clear" w:color="auto" w:fill="auto"/>
            <w:noWrap/>
            <w:vAlign w:val="center"/>
            <w:hideMark/>
          </w:tcPr>
          <w:p w14:paraId="41641C3A"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12</w:t>
            </w:r>
          </w:p>
        </w:tc>
        <w:tc>
          <w:tcPr>
            <w:tcW w:w="1660" w:type="dxa"/>
            <w:tcBorders>
              <w:top w:val="nil"/>
              <w:left w:val="nil"/>
              <w:bottom w:val="single" w:sz="4" w:space="0" w:color="auto"/>
              <w:right w:val="single" w:sz="4" w:space="0" w:color="auto"/>
            </w:tcBorders>
            <w:shd w:val="clear" w:color="auto" w:fill="auto"/>
            <w:noWrap/>
            <w:vAlign w:val="center"/>
            <w:hideMark/>
          </w:tcPr>
          <w:p w14:paraId="389BC2C0"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445'018 </w:t>
            </w:r>
          </w:p>
        </w:tc>
        <w:tc>
          <w:tcPr>
            <w:tcW w:w="1140" w:type="dxa"/>
            <w:tcBorders>
              <w:top w:val="nil"/>
              <w:left w:val="nil"/>
              <w:bottom w:val="single" w:sz="4" w:space="0" w:color="auto"/>
              <w:right w:val="single" w:sz="4" w:space="0" w:color="auto"/>
            </w:tcBorders>
            <w:shd w:val="clear" w:color="auto" w:fill="auto"/>
            <w:noWrap/>
            <w:vAlign w:val="center"/>
            <w:hideMark/>
          </w:tcPr>
          <w:p w14:paraId="4A8B05E2"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13</w:t>
            </w:r>
          </w:p>
        </w:tc>
      </w:tr>
      <w:tr w:rsidR="0018374F" w:rsidRPr="004E2CEF" w14:paraId="3E296A60"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4F425630"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LU</w:t>
            </w:r>
          </w:p>
        </w:tc>
        <w:tc>
          <w:tcPr>
            <w:tcW w:w="1840" w:type="dxa"/>
            <w:tcBorders>
              <w:top w:val="nil"/>
              <w:left w:val="nil"/>
              <w:bottom w:val="single" w:sz="4" w:space="0" w:color="auto"/>
              <w:right w:val="single" w:sz="4" w:space="0" w:color="auto"/>
            </w:tcBorders>
            <w:shd w:val="clear" w:color="auto" w:fill="auto"/>
            <w:noWrap/>
            <w:vAlign w:val="center"/>
            <w:hideMark/>
          </w:tcPr>
          <w:p w14:paraId="3EF14E39"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40'799</w:t>
            </w:r>
          </w:p>
        </w:tc>
        <w:tc>
          <w:tcPr>
            <w:tcW w:w="900" w:type="dxa"/>
            <w:tcBorders>
              <w:top w:val="nil"/>
              <w:left w:val="nil"/>
              <w:bottom w:val="single" w:sz="4" w:space="0" w:color="auto"/>
              <w:right w:val="single" w:sz="4" w:space="0" w:color="auto"/>
            </w:tcBorders>
            <w:shd w:val="clear" w:color="auto" w:fill="auto"/>
            <w:noWrap/>
            <w:vAlign w:val="center"/>
            <w:hideMark/>
          </w:tcPr>
          <w:p w14:paraId="4A52B1EE"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15</w:t>
            </w:r>
          </w:p>
        </w:tc>
        <w:tc>
          <w:tcPr>
            <w:tcW w:w="1680" w:type="dxa"/>
            <w:tcBorders>
              <w:top w:val="nil"/>
              <w:left w:val="nil"/>
              <w:bottom w:val="single" w:sz="4" w:space="0" w:color="auto"/>
              <w:right w:val="single" w:sz="4" w:space="0" w:color="auto"/>
            </w:tcBorders>
            <w:shd w:val="clear" w:color="auto" w:fill="auto"/>
            <w:noWrap/>
            <w:vAlign w:val="center"/>
            <w:hideMark/>
          </w:tcPr>
          <w:p w14:paraId="6180CD6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85'551 </w:t>
            </w:r>
          </w:p>
        </w:tc>
        <w:tc>
          <w:tcPr>
            <w:tcW w:w="1140" w:type="dxa"/>
            <w:tcBorders>
              <w:top w:val="nil"/>
              <w:left w:val="nil"/>
              <w:bottom w:val="single" w:sz="4" w:space="0" w:color="auto"/>
              <w:right w:val="single" w:sz="4" w:space="0" w:color="auto"/>
            </w:tcBorders>
            <w:shd w:val="clear" w:color="auto" w:fill="auto"/>
            <w:noWrap/>
            <w:vAlign w:val="center"/>
            <w:hideMark/>
          </w:tcPr>
          <w:p w14:paraId="2554CF5F"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13</w:t>
            </w:r>
          </w:p>
        </w:tc>
        <w:tc>
          <w:tcPr>
            <w:tcW w:w="1660" w:type="dxa"/>
            <w:tcBorders>
              <w:top w:val="nil"/>
              <w:left w:val="nil"/>
              <w:bottom w:val="single" w:sz="4" w:space="0" w:color="auto"/>
              <w:right w:val="single" w:sz="4" w:space="0" w:color="auto"/>
            </w:tcBorders>
            <w:shd w:val="clear" w:color="auto" w:fill="auto"/>
            <w:noWrap/>
            <w:vAlign w:val="center"/>
            <w:hideMark/>
          </w:tcPr>
          <w:p w14:paraId="41A43904"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433'250 </w:t>
            </w:r>
          </w:p>
        </w:tc>
        <w:tc>
          <w:tcPr>
            <w:tcW w:w="1140" w:type="dxa"/>
            <w:tcBorders>
              <w:top w:val="nil"/>
              <w:left w:val="nil"/>
              <w:bottom w:val="single" w:sz="4" w:space="0" w:color="auto"/>
              <w:right w:val="single" w:sz="4" w:space="0" w:color="auto"/>
            </w:tcBorders>
            <w:shd w:val="clear" w:color="auto" w:fill="auto"/>
            <w:noWrap/>
            <w:vAlign w:val="center"/>
            <w:hideMark/>
          </w:tcPr>
          <w:p w14:paraId="542C2F8F"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12</w:t>
            </w:r>
          </w:p>
        </w:tc>
      </w:tr>
      <w:tr w:rsidR="0018374F" w:rsidRPr="004E2CEF" w14:paraId="3C5C036A"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5E2AE2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TG</w:t>
            </w:r>
          </w:p>
        </w:tc>
        <w:tc>
          <w:tcPr>
            <w:tcW w:w="1840" w:type="dxa"/>
            <w:tcBorders>
              <w:top w:val="nil"/>
              <w:left w:val="nil"/>
              <w:bottom w:val="single" w:sz="4" w:space="0" w:color="auto"/>
              <w:right w:val="single" w:sz="4" w:space="0" w:color="auto"/>
            </w:tcBorders>
            <w:shd w:val="clear" w:color="auto" w:fill="auto"/>
            <w:noWrap/>
            <w:vAlign w:val="center"/>
            <w:hideMark/>
          </w:tcPr>
          <w:p w14:paraId="744000BB"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40'992</w:t>
            </w:r>
          </w:p>
        </w:tc>
        <w:tc>
          <w:tcPr>
            <w:tcW w:w="900" w:type="dxa"/>
            <w:tcBorders>
              <w:top w:val="nil"/>
              <w:left w:val="nil"/>
              <w:bottom w:val="single" w:sz="4" w:space="0" w:color="auto"/>
              <w:right w:val="single" w:sz="4" w:space="0" w:color="auto"/>
            </w:tcBorders>
            <w:shd w:val="clear" w:color="auto" w:fill="auto"/>
            <w:noWrap/>
            <w:vAlign w:val="center"/>
            <w:hideMark/>
          </w:tcPr>
          <w:p w14:paraId="5668FBB8"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16</w:t>
            </w:r>
          </w:p>
        </w:tc>
        <w:tc>
          <w:tcPr>
            <w:tcW w:w="1680" w:type="dxa"/>
            <w:tcBorders>
              <w:top w:val="nil"/>
              <w:left w:val="nil"/>
              <w:bottom w:val="single" w:sz="4" w:space="0" w:color="auto"/>
              <w:right w:val="single" w:sz="4" w:space="0" w:color="auto"/>
            </w:tcBorders>
            <w:shd w:val="clear" w:color="auto" w:fill="auto"/>
            <w:noWrap/>
            <w:vAlign w:val="center"/>
            <w:hideMark/>
          </w:tcPr>
          <w:p w14:paraId="148DB05E"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83'720 </w:t>
            </w:r>
          </w:p>
        </w:tc>
        <w:tc>
          <w:tcPr>
            <w:tcW w:w="1140" w:type="dxa"/>
            <w:tcBorders>
              <w:top w:val="nil"/>
              <w:left w:val="nil"/>
              <w:bottom w:val="single" w:sz="4" w:space="0" w:color="auto"/>
              <w:right w:val="single" w:sz="4" w:space="0" w:color="auto"/>
            </w:tcBorders>
            <w:shd w:val="clear" w:color="auto" w:fill="auto"/>
            <w:noWrap/>
            <w:vAlign w:val="center"/>
            <w:hideMark/>
          </w:tcPr>
          <w:p w14:paraId="1AB3B68E"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11</w:t>
            </w:r>
          </w:p>
        </w:tc>
        <w:tc>
          <w:tcPr>
            <w:tcW w:w="1660" w:type="dxa"/>
            <w:tcBorders>
              <w:top w:val="nil"/>
              <w:left w:val="nil"/>
              <w:bottom w:val="single" w:sz="4" w:space="0" w:color="auto"/>
              <w:right w:val="single" w:sz="4" w:space="0" w:color="auto"/>
            </w:tcBorders>
            <w:shd w:val="clear" w:color="auto" w:fill="auto"/>
            <w:noWrap/>
            <w:vAlign w:val="center"/>
            <w:hideMark/>
          </w:tcPr>
          <w:p w14:paraId="7B6F2619"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418'600 </w:t>
            </w:r>
          </w:p>
        </w:tc>
        <w:tc>
          <w:tcPr>
            <w:tcW w:w="1140" w:type="dxa"/>
            <w:tcBorders>
              <w:top w:val="nil"/>
              <w:left w:val="nil"/>
              <w:bottom w:val="single" w:sz="4" w:space="0" w:color="auto"/>
              <w:right w:val="single" w:sz="4" w:space="0" w:color="auto"/>
            </w:tcBorders>
            <w:shd w:val="clear" w:color="auto" w:fill="auto"/>
            <w:noWrap/>
            <w:vAlign w:val="center"/>
            <w:hideMark/>
          </w:tcPr>
          <w:p w14:paraId="721575F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11</w:t>
            </w:r>
          </w:p>
        </w:tc>
      </w:tr>
      <w:tr w:rsidR="0018374F" w:rsidRPr="004E2CEF" w14:paraId="21BB5849"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30FBBC45"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AG</w:t>
            </w:r>
          </w:p>
        </w:tc>
        <w:tc>
          <w:tcPr>
            <w:tcW w:w="1840" w:type="dxa"/>
            <w:tcBorders>
              <w:top w:val="nil"/>
              <w:left w:val="nil"/>
              <w:bottom w:val="single" w:sz="4" w:space="0" w:color="auto"/>
              <w:right w:val="single" w:sz="4" w:space="0" w:color="auto"/>
            </w:tcBorders>
            <w:shd w:val="clear" w:color="auto" w:fill="auto"/>
            <w:noWrap/>
            <w:vAlign w:val="center"/>
            <w:hideMark/>
          </w:tcPr>
          <w:p w14:paraId="447276D6"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41'706</w:t>
            </w:r>
          </w:p>
        </w:tc>
        <w:tc>
          <w:tcPr>
            <w:tcW w:w="900" w:type="dxa"/>
            <w:tcBorders>
              <w:top w:val="nil"/>
              <w:left w:val="nil"/>
              <w:bottom w:val="single" w:sz="4" w:space="0" w:color="auto"/>
              <w:right w:val="single" w:sz="4" w:space="0" w:color="auto"/>
            </w:tcBorders>
            <w:shd w:val="clear" w:color="auto" w:fill="auto"/>
            <w:noWrap/>
            <w:vAlign w:val="center"/>
            <w:hideMark/>
          </w:tcPr>
          <w:p w14:paraId="7645CC6D"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17</w:t>
            </w:r>
          </w:p>
        </w:tc>
        <w:tc>
          <w:tcPr>
            <w:tcW w:w="1680" w:type="dxa"/>
            <w:tcBorders>
              <w:top w:val="nil"/>
              <w:left w:val="nil"/>
              <w:bottom w:val="single" w:sz="4" w:space="0" w:color="auto"/>
              <w:right w:val="single" w:sz="4" w:space="0" w:color="auto"/>
            </w:tcBorders>
            <w:shd w:val="clear" w:color="auto" w:fill="auto"/>
            <w:noWrap/>
            <w:vAlign w:val="center"/>
            <w:hideMark/>
          </w:tcPr>
          <w:p w14:paraId="6EC065E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88'559 </w:t>
            </w:r>
          </w:p>
        </w:tc>
        <w:tc>
          <w:tcPr>
            <w:tcW w:w="1140" w:type="dxa"/>
            <w:tcBorders>
              <w:top w:val="nil"/>
              <w:left w:val="nil"/>
              <w:bottom w:val="single" w:sz="4" w:space="0" w:color="auto"/>
              <w:right w:val="single" w:sz="4" w:space="0" w:color="auto"/>
            </w:tcBorders>
            <w:shd w:val="clear" w:color="auto" w:fill="auto"/>
            <w:noWrap/>
            <w:vAlign w:val="center"/>
            <w:hideMark/>
          </w:tcPr>
          <w:p w14:paraId="66118BB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15</w:t>
            </w:r>
          </w:p>
        </w:tc>
        <w:tc>
          <w:tcPr>
            <w:tcW w:w="1660" w:type="dxa"/>
            <w:tcBorders>
              <w:top w:val="nil"/>
              <w:left w:val="nil"/>
              <w:bottom w:val="single" w:sz="4" w:space="0" w:color="auto"/>
              <w:right w:val="single" w:sz="4" w:space="0" w:color="auto"/>
            </w:tcBorders>
            <w:shd w:val="clear" w:color="auto" w:fill="auto"/>
            <w:noWrap/>
            <w:vAlign w:val="center"/>
            <w:hideMark/>
          </w:tcPr>
          <w:p w14:paraId="4A297B4A"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456'440 </w:t>
            </w:r>
          </w:p>
        </w:tc>
        <w:tc>
          <w:tcPr>
            <w:tcW w:w="1140" w:type="dxa"/>
            <w:tcBorders>
              <w:top w:val="nil"/>
              <w:left w:val="nil"/>
              <w:bottom w:val="single" w:sz="4" w:space="0" w:color="auto"/>
              <w:right w:val="single" w:sz="4" w:space="0" w:color="auto"/>
            </w:tcBorders>
            <w:shd w:val="clear" w:color="auto" w:fill="auto"/>
            <w:noWrap/>
            <w:vAlign w:val="center"/>
            <w:hideMark/>
          </w:tcPr>
          <w:p w14:paraId="346BAC3C"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15</w:t>
            </w:r>
          </w:p>
        </w:tc>
      </w:tr>
      <w:tr w:rsidR="0018374F" w:rsidRPr="004E2CEF" w14:paraId="6A996D45"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B369DDF"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BE</w:t>
            </w:r>
          </w:p>
        </w:tc>
        <w:tc>
          <w:tcPr>
            <w:tcW w:w="1840" w:type="dxa"/>
            <w:tcBorders>
              <w:top w:val="nil"/>
              <w:left w:val="nil"/>
              <w:bottom w:val="single" w:sz="4" w:space="0" w:color="auto"/>
              <w:right w:val="single" w:sz="4" w:space="0" w:color="auto"/>
            </w:tcBorders>
            <w:shd w:val="clear" w:color="auto" w:fill="auto"/>
            <w:noWrap/>
            <w:vAlign w:val="center"/>
            <w:hideMark/>
          </w:tcPr>
          <w:p w14:paraId="69533413"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42'243</w:t>
            </w:r>
          </w:p>
        </w:tc>
        <w:tc>
          <w:tcPr>
            <w:tcW w:w="900" w:type="dxa"/>
            <w:tcBorders>
              <w:top w:val="nil"/>
              <w:left w:val="nil"/>
              <w:bottom w:val="single" w:sz="4" w:space="0" w:color="auto"/>
              <w:right w:val="single" w:sz="4" w:space="0" w:color="auto"/>
            </w:tcBorders>
            <w:shd w:val="clear" w:color="auto" w:fill="auto"/>
            <w:noWrap/>
            <w:vAlign w:val="center"/>
            <w:hideMark/>
          </w:tcPr>
          <w:p w14:paraId="3801A25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18</w:t>
            </w:r>
          </w:p>
        </w:tc>
        <w:tc>
          <w:tcPr>
            <w:tcW w:w="1680" w:type="dxa"/>
            <w:tcBorders>
              <w:top w:val="nil"/>
              <w:left w:val="nil"/>
              <w:bottom w:val="single" w:sz="4" w:space="0" w:color="auto"/>
              <w:right w:val="single" w:sz="4" w:space="0" w:color="auto"/>
            </w:tcBorders>
            <w:shd w:val="clear" w:color="auto" w:fill="auto"/>
            <w:noWrap/>
            <w:vAlign w:val="center"/>
            <w:hideMark/>
          </w:tcPr>
          <w:p w14:paraId="31BE54A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97'552 </w:t>
            </w:r>
          </w:p>
        </w:tc>
        <w:tc>
          <w:tcPr>
            <w:tcW w:w="1140" w:type="dxa"/>
            <w:tcBorders>
              <w:top w:val="nil"/>
              <w:left w:val="nil"/>
              <w:bottom w:val="single" w:sz="4" w:space="0" w:color="auto"/>
              <w:right w:val="single" w:sz="4" w:space="0" w:color="auto"/>
            </w:tcBorders>
            <w:shd w:val="clear" w:color="auto" w:fill="auto"/>
            <w:noWrap/>
            <w:vAlign w:val="center"/>
            <w:hideMark/>
          </w:tcPr>
          <w:p w14:paraId="6DC24B1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18</w:t>
            </w:r>
          </w:p>
        </w:tc>
        <w:tc>
          <w:tcPr>
            <w:tcW w:w="1660" w:type="dxa"/>
            <w:tcBorders>
              <w:top w:val="nil"/>
              <w:left w:val="nil"/>
              <w:bottom w:val="single" w:sz="4" w:space="0" w:color="auto"/>
              <w:right w:val="single" w:sz="4" w:space="0" w:color="auto"/>
            </w:tcBorders>
            <w:shd w:val="clear" w:color="auto" w:fill="auto"/>
            <w:noWrap/>
            <w:vAlign w:val="center"/>
            <w:hideMark/>
          </w:tcPr>
          <w:p w14:paraId="51C82CBD"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553'771 </w:t>
            </w:r>
          </w:p>
        </w:tc>
        <w:tc>
          <w:tcPr>
            <w:tcW w:w="1140" w:type="dxa"/>
            <w:tcBorders>
              <w:top w:val="nil"/>
              <w:left w:val="nil"/>
              <w:bottom w:val="single" w:sz="4" w:space="0" w:color="auto"/>
              <w:right w:val="single" w:sz="4" w:space="0" w:color="auto"/>
            </w:tcBorders>
            <w:shd w:val="clear" w:color="auto" w:fill="auto"/>
            <w:noWrap/>
            <w:vAlign w:val="center"/>
            <w:hideMark/>
          </w:tcPr>
          <w:p w14:paraId="07693817"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22</w:t>
            </w:r>
          </w:p>
        </w:tc>
      </w:tr>
      <w:tr w:rsidR="0018374F" w:rsidRPr="004E2CEF" w14:paraId="7C993E0F"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B01E2A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VD</w:t>
            </w:r>
          </w:p>
        </w:tc>
        <w:tc>
          <w:tcPr>
            <w:tcW w:w="1840" w:type="dxa"/>
            <w:tcBorders>
              <w:top w:val="nil"/>
              <w:left w:val="nil"/>
              <w:bottom w:val="single" w:sz="4" w:space="0" w:color="auto"/>
              <w:right w:val="single" w:sz="4" w:space="0" w:color="auto"/>
            </w:tcBorders>
            <w:shd w:val="clear" w:color="auto" w:fill="auto"/>
            <w:noWrap/>
            <w:vAlign w:val="center"/>
            <w:hideMark/>
          </w:tcPr>
          <w:p w14:paraId="32603047"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42'347</w:t>
            </w:r>
          </w:p>
        </w:tc>
        <w:tc>
          <w:tcPr>
            <w:tcW w:w="900" w:type="dxa"/>
            <w:tcBorders>
              <w:top w:val="nil"/>
              <w:left w:val="nil"/>
              <w:bottom w:val="single" w:sz="4" w:space="0" w:color="auto"/>
              <w:right w:val="single" w:sz="4" w:space="0" w:color="auto"/>
            </w:tcBorders>
            <w:shd w:val="clear" w:color="auto" w:fill="auto"/>
            <w:noWrap/>
            <w:vAlign w:val="center"/>
            <w:hideMark/>
          </w:tcPr>
          <w:p w14:paraId="2F28DBF3"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19</w:t>
            </w:r>
          </w:p>
        </w:tc>
        <w:tc>
          <w:tcPr>
            <w:tcW w:w="1680" w:type="dxa"/>
            <w:tcBorders>
              <w:top w:val="nil"/>
              <w:left w:val="nil"/>
              <w:bottom w:val="single" w:sz="4" w:space="0" w:color="auto"/>
              <w:right w:val="single" w:sz="4" w:space="0" w:color="auto"/>
            </w:tcBorders>
            <w:shd w:val="clear" w:color="auto" w:fill="auto"/>
            <w:noWrap/>
            <w:vAlign w:val="center"/>
            <w:hideMark/>
          </w:tcPr>
          <w:p w14:paraId="4D8AD00B"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90'908 </w:t>
            </w:r>
          </w:p>
        </w:tc>
        <w:tc>
          <w:tcPr>
            <w:tcW w:w="1140" w:type="dxa"/>
            <w:tcBorders>
              <w:top w:val="nil"/>
              <w:left w:val="nil"/>
              <w:bottom w:val="single" w:sz="4" w:space="0" w:color="auto"/>
              <w:right w:val="single" w:sz="4" w:space="0" w:color="auto"/>
            </w:tcBorders>
            <w:shd w:val="clear" w:color="auto" w:fill="auto"/>
            <w:noWrap/>
            <w:vAlign w:val="center"/>
            <w:hideMark/>
          </w:tcPr>
          <w:p w14:paraId="615C1CDF"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16</w:t>
            </w:r>
          </w:p>
        </w:tc>
        <w:tc>
          <w:tcPr>
            <w:tcW w:w="1660" w:type="dxa"/>
            <w:tcBorders>
              <w:top w:val="nil"/>
              <w:left w:val="nil"/>
              <w:bottom w:val="single" w:sz="4" w:space="0" w:color="auto"/>
              <w:right w:val="single" w:sz="4" w:space="0" w:color="auto"/>
            </w:tcBorders>
            <w:shd w:val="clear" w:color="auto" w:fill="auto"/>
            <w:noWrap/>
            <w:vAlign w:val="center"/>
            <w:hideMark/>
          </w:tcPr>
          <w:p w14:paraId="25CC7FEA"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472'448 </w:t>
            </w:r>
          </w:p>
        </w:tc>
        <w:tc>
          <w:tcPr>
            <w:tcW w:w="1140" w:type="dxa"/>
            <w:tcBorders>
              <w:top w:val="nil"/>
              <w:left w:val="nil"/>
              <w:bottom w:val="single" w:sz="4" w:space="0" w:color="auto"/>
              <w:right w:val="single" w:sz="4" w:space="0" w:color="auto"/>
            </w:tcBorders>
            <w:shd w:val="clear" w:color="auto" w:fill="auto"/>
            <w:noWrap/>
            <w:vAlign w:val="center"/>
            <w:hideMark/>
          </w:tcPr>
          <w:p w14:paraId="3153F2E0"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16</w:t>
            </w:r>
          </w:p>
        </w:tc>
      </w:tr>
      <w:tr w:rsidR="0018374F" w:rsidRPr="004E2CEF" w14:paraId="067224A5"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1DEEB89E"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NE</w:t>
            </w:r>
          </w:p>
        </w:tc>
        <w:tc>
          <w:tcPr>
            <w:tcW w:w="1840" w:type="dxa"/>
            <w:tcBorders>
              <w:top w:val="nil"/>
              <w:left w:val="nil"/>
              <w:bottom w:val="single" w:sz="4" w:space="0" w:color="auto"/>
              <w:right w:val="single" w:sz="4" w:space="0" w:color="auto"/>
            </w:tcBorders>
            <w:shd w:val="clear" w:color="auto" w:fill="auto"/>
            <w:noWrap/>
            <w:vAlign w:val="center"/>
            <w:hideMark/>
          </w:tcPr>
          <w:p w14:paraId="6A2D3FEA"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42'927</w:t>
            </w:r>
          </w:p>
        </w:tc>
        <w:tc>
          <w:tcPr>
            <w:tcW w:w="900" w:type="dxa"/>
            <w:tcBorders>
              <w:top w:val="nil"/>
              <w:left w:val="nil"/>
              <w:bottom w:val="single" w:sz="4" w:space="0" w:color="auto"/>
              <w:right w:val="single" w:sz="4" w:space="0" w:color="auto"/>
            </w:tcBorders>
            <w:shd w:val="clear" w:color="auto" w:fill="auto"/>
            <w:noWrap/>
            <w:vAlign w:val="center"/>
            <w:hideMark/>
          </w:tcPr>
          <w:p w14:paraId="64F9EEE3"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20</w:t>
            </w:r>
          </w:p>
        </w:tc>
        <w:tc>
          <w:tcPr>
            <w:tcW w:w="1680" w:type="dxa"/>
            <w:tcBorders>
              <w:top w:val="nil"/>
              <w:left w:val="nil"/>
              <w:bottom w:val="single" w:sz="4" w:space="0" w:color="auto"/>
              <w:right w:val="single" w:sz="4" w:space="0" w:color="auto"/>
            </w:tcBorders>
            <w:shd w:val="clear" w:color="auto" w:fill="auto"/>
            <w:noWrap/>
            <w:vAlign w:val="center"/>
            <w:hideMark/>
          </w:tcPr>
          <w:p w14:paraId="634E767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88'545 </w:t>
            </w:r>
          </w:p>
        </w:tc>
        <w:tc>
          <w:tcPr>
            <w:tcW w:w="1140" w:type="dxa"/>
            <w:tcBorders>
              <w:top w:val="nil"/>
              <w:left w:val="nil"/>
              <w:bottom w:val="single" w:sz="4" w:space="0" w:color="auto"/>
              <w:right w:val="single" w:sz="4" w:space="0" w:color="auto"/>
            </w:tcBorders>
            <w:shd w:val="clear" w:color="auto" w:fill="auto"/>
            <w:noWrap/>
            <w:vAlign w:val="center"/>
            <w:hideMark/>
          </w:tcPr>
          <w:p w14:paraId="5423CB09"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14</w:t>
            </w:r>
          </w:p>
        </w:tc>
        <w:tc>
          <w:tcPr>
            <w:tcW w:w="1660" w:type="dxa"/>
            <w:tcBorders>
              <w:top w:val="nil"/>
              <w:left w:val="nil"/>
              <w:bottom w:val="single" w:sz="4" w:space="0" w:color="auto"/>
              <w:right w:val="single" w:sz="4" w:space="0" w:color="auto"/>
            </w:tcBorders>
            <w:shd w:val="clear" w:color="auto" w:fill="auto"/>
            <w:noWrap/>
            <w:vAlign w:val="center"/>
            <w:hideMark/>
          </w:tcPr>
          <w:p w14:paraId="7C30F241"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446'545 </w:t>
            </w:r>
          </w:p>
        </w:tc>
        <w:tc>
          <w:tcPr>
            <w:tcW w:w="1140" w:type="dxa"/>
            <w:tcBorders>
              <w:top w:val="nil"/>
              <w:left w:val="nil"/>
              <w:bottom w:val="single" w:sz="4" w:space="0" w:color="auto"/>
              <w:right w:val="single" w:sz="4" w:space="0" w:color="auto"/>
            </w:tcBorders>
            <w:shd w:val="clear" w:color="auto" w:fill="auto"/>
            <w:noWrap/>
            <w:vAlign w:val="center"/>
            <w:hideMark/>
          </w:tcPr>
          <w:p w14:paraId="7CCAAD9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14</w:t>
            </w:r>
          </w:p>
        </w:tc>
      </w:tr>
      <w:tr w:rsidR="0018374F" w:rsidRPr="004E2CEF" w14:paraId="209D8B42"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3F476A0"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SZ</w:t>
            </w:r>
          </w:p>
        </w:tc>
        <w:tc>
          <w:tcPr>
            <w:tcW w:w="1840" w:type="dxa"/>
            <w:tcBorders>
              <w:top w:val="nil"/>
              <w:left w:val="nil"/>
              <w:bottom w:val="single" w:sz="4" w:space="0" w:color="auto"/>
              <w:right w:val="single" w:sz="4" w:space="0" w:color="auto"/>
            </w:tcBorders>
            <w:shd w:val="clear" w:color="auto" w:fill="auto"/>
            <w:noWrap/>
            <w:vAlign w:val="center"/>
            <w:hideMark/>
          </w:tcPr>
          <w:p w14:paraId="3477CA2B"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43'358</w:t>
            </w:r>
          </w:p>
        </w:tc>
        <w:tc>
          <w:tcPr>
            <w:tcW w:w="900" w:type="dxa"/>
            <w:tcBorders>
              <w:top w:val="nil"/>
              <w:left w:val="nil"/>
              <w:bottom w:val="single" w:sz="4" w:space="0" w:color="auto"/>
              <w:right w:val="single" w:sz="4" w:space="0" w:color="auto"/>
            </w:tcBorders>
            <w:shd w:val="clear" w:color="auto" w:fill="auto"/>
            <w:noWrap/>
            <w:vAlign w:val="center"/>
            <w:hideMark/>
          </w:tcPr>
          <w:p w14:paraId="729398A1"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21</w:t>
            </w:r>
          </w:p>
        </w:tc>
        <w:tc>
          <w:tcPr>
            <w:tcW w:w="1680" w:type="dxa"/>
            <w:tcBorders>
              <w:top w:val="nil"/>
              <w:left w:val="nil"/>
              <w:bottom w:val="single" w:sz="4" w:space="0" w:color="auto"/>
              <w:right w:val="single" w:sz="4" w:space="0" w:color="auto"/>
            </w:tcBorders>
            <w:shd w:val="clear" w:color="auto" w:fill="auto"/>
            <w:noWrap/>
            <w:vAlign w:val="center"/>
            <w:hideMark/>
          </w:tcPr>
          <w:p w14:paraId="23533D7E"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106'750 </w:t>
            </w:r>
          </w:p>
        </w:tc>
        <w:tc>
          <w:tcPr>
            <w:tcW w:w="1140" w:type="dxa"/>
            <w:tcBorders>
              <w:top w:val="nil"/>
              <w:left w:val="nil"/>
              <w:bottom w:val="single" w:sz="4" w:space="0" w:color="auto"/>
              <w:right w:val="single" w:sz="4" w:space="0" w:color="auto"/>
            </w:tcBorders>
            <w:shd w:val="clear" w:color="auto" w:fill="auto"/>
            <w:noWrap/>
            <w:vAlign w:val="center"/>
            <w:hideMark/>
          </w:tcPr>
          <w:p w14:paraId="4B6ADEEB"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22</w:t>
            </w:r>
          </w:p>
        </w:tc>
        <w:tc>
          <w:tcPr>
            <w:tcW w:w="1660" w:type="dxa"/>
            <w:tcBorders>
              <w:top w:val="nil"/>
              <w:left w:val="nil"/>
              <w:bottom w:val="single" w:sz="4" w:space="0" w:color="auto"/>
              <w:right w:val="single" w:sz="4" w:space="0" w:color="auto"/>
            </w:tcBorders>
            <w:shd w:val="clear" w:color="auto" w:fill="auto"/>
            <w:noWrap/>
            <w:vAlign w:val="center"/>
            <w:hideMark/>
          </w:tcPr>
          <w:p w14:paraId="5DF6B689"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533'750 </w:t>
            </w:r>
          </w:p>
        </w:tc>
        <w:tc>
          <w:tcPr>
            <w:tcW w:w="1140" w:type="dxa"/>
            <w:tcBorders>
              <w:top w:val="nil"/>
              <w:left w:val="nil"/>
              <w:bottom w:val="single" w:sz="4" w:space="0" w:color="auto"/>
              <w:right w:val="single" w:sz="4" w:space="0" w:color="auto"/>
            </w:tcBorders>
            <w:shd w:val="clear" w:color="auto" w:fill="auto"/>
            <w:noWrap/>
            <w:vAlign w:val="center"/>
            <w:hideMark/>
          </w:tcPr>
          <w:p w14:paraId="5CC58574"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21</w:t>
            </w:r>
          </w:p>
        </w:tc>
      </w:tr>
      <w:tr w:rsidR="0018374F" w:rsidRPr="004E2CEF" w14:paraId="1E9F6873"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56F42DD4"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VS</w:t>
            </w:r>
          </w:p>
        </w:tc>
        <w:tc>
          <w:tcPr>
            <w:tcW w:w="1840" w:type="dxa"/>
            <w:tcBorders>
              <w:top w:val="nil"/>
              <w:left w:val="nil"/>
              <w:bottom w:val="single" w:sz="4" w:space="0" w:color="auto"/>
              <w:right w:val="single" w:sz="4" w:space="0" w:color="auto"/>
            </w:tcBorders>
            <w:shd w:val="clear" w:color="auto" w:fill="auto"/>
            <w:noWrap/>
            <w:vAlign w:val="center"/>
            <w:hideMark/>
          </w:tcPr>
          <w:p w14:paraId="708F0976"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46'287</w:t>
            </w:r>
          </w:p>
        </w:tc>
        <w:tc>
          <w:tcPr>
            <w:tcW w:w="900" w:type="dxa"/>
            <w:tcBorders>
              <w:top w:val="nil"/>
              <w:left w:val="nil"/>
              <w:bottom w:val="single" w:sz="4" w:space="0" w:color="auto"/>
              <w:right w:val="single" w:sz="4" w:space="0" w:color="auto"/>
            </w:tcBorders>
            <w:shd w:val="clear" w:color="auto" w:fill="auto"/>
            <w:noWrap/>
            <w:vAlign w:val="center"/>
            <w:hideMark/>
          </w:tcPr>
          <w:p w14:paraId="3A6ADFD7"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22</w:t>
            </w:r>
          </w:p>
        </w:tc>
        <w:tc>
          <w:tcPr>
            <w:tcW w:w="1680" w:type="dxa"/>
            <w:tcBorders>
              <w:top w:val="nil"/>
              <w:left w:val="nil"/>
              <w:bottom w:val="single" w:sz="4" w:space="0" w:color="auto"/>
              <w:right w:val="single" w:sz="4" w:space="0" w:color="auto"/>
            </w:tcBorders>
            <w:shd w:val="clear" w:color="auto" w:fill="auto"/>
            <w:noWrap/>
            <w:vAlign w:val="center"/>
            <w:hideMark/>
          </w:tcPr>
          <w:p w14:paraId="311A0B34"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103'000 </w:t>
            </w:r>
          </w:p>
        </w:tc>
        <w:tc>
          <w:tcPr>
            <w:tcW w:w="1140" w:type="dxa"/>
            <w:tcBorders>
              <w:top w:val="nil"/>
              <w:left w:val="nil"/>
              <w:bottom w:val="single" w:sz="4" w:space="0" w:color="auto"/>
              <w:right w:val="single" w:sz="4" w:space="0" w:color="auto"/>
            </w:tcBorders>
            <w:shd w:val="clear" w:color="auto" w:fill="auto"/>
            <w:noWrap/>
            <w:vAlign w:val="center"/>
            <w:hideMark/>
          </w:tcPr>
          <w:p w14:paraId="4F2CAA66"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21</w:t>
            </w:r>
          </w:p>
        </w:tc>
        <w:tc>
          <w:tcPr>
            <w:tcW w:w="1660" w:type="dxa"/>
            <w:tcBorders>
              <w:top w:val="nil"/>
              <w:left w:val="nil"/>
              <w:bottom w:val="single" w:sz="4" w:space="0" w:color="auto"/>
              <w:right w:val="single" w:sz="4" w:space="0" w:color="auto"/>
            </w:tcBorders>
            <w:shd w:val="clear" w:color="auto" w:fill="auto"/>
            <w:noWrap/>
            <w:vAlign w:val="center"/>
            <w:hideMark/>
          </w:tcPr>
          <w:p w14:paraId="7F91E31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515'000 </w:t>
            </w:r>
          </w:p>
        </w:tc>
        <w:tc>
          <w:tcPr>
            <w:tcW w:w="1140" w:type="dxa"/>
            <w:tcBorders>
              <w:top w:val="nil"/>
              <w:left w:val="nil"/>
              <w:bottom w:val="single" w:sz="4" w:space="0" w:color="auto"/>
              <w:right w:val="single" w:sz="4" w:space="0" w:color="auto"/>
            </w:tcBorders>
            <w:shd w:val="clear" w:color="auto" w:fill="auto"/>
            <w:noWrap/>
            <w:vAlign w:val="center"/>
            <w:hideMark/>
          </w:tcPr>
          <w:p w14:paraId="1AC1F9F8"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19</w:t>
            </w:r>
          </w:p>
        </w:tc>
      </w:tr>
      <w:tr w:rsidR="0018374F" w:rsidRPr="004E2CEF" w14:paraId="4AA3DF15"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6476D6F2"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BS</w:t>
            </w:r>
          </w:p>
        </w:tc>
        <w:tc>
          <w:tcPr>
            <w:tcW w:w="1840" w:type="dxa"/>
            <w:tcBorders>
              <w:top w:val="nil"/>
              <w:left w:val="nil"/>
              <w:bottom w:val="single" w:sz="4" w:space="0" w:color="auto"/>
              <w:right w:val="single" w:sz="4" w:space="0" w:color="auto"/>
            </w:tcBorders>
            <w:shd w:val="clear" w:color="auto" w:fill="auto"/>
            <w:noWrap/>
            <w:vAlign w:val="center"/>
            <w:hideMark/>
          </w:tcPr>
          <w:p w14:paraId="3E20F395"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47'382</w:t>
            </w:r>
          </w:p>
        </w:tc>
        <w:tc>
          <w:tcPr>
            <w:tcW w:w="900" w:type="dxa"/>
            <w:tcBorders>
              <w:top w:val="nil"/>
              <w:left w:val="nil"/>
              <w:bottom w:val="single" w:sz="4" w:space="0" w:color="auto"/>
              <w:right w:val="single" w:sz="4" w:space="0" w:color="auto"/>
            </w:tcBorders>
            <w:shd w:val="clear" w:color="auto" w:fill="auto"/>
            <w:noWrap/>
            <w:vAlign w:val="center"/>
            <w:hideMark/>
          </w:tcPr>
          <w:p w14:paraId="112D63AA"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23</w:t>
            </w:r>
          </w:p>
        </w:tc>
        <w:tc>
          <w:tcPr>
            <w:tcW w:w="1680" w:type="dxa"/>
            <w:tcBorders>
              <w:top w:val="nil"/>
              <w:left w:val="nil"/>
              <w:bottom w:val="single" w:sz="4" w:space="0" w:color="auto"/>
              <w:right w:val="single" w:sz="4" w:space="0" w:color="auto"/>
            </w:tcBorders>
            <w:shd w:val="clear" w:color="auto" w:fill="auto"/>
            <w:noWrap/>
            <w:vAlign w:val="center"/>
            <w:hideMark/>
          </w:tcPr>
          <w:p w14:paraId="15551DA5"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99'750 </w:t>
            </w:r>
          </w:p>
        </w:tc>
        <w:tc>
          <w:tcPr>
            <w:tcW w:w="1140" w:type="dxa"/>
            <w:tcBorders>
              <w:top w:val="nil"/>
              <w:left w:val="nil"/>
              <w:bottom w:val="single" w:sz="4" w:space="0" w:color="auto"/>
              <w:right w:val="single" w:sz="4" w:space="0" w:color="auto"/>
            </w:tcBorders>
            <w:shd w:val="clear" w:color="auto" w:fill="auto"/>
            <w:noWrap/>
            <w:vAlign w:val="center"/>
            <w:hideMark/>
          </w:tcPr>
          <w:p w14:paraId="7D5EEED9"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19</w:t>
            </w:r>
          </w:p>
        </w:tc>
        <w:tc>
          <w:tcPr>
            <w:tcW w:w="1660" w:type="dxa"/>
            <w:tcBorders>
              <w:top w:val="nil"/>
              <w:left w:val="nil"/>
              <w:bottom w:val="single" w:sz="4" w:space="0" w:color="auto"/>
              <w:right w:val="single" w:sz="4" w:space="0" w:color="auto"/>
            </w:tcBorders>
            <w:shd w:val="clear" w:color="auto" w:fill="auto"/>
            <w:noWrap/>
            <w:vAlign w:val="center"/>
            <w:hideMark/>
          </w:tcPr>
          <w:p w14:paraId="3DFDE59B"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511'750 </w:t>
            </w:r>
          </w:p>
        </w:tc>
        <w:tc>
          <w:tcPr>
            <w:tcW w:w="1140" w:type="dxa"/>
            <w:tcBorders>
              <w:top w:val="nil"/>
              <w:left w:val="nil"/>
              <w:bottom w:val="single" w:sz="4" w:space="0" w:color="auto"/>
              <w:right w:val="single" w:sz="4" w:space="0" w:color="auto"/>
            </w:tcBorders>
            <w:shd w:val="clear" w:color="auto" w:fill="auto"/>
            <w:noWrap/>
            <w:vAlign w:val="center"/>
            <w:hideMark/>
          </w:tcPr>
          <w:p w14:paraId="505E3F01"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18</w:t>
            </w:r>
          </w:p>
        </w:tc>
      </w:tr>
      <w:tr w:rsidR="0018374F" w:rsidRPr="004E2CEF" w14:paraId="22359324"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0BB1FAAE"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JU</w:t>
            </w:r>
          </w:p>
        </w:tc>
        <w:tc>
          <w:tcPr>
            <w:tcW w:w="1840" w:type="dxa"/>
            <w:tcBorders>
              <w:top w:val="nil"/>
              <w:left w:val="nil"/>
              <w:bottom w:val="single" w:sz="4" w:space="0" w:color="auto"/>
              <w:right w:val="single" w:sz="4" w:space="0" w:color="auto"/>
            </w:tcBorders>
            <w:shd w:val="clear" w:color="auto" w:fill="auto"/>
            <w:noWrap/>
            <w:vAlign w:val="center"/>
            <w:hideMark/>
          </w:tcPr>
          <w:p w14:paraId="45EA94B7"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48'461</w:t>
            </w:r>
          </w:p>
        </w:tc>
        <w:tc>
          <w:tcPr>
            <w:tcW w:w="900" w:type="dxa"/>
            <w:tcBorders>
              <w:top w:val="nil"/>
              <w:left w:val="nil"/>
              <w:bottom w:val="single" w:sz="4" w:space="0" w:color="auto"/>
              <w:right w:val="single" w:sz="4" w:space="0" w:color="auto"/>
            </w:tcBorders>
            <w:shd w:val="clear" w:color="auto" w:fill="auto"/>
            <w:noWrap/>
            <w:vAlign w:val="center"/>
            <w:hideMark/>
          </w:tcPr>
          <w:p w14:paraId="53581076"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24</w:t>
            </w:r>
          </w:p>
        </w:tc>
        <w:tc>
          <w:tcPr>
            <w:tcW w:w="1680" w:type="dxa"/>
            <w:tcBorders>
              <w:top w:val="nil"/>
              <w:left w:val="nil"/>
              <w:bottom w:val="single" w:sz="4" w:space="0" w:color="auto"/>
              <w:right w:val="single" w:sz="4" w:space="0" w:color="auto"/>
            </w:tcBorders>
            <w:shd w:val="clear" w:color="auto" w:fill="auto"/>
            <w:noWrap/>
            <w:vAlign w:val="center"/>
            <w:hideMark/>
          </w:tcPr>
          <w:p w14:paraId="747C72DA"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101'204 </w:t>
            </w:r>
          </w:p>
        </w:tc>
        <w:tc>
          <w:tcPr>
            <w:tcW w:w="1140" w:type="dxa"/>
            <w:tcBorders>
              <w:top w:val="nil"/>
              <w:left w:val="nil"/>
              <w:bottom w:val="single" w:sz="4" w:space="0" w:color="auto"/>
              <w:right w:val="single" w:sz="4" w:space="0" w:color="auto"/>
            </w:tcBorders>
            <w:shd w:val="clear" w:color="auto" w:fill="auto"/>
            <w:noWrap/>
            <w:vAlign w:val="center"/>
            <w:hideMark/>
          </w:tcPr>
          <w:p w14:paraId="654F1C4A"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20</w:t>
            </w:r>
          </w:p>
        </w:tc>
        <w:tc>
          <w:tcPr>
            <w:tcW w:w="1660" w:type="dxa"/>
            <w:tcBorders>
              <w:top w:val="nil"/>
              <w:left w:val="nil"/>
              <w:bottom w:val="single" w:sz="4" w:space="0" w:color="auto"/>
              <w:right w:val="single" w:sz="4" w:space="0" w:color="auto"/>
            </w:tcBorders>
            <w:shd w:val="clear" w:color="auto" w:fill="auto"/>
            <w:noWrap/>
            <w:vAlign w:val="center"/>
            <w:hideMark/>
          </w:tcPr>
          <w:p w14:paraId="26FD2FE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516'204 </w:t>
            </w:r>
          </w:p>
        </w:tc>
        <w:tc>
          <w:tcPr>
            <w:tcW w:w="1140" w:type="dxa"/>
            <w:tcBorders>
              <w:top w:val="nil"/>
              <w:left w:val="nil"/>
              <w:bottom w:val="single" w:sz="4" w:space="0" w:color="auto"/>
              <w:right w:val="single" w:sz="4" w:space="0" w:color="auto"/>
            </w:tcBorders>
            <w:shd w:val="clear" w:color="auto" w:fill="auto"/>
            <w:noWrap/>
            <w:vAlign w:val="center"/>
            <w:hideMark/>
          </w:tcPr>
          <w:p w14:paraId="5A2395C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20</w:t>
            </w:r>
          </w:p>
        </w:tc>
      </w:tr>
      <w:tr w:rsidR="0018374F" w:rsidRPr="004E2CEF" w14:paraId="654EF231"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7C5A871E"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AR</w:t>
            </w:r>
          </w:p>
        </w:tc>
        <w:tc>
          <w:tcPr>
            <w:tcW w:w="1840" w:type="dxa"/>
            <w:tcBorders>
              <w:top w:val="nil"/>
              <w:left w:val="nil"/>
              <w:bottom w:val="single" w:sz="4" w:space="0" w:color="auto"/>
              <w:right w:val="single" w:sz="4" w:space="0" w:color="auto"/>
            </w:tcBorders>
            <w:shd w:val="clear" w:color="auto" w:fill="auto"/>
            <w:noWrap/>
            <w:vAlign w:val="center"/>
            <w:hideMark/>
          </w:tcPr>
          <w:p w14:paraId="37FE8F32"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50'099</w:t>
            </w:r>
          </w:p>
        </w:tc>
        <w:tc>
          <w:tcPr>
            <w:tcW w:w="900" w:type="dxa"/>
            <w:tcBorders>
              <w:top w:val="nil"/>
              <w:left w:val="nil"/>
              <w:bottom w:val="single" w:sz="4" w:space="0" w:color="auto"/>
              <w:right w:val="single" w:sz="4" w:space="0" w:color="auto"/>
            </w:tcBorders>
            <w:shd w:val="clear" w:color="auto" w:fill="auto"/>
            <w:noWrap/>
            <w:vAlign w:val="center"/>
            <w:hideMark/>
          </w:tcPr>
          <w:p w14:paraId="3BC85066"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25</w:t>
            </w:r>
          </w:p>
        </w:tc>
        <w:tc>
          <w:tcPr>
            <w:tcW w:w="1680" w:type="dxa"/>
            <w:tcBorders>
              <w:top w:val="nil"/>
              <w:left w:val="nil"/>
              <w:bottom w:val="single" w:sz="4" w:space="0" w:color="auto"/>
              <w:right w:val="single" w:sz="4" w:space="0" w:color="auto"/>
            </w:tcBorders>
            <w:shd w:val="clear" w:color="auto" w:fill="auto"/>
            <w:noWrap/>
            <w:vAlign w:val="center"/>
            <w:hideMark/>
          </w:tcPr>
          <w:p w14:paraId="0EC12DBA"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111'798 </w:t>
            </w:r>
          </w:p>
        </w:tc>
        <w:tc>
          <w:tcPr>
            <w:tcW w:w="1140" w:type="dxa"/>
            <w:tcBorders>
              <w:top w:val="nil"/>
              <w:left w:val="nil"/>
              <w:bottom w:val="single" w:sz="4" w:space="0" w:color="auto"/>
              <w:right w:val="single" w:sz="4" w:space="0" w:color="auto"/>
            </w:tcBorders>
            <w:shd w:val="clear" w:color="auto" w:fill="auto"/>
            <w:noWrap/>
            <w:vAlign w:val="center"/>
            <w:hideMark/>
          </w:tcPr>
          <w:p w14:paraId="2403F5CA"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23</w:t>
            </w:r>
          </w:p>
        </w:tc>
        <w:tc>
          <w:tcPr>
            <w:tcW w:w="1660" w:type="dxa"/>
            <w:tcBorders>
              <w:top w:val="nil"/>
              <w:left w:val="nil"/>
              <w:bottom w:val="single" w:sz="4" w:space="0" w:color="auto"/>
              <w:right w:val="single" w:sz="4" w:space="0" w:color="auto"/>
            </w:tcBorders>
            <w:shd w:val="clear" w:color="auto" w:fill="auto"/>
            <w:noWrap/>
            <w:vAlign w:val="center"/>
            <w:hideMark/>
          </w:tcPr>
          <w:p w14:paraId="46F90938"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598'455 </w:t>
            </w:r>
          </w:p>
        </w:tc>
        <w:tc>
          <w:tcPr>
            <w:tcW w:w="1140" w:type="dxa"/>
            <w:tcBorders>
              <w:top w:val="nil"/>
              <w:left w:val="nil"/>
              <w:bottom w:val="single" w:sz="4" w:space="0" w:color="auto"/>
              <w:right w:val="single" w:sz="4" w:space="0" w:color="auto"/>
            </w:tcBorders>
            <w:shd w:val="clear" w:color="auto" w:fill="auto"/>
            <w:noWrap/>
            <w:vAlign w:val="center"/>
            <w:hideMark/>
          </w:tcPr>
          <w:p w14:paraId="5AE38415"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23</w:t>
            </w:r>
          </w:p>
        </w:tc>
      </w:tr>
      <w:tr w:rsidR="0018374F" w:rsidRPr="004E2CEF" w14:paraId="50ABE054" w14:textId="77777777" w:rsidTr="0018374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center"/>
            <w:hideMark/>
          </w:tcPr>
          <w:p w14:paraId="20AE367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FR</w:t>
            </w:r>
          </w:p>
        </w:tc>
        <w:tc>
          <w:tcPr>
            <w:tcW w:w="1840" w:type="dxa"/>
            <w:tcBorders>
              <w:top w:val="nil"/>
              <w:left w:val="nil"/>
              <w:bottom w:val="single" w:sz="4" w:space="0" w:color="auto"/>
              <w:right w:val="single" w:sz="4" w:space="0" w:color="auto"/>
            </w:tcBorders>
            <w:shd w:val="clear" w:color="auto" w:fill="auto"/>
            <w:noWrap/>
            <w:vAlign w:val="center"/>
            <w:hideMark/>
          </w:tcPr>
          <w:p w14:paraId="566C45F3" w14:textId="77777777" w:rsidR="0018374F" w:rsidRPr="004E2CEF" w:rsidRDefault="0018374F" w:rsidP="0018374F">
            <w:pPr>
              <w:jc w:val="right"/>
              <w:rPr>
                <w:rFonts w:eastAsia="Times New Roman" w:cs="Arial"/>
                <w:color w:val="000000"/>
                <w:sz w:val="20"/>
                <w:szCs w:val="20"/>
                <w:lang w:eastAsia="it-CH"/>
              </w:rPr>
            </w:pPr>
            <w:r w:rsidRPr="004E2CEF">
              <w:rPr>
                <w:rFonts w:eastAsia="Times New Roman" w:cs="Arial"/>
                <w:color w:val="000000"/>
                <w:sz w:val="20"/>
                <w:szCs w:val="20"/>
                <w:lang w:eastAsia="it-CH"/>
              </w:rPr>
              <w:t>56'712</w:t>
            </w:r>
          </w:p>
        </w:tc>
        <w:tc>
          <w:tcPr>
            <w:tcW w:w="900" w:type="dxa"/>
            <w:tcBorders>
              <w:top w:val="nil"/>
              <w:left w:val="nil"/>
              <w:bottom w:val="single" w:sz="4" w:space="0" w:color="auto"/>
              <w:right w:val="single" w:sz="4" w:space="0" w:color="auto"/>
            </w:tcBorders>
            <w:shd w:val="clear" w:color="auto" w:fill="auto"/>
            <w:noWrap/>
            <w:vAlign w:val="center"/>
            <w:hideMark/>
          </w:tcPr>
          <w:p w14:paraId="12C46980"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26</w:t>
            </w:r>
          </w:p>
        </w:tc>
        <w:tc>
          <w:tcPr>
            <w:tcW w:w="1680" w:type="dxa"/>
            <w:tcBorders>
              <w:top w:val="nil"/>
              <w:left w:val="nil"/>
              <w:bottom w:val="single" w:sz="4" w:space="0" w:color="auto"/>
              <w:right w:val="single" w:sz="4" w:space="0" w:color="auto"/>
            </w:tcBorders>
            <w:shd w:val="clear" w:color="auto" w:fill="auto"/>
            <w:noWrap/>
            <w:vAlign w:val="center"/>
            <w:hideMark/>
          </w:tcPr>
          <w:p w14:paraId="14100E66"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123'080 </w:t>
            </w:r>
          </w:p>
        </w:tc>
        <w:tc>
          <w:tcPr>
            <w:tcW w:w="1140" w:type="dxa"/>
            <w:tcBorders>
              <w:top w:val="nil"/>
              <w:left w:val="nil"/>
              <w:bottom w:val="single" w:sz="4" w:space="0" w:color="auto"/>
              <w:right w:val="single" w:sz="4" w:space="0" w:color="auto"/>
            </w:tcBorders>
            <w:shd w:val="clear" w:color="auto" w:fill="auto"/>
            <w:noWrap/>
            <w:vAlign w:val="center"/>
            <w:hideMark/>
          </w:tcPr>
          <w:p w14:paraId="470509B0"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25</w:t>
            </w:r>
          </w:p>
        </w:tc>
        <w:tc>
          <w:tcPr>
            <w:tcW w:w="1660" w:type="dxa"/>
            <w:tcBorders>
              <w:top w:val="nil"/>
              <w:left w:val="nil"/>
              <w:bottom w:val="single" w:sz="4" w:space="0" w:color="auto"/>
              <w:right w:val="single" w:sz="4" w:space="0" w:color="auto"/>
            </w:tcBorders>
            <w:shd w:val="clear" w:color="auto" w:fill="auto"/>
            <w:noWrap/>
            <w:vAlign w:val="center"/>
            <w:hideMark/>
          </w:tcPr>
          <w:p w14:paraId="27518C57" w14:textId="77777777" w:rsidR="0018374F" w:rsidRPr="004E2CEF" w:rsidRDefault="0018374F" w:rsidP="0018374F">
            <w:pPr>
              <w:jc w:val="left"/>
              <w:rPr>
                <w:rFonts w:eastAsia="Times New Roman" w:cs="Arial"/>
                <w:color w:val="000000"/>
                <w:sz w:val="20"/>
                <w:szCs w:val="20"/>
                <w:lang w:eastAsia="it-CH"/>
              </w:rPr>
            </w:pPr>
            <w:r w:rsidRPr="004E2CEF">
              <w:rPr>
                <w:rFonts w:eastAsia="Times New Roman" w:cs="Arial"/>
                <w:color w:val="000000"/>
                <w:sz w:val="20"/>
                <w:szCs w:val="20"/>
                <w:lang w:eastAsia="it-CH"/>
              </w:rPr>
              <w:t xml:space="preserve">              647'080 </w:t>
            </w:r>
          </w:p>
        </w:tc>
        <w:tc>
          <w:tcPr>
            <w:tcW w:w="1140" w:type="dxa"/>
            <w:tcBorders>
              <w:top w:val="nil"/>
              <w:left w:val="nil"/>
              <w:bottom w:val="single" w:sz="4" w:space="0" w:color="auto"/>
              <w:right w:val="single" w:sz="4" w:space="0" w:color="auto"/>
            </w:tcBorders>
            <w:shd w:val="clear" w:color="auto" w:fill="auto"/>
            <w:noWrap/>
            <w:vAlign w:val="center"/>
            <w:hideMark/>
          </w:tcPr>
          <w:p w14:paraId="7E81B28E" w14:textId="77777777" w:rsidR="0018374F" w:rsidRPr="004E2CEF" w:rsidRDefault="0018374F" w:rsidP="0018374F">
            <w:pPr>
              <w:jc w:val="right"/>
              <w:rPr>
                <w:rFonts w:eastAsia="Times New Roman" w:cs="Arial"/>
                <w:i/>
                <w:iCs/>
                <w:color w:val="000000"/>
                <w:sz w:val="20"/>
                <w:szCs w:val="20"/>
                <w:lang w:eastAsia="it-CH"/>
              </w:rPr>
            </w:pPr>
            <w:r w:rsidRPr="004E2CEF">
              <w:rPr>
                <w:rFonts w:eastAsia="Times New Roman" w:cs="Arial"/>
                <w:i/>
                <w:iCs/>
                <w:color w:val="000000"/>
                <w:sz w:val="20"/>
                <w:szCs w:val="20"/>
                <w:lang w:eastAsia="it-CH"/>
              </w:rPr>
              <w:t>24</w:t>
            </w:r>
          </w:p>
        </w:tc>
      </w:tr>
    </w:tbl>
    <w:p w14:paraId="6CC9E256" w14:textId="0233CB17" w:rsidR="009D0E96" w:rsidRDefault="009D0E96" w:rsidP="009D0E96">
      <w:pPr>
        <w:spacing w:line="276" w:lineRule="auto"/>
        <w:rPr>
          <w:i/>
          <w:sz w:val="18"/>
          <w:szCs w:val="18"/>
          <w:lang w:val="fr-FR"/>
        </w:rPr>
      </w:pPr>
      <w:r w:rsidRPr="00F03B2D">
        <w:rPr>
          <w:rFonts w:cs="Arial"/>
          <w:i/>
          <w:color w:val="000000"/>
          <w:sz w:val="18"/>
          <w:szCs w:val="18"/>
          <w:lang w:val="fr-FR"/>
        </w:rPr>
        <w:t xml:space="preserve">Fonte: </w:t>
      </w:r>
      <w:hyperlink r:id="rId30" w:anchor="/taxburden/capital-payment" w:history="1">
        <w:r w:rsidR="00192E87" w:rsidRPr="00F03B2D">
          <w:rPr>
            <w:rStyle w:val="Collegamentoipertestuale"/>
            <w:i/>
            <w:sz w:val="18"/>
            <w:szCs w:val="18"/>
            <w:lang w:val="fr-FR"/>
          </w:rPr>
          <w:t>https://swisstaxcalculator.estv.admin.ch/#/taxburden/capital-payment</w:t>
        </w:r>
      </w:hyperlink>
      <w:r w:rsidR="00192E87" w:rsidRPr="00F03B2D">
        <w:rPr>
          <w:i/>
          <w:sz w:val="18"/>
          <w:szCs w:val="18"/>
          <w:lang w:val="fr-FR"/>
        </w:rPr>
        <w:t xml:space="preserve"> </w:t>
      </w:r>
    </w:p>
    <w:p w14:paraId="1802E057" w14:textId="37CEE29A" w:rsidR="006C604A" w:rsidRDefault="006C604A" w:rsidP="009D0E96">
      <w:pPr>
        <w:spacing w:line="276" w:lineRule="auto"/>
        <w:rPr>
          <w:i/>
          <w:sz w:val="18"/>
          <w:szCs w:val="18"/>
          <w:lang w:val="fr-FR"/>
        </w:rPr>
      </w:pPr>
    </w:p>
    <w:p w14:paraId="5D7978B0" w14:textId="77777777" w:rsidR="006C604A" w:rsidRPr="006C604A" w:rsidRDefault="006C604A">
      <w:pPr>
        <w:rPr>
          <w:b/>
          <w:i/>
          <w:sz w:val="24"/>
          <w:lang w:val="fr-FR"/>
        </w:rPr>
      </w:pPr>
      <w:r w:rsidRPr="006C604A">
        <w:rPr>
          <w:lang w:val="fr-FR"/>
        </w:rPr>
        <w:br w:type="page"/>
      </w:r>
    </w:p>
    <w:p w14:paraId="6B7DA731" w14:textId="6FFE629F" w:rsidR="006C604A" w:rsidRPr="004E2CEF" w:rsidRDefault="006C604A" w:rsidP="006C604A">
      <w:pPr>
        <w:pStyle w:val="TABELLE"/>
      </w:pPr>
      <w:bookmarkStart w:id="66" w:name="_Toc139991931"/>
      <w:r w:rsidRPr="004E2CEF">
        <w:t xml:space="preserve">Tabella </w:t>
      </w:r>
      <w:r>
        <w:t>7</w:t>
      </w:r>
      <w:r w:rsidRPr="004E2CEF">
        <w:t>: Confronto dell’onere fiscale massimo ai fini dell’imposta sul reddito nel 2022</w:t>
      </w:r>
      <w:r w:rsidRPr="004E2CEF">
        <w:rPr>
          <w:rStyle w:val="Rimandonotaapidipagina"/>
          <w:rFonts w:cs="Arial"/>
          <w:szCs w:val="24"/>
        </w:rPr>
        <w:footnoteReference w:id="25"/>
      </w:r>
      <w:bookmarkEnd w:id="66"/>
      <w:r w:rsidRPr="004E2CEF">
        <w:t xml:space="preserve"> </w:t>
      </w:r>
    </w:p>
    <w:tbl>
      <w:tblPr>
        <w:tblW w:w="9204" w:type="dxa"/>
        <w:tblCellMar>
          <w:left w:w="70" w:type="dxa"/>
          <w:right w:w="70" w:type="dxa"/>
        </w:tblCellMar>
        <w:tblLook w:val="01E0" w:firstRow="1" w:lastRow="1" w:firstColumn="1" w:lastColumn="1" w:noHBand="0" w:noVBand="0"/>
      </w:tblPr>
      <w:tblGrid>
        <w:gridCol w:w="960"/>
        <w:gridCol w:w="1100"/>
        <w:gridCol w:w="1520"/>
        <w:gridCol w:w="2789"/>
        <w:gridCol w:w="2835"/>
      </w:tblGrid>
      <w:tr w:rsidR="006C604A" w:rsidRPr="004E2CEF" w14:paraId="04AB1F8D" w14:textId="77777777" w:rsidTr="000649D7">
        <w:trPr>
          <w:trHeight w:val="645"/>
        </w:trPr>
        <w:tc>
          <w:tcPr>
            <w:tcW w:w="960" w:type="dxa"/>
            <w:tcBorders>
              <w:top w:val="single" w:sz="8" w:space="0" w:color="000000"/>
              <w:left w:val="single" w:sz="8" w:space="0" w:color="000000"/>
              <w:bottom w:val="single" w:sz="8" w:space="0" w:color="000000"/>
              <w:right w:val="single" w:sz="8" w:space="0" w:color="000000"/>
            </w:tcBorders>
            <w:shd w:val="clear" w:color="auto" w:fill="D6E3BC" w:themeFill="accent3" w:themeFillTint="66"/>
            <w:vAlign w:val="center"/>
            <w:hideMark/>
          </w:tcPr>
          <w:p w14:paraId="4E83EB7A" w14:textId="77777777" w:rsidR="006C604A" w:rsidRPr="004E2CEF" w:rsidRDefault="006C604A" w:rsidP="000649D7">
            <w:pPr>
              <w:jc w:val="center"/>
              <w:rPr>
                <w:rFonts w:eastAsia="Times New Roman" w:cs="Arial"/>
                <w:b/>
                <w:bCs/>
                <w:color w:val="000000"/>
                <w:lang w:eastAsia="it-CH"/>
              </w:rPr>
            </w:pPr>
            <w:r w:rsidRPr="004E2CEF">
              <w:rPr>
                <w:rFonts w:eastAsia="Times New Roman" w:cs="Arial"/>
                <w:b/>
                <w:bCs/>
                <w:color w:val="000000"/>
                <w:lang w:eastAsia="it-CH"/>
              </w:rPr>
              <w:t>Rango</w:t>
            </w:r>
          </w:p>
        </w:tc>
        <w:tc>
          <w:tcPr>
            <w:tcW w:w="1100" w:type="dxa"/>
            <w:tcBorders>
              <w:top w:val="single" w:sz="8" w:space="0" w:color="000000"/>
              <w:left w:val="nil"/>
              <w:bottom w:val="single" w:sz="8" w:space="0" w:color="000000"/>
              <w:right w:val="single" w:sz="8" w:space="0" w:color="000000"/>
            </w:tcBorders>
            <w:shd w:val="clear" w:color="auto" w:fill="D6E3BC" w:themeFill="accent3" w:themeFillTint="66"/>
            <w:vAlign w:val="center"/>
            <w:hideMark/>
          </w:tcPr>
          <w:p w14:paraId="35ED77B8" w14:textId="77777777" w:rsidR="006C604A" w:rsidRPr="004E2CEF" w:rsidRDefault="006C604A" w:rsidP="000649D7">
            <w:pPr>
              <w:jc w:val="center"/>
              <w:rPr>
                <w:rFonts w:eastAsia="Times New Roman" w:cs="Arial"/>
                <w:b/>
                <w:bCs/>
                <w:color w:val="000000"/>
                <w:lang w:eastAsia="it-CH"/>
              </w:rPr>
            </w:pPr>
            <w:r w:rsidRPr="004E2CEF">
              <w:rPr>
                <w:rFonts w:eastAsia="Times New Roman" w:cs="Arial"/>
                <w:b/>
                <w:bCs/>
                <w:color w:val="000000"/>
                <w:lang w:eastAsia="it-CH"/>
              </w:rPr>
              <w:t>Cantone</w:t>
            </w:r>
          </w:p>
        </w:tc>
        <w:tc>
          <w:tcPr>
            <w:tcW w:w="1520" w:type="dxa"/>
            <w:tcBorders>
              <w:top w:val="single" w:sz="8" w:space="0" w:color="000000"/>
              <w:left w:val="nil"/>
              <w:bottom w:val="single" w:sz="8" w:space="0" w:color="000000"/>
              <w:right w:val="single" w:sz="8" w:space="0" w:color="000000"/>
            </w:tcBorders>
            <w:shd w:val="clear" w:color="auto" w:fill="D6E3BC" w:themeFill="accent3" w:themeFillTint="66"/>
            <w:vAlign w:val="center"/>
            <w:hideMark/>
          </w:tcPr>
          <w:p w14:paraId="7216A3DC" w14:textId="77777777" w:rsidR="006C604A" w:rsidRPr="004E2CEF" w:rsidRDefault="006C604A" w:rsidP="000649D7">
            <w:pPr>
              <w:jc w:val="center"/>
              <w:rPr>
                <w:rFonts w:eastAsia="Times New Roman" w:cs="Arial"/>
                <w:b/>
                <w:bCs/>
                <w:color w:val="000000"/>
                <w:lang w:eastAsia="it-CH"/>
              </w:rPr>
            </w:pPr>
            <w:r w:rsidRPr="004E2CEF">
              <w:rPr>
                <w:rFonts w:eastAsia="Times New Roman" w:cs="Arial"/>
                <w:b/>
                <w:bCs/>
                <w:color w:val="000000"/>
                <w:lang w:eastAsia="it-CH"/>
              </w:rPr>
              <w:t>Capoluogo</w:t>
            </w:r>
          </w:p>
        </w:tc>
        <w:tc>
          <w:tcPr>
            <w:tcW w:w="2789" w:type="dxa"/>
            <w:tcBorders>
              <w:top w:val="single" w:sz="8" w:space="0" w:color="000000"/>
              <w:left w:val="nil"/>
              <w:bottom w:val="single" w:sz="8" w:space="0" w:color="000000"/>
              <w:right w:val="single" w:sz="8" w:space="0" w:color="000000"/>
            </w:tcBorders>
            <w:shd w:val="clear" w:color="auto" w:fill="D6E3BC" w:themeFill="accent3" w:themeFillTint="66"/>
            <w:vAlign w:val="center"/>
            <w:hideMark/>
          </w:tcPr>
          <w:p w14:paraId="69991CD7" w14:textId="77777777" w:rsidR="006C604A" w:rsidRPr="004E2CEF" w:rsidRDefault="006C604A" w:rsidP="000649D7">
            <w:pPr>
              <w:rPr>
                <w:rFonts w:eastAsia="Times New Roman" w:cs="Arial"/>
                <w:b/>
                <w:bCs/>
                <w:color w:val="000000"/>
                <w:lang w:eastAsia="it-CH"/>
              </w:rPr>
            </w:pPr>
            <w:r w:rsidRPr="004E2CEF">
              <w:rPr>
                <w:rFonts w:eastAsia="Times New Roman" w:cs="Arial"/>
                <w:b/>
                <w:bCs/>
                <w:color w:val="000000"/>
                <w:lang w:eastAsia="it-CH"/>
              </w:rPr>
              <w:t>Comune più oneroso</w:t>
            </w:r>
          </w:p>
        </w:tc>
        <w:tc>
          <w:tcPr>
            <w:tcW w:w="2835" w:type="dxa"/>
            <w:tcBorders>
              <w:top w:val="single" w:sz="8" w:space="0" w:color="000000"/>
              <w:left w:val="nil"/>
              <w:bottom w:val="single" w:sz="8" w:space="0" w:color="000000"/>
              <w:right w:val="single" w:sz="8" w:space="0" w:color="000000"/>
            </w:tcBorders>
            <w:shd w:val="clear" w:color="auto" w:fill="D6E3BC" w:themeFill="accent3" w:themeFillTint="66"/>
            <w:vAlign w:val="center"/>
            <w:hideMark/>
          </w:tcPr>
          <w:p w14:paraId="31F44FEE" w14:textId="77777777" w:rsidR="006C604A" w:rsidRPr="004E2CEF" w:rsidRDefault="006C604A" w:rsidP="000649D7">
            <w:pPr>
              <w:rPr>
                <w:rFonts w:eastAsia="Times New Roman" w:cs="Arial"/>
                <w:b/>
                <w:bCs/>
                <w:color w:val="000000"/>
                <w:lang w:eastAsia="it-CH"/>
              </w:rPr>
            </w:pPr>
            <w:r w:rsidRPr="004E2CEF">
              <w:rPr>
                <w:rFonts w:eastAsia="Times New Roman" w:cs="Arial"/>
                <w:b/>
                <w:bCs/>
                <w:color w:val="000000"/>
                <w:lang w:eastAsia="it-CH"/>
              </w:rPr>
              <w:t>Comune meno oneroso</w:t>
            </w:r>
          </w:p>
        </w:tc>
      </w:tr>
      <w:tr w:rsidR="006C604A" w:rsidRPr="004E2CEF" w14:paraId="6BC90DCD"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3E61FA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w:t>
            </w:r>
          </w:p>
        </w:tc>
        <w:tc>
          <w:tcPr>
            <w:tcW w:w="1100" w:type="dxa"/>
            <w:tcBorders>
              <w:top w:val="nil"/>
              <w:left w:val="nil"/>
              <w:bottom w:val="single" w:sz="8" w:space="0" w:color="000000"/>
              <w:right w:val="single" w:sz="8" w:space="0" w:color="000000"/>
            </w:tcBorders>
            <w:shd w:val="clear" w:color="auto" w:fill="auto"/>
            <w:vAlign w:val="center"/>
            <w:hideMark/>
          </w:tcPr>
          <w:p w14:paraId="1E58B1FE"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ZG</w:t>
            </w:r>
          </w:p>
        </w:tc>
        <w:tc>
          <w:tcPr>
            <w:tcW w:w="1520" w:type="dxa"/>
            <w:tcBorders>
              <w:top w:val="nil"/>
              <w:left w:val="nil"/>
              <w:bottom w:val="single" w:sz="8" w:space="0" w:color="000000"/>
              <w:right w:val="single" w:sz="8" w:space="0" w:color="000000"/>
            </w:tcBorders>
            <w:shd w:val="clear" w:color="auto" w:fill="auto"/>
            <w:vAlign w:val="center"/>
            <w:hideMark/>
          </w:tcPr>
          <w:p w14:paraId="4BB127D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22.2</w:t>
            </w:r>
          </w:p>
        </w:tc>
        <w:tc>
          <w:tcPr>
            <w:tcW w:w="2789" w:type="dxa"/>
            <w:tcBorders>
              <w:top w:val="nil"/>
              <w:left w:val="nil"/>
              <w:bottom w:val="single" w:sz="8" w:space="0" w:color="000000"/>
              <w:right w:val="single" w:sz="8" w:space="0" w:color="000000"/>
            </w:tcBorders>
            <w:shd w:val="clear" w:color="auto" w:fill="auto"/>
            <w:vAlign w:val="center"/>
            <w:hideMark/>
          </w:tcPr>
          <w:p w14:paraId="6651BF96"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23.1</w:t>
            </w:r>
          </w:p>
        </w:tc>
        <w:tc>
          <w:tcPr>
            <w:tcW w:w="2835" w:type="dxa"/>
            <w:tcBorders>
              <w:top w:val="nil"/>
              <w:left w:val="nil"/>
              <w:bottom w:val="single" w:sz="8" w:space="0" w:color="000000"/>
              <w:right w:val="single" w:sz="8" w:space="0" w:color="000000"/>
            </w:tcBorders>
            <w:shd w:val="clear" w:color="auto" w:fill="auto"/>
            <w:vAlign w:val="center"/>
            <w:hideMark/>
          </w:tcPr>
          <w:p w14:paraId="692FD9F2"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(Baar) 22.1</w:t>
            </w:r>
          </w:p>
        </w:tc>
      </w:tr>
      <w:tr w:rsidR="006C604A" w:rsidRPr="004E2CEF" w14:paraId="78D85C38"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B23591A"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w:t>
            </w:r>
          </w:p>
        </w:tc>
        <w:tc>
          <w:tcPr>
            <w:tcW w:w="1100" w:type="dxa"/>
            <w:tcBorders>
              <w:top w:val="nil"/>
              <w:left w:val="nil"/>
              <w:bottom w:val="single" w:sz="8" w:space="0" w:color="000000"/>
              <w:right w:val="single" w:sz="8" w:space="0" w:color="000000"/>
            </w:tcBorders>
            <w:shd w:val="clear" w:color="auto" w:fill="auto"/>
            <w:vAlign w:val="center"/>
            <w:hideMark/>
          </w:tcPr>
          <w:p w14:paraId="361DF60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AI</w:t>
            </w:r>
          </w:p>
        </w:tc>
        <w:tc>
          <w:tcPr>
            <w:tcW w:w="1520" w:type="dxa"/>
            <w:tcBorders>
              <w:top w:val="nil"/>
              <w:left w:val="nil"/>
              <w:bottom w:val="single" w:sz="8" w:space="0" w:color="000000"/>
              <w:right w:val="single" w:sz="8" w:space="0" w:color="000000"/>
            </w:tcBorders>
            <w:shd w:val="clear" w:color="auto" w:fill="auto"/>
            <w:vAlign w:val="center"/>
            <w:hideMark/>
          </w:tcPr>
          <w:p w14:paraId="3673BA7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23.8</w:t>
            </w:r>
          </w:p>
        </w:tc>
        <w:tc>
          <w:tcPr>
            <w:tcW w:w="2789" w:type="dxa"/>
            <w:tcBorders>
              <w:top w:val="nil"/>
              <w:left w:val="nil"/>
              <w:bottom w:val="single" w:sz="8" w:space="0" w:color="000000"/>
              <w:right w:val="single" w:sz="8" w:space="0" w:color="000000"/>
            </w:tcBorders>
            <w:shd w:val="clear" w:color="auto" w:fill="auto"/>
            <w:vAlign w:val="center"/>
            <w:hideMark/>
          </w:tcPr>
          <w:p w14:paraId="10C4435E"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(Oberegg) 27.1</w:t>
            </w:r>
          </w:p>
        </w:tc>
        <w:tc>
          <w:tcPr>
            <w:tcW w:w="2835" w:type="dxa"/>
            <w:tcBorders>
              <w:top w:val="nil"/>
              <w:left w:val="nil"/>
              <w:bottom w:val="single" w:sz="8" w:space="0" w:color="000000"/>
              <w:right w:val="single" w:sz="8" w:space="0" w:color="000000"/>
            </w:tcBorders>
            <w:shd w:val="clear" w:color="auto" w:fill="auto"/>
            <w:vAlign w:val="center"/>
            <w:hideMark/>
          </w:tcPr>
          <w:p w14:paraId="5459171B"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(Appenzell) 23.8</w:t>
            </w:r>
          </w:p>
        </w:tc>
      </w:tr>
      <w:tr w:rsidR="006C604A" w:rsidRPr="004E2CEF" w14:paraId="06CEFFE9"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F56C263"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w:t>
            </w:r>
          </w:p>
        </w:tc>
        <w:tc>
          <w:tcPr>
            <w:tcW w:w="1100" w:type="dxa"/>
            <w:tcBorders>
              <w:top w:val="nil"/>
              <w:left w:val="nil"/>
              <w:bottom w:val="single" w:sz="8" w:space="0" w:color="000000"/>
              <w:right w:val="single" w:sz="8" w:space="0" w:color="000000"/>
            </w:tcBorders>
            <w:shd w:val="clear" w:color="auto" w:fill="auto"/>
            <w:vAlign w:val="center"/>
            <w:hideMark/>
          </w:tcPr>
          <w:p w14:paraId="5E6C151F"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OW</w:t>
            </w:r>
          </w:p>
        </w:tc>
        <w:tc>
          <w:tcPr>
            <w:tcW w:w="1520" w:type="dxa"/>
            <w:tcBorders>
              <w:top w:val="nil"/>
              <w:left w:val="nil"/>
              <w:bottom w:val="single" w:sz="8" w:space="0" w:color="000000"/>
              <w:right w:val="single" w:sz="8" w:space="0" w:color="000000"/>
            </w:tcBorders>
            <w:shd w:val="clear" w:color="auto" w:fill="auto"/>
            <w:vAlign w:val="center"/>
            <w:hideMark/>
          </w:tcPr>
          <w:p w14:paraId="73733933"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24.3</w:t>
            </w:r>
          </w:p>
        </w:tc>
        <w:tc>
          <w:tcPr>
            <w:tcW w:w="2789" w:type="dxa"/>
            <w:tcBorders>
              <w:top w:val="nil"/>
              <w:left w:val="nil"/>
              <w:bottom w:val="single" w:sz="8" w:space="0" w:color="000000"/>
              <w:right w:val="single" w:sz="8" w:space="0" w:color="000000"/>
            </w:tcBorders>
            <w:shd w:val="clear" w:color="auto" w:fill="auto"/>
            <w:vAlign w:val="center"/>
            <w:hideMark/>
          </w:tcPr>
          <w:p w14:paraId="26664BCB"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(Giswil) 26.5</w:t>
            </w:r>
          </w:p>
        </w:tc>
        <w:tc>
          <w:tcPr>
            <w:tcW w:w="2835" w:type="dxa"/>
            <w:tcBorders>
              <w:top w:val="nil"/>
              <w:left w:val="nil"/>
              <w:bottom w:val="single" w:sz="8" w:space="0" w:color="000000"/>
              <w:right w:val="single" w:sz="8" w:space="0" w:color="000000"/>
            </w:tcBorders>
            <w:shd w:val="clear" w:color="auto" w:fill="auto"/>
            <w:vAlign w:val="center"/>
            <w:hideMark/>
          </w:tcPr>
          <w:p w14:paraId="3D7684BC"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(Sarnen) 24.3</w:t>
            </w:r>
          </w:p>
        </w:tc>
      </w:tr>
      <w:tr w:rsidR="006C604A" w:rsidRPr="004E2CEF" w14:paraId="4CFBFB51"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E3C386E"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w:t>
            </w:r>
          </w:p>
        </w:tc>
        <w:tc>
          <w:tcPr>
            <w:tcW w:w="1100" w:type="dxa"/>
            <w:tcBorders>
              <w:top w:val="nil"/>
              <w:left w:val="nil"/>
              <w:bottom w:val="single" w:sz="8" w:space="0" w:color="000000"/>
              <w:right w:val="single" w:sz="8" w:space="0" w:color="000000"/>
            </w:tcBorders>
            <w:shd w:val="clear" w:color="auto" w:fill="auto"/>
            <w:vAlign w:val="center"/>
            <w:hideMark/>
          </w:tcPr>
          <w:p w14:paraId="774DA2EF"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NW</w:t>
            </w:r>
          </w:p>
        </w:tc>
        <w:tc>
          <w:tcPr>
            <w:tcW w:w="1520" w:type="dxa"/>
            <w:tcBorders>
              <w:top w:val="nil"/>
              <w:left w:val="nil"/>
              <w:bottom w:val="single" w:sz="8" w:space="0" w:color="000000"/>
              <w:right w:val="single" w:sz="8" w:space="0" w:color="000000"/>
            </w:tcBorders>
            <w:shd w:val="clear" w:color="auto" w:fill="auto"/>
            <w:vAlign w:val="center"/>
            <w:hideMark/>
          </w:tcPr>
          <w:p w14:paraId="787095E5"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25.3</w:t>
            </w:r>
          </w:p>
        </w:tc>
        <w:tc>
          <w:tcPr>
            <w:tcW w:w="2789" w:type="dxa"/>
            <w:tcBorders>
              <w:top w:val="nil"/>
              <w:left w:val="nil"/>
              <w:bottom w:val="single" w:sz="8" w:space="0" w:color="000000"/>
              <w:right w:val="single" w:sz="8" w:space="0" w:color="000000"/>
            </w:tcBorders>
            <w:shd w:val="clear" w:color="auto" w:fill="auto"/>
            <w:vAlign w:val="center"/>
            <w:hideMark/>
          </w:tcPr>
          <w:p w14:paraId="123361C3"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(Wolfenschiessen) 25.7</w:t>
            </w:r>
          </w:p>
        </w:tc>
        <w:tc>
          <w:tcPr>
            <w:tcW w:w="2835" w:type="dxa"/>
            <w:tcBorders>
              <w:top w:val="nil"/>
              <w:left w:val="nil"/>
              <w:bottom w:val="single" w:sz="8" w:space="0" w:color="000000"/>
              <w:right w:val="single" w:sz="8" w:space="0" w:color="000000"/>
            </w:tcBorders>
            <w:shd w:val="clear" w:color="auto" w:fill="auto"/>
            <w:vAlign w:val="center"/>
            <w:hideMark/>
          </w:tcPr>
          <w:p w14:paraId="583A3B26"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(Hergiswil) 22.5</w:t>
            </w:r>
          </w:p>
        </w:tc>
      </w:tr>
      <w:tr w:rsidR="006C604A" w:rsidRPr="004E2CEF" w14:paraId="7A20F427"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9E53C72"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5</w:t>
            </w:r>
          </w:p>
        </w:tc>
        <w:tc>
          <w:tcPr>
            <w:tcW w:w="1100" w:type="dxa"/>
            <w:tcBorders>
              <w:top w:val="nil"/>
              <w:left w:val="nil"/>
              <w:bottom w:val="single" w:sz="8" w:space="0" w:color="000000"/>
              <w:right w:val="single" w:sz="8" w:space="0" w:color="000000"/>
            </w:tcBorders>
            <w:shd w:val="clear" w:color="auto" w:fill="auto"/>
            <w:vAlign w:val="center"/>
            <w:hideMark/>
          </w:tcPr>
          <w:p w14:paraId="6A4CE27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SZ</w:t>
            </w:r>
          </w:p>
        </w:tc>
        <w:tc>
          <w:tcPr>
            <w:tcW w:w="1520" w:type="dxa"/>
            <w:tcBorders>
              <w:top w:val="nil"/>
              <w:left w:val="nil"/>
              <w:bottom w:val="single" w:sz="8" w:space="0" w:color="000000"/>
              <w:right w:val="single" w:sz="8" w:space="0" w:color="000000"/>
            </w:tcBorders>
            <w:shd w:val="clear" w:color="auto" w:fill="auto"/>
            <w:vAlign w:val="center"/>
            <w:hideMark/>
          </w:tcPr>
          <w:p w14:paraId="2297DAC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25.3</w:t>
            </w:r>
          </w:p>
        </w:tc>
        <w:tc>
          <w:tcPr>
            <w:tcW w:w="2789" w:type="dxa"/>
            <w:tcBorders>
              <w:top w:val="nil"/>
              <w:left w:val="nil"/>
              <w:bottom w:val="single" w:sz="8" w:space="0" w:color="000000"/>
              <w:right w:val="single" w:sz="8" w:space="0" w:color="000000"/>
            </w:tcBorders>
            <w:shd w:val="clear" w:color="auto" w:fill="auto"/>
            <w:vAlign w:val="center"/>
            <w:hideMark/>
          </w:tcPr>
          <w:p w14:paraId="36B1A478"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(Illgau) 25.9</w:t>
            </w:r>
          </w:p>
        </w:tc>
        <w:tc>
          <w:tcPr>
            <w:tcW w:w="2835" w:type="dxa"/>
            <w:tcBorders>
              <w:top w:val="nil"/>
              <w:left w:val="nil"/>
              <w:bottom w:val="single" w:sz="8" w:space="0" w:color="000000"/>
              <w:right w:val="single" w:sz="8" w:space="0" w:color="000000"/>
            </w:tcBorders>
            <w:shd w:val="clear" w:color="000000" w:fill="CCEAFF"/>
            <w:vAlign w:val="center"/>
            <w:hideMark/>
          </w:tcPr>
          <w:p w14:paraId="57FF59B2"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20.4</w:t>
            </w:r>
          </w:p>
        </w:tc>
      </w:tr>
      <w:tr w:rsidR="006C604A" w:rsidRPr="004E2CEF" w14:paraId="323EE5D0"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D436AFC"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6</w:t>
            </w:r>
          </w:p>
        </w:tc>
        <w:tc>
          <w:tcPr>
            <w:tcW w:w="1100" w:type="dxa"/>
            <w:tcBorders>
              <w:top w:val="nil"/>
              <w:left w:val="nil"/>
              <w:bottom w:val="single" w:sz="8" w:space="0" w:color="000000"/>
              <w:right w:val="single" w:sz="8" w:space="0" w:color="000000"/>
            </w:tcBorders>
            <w:shd w:val="clear" w:color="auto" w:fill="auto"/>
            <w:vAlign w:val="center"/>
            <w:hideMark/>
          </w:tcPr>
          <w:p w14:paraId="7E6C3842"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UR</w:t>
            </w:r>
          </w:p>
        </w:tc>
        <w:tc>
          <w:tcPr>
            <w:tcW w:w="1520" w:type="dxa"/>
            <w:tcBorders>
              <w:top w:val="nil"/>
              <w:left w:val="nil"/>
              <w:bottom w:val="single" w:sz="8" w:space="0" w:color="000000"/>
              <w:right w:val="single" w:sz="8" w:space="0" w:color="000000"/>
            </w:tcBorders>
            <w:shd w:val="clear" w:color="auto" w:fill="auto"/>
            <w:vAlign w:val="center"/>
            <w:hideMark/>
          </w:tcPr>
          <w:p w14:paraId="18B73FB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25.4</w:t>
            </w:r>
          </w:p>
        </w:tc>
        <w:tc>
          <w:tcPr>
            <w:tcW w:w="2789" w:type="dxa"/>
            <w:tcBorders>
              <w:top w:val="nil"/>
              <w:left w:val="nil"/>
              <w:bottom w:val="single" w:sz="8" w:space="0" w:color="000000"/>
              <w:right w:val="single" w:sz="8" w:space="0" w:color="000000"/>
            </w:tcBorders>
            <w:shd w:val="clear" w:color="auto" w:fill="auto"/>
            <w:vAlign w:val="center"/>
            <w:hideMark/>
          </w:tcPr>
          <w:p w14:paraId="49139C74"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27.1</w:t>
            </w:r>
          </w:p>
        </w:tc>
        <w:tc>
          <w:tcPr>
            <w:tcW w:w="2835" w:type="dxa"/>
            <w:tcBorders>
              <w:top w:val="nil"/>
              <w:left w:val="nil"/>
              <w:bottom w:val="single" w:sz="8" w:space="0" w:color="000000"/>
              <w:right w:val="single" w:sz="8" w:space="0" w:color="000000"/>
            </w:tcBorders>
            <w:shd w:val="clear" w:color="auto" w:fill="auto"/>
            <w:vAlign w:val="center"/>
            <w:hideMark/>
          </w:tcPr>
          <w:p w14:paraId="1065F399"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(Seedorf) 25.0</w:t>
            </w:r>
          </w:p>
        </w:tc>
      </w:tr>
      <w:tr w:rsidR="006C604A" w:rsidRPr="004E2CEF" w14:paraId="47E05D14"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32031D0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7</w:t>
            </w:r>
          </w:p>
        </w:tc>
        <w:tc>
          <w:tcPr>
            <w:tcW w:w="1100" w:type="dxa"/>
            <w:tcBorders>
              <w:top w:val="nil"/>
              <w:left w:val="nil"/>
              <w:bottom w:val="single" w:sz="8" w:space="0" w:color="000000"/>
              <w:right w:val="single" w:sz="8" w:space="0" w:color="000000"/>
            </w:tcBorders>
            <w:shd w:val="clear" w:color="auto" w:fill="auto"/>
            <w:vAlign w:val="center"/>
            <w:hideMark/>
          </w:tcPr>
          <w:p w14:paraId="3C7C6AEF"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SH</w:t>
            </w:r>
          </w:p>
        </w:tc>
        <w:tc>
          <w:tcPr>
            <w:tcW w:w="1520" w:type="dxa"/>
            <w:tcBorders>
              <w:top w:val="nil"/>
              <w:left w:val="nil"/>
              <w:bottom w:val="single" w:sz="8" w:space="0" w:color="000000"/>
              <w:right w:val="single" w:sz="8" w:space="0" w:color="000000"/>
            </w:tcBorders>
            <w:shd w:val="clear" w:color="auto" w:fill="auto"/>
            <w:vAlign w:val="center"/>
            <w:hideMark/>
          </w:tcPr>
          <w:p w14:paraId="0C1F15D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29.8</w:t>
            </w:r>
          </w:p>
        </w:tc>
        <w:tc>
          <w:tcPr>
            <w:tcW w:w="2789" w:type="dxa"/>
            <w:tcBorders>
              <w:top w:val="nil"/>
              <w:left w:val="nil"/>
              <w:bottom w:val="single" w:sz="8" w:space="0" w:color="000000"/>
              <w:right w:val="single" w:sz="8" w:space="0" w:color="000000"/>
            </w:tcBorders>
            <w:shd w:val="clear" w:color="auto" w:fill="auto"/>
            <w:vAlign w:val="center"/>
            <w:hideMark/>
          </w:tcPr>
          <w:p w14:paraId="1F948EE0"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32.2</w:t>
            </w:r>
          </w:p>
        </w:tc>
        <w:tc>
          <w:tcPr>
            <w:tcW w:w="2835" w:type="dxa"/>
            <w:tcBorders>
              <w:top w:val="nil"/>
              <w:left w:val="nil"/>
              <w:bottom w:val="single" w:sz="8" w:space="0" w:color="000000"/>
              <w:right w:val="single" w:sz="8" w:space="0" w:color="000000"/>
            </w:tcBorders>
            <w:shd w:val="clear" w:color="auto" w:fill="auto"/>
            <w:vAlign w:val="center"/>
            <w:hideMark/>
          </w:tcPr>
          <w:p w14:paraId="2139F7B3"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27.0</w:t>
            </w:r>
          </w:p>
        </w:tc>
      </w:tr>
      <w:tr w:rsidR="006C604A" w:rsidRPr="004E2CEF" w14:paraId="27CB76AF"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55F93F2"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8</w:t>
            </w:r>
          </w:p>
        </w:tc>
        <w:tc>
          <w:tcPr>
            <w:tcW w:w="1100" w:type="dxa"/>
            <w:tcBorders>
              <w:top w:val="nil"/>
              <w:left w:val="nil"/>
              <w:bottom w:val="single" w:sz="8" w:space="0" w:color="000000"/>
              <w:right w:val="single" w:sz="8" w:space="0" w:color="000000"/>
            </w:tcBorders>
            <w:shd w:val="clear" w:color="auto" w:fill="auto"/>
            <w:vAlign w:val="center"/>
            <w:hideMark/>
          </w:tcPr>
          <w:p w14:paraId="3EBB6FEC"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LU</w:t>
            </w:r>
          </w:p>
        </w:tc>
        <w:tc>
          <w:tcPr>
            <w:tcW w:w="1520" w:type="dxa"/>
            <w:tcBorders>
              <w:top w:val="nil"/>
              <w:left w:val="nil"/>
              <w:bottom w:val="single" w:sz="8" w:space="0" w:color="000000"/>
              <w:right w:val="single" w:sz="8" w:space="0" w:color="000000"/>
            </w:tcBorders>
            <w:shd w:val="clear" w:color="auto" w:fill="auto"/>
            <w:vAlign w:val="center"/>
            <w:hideMark/>
          </w:tcPr>
          <w:p w14:paraId="37C195B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30.6</w:t>
            </w:r>
          </w:p>
        </w:tc>
        <w:tc>
          <w:tcPr>
            <w:tcW w:w="2789" w:type="dxa"/>
            <w:tcBorders>
              <w:top w:val="nil"/>
              <w:left w:val="nil"/>
              <w:bottom w:val="single" w:sz="8" w:space="0" w:color="000000"/>
              <w:right w:val="single" w:sz="8" w:space="0" w:color="000000"/>
            </w:tcBorders>
            <w:shd w:val="clear" w:color="auto" w:fill="auto"/>
            <w:vAlign w:val="center"/>
            <w:hideMark/>
          </w:tcPr>
          <w:p w14:paraId="189A47CF"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(Luthern) 34.3</w:t>
            </w:r>
          </w:p>
        </w:tc>
        <w:tc>
          <w:tcPr>
            <w:tcW w:w="2835" w:type="dxa"/>
            <w:tcBorders>
              <w:top w:val="nil"/>
              <w:left w:val="nil"/>
              <w:bottom w:val="single" w:sz="8" w:space="0" w:color="000000"/>
              <w:right w:val="single" w:sz="8" w:space="0" w:color="000000"/>
            </w:tcBorders>
            <w:shd w:val="clear" w:color="auto" w:fill="auto"/>
            <w:vAlign w:val="center"/>
            <w:hideMark/>
          </w:tcPr>
          <w:p w14:paraId="71C182FF"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(Meggen) 26.0</w:t>
            </w:r>
          </w:p>
        </w:tc>
      </w:tr>
      <w:tr w:rsidR="006C604A" w:rsidRPr="004E2CEF" w14:paraId="16CB8C33"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394EFC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9</w:t>
            </w:r>
          </w:p>
        </w:tc>
        <w:tc>
          <w:tcPr>
            <w:tcW w:w="1100" w:type="dxa"/>
            <w:tcBorders>
              <w:top w:val="nil"/>
              <w:left w:val="nil"/>
              <w:bottom w:val="single" w:sz="8" w:space="0" w:color="000000"/>
              <w:right w:val="single" w:sz="8" w:space="0" w:color="000000"/>
            </w:tcBorders>
            <w:shd w:val="clear" w:color="auto" w:fill="auto"/>
            <w:vAlign w:val="center"/>
            <w:hideMark/>
          </w:tcPr>
          <w:p w14:paraId="43BF0406"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AR</w:t>
            </w:r>
          </w:p>
        </w:tc>
        <w:tc>
          <w:tcPr>
            <w:tcW w:w="1520" w:type="dxa"/>
            <w:tcBorders>
              <w:top w:val="nil"/>
              <w:left w:val="nil"/>
              <w:bottom w:val="single" w:sz="8" w:space="0" w:color="000000"/>
              <w:right w:val="single" w:sz="8" w:space="0" w:color="000000"/>
            </w:tcBorders>
            <w:shd w:val="clear" w:color="auto" w:fill="auto"/>
            <w:vAlign w:val="center"/>
            <w:hideMark/>
          </w:tcPr>
          <w:p w14:paraId="120A4182"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30.7</w:t>
            </w:r>
          </w:p>
        </w:tc>
        <w:tc>
          <w:tcPr>
            <w:tcW w:w="2789" w:type="dxa"/>
            <w:tcBorders>
              <w:top w:val="nil"/>
              <w:left w:val="nil"/>
              <w:bottom w:val="single" w:sz="8" w:space="0" w:color="000000"/>
              <w:right w:val="single" w:sz="8" w:space="0" w:color="000000"/>
            </w:tcBorders>
            <w:shd w:val="clear" w:color="auto" w:fill="auto"/>
            <w:vAlign w:val="center"/>
            <w:hideMark/>
          </w:tcPr>
          <w:p w14:paraId="2E7FDE36"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(Hundwil) 32.3</w:t>
            </w:r>
          </w:p>
        </w:tc>
        <w:tc>
          <w:tcPr>
            <w:tcW w:w="2835" w:type="dxa"/>
            <w:tcBorders>
              <w:top w:val="nil"/>
              <w:left w:val="nil"/>
              <w:bottom w:val="single" w:sz="8" w:space="0" w:color="000000"/>
              <w:right w:val="single" w:sz="8" w:space="0" w:color="000000"/>
            </w:tcBorders>
            <w:shd w:val="clear" w:color="auto" w:fill="auto"/>
            <w:vAlign w:val="center"/>
            <w:hideMark/>
          </w:tcPr>
          <w:p w14:paraId="7A7C8A1E"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(Teufen) 27.1</w:t>
            </w:r>
          </w:p>
        </w:tc>
      </w:tr>
      <w:tr w:rsidR="006C604A" w:rsidRPr="004E2CEF" w14:paraId="1F7F78B2"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9CE383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10</w:t>
            </w:r>
          </w:p>
        </w:tc>
        <w:tc>
          <w:tcPr>
            <w:tcW w:w="1100" w:type="dxa"/>
            <w:tcBorders>
              <w:top w:val="nil"/>
              <w:left w:val="nil"/>
              <w:bottom w:val="single" w:sz="8" w:space="0" w:color="000000"/>
              <w:right w:val="single" w:sz="8" w:space="0" w:color="000000"/>
            </w:tcBorders>
            <w:shd w:val="clear" w:color="auto" w:fill="auto"/>
            <w:vAlign w:val="center"/>
            <w:hideMark/>
          </w:tcPr>
          <w:p w14:paraId="174ED4CC"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GL</w:t>
            </w:r>
          </w:p>
        </w:tc>
        <w:tc>
          <w:tcPr>
            <w:tcW w:w="1520" w:type="dxa"/>
            <w:tcBorders>
              <w:top w:val="nil"/>
              <w:left w:val="nil"/>
              <w:bottom w:val="single" w:sz="8" w:space="0" w:color="000000"/>
              <w:right w:val="single" w:sz="8" w:space="0" w:color="000000"/>
            </w:tcBorders>
            <w:shd w:val="clear" w:color="auto" w:fill="auto"/>
            <w:vAlign w:val="center"/>
            <w:hideMark/>
          </w:tcPr>
          <w:p w14:paraId="46464889"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31.1</w:t>
            </w:r>
          </w:p>
        </w:tc>
        <w:tc>
          <w:tcPr>
            <w:tcW w:w="2789" w:type="dxa"/>
            <w:tcBorders>
              <w:top w:val="nil"/>
              <w:left w:val="nil"/>
              <w:bottom w:val="single" w:sz="8" w:space="0" w:color="000000"/>
              <w:right w:val="single" w:sz="8" w:space="0" w:color="000000"/>
            </w:tcBorders>
            <w:shd w:val="clear" w:color="auto" w:fill="auto"/>
            <w:vAlign w:val="center"/>
            <w:hideMark/>
          </w:tcPr>
          <w:p w14:paraId="115992FA"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(Glarus Nord) 32.0</w:t>
            </w:r>
          </w:p>
        </w:tc>
        <w:tc>
          <w:tcPr>
            <w:tcW w:w="2835" w:type="dxa"/>
            <w:tcBorders>
              <w:top w:val="nil"/>
              <w:left w:val="nil"/>
              <w:bottom w:val="single" w:sz="8" w:space="0" w:color="000000"/>
              <w:right w:val="single" w:sz="8" w:space="0" w:color="000000"/>
            </w:tcBorders>
            <w:shd w:val="clear" w:color="auto" w:fill="auto"/>
            <w:vAlign w:val="center"/>
            <w:hideMark/>
          </w:tcPr>
          <w:p w14:paraId="3468472E"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(Glarus) 31.1</w:t>
            </w:r>
          </w:p>
        </w:tc>
      </w:tr>
      <w:tr w:rsidR="006C604A" w:rsidRPr="004E2CEF" w14:paraId="040E2444"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7845F4F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11</w:t>
            </w:r>
          </w:p>
        </w:tc>
        <w:tc>
          <w:tcPr>
            <w:tcW w:w="1100" w:type="dxa"/>
            <w:tcBorders>
              <w:top w:val="nil"/>
              <w:left w:val="nil"/>
              <w:bottom w:val="single" w:sz="8" w:space="0" w:color="000000"/>
              <w:right w:val="single" w:sz="8" w:space="0" w:color="000000"/>
            </w:tcBorders>
            <w:shd w:val="clear" w:color="auto" w:fill="auto"/>
            <w:vAlign w:val="center"/>
            <w:hideMark/>
          </w:tcPr>
          <w:p w14:paraId="2ED4942F"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TG</w:t>
            </w:r>
          </w:p>
        </w:tc>
        <w:tc>
          <w:tcPr>
            <w:tcW w:w="1520" w:type="dxa"/>
            <w:tcBorders>
              <w:top w:val="nil"/>
              <w:left w:val="nil"/>
              <w:bottom w:val="single" w:sz="8" w:space="0" w:color="000000"/>
              <w:right w:val="single" w:sz="8" w:space="0" w:color="000000"/>
            </w:tcBorders>
            <w:shd w:val="clear" w:color="auto" w:fill="auto"/>
            <w:vAlign w:val="center"/>
            <w:hideMark/>
          </w:tcPr>
          <w:p w14:paraId="2C4595BC"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31.6</w:t>
            </w:r>
          </w:p>
        </w:tc>
        <w:tc>
          <w:tcPr>
            <w:tcW w:w="2789" w:type="dxa"/>
            <w:tcBorders>
              <w:top w:val="nil"/>
              <w:left w:val="nil"/>
              <w:bottom w:val="single" w:sz="8" w:space="0" w:color="000000"/>
              <w:right w:val="single" w:sz="8" w:space="0" w:color="000000"/>
            </w:tcBorders>
            <w:shd w:val="clear" w:color="auto" w:fill="auto"/>
            <w:vAlign w:val="center"/>
            <w:hideMark/>
          </w:tcPr>
          <w:p w14:paraId="048E0BCB"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(Arbon) 34.2</w:t>
            </w:r>
          </w:p>
        </w:tc>
        <w:tc>
          <w:tcPr>
            <w:tcW w:w="2835" w:type="dxa"/>
            <w:tcBorders>
              <w:top w:val="nil"/>
              <w:left w:val="nil"/>
              <w:bottom w:val="single" w:sz="8" w:space="0" w:color="000000"/>
              <w:right w:val="single" w:sz="8" w:space="0" w:color="000000"/>
            </w:tcBorders>
            <w:shd w:val="clear" w:color="auto" w:fill="auto"/>
            <w:vAlign w:val="center"/>
            <w:hideMark/>
          </w:tcPr>
          <w:p w14:paraId="58670A97"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(Warth-Weiningen) 27.6</w:t>
            </w:r>
          </w:p>
        </w:tc>
      </w:tr>
      <w:tr w:rsidR="006C604A" w:rsidRPr="004E2CEF" w14:paraId="582E453A"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D91FD47"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12</w:t>
            </w:r>
          </w:p>
        </w:tc>
        <w:tc>
          <w:tcPr>
            <w:tcW w:w="1100" w:type="dxa"/>
            <w:tcBorders>
              <w:top w:val="nil"/>
              <w:left w:val="nil"/>
              <w:bottom w:val="single" w:sz="8" w:space="0" w:color="000000"/>
              <w:right w:val="single" w:sz="8" w:space="0" w:color="000000"/>
            </w:tcBorders>
            <w:shd w:val="clear" w:color="auto" w:fill="auto"/>
            <w:vAlign w:val="center"/>
            <w:hideMark/>
          </w:tcPr>
          <w:p w14:paraId="54AE4596"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GR</w:t>
            </w:r>
          </w:p>
        </w:tc>
        <w:tc>
          <w:tcPr>
            <w:tcW w:w="1520" w:type="dxa"/>
            <w:tcBorders>
              <w:top w:val="nil"/>
              <w:left w:val="nil"/>
              <w:bottom w:val="single" w:sz="8" w:space="0" w:color="000000"/>
              <w:right w:val="single" w:sz="8" w:space="0" w:color="000000"/>
            </w:tcBorders>
            <w:shd w:val="clear" w:color="auto" w:fill="auto"/>
            <w:vAlign w:val="center"/>
            <w:hideMark/>
          </w:tcPr>
          <w:p w14:paraId="3CB07F8E"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32.2</w:t>
            </w:r>
          </w:p>
        </w:tc>
        <w:tc>
          <w:tcPr>
            <w:tcW w:w="2789" w:type="dxa"/>
            <w:tcBorders>
              <w:top w:val="nil"/>
              <w:left w:val="nil"/>
              <w:bottom w:val="single" w:sz="8" w:space="0" w:color="000000"/>
              <w:right w:val="single" w:sz="8" w:space="0" w:color="000000"/>
            </w:tcBorders>
            <w:shd w:val="clear" w:color="auto" w:fill="auto"/>
            <w:vAlign w:val="center"/>
            <w:hideMark/>
          </w:tcPr>
          <w:p w14:paraId="5A1A5249"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(Furna) 36.8</w:t>
            </w:r>
          </w:p>
        </w:tc>
        <w:tc>
          <w:tcPr>
            <w:tcW w:w="2835" w:type="dxa"/>
            <w:tcBorders>
              <w:top w:val="nil"/>
              <w:left w:val="nil"/>
              <w:bottom w:val="single" w:sz="8" w:space="0" w:color="000000"/>
              <w:right w:val="single" w:sz="8" w:space="0" w:color="000000"/>
            </w:tcBorders>
            <w:shd w:val="clear" w:color="auto" w:fill="auto"/>
            <w:vAlign w:val="center"/>
            <w:hideMark/>
          </w:tcPr>
          <w:p w14:paraId="3ED3A358"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(Rongellen) 25.8</w:t>
            </w:r>
          </w:p>
        </w:tc>
      </w:tr>
      <w:tr w:rsidR="006C604A" w:rsidRPr="004E2CEF" w14:paraId="0AFB60C2"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0222AF3F"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13</w:t>
            </w:r>
          </w:p>
        </w:tc>
        <w:tc>
          <w:tcPr>
            <w:tcW w:w="1100" w:type="dxa"/>
            <w:tcBorders>
              <w:top w:val="nil"/>
              <w:left w:val="nil"/>
              <w:bottom w:val="single" w:sz="8" w:space="0" w:color="000000"/>
              <w:right w:val="single" w:sz="8" w:space="0" w:color="000000"/>
            </w:tcBorders>
            <w:shd w:val="clear" w:color="auto" w:fill="auto"/>
            <w:vAlign w:val="center"/>
            <w:hideMark/>
          </w:tcPr>
          <w:p w14:paraId="07A9A9F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SG</w:t>
            </w:r>
          </w:p>
        </w:tc>
        <w:tc>
          <w:tcPr>
            <w:tcW w:w="1520" w:type="dxa"/>
            <w:tcBorders>
              <w:top w:val="nil"/>
              <w:left w:val="nil"/>
              <w:bottom w:val="single" w:sz="8" w:space="0" w:color="000000"/>
              <w:right w:val="single" w:sz="8" w:space="0" w:color="000000"/>
            </w:tcBorders>
            <w:shd w:val="clear" w:color="auto" w:fill="auto"/>
            <w:vAlign w:val="center"/>
            <w:hideMark/>
          </w:tcPr>
          <w:p w14:paraId="12E9B39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32.8</w:t>
            </w:r>
          </w:p>
        </w:tc>
        <w:tc>
          <w:tcPr>
            <w:tcW w:w="2789" w:type="dxa"/>
            <w:tcBorders>
              <w:top w:val="nil"/>
              <w:left w:val="nil"/>
              <w:bottom w:val="single" w:sz="8" w:space="0" w:color="000000"/>
              <w:right w:val="single" w:sz="8" w:space="0" w:color="000000"/>
            </w:tcBorders>
            <w:shd w:val="clear" w:color="auto" w:fill="auto"/>
            <w:vAlign w:val="center"/>
            <w:hideMark/>
          </w:tcPr>
          <w:p w14:paraId="2A9C3A76"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(Wartau) 34.0</w:t>
            </w:r>
          </w:p>
        </w:tc>
        <w:tc>
          <w:tcPr>
            <w:tcW w:w="2835" w:type="dxa"/>
            <w:tcBorders>
              <w:top w:val="nil"/>
              <w:left w:val="nil"/>
              <w:bottom w:val="single" w:sz="8" w:space="0" w:color="000000"/>
              <w:right w:val="single" w:sz="8" w:space="0" w:color="000000"/>
            </w:tcBorders>
            <w:shd w:val="clear" w:color="auto" w:fill="auto"/>
            <w:vAlign w:val="center"/>
            <w:hideMark/>
          </w:tcPr>
          <w:p w14:paraId="467B8072"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(Balgach) 26.3</w:t>
            </w:r>
          </w:p>
        </w:tc>
      </w:tr>
      <w:tr w:rsidR="006C604A" w:rsidRPr="004E2CEF" w14:paraId="789ACE8C"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8BBAB45"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14</w:t>
            </w:r>
          </w:p>
        </w:tc>
        <w:tc>
          <w:tcPr>
            <w:tcW w:w="1100" w:type="dxa"/>
            <w:tcBorders>
              <w:top w:val="nil"/>
              <w:left w:val="nil"/>
              <w:bottom w:val="single" w:sz="8" w:space="0" w:color="000000"/>
              <w:right w:val="single" w:sz="8" w:space="0" w:color="000000"/>
            </w:tcBorders>
            <w:shd w:val="clear" w:color="auto" w:fill="auto"/>
            <w:vAlign w:val="center"/>
            <w:hideMark/>
          </w:tcPr>
          <w:p w14:paraId="02A66A22"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SO</w:t>
            </w:r>
          </w:p>
        </w:tc>
        <w:tc>
          <w:tcPr>
            <w:tcW w:w="1520" w:type="dxa"/>
            <w:tcBorders>
              <w:top w:val="nil"/>
              <w:left w:val="nil"/>
              <w:bottom w:val="single" w:sz="8" w:space="0" w:color="000000"/>
              <w:right w:val="single" w:sz="8" w:space="0" w:color="000000"/>
            </w:tcBorders>
            <w:shd w:val="clear" w:color="auto" w:fill="auto"/>
            <w:vAlign w:val="center"/>
            <w:hideMark/>
          </w:tcPr>
          <w:p w14:paraId="45425BB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33.7</w:t>
            </w:r>
          </w:p>
        </w:tc>
        <w:tc>
          <w:tcPr>
            <w:tcW w:w="2789" w:type="dxa"/>
            <w:tcBorders>
              <w:top w:val="nil"/>
              <w:left w:val="nil"/>
              <w:bottom w:val="single" w:sz="8" w:space="0" w:color="000000"/>
              <w:right w:val="single" w:sz="8" w:space="0" w:color="000000"/>
            </w:tcBorders>
            <w:shd w:val="clear" w:color="auto" w:fill="auto"/>
            <w:vAlign w:val="center"/>
            <w:hideMark/>
          </w:tcPr>
          <w:p w14:paraId="1DC457C4"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(Holderbank) 37.1</w:t>
            </w:r>
          </w:p>
        </w:tc>
        <w:tc>
          <w:tcPr>
            <w:tcW w:w="2835" w:type="dxa"/>
            <w:tcBorders>
              <w:top w:val="nil"/>
              <w:left w:val="nil"/>
              <w:bottom w:val="single" w:sz="8" w:space="0" w:color="000000"/>
              <w:right w:val="single" w:sz="8" w:space="0" w:color="000000"/>
            </w:tcBorders>
            <w:shd w:val="clear" w:color="auto" w:fill="auto"/>
            <w:vAlign w:val="center"/>
            <w:hideMark/>
          </w:tcPr>
          <w:p w14:paraId="1067C91B"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(Kammersrohr) 29.2</w:t>
            </w:r>
          </w:p>
        </w:tc>
      </w:tr>
      <w:tr w:rsidR="006C604A" w:rsidRPr="004E2CEF" w14:paraId="3D142FE8"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5F2C479"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15</w:t>
            </w:r>
          </w:p>
        </w:tc>
        <w:tc>
          <w:tcPr>
            <w:tcW w:w="1100" w:type="dxa"/>
            <w:tcBorders>
              <w:top w:val="nil"/>
              <w:left w:val="nil"/>
              <w:bottom w:val="single" w:sz="8" w:space="0" w:color="000000"/>
              <w:right w:val="single" w:sz="8" w:space="0" w:color="000000"/>
            </w:tcBorders>
            <w:shd w:val="clear" w:color="auto" w:fill="auto"/>
            <w:vAlign w:val="center"/>
            <w:hideMark/>
          </w:tcPr>
          <w:p w14:paraId="2D683A4A"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AG</w:t>
            </w:r>
          </w:p>
        </w:tc>
        <w:tc>
          <w:tcPr>
            <w:tcW w:w="1520" w:type="dxa"/>
            <w:tcBorders>
              <w:top w:val="nil"/>
              <w:left w:val="nil"/>
              <w:bottom w:val="single" w:sz="8" w:space="0" w:color="000000"/>
              <w:right w:val="single" w:sz="8" w:space="0" w:color="000000"/>
            </w:tcBorders>
            <w:shd w:val="clear" w:color="auto" w:fill="auto"/>
            <w:vAlign w:val="center"/>
            <w:hideMark/>
          </w:tcPr>
          <w:p w14:paraId="1290E4AE"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34.5</w:t>
            </w:r>
          </w:p>
        </w:tc>
        <w:tc>
          <w:tcPr>
            <w:tcW w:w="2789" w:type="dxa"/>
            <w:tcBorders>
              <w:top w:val="nil"/>
              <w:left w:val="nil"/>
              <w:bottom w:val="single" w:sz="8" w:space="0" w:color="000000"/>
              <w:right w:val="single" w:sz="8" w:space="0" w:color="000000"/>
            </w:tcBorders>
            <w:shd w:val="clear" w:color="auto" w:fill="auto"/>
            <w:vAlign w:val="center"/>
            <w:hideMark/>
          </w:tcPr>
          <w:p w14:paraId="5BA198BD"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37.8</w:t>
            </w:r>
          </w:p>
        </w:tc>
        <w:tc>
          <w:tcPr>
            <w:tcW w:w="2835" w:type="dxa"/>
            <w:tcBorders>
              <w:top w:val="nil"/>
              <w:left w:val="nil"/>
              <w:bottom w:val="single" w:sz="8" w:space="0" w:color="000000"/>
              <w:right w:val="single" w:sz="8" w:space="0" w:color="000000"/>
            </w:tcBorders>
            <w:shd w:val="clear" w:color="auto" w:fill="auto"/>
            <w:vAlign w:val="center"/>
            <w:hideMark/>
          </w:tcPr>
          <w:p w14:paraId="616D66F8"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(Geltwil) 29.3</w:t>
            </w:r>
          </w:p>
        </w:tc>
      </w:tr>
      <w:tr w:rsidR="006C604A" w:rsidRPr="004E2CEF" w14:paraId="06F2365F"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A7E9BC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16</w:t>
            </w:r>
          </w:p>
        </w:tc>
        <w:tc>
          <w:tcPr>
            <w:tcW w:w="1100" w:type="dxa"/>
            <w:tcBorders>
              <w:top w:val="nil"/>
              <w:left w:val="nil"/>
              <w:bottom w:val="single" w:sz="8" w:space="0" w:color="000000"/>
              <w:right w:val="single" w:sz="8" w:space="0" w:color="000000"/>
            </w:tcBorders>
            <w:shd w:val="clear" w:color="auto" w:fill="auto"/>
            <w:vAlign w:val="center"/>
            <w:hideMark/>
          </w:tcPr>
          <w:p w14:paraId="762A88CA"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FR</w:t>
            </w:r>
          </w:p>
        </w:tc>
        <w:tc>
          <w:tcPr>
            <w:tcW w:w="1520" w:type="dxa"/>
            <w:tcBorders>
              <w:top w:val="nil"/>
              <w:left w:val="nil"/>
              <w:bottom w:val="single" w:sz="8" w:space="0" w:color="000000"/>
              <w:right w:val="single" w:sz="8" w:space="0" w:color="000000"/>
            </w:tcBorders>
            <w:shd w:val="clear" w:color="auto" w:fill="auto"/>
            <w:vAlign w:val="center"/>
            <w:hideMark/>
          </w:tcPr>
          <w:p w14:paraId="58CE9E6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35.3</w:t>
            </w:r>
          </w:p>
        </w:tc>
        <w:tc>
          <w:tcPr>
            <w:tcW w:w="2789" w:type="dxa"/>
            <w:tcBorders>
              <w:top w:val="nil"/>
              <w:left w:val="nil"/>
              <w:bottom w:val="single" w:sz="8" w:space="0" w:color="000000"/>
              <w:right w:val="single" w:sz="8" w:space="0" w:color="000000"/>
            </w:tcBorders>
            <w:shd w:val="clear" w:color="auto" w:fill="auto"/>
            <w:vAlign w:val="center"/>
            <w:hideMark/>
          </w:tcPr>
          <w:p w14:paraId="099E9F6C"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(Jaun) 38.0</w:t>
            </w:r>
          </w:p>
        </w:tc>
        <w:tc>
          <w:tcPr>
            <w:tcW w:w="2835" w:type="dxa"/>
            <w:tcBorders>
              <w:top w:val="nil"/>
              <w:left w:val="nil"/>
              <w:bottom w:val="single" w:sz="8" w:space="0" w:color="000000"/>
              <w:right w:val="single" w:sz="8" w:space="0" w:color="000000"/>
            </w:tcBorders>
            <w:shd w:val="clear" w:color="auto" w:fill="auto"/>
            <w:vAlign w:val="center"/>
            <w:hideMark/>
          </w:tcPr>
          <w:p w14:paraId="25569DD8"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(Greng) 28.8</w:t>
            </w:r>
          </w:p>
        </w:tc>
      </w:tr>
      <w:tr w:rsidR="006C604A" w:rsidRPr="004E2CEF" w14:paraId="5EC10268"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51C984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17</w:t>
            </w:r>
          </w:p>
        </w:tc>
        <w:tc>
          <w:tcPr>
            <w:tcW w:w="1100" w:type="dxa"/>
            <w:tcBorders>
              <w:top w:val="nil"/>
              <w:left w:val="nil"/>
              <w:bottom w:val="single" w:sz="8" w:space="0" w:color="000000"/>
              <w:right w:val="single" w:sz="8" w:space="0" w:color="000000"/>
            </w:tcBorders>
            <w:shd w:val="clear" w:color="auto" w:fill="auto"/>
            <w:vAlign w:val="center"/>
            <w:hideMark/>
          </w:tcPr>
          <w:p w14:paraId="0509C2DE"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VS</w:t>
            </w:r>
          </w:p>
        </w:tc>
        <w:tc>
          <w:tcPr>
            <w:tcW w:w="1520" w:type="dxa"/>
            <w:tcBorders>
              <w:top w:val="nil"/>
              <w:left w:val="nil"/>
              <w:bottom w:val="single" w:sz="8" w:space="0" w:color="000000"/>
              <w:right w:val="single" w:sz="8" w:space="0" w:color="000000"/>
            </w:tcBorders>
            <w:shd w:val="clear" w:color="auto" w:fill="auto"/>
            <w:vAlign w:val="center"/>
            <w:hideMark/>
          </w:tcPr>
          <w:p w14:paraId="62857C8A"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36.5</w:t>
            </w:r>
          </w:p>
        </w:tc>
        <w:tc>
          <w:tcPr>
            <w:tcW w:w="2789" w:type="dxa"/>
            <w:tcBorders>
              <w:top w:val="nil"/>
              <w:left w:val="nil"/>
              <w:bottom w:val="single" w:sz="8" w:space="0" w:color="000000"/>
              <w:right w:val="single" w:sz="8" w:space="0" w:color="000000"/>
            </w:tcBorders>
            <w:shd w:val="clear" w:color="auto" w:fill="auto"/>
            <w:vAlign w:val="center"/>
            <w:hideMark/>
          </w:tcPr>
          <w:p w14:paraId="36079552"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(Leukerbad) 40.5</w:t>
            </w:r>
          </w:p>
        </w:tc>
        <w:tc>
          <w:tcPr>
            <w:tcW w:w="2835" w:type="dxa"/>
            <w:tcBorders>
              <w:top w:val="nil"/>
              <w:left w:val="nil"/>
              <w:bottom w:val="single" w:sz="8" w:space="0" w:color="000000"/>
              <w:right w:val="single" w:sz="8" w:space="0" w:color="000000"/>
            </w:tcBorders>
            <w:shd w:val="clear" w:color="auto" w:fill="auto"/>
            <w:vAlign w:val="center"/>
            <w:hideMark/>
          </w:tcPr>
          <w:p w14:paraId="5BF846CD"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35.5</w:t>
            </w:r>
          </w:p>
        </w:tc>
      </w:tr>
      <w:tr w:rsidR="006C604A" w:rsidRPr="004E2CEF" w14:paraId="1CC21463"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D864B1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18</w:t>
            </w:r>
          </w:p>
        </w:tc>
        <w:tc>
          <w:tcPr>
            <w:tcW w:w="1100" w:type="dxa"/>
            <w:tcBorders>
              <w:top w:val="nil"/>
              <w:left w:val="nil"/>
              <w:bottom w:val="single" w:sz="8" w:space="0" w:color="000000"/>
              <w:right w:val="single" w:sz="8" w:space="0" w:color="000000"/>
            </w:tcBorders>
            <w:shd w:val="clear" w:color="auto" w:fill="auto"/>
            <w:vAlign w:val="center"/>
            <w:hideMark/>
          </w:tcPr>
          <w:p w14:paraId="13FC70A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NE</w:t>
            </w:r>
          </w:p>
        </w:tc>
        <w:tc>
          <w:tcPr>
            <w:tcW w:w="1520" w:type="dxa"/>
            <w:tcBorders>
              <w:top w:val="nil"/>
              <w:left w:val="nil"/>
              <w:bottom w:val="single" w:sz="8" w:space="0" w:color="000000"/>
              <w:right w:val="single" w:sz="8" w:space="0" w:color="000000"/>
            </w:tcBorders>
            <w:shd w:val="clear" w:color="auto" w:fill="auto"/>
            <w:vAlign w:val="center"/>
            <w:hideMark/>
          </w:tcPr>
          <w:p w14:paraId="567982D7"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38.1</w:t>
            </w:r>
          </w:p>
        </w:tc>
        <w:tc>
          <w:tcPr>
            <w:tcW w:w="2789" w:type="dxa"/>
            <w:tcBorders>
              <w:top w:val="nil"/>
              <w:left w:val="nil"/>
              <w:bottom w:val="single" w:sz="8" w:space="0" w:color="000000"/>
              <w:right w:val="single" w:sz="8" w:space="0" w:color="000000"/>
            </w:tcBorders>
            <w:shd w:val="clear" w:color="auto" w:fill="auto"/>
            <w:vAlign w:val="center"/>
            <w:hideMark/>
          </w:tcPr>
          <w:p w14:paraId="0E9D4E58"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40.1</w:t>
            </w:r>
          </w:p>
        </w:tc>
        <w:tc>
          <w:tcPr>
            <w:tcW w:w="2835" w:type="dxa"/>
            <w:tcBorders>
              <w:top w:val="nil"/>
              <w:left w:val="nil"/>
              <w:bottom w:val="single" w:sz="8" w:space="0" w:color="000000"/>
              <w:right w:val="single" w:sz="8" w:space="0" w:color="000000"/>
            </w:tcBorders>
            <w:shd w:val="clear" w:color="auto" w:fill="auto"/>
            <w:vAlign w:val="center"/>
            <w:hideMark/>
          </w:tcPr>
          <w:p w14:paraId="43D35073"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(Milvignes) 37.8</w:t>
            </w:r>
          </w:p>
        </w:tc>
      </w:tr>
      <w:tr w:rsidR="006C604A" w:rsidRPr="004E2CEF" w14:paraId="17CA7127"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C94CDD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19</w:t>
            </w:r>
          </w:p>
        </w:tc>
        <w:tc>
          <w:tcPr>
            <w:tcW w:w="1100" w:type="dxa"/>
            <w:tcBorders>
              <w:top w:val="nil"/>
              <w:left w:val="nil"/>
              <w:bottom w:val="single" w:sz="8" w:space="0" w:color="000000"/>
              <w:right w:val="single" w:sz="8" w:space="0" w:color="000000"/>
            </w:tcBorders>
            <w:shd w:val="clear" w:color="auto" w:fill="auto"/>
            <w:vAlign w:val="center"/>
            <w:hideMark/>
          </w:tcPr>
          <w:p w14:paraId="53A89913"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JU</w:t>
            </w:r>
          </w:p>
        </w:tc>
        <w:tc>
          <w:tcPr>
            <w:tcW w:w="1520" w:type="dxa"/>
            <w:tcBorders>
              <w:top w:val="nil"/>
              <w:left w:val="nil"/>
              <w:bottom w:val="single" w:sz="8" w:space="0" w:color="000000"/>
              <w:right w:val="single" w:sz="8" w:space="0" w:color="000000"/>
            </w:tcBorders>
            <w:shd w:val="clear" w:color="auto" w:fill="auto"/>
            <w:vAlign w:val="center"/>
            <w:hideMark/>
          </w:tcPr>
          <w:p w14:paraId="0605590E"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39</w:t>
            </w:r>
          </w:p>
        </w:tc>
        <w:tc>
          <w:tcPr>
            <w:tcW w:w="2789" w:type="dxa"/>
            <w:tcBorders>
              <w:top w:val="nil"/>
              <w:left w:val="nil"/>
              <w:bottom w:val="single" w:sz="8" w:space="0" w:color="000000"/>
              <w:right w:val="single" w:sz="8" w:space="0" w:color="000000"/>
            </w:tcBorders>
            <w:shd w:val="clear" w:color="auto" w:fill="auto"/>
            <w:vAlign w:val="center"/>
            <w:hideMark/>
          </w:tcPr>
          <w:p w14:paraId="163617D3"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41.6</w:t>
            </w:r>
          </w:p>
        </w:tc>
        <w:tc>
          <w:tcPr>
            <w:tcW w:w="2835" w:type="dxa"/>
            <w:tcBorders>
              <w:top w:val="nil"/>
              <w:left w:val="nil"/>
              <w:bottom w:val="single" w:sz="8" w:space="0" w:color="000000"/>
              <w:right w:val="single" w:sz="8" w:space="0" w:color="000000"/>
            </w:tcBorders>
            <w:shd w:val="clear" w:color="auto" w:fill="auto"/>
            <w:vAlign w:val="center"/>
            <w:hideMark/>
          </w:tcPr>
          <w:p w14:paraId="343CB3CC"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(Les Breuleux) 36.1</w:t>
            </w:r>
          </w:p>
        </w:tc>
      </w:tr>
      <w:tr w:rsidR="006C604A" w:rsidRPr="004E2CEF" w14:paraId="4E4AAE45"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C63A90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20</w:t>
            </w:r>
          </w:p>
        </w:tc>
        <w:tc>
          <w:tcPr>
            <w:tcW w:w="1100" w:type="dxa"/>
            <w:tcBorders>
              <w:top w:val="nil"/>
              <w:left w:val="nil"/>
              <w:bottom w:val="single" w:sz="8" w:space="0" w:color="000000"/>
              <w:right w:val="single" w:sz="8" w:space="0" w:color="000000"/>
            </w:tcBorders>
            <w:shd w:val="clear" w:color="auto" w:fill="auto"/>
            <w:vAlign w:val="center"/>
            <w:hideMark/>
          </w:tcPr>
          <w:p w14:paraId="2659474B"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ZH</w:t>
            </w:r>
          </w:p>
        </w:tc>
        <w:tc>
          <w:tcPr>
            <w:tcW w:w="1520" w:type="dxa"/>
            <w:tcBorders>
              <w:top w:val="nil"/>
              <w:left w:val="nil"/>
              <w:bottom w:val="single" w:sz="8" w:space="0" w:color="000000"/>
              <w:right w:val="single" w:sz="8" w:space="0" w:color="000000"/>
            </w:tcBorders>
            <w:shd w:val="clear" w:color="auto" w:fill="auto"/>
            <w:vAlign w:val="center"/>
            <w:hideMark/>
          </w:tcPr>
          <w:p w14:paraId="4A10CD7B"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39.8</w:t>
            </w:r>
          </w:p>
        </w:tc>
        <w:tc>
          <w:tcPr>
            <w:tcW w:w="2789" w:type="dxa"/>
            <w:tcBorders>
              <w:top w:val="nil"/>
              <w:left w:val="nil"/>
              <w:bottom w:val="single" w:sz="8" w:space="0" w:color="000000"/>
              <w:right w:val="single" w:sz="8" w:space="0" w:color="000000"/>
            </w:tcBorders>
            <w:shd w:val="clear" w:color="auto" w:fill="auto"/>
            <w:vAlign w:val="center"/>
            <w:hideMark/>
          </w:tcPr>
          <w:p w14:paraId="01A7BB3C"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(Maschwanden) 41.3</w:t>
            </w:r>
          </w:p>
        </w:tc>
        <w:tc>
          <w:tcPr>
            <w:tcW w:w="2835" w:type="dxa"/>
            <w:tcBorders>
              <w:top w:val="nil"/>
              <w:left w:val="nil"/>
              <w:bottom w:val="single" w:sz="8" w:space="0" w:color="000000"/>
              <w:right w:val="single" w:sz="8" w:space="0" w:color="000000"/>
            </w:tcBorders>
            <w:shd w:val="clear" w:color="auto" w:fill="auto"/>
            <w:vAlign w:val="center"/>
            <w:hideMark/>
          </w:tcPr>
          <w:p w14:paraId="1AC68E38"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(Kilchberg) 33.7</w:t>
            </w:r>
          </w:p>
        </w:tc>
      </w:tr>
      <w:tr w:rsidR="006C604A" w:rsidRPr="004E2CEF" w14:paraId="6CEFD522"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000000" w:fill="FFCCCC"/>
            <w:vAlign w:val="center"/>
            <w:hideMark/>
          </w:tcPr>
          <w:p w14:paraId="220C6DB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21</w:t>
            </w:r>
          </w:p>
        </w:tc>
        <w:tc>
          <w:tcPr>
            <w:tcW w:w="1100" w:type="dxa"/>
            <w:tcBorders>
              <w:top w:val="nil"/>
              <w:left w:val="nil"/>
              <w:bottom w:val="single" w:sz="8" w:space="0" w:color="000000"/>
              <w:right w:val="single" w:sz="8" w:space="0" w:color="000000"/>
            </w:tcBorders>
            <w:shd w:val="clear" w:color="000000" w:fill="FFCCCC"/>
            <w:vAlign w:val="center"/>
            <w:hideMark/>
          </w:tcPr>
          <w:p w14:paraId="51D8C836"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TI</w:t>
            </w:r>
          </w:p>
        </w:tc>
        <w:tc>
          <w:tcPr>
            <w:tcW w:w="1520" w:type="dxa"/>
            <w:tcBorders>
              <w:top w:val="nil"/>
              <w:left w:val="nil"/>
              <w:bottom w:val="single" w:sz="8" w:space="0" w:color="000000"/>
              <w:right w:val="single" w:sz="8" w:space="0" w:color="000000"/>
            </w:tcBorders>
            <w:shd w:val="clear" w:color="000000" w:fill="FFCCCC"/>
            <w:vAlign w:val="center"/>
            <w:hideMark/>
          </w:tcPr>
          <w:p w14:paraId="0485A034"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40.1</w:t>
            </w:r>
          </w:p>
        </w:tc>
        <w:tc>
          <w:tcPr>
            <w:tcW w:w="2789" w:type="dxa"/>
            <w:tcBorders>
              <w:top w:val="nil"/>
              <w:left w:val="nil"/>
              <w:bottom w:val="single" w:sz="8" w:space="0" w:color="000000"/>
              <w:right w:val="single" w:sz="8" w:space="0" w:color="000000"/>
            </w:tcBorders>
            <w:shd w:val="clear" w:color="000000" w:fill="FFCCCC"/>
            <w:vAlign w:val="center"/>
            <w:hideMark/>
          </w:tcPr>
          <w:p w14:paraId="155FA38A"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41.2</w:t>
            </w:r>
          </w:p>
        </w:tc>
        <w:tc>
          <w:tcPr>
            <w:tcW w:w="2835" w:type="dxa"/>
            <w:tcBorders>
              <w:top w:val="nil"/>
              <w:left w:val="nil"/>
              <w:bottom w:val="single" w:sz="8" w:space="0" w:color="000000"/>
              <w:right w:val="single" w:sz="8" w:space="0" w:color="000000"/>
            </w:tcBorders>
            <w:shd w:val="clear" w:color="000000" w:fill="FFCCCC"/>
            <w:vAlign w:val="center"/>
            <w:hideMark/>
          </w:tcPr>
          <w:p w14:paraId="1111A4E6"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(Castel San Pietro) 34.4</w:t>
            </w:r>
          </w:p>
        </w:tc>
      </w:tr>
      <w:tr w:rsidR="006C604A" w:rsidRPr="004E2CEF" w14:paraId="152574F7"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47D0616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22</w:t>
            </w:r>
          </w:p>
        </w:tc>
        <w:tc>
          <w:tcPr>
            <w:tcW w:w="1100" w:type="dxa"/>
            <w:tcBorders>
              <w:top w:val="nil"/>
              <w:left w:val="nil"/>
              <w:bottom w:val="single" w:sz="8" w:space="0" w:color="000000"/>
              <w:right w:val="single" w:sz="8" w:space="0" w:color="000000"/>
            </w:tcBorders>
            <w:shd w:val="clear" w:color="auto" w:fill="auto"/>
            <w:vAlign w:val="center"/>
            <w:hideMark/>
          </w:tcPr>
          <w:p w14:paraId="203677FA"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BS</w:t>
            </w:r>
          </w:p>
        </w:tc>
        <w:tc>
          <w:tcPr>
            <w:tcW w:w="1520" w:type="dxa"/>
            <w:tcBorders>
              <w:top w:val="nil"/>
              <w:left w:val="nil"/>
              <w:bottom w:val="single" w:sz="8" w:space="0" w:color="000000"/>
              <w:right w:val="single" w:sz="8" w:space="0" w:color="000000"/>
            </w:tcBorders>
            <w:shd w:val="clear" w:color="auto" w:fill="auto"/>
            <w:vAlign w:val="center"/>
            <w:hideMark/>
          </w:tcPr>
          <w:p w14:paraId="64A5827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40.5</w:t>
            </w:r>
          </w:p>
        </w:tc>
        <w:tc>
          <w:tcPr>
            <w:tcW w:w="2789" w:type="dxa"/>
            <w:tcBorders>
              <w:top w:val="nil"/>
              <w:left w:val="nil"/>
              <w:bottom w:val="single" w:sz="8" w:space="0" w:color="000000"/>
              <w:right w:val="single" w:sz="8" w:space="0" w:color="000000"/>
            </w:tcBorders>
            <w:shd w:val="clear" w:color="auto" w:fill="auto"/>
            <w:vAlign w:val="center"/>
            <w:hideMark/>
          </w:tcPr>
          <w:p w14:paraId="3C8A13F9"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(Basel) 40.5</w:t>
            </w:r>
          </w:p>
        </w:tc>
        <w:tc>
          <w:tcPr>
            <w:tcW w:w="2835" w:type="dxa"/>
            <w:tcBorders>
              <w:top w:val="nil"/>
              <w:left w:val="nil"/>
              <w:bottom w:val="single" w:sz="8" w:space="0" w:color="000000"/>
              <w:right w:val="single" w:sz="8" w:space="0" w:color="000000"/>
            </w:tcBorders>
            <w:shd w:val="clear" w:color="auto" w:fill="auto"/>
            <w:vAlign w:val="center"/>
            <w:hideMark/>
          </w:tcPr>
          <w:p w14:paraId="182D1904"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(Bettingen) 36.9</w:t>
            </w:r>
          </w:p>
        </w:tc>
      </w:tr>
      <w:tr w:rsidR="006C604A" w:rsidRPr="004E2CEF" w14:paraId="43479FB8"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5904D848"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23</w:t>
            </w:r>
          </w:p>
        </w:tc>
        <w:tc>
          <w:tcPr>
            <w:tcW w:w="1100" w:type="dxa"/>
            <w:tcBorders>
              <w:top w:val="nil"/>
              <w:left w:val="nil"/>
              <w:bottom w:val="single" w:sz="8" w:space="0" w:color="000000"/>
              <w:right w:val="single" w:sz="8" w:space="0" w:color="000000"/>
            </w:tcBorders>
            <w:shd w:val="clear" w:color="auto" w:fill="auto"/>
            <w:vAlign w:val="center"/>
            <w:hideMark/>
          </w:tcPr>
          <w:p w14:paraId="29EA36F9"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BE</w:t>
            </w:r>
          </w:p>
        </w:tc>
        <w:tc>
          <w:tcPr>
            <w:tcW w:w="1520" w:type="dxa"/>
            <w:tcBorders>
              <w:top w:val="nil"/>
              <w:left w:val="nil"/>
              <w:bottom w:val="single" w:sz="8" w:space="0" w:color="000000"/>
              <w:right w:val="single" w:sz="8" w:space="0" w:color="000000"/>
            </w:tcBorders>
            <w:shd w:val="clear" w:color="auto" w:fill="auto"/>
            <w:vAlign w:val="center"/>
            <w:hideMark/>
          </w:tcPr>
          <w:p w14:paraId="194BA8C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41.2</w:t>
            </w:r>
          </w:p>
        </w:tc>
        <w:tc>
          <w:tcPr>
            <w:tcW w:w="2789" w:type="dxa"/>
            <w:tcBorders>
              <w:top w:val="nil"/>
              <w:left w:val="nil"/>
              <w:bottom w:val="single" w:sz="8" w:space="0" w:color="000000"/>
              <w:right w:val="single" w:sz="8" w:space="0" w:color="000000"/>
            </w:tcBorders>
            <w:shd w:val="clear" w:color="auto" w:fill="auto"/>
            <w:vAlign w:val="center"/>
            <w:hideMark/>
          </w:tcPr>
          <w:p w14:paraId="0695B3BB"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(Schelten) 45.5</w:t>
            </w:r>
          </w:p>
        </w:tc>
        <w:tc>
          <w:tcPr>
            <w:tcW w:w="2835" w:type="dxa"/>
            <w:tcBorders>
              <w:top w:val="nil"/>
              <w:left w:val="nil"/>
              <w:bottom w:val="single" w:sz="8" w:space="0" w:color="000000"/>
              <w:right w:val="single" w:sz="8" w:space="0" w:color="000000"/>
            </w:tcBorders>
            <w:shd w:val="clear" w:color="auto" w:fill="auto"/>
            <w:vAlign w:val="center"/>
            <w:hideMark/>
          </w:tcPr>
          <w:p w14:paraId="381CC894"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(Deisswil) 36.9</w:t>
            </w:r>
          </w:p>
        </w:tc>
      </w:tr>
      <w:tr w:rsidR="006C604A" w:rsidRPr="004E2CEF" w14:paraId="4EDBDD82"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2DC73A66"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24</w:t>
            </w:r>
          </w:p>
        </w:tc>
        <w:tc>
          <w:tcPr>
            <w:tcW w:w="1100" w:type="dxa"/>
            <w:tcBorders>
              <w:top w:val="nil"/>
              <w:left w:val="nil"/>
              <w:bottom w:val="single" w:sz="8" w:space="0" w:color="000000"/>
              <w:right w:val="single" w:sz="8" w:space="0" w:color="000000"/>
            </w:tcBorders>
            <w:shd w:val="clear" w:color="auto" w:fill="auto"/>
            <w:vAlign w:val="center"/>
            <w:hideMark/>
          </w:tcPr>
          <w:p w14:paraId="4F182BC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VD</w:t>
            </w:r>
          </w:p>
        </w:tc>
        <w:tc>
          <w:tcPr>
            <w:tcW w:w="1520" w:type="dxa"/>
            <w:tcBorders>
              <w:top w:val="nil"/>
              <w:left w:val="nil"/>
              <w:bottom w:val="single" w:sz="8" w:space="0" w:color="000000"/>
              <w:right w:val="single" w:sz="8" w:space="0" w:color="000000"/>
            </w:tcBorders>
            <w:shd w:val="clear" w:color="auto" w:fill="auto"/>
            <w:vAlign w:val="center"/>
            <w:hideMark/>
          </w:tcPr>
          <w:p w14:paraId="6D5356A3"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41.5</w:t>
            </w:r>
          </w:p>
        </w:tc>
        <w:tc>
          <w:tcPr>
            <w:tcW w:w="2789" w:type="dxa"/>
            <w:tcBorders>
              <w:top w:val="nil"/>
              <w:left w:val="nil"/>
              <w:bottom w:val="single" w:sz="8" w:space="0" w:color="000000"/>
              <w:right w:val="single" w:sz="8" w:space="0" w:color="000000"/>
            </w:tcBorders>
            <w:shd w:val="clear" w:color="auto" w:fill="auto"/>
            <w:vAlign w:val="center"/>
            <w:hideMark/>
          </w:tcPr>
          <w:p w14:paraId="312FAF04"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(La Praz) 41.5</w:t>
            </w:r>
          </w:p>
        </w:tc>
        <w:tc>
          <w:tcPr>
            <w:tcW w:w="2835" w:type="dxa"/>
            <w:tcBorders>
              <w:top w:val="nil"/>
              <w:left w:val="nil"/>
              <w:bottom w:val="single" w:sz="8" w:space="0" w:color="000000"/>
              <w:right w:val="single" w:sz="8" w:space="0" w:color="000000"/>
            </w:tcBorders>
            <w:shd w:val="clear" w:color="auto" w:fill="auto"/>
            <w:vAlign w:val="center"/>
            <w:hideMark/>
          </w:tcPr>
          <w:p w14:paraId="0D59F36A"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(Eclépens) 41.5</w:t>
            </w:r>
          </w:p>
        </w:tc>
      </w:tr>
      <w:tr w:rsidR="006C604A" w:rsidRPr="004E2CEF" w14:paraId="7F559DEF"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63CDA050"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25</w:t>
            </w:r>
          </w:p>
        </w:tc>
        <w:tc>
          <w:tcPr>
            <w:tcW w:w="1100" w:type="dxa"/>
            <w:tcBorders>
              <w:top w:val="nil"/>
              <w:left w:val="nil"/>
              <w:bottom w:val="single" w:sz="8" w:space="0" w:color="000000"/>
              <w:right w:val="single" w:sz="8" w:space="0" w:color="000000"/>
            </w:tcBorders>
            <w:shd w:val="clear" w:color="auto" w:fill="auto"/>
            <w:vAlign w:val="center"/>
            <w:hideMark/>
          </w:tcPr>
          <w:p w14:paraId="628BFFF7"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BL</w:t>
            </w:r>
          </w:p>
        </w:tc>
        <w:tc>
          <w:tcPr>
            <w:tcW w:w="1520" w:type="dxa"/>
            <w:tcBorders>
              <w:top w:val="nil"/>
              <w:left w:val="nil"/>
              <w:bottom w:val="single" w:sz="8" w:space="0" w:color="000000"/>
              <w:right w:val="single" w:sz="8" w:space="0" w:color="000000"/>
            </w:tcBorders>
            <w:shd w:val="clear" w:color="auto" w:fill="auto"/>
            <w:vAlign w:val="center"/>
            <w:hideMark/>
          </w:tcPr>
          <w:p w14:paraId="2FE79DF1"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42.2</w:t>
            </w:r>
          </w:p>
        </w:tc>
        <w:tc>
          <w:tcPr>
            <w:tcW w:w="2789" w:type="dxa"/>
            <w:tcBorders>
              <w:top w:val="nil"/>
              <w:left w:val="nil"/>
              <w:bottom w:val="single" w:sz="8" w:space="0" w:color="000000"/>
              <w:right w:val="single" w:sz="8" w:space="0" w:color="000000"/>
            </w:tcBorders>
            <w:shd w:val="clear" w:color="auto" w:fill="auto"/>
            <w:vAlign w:val="center"/>
            <w:hideMark/>
          </w:tcPr>
          <w:p w14:paraId="63A30003"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(Waldenburg) 43.1</w:t>
            </w:r>
          </w:p>
        </w:tc>
        <w:tc>
          <w:tcPr>
            <w:tcW w:w="2835" w:type="dxa"/>
            <w:tcBorders>
              <w:top w:val="nil"/>
              <w:left w:val="nil"/>
              <w:bottom w:val="single" w:sz="8" w:space="0" w:color="000000"/>
              <w:right w:val="single" w:sz="8" w:space="0" w:color="000000"/>
            </w:tcBorders>
            <w:shd w:val="clear" w:color="auto" w:fill="auto"/>
            <w:vAlign w:val="center"/>
            <w:hideMark/>
          </w:tcPr>
          <w:p w14:paraId="7F446EA5"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38.5</w:t>
            </w:r>
          </w:p>
        </w:tc>
      </w:tr>
      <w:tr w:rsidR="006C604A" w:rsidRPr="004E2CEF" w14:paraId="6B76BDB1" w14:textId="77777777" w:rsidTr="000649D7">
        <w:trPr>
          <w:trHeight w:val="315"/>
        </w:trPr>
        <w:tc>
          <w:tcPr>
            <w:tcW w:w="960" w:type="dxa"/>
            <w:tcBorders>
              <w:top w:val="nil"/>
              <w:left w:val="single" w:sz="8" w:space="0" w:color="000000"/>
              <w:bottom w:val="single" w:sz="8" w:space="0" w:color="000000"/>
              <w:right w:val="single" w:sz="8" w:space="0" w:color="000000"/>
            </w:tcBorders>
            <w:shd w:val="clear" w:color="auto" w:fill="auto"/>
            <w:vAlign w:val="center"/>
            <w:hideMark/>
          </w:tcPr>
          <w:p w14:paraId="1298CC8B"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26</w:t>
            </w:r>
          </w:p>
        </w:tc>
        <w:tc>
          <w:tcPr>
            <w:tcW w:w="1100" w:type="dxa"/>
            <w:tcBorders>
              <w:top w:val="nil"/>
              <w:left w:val="nil"/>
              <w:bottom w:val="single" w:sz="8" w:space="0" w:color="000000"/>
              <w:right w:val="single" w:sz="8" w:space="0" w:color="000000"/>
            </w:tcBorders>
            <w:shd w:val="clear" w:color="auto" w:fill="auto"/>
            <w:vAlign w:val="center"/>
            <w:hideMark/>
          </w:tcPr>
          <w:p w14:paraId="0AEBA792"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GE</w:t>
            </w:r>
          </w:p>
        </w:tc>
        <w:tc>
          <w:tcPr>
            <w:tcW w:w="1520" w:type="dxa"/>
            <w:tcBorders>
              <w:top w:val="nil"/>
              <w:left w:val="nil"/>
              <w:bottom w:val="single" w:sz="8" w:space="0" w:color="000000"/>
              <w:right w:val="single" w:sz="8" w:space="0" w:color="000000"/>
            </w:tcBorders>
            <w:shd w:val="clear" w:color="auto" w:fill="auto"/>
            <w:vAlign w:val="center"/>
            <w:hideMark/>
          </w:tcPr>
          <w:p w14:paraId="0D8852ED" w14:textId="77777777" w:rsidR="006C604A" w:rsidRPr="004E2CEF" w:rsidRDefault="006C604A" w:rsidP="000649D7">
            <w:pPr>
              <w:jc w:val="center"/>
              <w:rPr>
                <w:rFonts w:eastAsia="Times New Roman" w:cs="Arial"/>
                <w:color w:val="000000"/>
                <w:lang w:eastAsia="it-CH"/>
              </w:rPr>
            </w:pPr>
            <w:r w:rsidRPr="004E2CEF">
              <w:rPr>
                <w:rFonts w:eastAsia="Times New Roman" w:cs="Arial"/>
                <w:color w:val="000000"/>
                <w:lang w:eastAsia="it-CH"/>
              </w:rPr>
              <w:t>45</w:t>
            </w:r>
          </w:p>
        </w:tc>
        <w:tc>
          <w:tcPr>
            <w:tcW w:w="2789" w:type="dxa"/>
            <w:tcBorders>
              <w:top w:val="nil"/>
              <w:left w:val="nil"/>
              <w:bottom w:val="single" w:sz="8" w:space="0" w:color="000000"/>
              <w:right w:val="single" w:sz="8" w:space="0" w:color="000000"/>
            </w:tcBorders>
            <w:shd w:val="clear" w:color="000000" w:fill="CCEAFF"/>
            <w:vAlign w:val="center"/>
            <w:hideMark/>
          </w:tcPr>
          <w:p w14:paraId="41E1FB21"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(Diversi) 46.0</w:t>
            </w:r>
          </w:p>
        </w:tc>
        <w:tc>
          <w:tcPr>
            <w:tcW w:w="2835" w:type="dxa"/>
            <w:tcBorders>
              <w:top w:val="nil"/>
              <w:left w:val="nil"/>
              <w:bottom w:val="single" w:sz="8" w:space="0" w:color="000000"/>
              <w:right w:val="single" w:sz="8" w:space="0" w:color="000000"/>
            </w:tcBorders>
            <w:shd w:val="clear" w:color="auto" w:fill="auto"/>
            <w:vAlign w:val="center"/>
            <w:hideMark/>
          </w:tcPr>
          <w:p w14:paraId="156C0133" w14:textId="77777777" w:rsidR="006C604A" w:rsidRPr="004E2CEF" w:rsidRDefault="006C604A" w:rsidP="000649D7">
            <w:pPr>
              <w:jc w:val="right"/>
              <w:rPr>
                <w:rFonts w:eastAsia="Times New Roman" w:cs="Arial"/>
                <w:color w:val="000000"/>
                <w:lang w:eastAsia="it-CH"/>
              </w:rPr>
            </w:pPr>
            <w:r w:rsidRPr="004E2CEF">
              <w:rPr>
                <w:rFonts w:eastAsia="Times New Roman" w:cs="Arial"/>
                <w:color w:val="000000"/>
                <w:lang w:eastAsia="it-CH"/>
              </w:rPr>
              <w:t>(Genthod) 41.1</w:t>
            </w:r>
          </w:p>
        </w:tc>
      </w:tr>
    </w:tbl>
    <w:p w14:paraId="7C810270" w14:textId="77777777" w:rsidR="003333C2" w:rsidRDefault="003333C2">
      <w:pPr>
        <w:rPr>
          <w:sz w:val="24"/>
          <w:lang w:val="fr-FR"/>
        </w:rPr>
      </w:pPr>
    </w:p>
    <w:p w14:paraId="3D4D9C5B" w14:textId="77777777" w:rsidR="00D5751F" w:rsidRDefault="00D5751F">
      <w:pPr>
        <w:rPr>
          <w:sz w:val="24"/>
          <w:lang w:val="fr-FR"/>
        </w:rPr>
        <w:sectPr w:rsidR="00D5751F" w:rsidSect="00A51427">
          <w:headerReference w:type="default" r:id="rId31"/>
          <w:footerReference w:type="default" r:id="rId32"/>
          <w:pgSz w:w="11906" w:h="16838" w:code="9"/>
          <w:pgMar w:top="1985" w:right="861" w:bottom="1134" w:left="1560" w:header="533" w:footer="397" w:gutter="0"/>
          <w:cols w:space="708"/>
          <w:docGrid w:linePitch="360"/>
        </w:sectPr>
      </w:pPr>
    </w:p>
    <w:p w14:paraId="25A4C2DF" w14:textId="77777777" w:rsidR="004411A7" w:rsidRPr="004411A7" w:rsidRDefault="004411A7" w:rsidP="004411A7">
      <w:pPr>
        <w:rPr>
          <w:sz w:val="24"/>
          <w:szCs w:val="24"/>
        </w:rPr>
      </w:pPr>
      <w:r w:rsidRPr="004411A7">
        <w:rPr>
          <w:sz w:val="24"/>
          <w:szCs w:val="24"/>
        </w:rPr>
        <w:t>Disegno di</w:t>
      </w:r>
    </w:p>
    <w:p w14:paraId="3CD4BE67" w14:textId="77777777" w:rsidR="004411A7" w:rsidRPr="004411A7" w:rsidRDefault="004411A7" w:rsidP="004411A7">
      <w:pPr>
        <w:rPr>
          <w:sz w:val="24"/>
          <w:szCs w:val="24"/>
        </w:rPr>
      </w:pPr>
    </w:p>
    <w:p w14:paraId="489943A5" w14:textId="77777777" w:rsidR="004411A7" w:rsidRPr="004411A7" w:rsidRDefault="004411A7" w:rsidP="004411A7">
      <w:pPr>
        <w:rPr>
          <w:b/>
          <w:sz w:val="24"/>
          <w:szCs w:val="24"/>
        </w:rPr>
      </w:pPr>
      <w:r w:rsidRPr="004411A7">
        <w:rPr>
          <w:b/>
          <w:sz w:val="24"/>
          <w:szCs w:val="24"/>
        </w:rPr>
        <w:t>Legge</w:t>
      </w:r>
    </w:p>
    <w:p w14:paraId="3AC4DCB2" w14:textId="77777777" w:rsidR="004411A7" w:rsidRPr="004411A7" w:rsidRDefault="004411A7" w:rsidP="004411A7">
      <w:pPr>
        <w:rPr>
          <w:b/>
          <w:bCs/>
          <w:sz w:val="24"/>
          <w:szCs w:val="24"/>
        </w:rPr>
      </w:pPr>
      <w:r w:rsidRPr="004411A7">
        <w:rPr>
          <w:b/>
          <w:bCs/>
          <w:sz w:val="24"/>
          <w:szCs w:val="24"/>
        </w:rPr>
        <w:t xml:space="preserve">tributaria </w:t>
      </w:r>
    </w:p>
    <w:p w14:paraId="2D5364A5" w14:textId="77777777" w:rsidR="004411A7" w:rsidRPr="004411A7" w:rsidRDefault="004411A7" w:rsidP="004411A7">
      <w:pPr>
        <w:rPr>
          <w:b/>
          <w:sz w:val="24"/>
          <w:szCs w:val="24"/>
        </w:rPr>
      </w:pPr>
      <w:r w:rsidRPr="004411A7">
        <w:rPr>
          <w:b/>
          <w:sz w:val="24"/>
          <w:szCs w:val="24"/>
        </w:rPr>
        <w:t>(LT)</w:t>
      </w:r>
    </w:p>
    <w:p w14:paraId="7348C875" w14:textId="77777777" w:rsidR="004411A7" w:rsidRPr="004411A7" w:rsidRDefault="004411A7" w:rsidP="004411A7">
      <w:pPr>
        <w:rPr>
          <w:sz w:val="24"/>
          <w:szCs w:val="24"/>
        </w:rPr>
      </w:pPr>
      <w:r w:rsidRPr="004411A7">
        <w:rPr>
          <w:sz w:val="24"/>
          <w:szCs w:val="24"/>
        </w:rPr>
        <w:t>modifica del ....................</w:t>
      </w:r>
    </w:p>
    <w:p w14:paraId="4A3F2B63" w14:textId="77777777" w:rsidR="004411A7" w:rsidRPr="004411A7" w:rsidRDefault="004411A7" w:rsidP="004411A7">
      <w:pPr>
        <w:rPr>
          <w:sz w:val="24"/>
          <w:szCs w:val="24"/>
        </w:rPr>
      </w:pPr>
    </w:p>
    <w:p w14:paraId="74704A9B" w14:textId="77777777" w:rsidR="004411A7" w:rsidRPr="004411A7" w:rsidRDefault="004411A7" w:rsidP="004411A7">
      <w:pPr>
        <w:rPr>
          <w:sz w:val="24"/>
          <w:szCs w:val="24"/>
        </w:rPr>
      </w:pPr>
      <w:r w:rsidRPr="004411A7">
        <w:rPr>
          <w:sz w:val="24"/>
          <w:szCs w:val="24"/>
        </w:rPr>
        <w:t>IL GRAN CONSIGLIO</w:t>
      </w:r>
    </w:p>
    <w:p w14:paraId="12EB0DC1" w14:textId="77777777" w:rsidR="004411A7" w:rsidRPr="004411A7" w:rsidRDefault="004411A7" w:rsidP="004411A7">
      <w:pPr>
        <w:rPr>
          <w:sz w:val="24"/>
          <w:szCs w:val="24"/>
        </w:rPr>
      </w:pPr>
      <w:r w:rsidRPr="004411A7">
        <w:rPr>
          <w:sz w:val="24"/>
          <w:szCs w:val="24"/>
        </w:rPr>
        <w:t>DELLA REPUBBLICA E CANTONE TICINO</w:t>
      </w:r>
    </w:p>
    <w:p w14:paraId="5E7B58E3" w14:textId="77777777" w:rsidR="004411A7" w:rsidRPr="004411A7" w:rsidRDefault="004411A7" w:rsidP="004411A7">
      <w:pPr>
        <w:rPr>
          <w:sz w:val="24"/>
          <w:szCs w:val="24"/>
        </w:rPr>
      </w:pPr>
    </w:p>
    <w:p w14:paraId="3D0DEA03" w14:textId="1A71084E" w:rsidR="004411A7" w:rsidRPr="004411A7" w:rsidRDefault="004411A7" w:rsidP="004411A7">
      <w:pPr>
        <w:rPr>
          <w:sz w:val="24"/>
          <w:szCs w:val="24"/>
        </w:rPr>
      </w:pPr>
      <w:r w:rsidRPr="004411A7">
        <w:rPr>
          <w:sz w:val="24"/>
          <w:szCs w:val="24"/>
        </w:rPr>
        <w:t xml:space="preserve">visto il messaggio del Consiglio di Stato n. </w:t>
      </w:r>
      <w:r w:rsidR="008E2792">
        <w:rPr>
          <w:sz w:val="24"/>
          <w:szCs w:val="24"/>
        </w:rPr>
        <w:t>830</w:t>
      </w:r>
      <w:r w:rsidR="009D7065">
        <w:rPr>
          <w:sz w:val="24"/>
          <w:szCs w:val="24"/>
        </w:rPr>
        <w:t>3</w:t>
      </w:r>
      <w:bookmarkStart w:id="67" w:name="_GoBack"/>
      <w:bookmarkEnd w:id="67"/>
      <w:r w:rsidRPr="004411A7">
        <w:rPr>
          <w:sz w:val="24"/>
          <w:szCs w:val="24"/>
        </w:rPr>
        <w:t xml:space="preserve"> del </w:t>
      </w:r>
      <w:r w:rsidR="008E2792">
        <w:rPr>
          <w:sz w:val="24"/>
          <w:szCs w:val="24"/>
        </w:rPr>
        <w:t>12 luglio 2023</w:t>
      </w:r>
      <w:r w:rsidRPr="004411A7">
        <w:rPr>
          <w:sz w:val="24"/>
          <w:szCs w:val="24"/>
        </w:rPr>
        <w:t>,</w:t>
      </w:r>
    </w:p>
    <w:p w14:paraId="59D73DFE" w14:textId="77777777" w:rsidR="004411A7" w:rsidRPr="004411A7" w:rsidRDefault="004411A7" w:rsidP="004411A7">
      <w:pPr>
        <w:rPr>
          <w:sz w:val="24"/>
          <w:szCs w:val="24"/>
        </w:rPr>
      </w:pPr>
    </w:p>
    <w:p w14:paraId="31722F5D" w14:textId="77777777" w:rsidR="004411A7" w:rsidRPr="004411A7" w:rsidRDefault="004411A7" w:rsidP="004411A7">
      <w:pPr>
        <w:rPr>
          <w:sz w:val="24"/>
          <w:szCs w:val="24"/>
        </w:rPr>
      </w:pPr>
      <w:r w:rsidRPr="004411A7">
        <w:rPr>
          <w:sz w:val="24"/>
          <w:szCs w:val="24"/>
        </w:rPr>
        <w:t>decreta:</w:t>
      </w:r>
    </w:p>
    <w:p w14:paraId="048FC075" w14:textId="77777777" w:rsidR="004411A7" w:rsidRPr="004411A7" w:rsidRDefault="004411A7" w:rsidP="004411A7">
      <w:pPr>
        <w:rPr>
          <w:sz w:val="24"/>
          <w:szCs w:val="24"/>
        </w:rPr>
      </w:pPr>
    </w:p>
    <w:p w14:paraId="19D6E86D" w14:textId="77777777" w:rsidR="004411A7" w:rsidRPr="004411A7" w:rsidRDefault="004411A7" w:rsidP="004411A7">
      <w:pPr>
        <w:rPr>
          <w:b/>
          <w:bCs/>
          <w:sz w:val="24"/>
          <w:szCs w:val="24"/>
        </w:rPr>
      </w:pPr>
      <w:r w:rsidRPr="004411A7">
        <w:rPr>
          <w:b/>
          <w:bCs/>
          <w:sz w:val="24"/>
          <w:szCs w:val="24"/>
        </w:rPr>
        <w:t>I</w:t>
      </w:r>
    </w:p>
    <w:p w14:paraId="649F5F9C" w14:textId="77777777" w:rsidR="004411A7" w:rsidRPr="004411A7" w:rsidRDefault="004411A7" w:rsidP="004411A7">
      <w:pPr>
        <w:rPr>
          <w:sz w:val="24"/>
          <w:szCs w:val="24"/>
        </w:rPr>
      </w:pPr>
      <w:r w:rsidRPr="004411A7">
        <w:rPr>
          <w:sz w:val="24"/>
          <w:szCs w:val="24"/>
        </w:rPr>
        <w:t>La legge tributaria del 21 giugno 1994 (LT) è modificata come segue:</w:t>
      </w:r>
    </w:p>
    <w:p w14:paraId="5123BE7C" w14:textId="77777777" w:rsidR="004411A7" w:rsidRPr="004411A7" w:rsidRDefault="004411A7" w:rsidP="004411A7">
      <w:pPr>
        <w:rPr>
          <w:sz w:val="24"/>
          <w:szCs w:val="24"/>
        </w:rPr>
      </w:pPr>
    </w:p>
    <w:p w14:paraId="634F7A94" w14:textId="77777777" w:rsidR="004411A7" w:rsidRPr="004411A7" w:rsidRDefault="004411A7" w:rsidP="004411A7">
      <w:pPr>
        <w:rPr>
          <w:b/>
          <w:sz w:val="24"/>
          <w:szCs w:val="24"/>
        </w:rPr>
      </w:pPr>
      <w:r w:rsidRPr="004411A7">
        <w:rPr>
          <w:b/>
          <w:sz w:val="24"/>
          <w:szCs w:val="24"/>
        </w:rPr>
        <w:t>Art. 35 cpv. 1, 2 e 3</w:t>
      </w:r>
    </w:p>
    <w:p w14:paraId="7B1E704E" w14:textId="1C8B8070" w:rsidR="004411A7" w:rsidRPr="004411A7" w:rsidRDefault="004411A7" w:rsidP="004411A7">
      <w:pPr>
        <w:rPr>
          <w:b/>
          <w:sz w:val="24"/>
          <w:szCs w:val="24"/>
        </w:rPr>
      </w:pPr>
      <w:r w:rsidRPr="004411A7">
        <w:rPr>
          <w:sz w:val="24"/>
          <w:szCs w:val="24"/>
          <w:vertAlign w:val="superscript"/>
        </w:rPr>
        <w:t>1</w:t>
      </w:r>
      <w:r w:rsidRPr="004411A7">
        <w:rPr>
          <w:sz w:val="24"/>
          <w:szCs w:val="24"/>
        </w:rPr>
        <w:t>L’imposta annua sul reddito è calcolata</w:t>
      </w:r>
      <w:r w:rsidR="00082447">
        <w:rPr>
          <w:sz w:val="24"/>
          <w:szCs w:val="24"/>
        </w:rPr>
        <w:t xml:space="preserve"> per categorie</w:t>
      </w:r>
      <w:r w:rsidRPr="004411A7">
        <w:rPr>
          <w:sz w:val="24"/>
          <w:szCs w:val="24"/>
        </w:rPr>
        <w:t xml:space="preserve"> in base alle seguenti aliquote:</w:t>
      </w:r>
    </w:p>
    <w:tbl>
      <w:tblPr>
        <w:tblW w:w="8222" w:type="dxa"/>
        <w:tblLayout w:type="fixed"/>
        <w:tblCellMar>
          <w:left w:w="70" w:type="dxa"/>
          <w:right w:w="70" w:type="dxa"/>
        </w:tblCellMar>
        <w:tblLook w:val="04A0" w:firstRow="1" w:lastRow="0" w:firstColumn="1" w:lastColumn="0" w:noHBand="0" w:noVBand="1"/>
      </w:tblPr>
      <w:tblGrid>
        <w:gridCol w:w="707"/>
        <w:gridCol w:w="994"/>
        <w:gridCol w:w="993"/>
        <w:gridCol w:w="850"/>
        <w:gridCol w:w="1276"/>
        <w:gridCol w:w="1701"/>
        <w:gridCol w:w="1701"/>
      </w:tblGrid>
      <w:tr w:rsidR="004411A7" w:rsidRPr="004411A7" w14:paraId="37F3F401" w14:textId="77777777" w:rsidTr="00D930C0">
        <w:trPr>
          <w:trHeight w:val="898"/>
        </w:trPr>
        <w:tc>
          <w:tcPr>
            <w:tcW w:w="1701" w:type="dxa"/>
            <w:gridSpan w:val="2"/>
            <w:tcBorders>
              <w:top w:val="single" w:sz="4" w:space="0" w:color="auto"/>
              <w:left w:val="nil"/>
              <w:bottom w:val="single" w:sz="4" w:space="0" w:color="auto"/>
              <w:right w:val="nil"/>
            </w:tcBorders>
            <w:shd w:val="clear" w:color="auto" w:fill="auto"/>
            <w:hideMark/>
          </w:tcPr>
          <w:p w14:paraId="59C759CB"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Categorie</w:t>
            </w:r>
          </w:p>
        </w:tc>
        <w:tc>
          <w:tcPr>
            <w:tcW w:w="993" w:type="dxa"/>
            <w:tcBorders>
              <w:top w:val="single" w:sz="4" w:space="0" w:color="auto"/>
              <w:left w:val="nil"/>
              <w:bottom w:val="single" w:sz="4" w:space="0" w:color="auto"/>
              <w:right w:val="nil"/>
            </w:tcBorders>
            <w:shd w:val="clear" w:color="auto" w:fill="auto"/>
            <w:hideMark/>
          </w:tcPr>
          <w:p w14:paraId="4FCCAB85" w14:textId="77777777" w:rsidR="004411A7" w:rsidRPr="004411A7" w:rsidRDefault="004411A7" w:rsidP="004411A7">
            <w:pPr>
              <w:jc w:val="left"/>
              <w:rPr>
                <w:rFonts w:eastAsia="Times New Roman" w:cs="Arial"/>
                <w:sz w:val="20"/>
                <w:szCs w:val="20"/>
                <w:lang w:eastAsia="it-CH"/>
              </w:rPr>
            </w:pPr>
          </w:p>
        </w:tc>
        <w:tc>
          <w:tcPr>
            <w:tcW w:w="850" w:type="dxa"/>
            <w:tcBorders>
              <w:top w:val="single" w:sz="4" w:space="0" w:color="auto"/>
              <w:left w:val="nil"/>
              <w:bottom w:val="single" w:sz="4" w:space="0" w:color="auto"/>
              <w:right w:val="nil"/>
            </w:tcBorders>
            <w:shd w:val="clear" w:color="auto" w:fill="auto"/>
            <w:hideMark/>
          </w:tcPr>
          <w:p w14:paraId="79DCE0EF" w14:textId="77777777" w:rsidR="004411A7" w:rsidRPr="004411A7" w:rsidRDefault="004411A7" w:rsidP="004411A7">
            <w:pPr>
              <w:jc w:val="right"/>
              <w:rPr>
                <w:rFonts w:eastAsia="Times New Roman" w:cs="Arial"/>
                <w:sz w:val="20"/>
                <w:szCs w:val="20"/>
                <w:lang w:eastAsia="it-CH"/>
              </w:rPr>
            </w:pPr>
          </w:p>
        </w:tc>
        <w:tc>
          <w:tcPr>
            <w:tcW w:w="1276" w:type="dxa"/>
            <w:tcBorders>
              <w:top w:val="single" w:sz="4" w:space="0" w:color="auto"/>
              <w:left w:val="nil"/>
              <w:bottom w:val="single" w:sz="4" w:space="0" w:color="auto"/>
              <w:right w:val="nil"/>
            </w:tcBorders>
            <w:shd w:val="clear" w:color="auto" w:fill="auto"/>
            <w:hideMark/>
          </w:tcPr>
          <w:p w14:paraId="29AE25F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 xml:space="preserve">Aliquote </w:t>
            </w:r>
            <w:r w:rsidRPr="004411A7">
              <w:rPr>
                <w:rFonts w:eastAsia="Times New Roman" w:cs="Arial"/>
                <w:sz w:val="20"/>
                <w:szCs w:val="20"/>
                <w:lang w:eastAsia="it-CH"/>
              </w:rPr>
              <w:br/>
              <w:t>di ogni categoria</w:t>
            </w:r>
          </w:p>
          <w:p w14:paraId="18F23E6F"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w:t>
            </w:r>
          </w:p>
        </w:tc>
        <w:tc>
          <w:tcPr>
            <w:tcW w:w="1701" w:type="dxa"/>
            <w:tcBorders>
              <w:top w:val="single" w:sz="4" w:space="0" w:color="auto"/>
              <w:left w:val="nil"/>
              <w:bottom w:val="single" w:sz="4" w:space="0" w:color="auto"/>
              <w:right w:val="nil"/>
            </w:tcBorders>
            <w:shd w:val="clear" w:color="auto" w:fill="auto"/>
            <w:hideMark/>
          </w:tcPr>
          <w:p w14:paraId="2051DE6D"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Imposta dovuta per il reddito massimo di ogni categoria Fr.</w:t>
            </w:r>
          </w:p>
        </w:tc>
        <w:tc>
          <w:tcPr>
            <w:tcW w:w="1701" w:type="dxa"/>
            <w:tcBorders>
              <w:top w:val="single" w:sz="4" w:space="0" w:color="auto"/>
              <w:left w:val="nil"/>
              <w:bottom w:val="single" w:sz="4" w:space="0" w:color="auto"/>
              <w:right w:val="nil"/>
            </w:tcBorders>
            <w:shd w:val="clear" w:color="auto" w:fill="auto"/>
            <w:hideMark/>
          </w:tcPr>
          <w:p w14:paraId="7FCEB49D"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Aliquota effettiva del massimo di categoria %</w:t>
            </w:r>
          </w:p>
        </w:tc>
      </w:tr>
      <w:tr w:rsidR="004411A7" w:rsidRPr="004411A7" w14:paraId="41380B81" w14:textId="77777777" w:rsidTr="00D930C0">
        <w:trPr>
          <w:trHeight w:val="255"/>
        </w:trPr>
        <w:tc>
          <w:tcPr>
            <w:tcW w:w="707" w:type="dxa"/>
            <w:tcBorders>
              <w:top w:val="nil"/>
              <w:left w:val="nil"/>
              <w:bottom w:val="nil"/>
              <w:right w:val="nil"/>
            </w:tcBorders>
            <w:shd w:val="clear" w:color="auto" w:fill="auto"/>
            <w:noWrap/>
            <w:vAlign w:val="bottom"/>
            <w:hideMark/>
          </w:tcPr>
          <w:p w14:paraId="24E4A5B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 xml:space="preserve">fino </w:t>
            </w:r>
          </w:p>
        </w:tc>
        <w:tc>
          <w:tcPr>
            <w:tcW w:w="994" w:type="dxa"/>
            <w:tcBorders>
              <w:top w:val="nil"/>
              <w:left w:val="nil"/>
              <w:bottom w:val="nil"/>
              <w:right w:val="nil"/>
            </w:tcBorders>
            <w:shd w:val="clear" w:color="auto" w:fill="auto"/>
            <w:noWrap/>
            <w:vAlign w:val="bottom"/>
            <w:hideMark/>
          </w:tcPr>
          <w:p w14:paraId="72B5ADF9" w14:textId="77777777" w:rsidR="004411A7" w:rsidRPr="004411A7" w:rsidRDefault="004411A7" w:rsidP="004411A7">
            <w:pPr>
              <w:ind w:right="65"/>
              <w:jc w:val="right"/>
              <w:rPr>
                <w:rFonts w:eastAsia="Times New Roman" w:cs="Arial"/>
                <w:sz w:val="20"/>
                <w:szCs w:val="20"/>
                <w:lang w:eastAsia="it-CH"/>
              </w:rPr>
            </w:pPr>
          </w:p>
        </w:tc>
        <w:tc>
          <w:tcPr>
            <w:tcW w:w="993" w:type="dxa"/>
            <w:tcBorders>
              <w:top w:val="nil"/>
              <w:left w:val="nil"/>
              <w:bottom w:val="nil"/>
              <w:right w:val="nil"/>
            </w:tcBorders>
            <w:shd w:val="clear" w:color="auto" w:fill="auto"/>
            <w:noWrap/>
            <w:vAlign w:val="bottom"/>
            <w:hideMark/>
          </w:tcPr>
          <w:p w14:paraId="3EE0238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37BF54BF"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12'300</w:t>
            </w:r>
          </w:p>
        </w:tc>
        <w:tc>
          <w:tcPr>
            <w:tcW w:w="1276" w:type="dxa"/>
            <w:tcBorders>
              <w:top w:val="nil"/>
              <w:left w:val="nil"/>
              <w:bottom w:val="nil"/>
              <w:right w:val="nil"/>
            </w:tcBorders>
            <w:shd w:val="clear" w:color="auto" w:fill="auto"/>
            <w:noWrap/>
            <w:vAlign w:val="bottom"/>
            <w:hideMark/>
          </w:tcPr>
          <w:p w14:paraId="4222FC67"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0.159</w:t>
            </w:r>
          </w:p>
        </w:tc>
        <w:tc>
          <w:tcPr>
            <w:tcW w:w="1701" w:type="dxa"/>
            <w:tcBorders>
              <w:top w:val="nil"/>
              <w:left w:val="nil"/>
              <w:bottom w:val="nil"/>
              <w:right w:val="nil"/>
            </w:tcBorders>
            <w:shd w:val="clear" w:color="auto" w:fill="auto"/>
            <w:noWrap/>
            <w:vAlign w:val="bottom"/>
            <w:hideMark/>
          </w:tcPr>
          <w:p w14:paraId="5339CD2A"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19.60</w:t>
            </w:r>
          </w:p>
        </w:tc>
        <w:tc>
          <w:tcPr>
            <w:tcW w:w="1701" w:type="dxa"/>
            <w:tcBorders>
              <w:top w:val="nil"/>
              <w:left w:val="nil"/>
              <w:bottom w:val="nil"/>
              <w:right w:val="nil"/>
            </w:tcBorders>
            <w:shd w:val="clear" w:color="auto" w:fill="auto"/>
            <w:noWrap/>
            <w:vAlign w:val="bottom"/>
            <w:hideMark/>
          </w:tcPr>
          <w:p w14:paraId="6B80A49D"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0.159</w:t>
            </w:r>
          </w:p>
        </w:tc>
      </w:tr>
      <w:tr w:rsidR="004411A7" w:rsidRPr="004411A7" w14:paraId="79F82992" w14:textId="77777777" w:rsidTr="00D930C0">
        <w:trPr>
          <w:trHeight w:val="255"/>
        </w:trPr>
        <w:tc>
          <w:tcPr>
            <w:tcW w:w="707" w:type="dxa"/>
            <w:tcBorders>
              <w:top w:val="nil"/>
              <w:left w:val="nil"/>
              <w:bottom w:val="nil"/>
              <w:right w:val="nil"/>
            </w:tcBorders>
            <w:shd w:val="clear" w:color="auto" w:fill="auto"/>
            <w:noWrap/>
            <w:vAlign w:val="bottom"/>
            <w:hideMark/>
          </w:tcPr>
          <w:p w14:paraId="1E1E2011"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04C0FB9B"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12'400</w:t>
            </w:r>
          </w:p>
        </w:tc>
        <w:tc>
          <w:tcPr>
            <w:tcW w:w="993" w:type="dxa"/>
            <w:tcBorders>
              <w:top w:val="nil"/>
              <w:left w:val="nil"/>
              <w:bottom w:val="nil"/>
              <w:right w:val="nil"/>
            </w:tcBorders>
            <w:shd w:val="clear" w:color="auto" w:fill="auto"/>
            <w:noWrap/>
            <w:vAlign w:val="bottom"/>
            <w:hideMark/>
          </w:tcPr>
          <w:p w14:paraId="7A810B1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4393BB36"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17'100</w:t>
            </w:r>
          </w:p>
        </w:tc>
        <w:tc>
          <w:tcPr>
            <w:tcW w:w="1276" w:type="dxa"/>
            <w:tcBorders>
              <w:top w:val="nil"/>
              <w:left w:val="nil"/>
              <w:bottom w:val="nil"/>
              <w:right w:val="nil"/>
            </w:tcBorders>
            <w:shd w:val="clear" w:color="auto" w:fill="auto"/>
            <w:noWrap/>
            <w:vAlign w:val="bottom"/>
            <w:hideMark/>
          </w:tcPr>
          <w:p w14:paraId="1581EDA6"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5.321</w:t>
            </w:r>
          </w:p>
        </w:tc>
        <w:tc>
          <w:tcPr>
            <w:tcW w:w="1701" w:type="dxa"/>
            <w:tcBorders>
              <w:top w:val="nil"/>
              <w:left w:val="nil"/>
              <w:bottom w:val="nil"/>
              <w:right w:val="nil"/>
            </w:tcBorders>
            <w:shd w:val="clear" w:color="auto" w:fill="auto"/>
            <w:noWrap/>
            <w:vAlign w:val="bottom"/>
            <w:hideMark/>
          </w:tcPr>
          <w:p w14:paraId="3486A36A"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275.00</w:t>
            </w:r>
          </w:p>
        </w:tc>
        <w:tc>
          <w:tcPr>
            <w:tcW w:w="1701" w:type="dxa"/>
            <w:tcBorders>
              <w:top w:val="nil"/>
              <w:left w:val="nil"/>
              <w:bottom w:val="nil"/>
              <w:right w:val="nil"/>
            </w:tcBorders>
            <w:shd w:val="clear" w:color="auto" w:fill="auto"/>
            <w:noWrap/>
            <w:vAlign w:val="bottom"/>
            <w:hideMark/>
          </w:tcPr>
          <w:p w14:paraId="2C37F67F"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1.608</w:t>
            </w:r>
          </w:p>
        </w:tc>
      </w:tr>
      <w:tr w:rsidR="004411A7" w:rsidRPr="004411A7" w14:paraId="23A456C1" w14:textId="77777777" w:rsidTr="00D930C0">
        <w:trPr>
          <w:trHeight w:val="255"/>
        </w:trPr>
        <w:tc>
          <w:tcPr>
            <w:tcW w:w="707" w:type="dxa"/>
            <w:tcBorders>
              <w:top w:val="nil"/>
              <w:left w:val="nil"/>
              <w:bottom w:val="nil"/>
              <w:right w:val="nil"/>
            </w:tcBorders>
            <w:shd w:val="clear" w:color="auto" w:fill="auto"/>
            <w:noWrap/>
            <w:vAlign w:val="bottom"/>
            <w:hideMark/>
          </w:tcPr>
          <w:p w14:paraId="405FB22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3242ACEE"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17'200</w:t>
            </w:r>
          </w:p>
        </w:tc>
        <w:tc>
          <w:tcPr>
            <w:tcW w:w="993" w:type="dxa"/>
            <w:tcBorders>
              <w:top w:val="nil"/>
              <w:left w:val="nil"/>
              <w:bottom w:val="nil"/>
              <w:right w:val="nil"/>
            </w:tcBorders>
            <w:shd w:val="clear" w:color="auto" w:fill="auto"/>
            <w:noWrap/>
            <w:vAlign w:val="bottom"/>
            <w:hideMark/>
          </w:tcPr>
          <w:p w14:paraId="42F0FEB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3268FE5D"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20'500</w:t>
            </w:r>
          </w:p>
        </w:tc>
        <w:tc>
          <w:tcPr>
            <w:tcW w:w="1276" w:type="dxa"/>
            <w:tcBorders>
              <w:top w:val="nil"/>
              <w:left w:val="nil"/>
              <w:bottom w:val="nil"/>
              <w:right w:val="nil"/>
            </w:tcBorders>
            <w:shd w:val="clear" w:color="auto" w:fill="auto"/>
            <w:noWrap/>
            <w:vAlign w:val="bottom"/>
            <w:hideMark/>
          </w:tcPr>
          <w:p w14:paraId="00F2F2A2"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6.050</w:t>
            </w:r>
          </w:p>
        </w:tc>
        <w:tc>
          <w:tcPr>
            <w:tcW w:w="1701" w:type="dxa"/>
            <w:tcBorders>
              <w:top w:val="nil"/>
              <w:left w:val="nil"/>
              <w:bottom w:val="nil"/>
              <w:right w:val="nil"/>
            </w:tcBorders>
            <w:shd w:val="clear" w:color="auto" w:fill="auto"/>
            <w:noWrap/>
            <w:vAlign w:val="bottom"/>
            <w:hideMark/>
          </w:tcPr>
          <w:p w14:paraId="0352D0DA"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480.70</w:t>
            </w:r>
          </w:p>
        </w:tc>
        <w:tc>
          <w:tcPr>
            <w:tcW w:w="1701" w:type="dxa"/>
            <w:tcBorders>
              <w:top w:val="nil"/>
              <w:left w:val="nil"/>
              <w:bottom w:val="nil"/>
              <w:right w:val="nil"/>
            </w:tcBorders>
            <w:shd w:val="clear" w:color="auto" w:fill="auto"/>
            <w:noWrap/>
            <w:vAlign w:val="bottom"/>
            <w:hideMark/>
          </w:tcPr>
          <w:p w14:paraId="1B22DDD1"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2.344</w:t>
            </w:r>
          </w:p>
        </w:tc>
      </w:tr>
      <w:tr w:rsidR="004411A7" w:rsidRPr="004411A7" w14:paraId="60793D9C" w14:textId="77777777" w:rsidTr="00D930C0">
        <w:trPr>
          <w:trHeight w:val="255"/>
        </w:trPr>
        <w:tc>
          <w:tcPr>
            <w:tcW w:w="707" w:type="dxa"/>
            <w:tcBorders>
              <w:top w:val="nil"/>
              <w:left w:val="nil"/>
              <w:bottom w:val="nil"/>
              <w:right w:val="nil"/>
            </w:tcBorders>
            <w:shd w:val="clear" w:color="auto" w:fill="auto"/>
            <w:noWrap/>
            <w:vAlign w:val="bottom"/>
            <w:hideMark/>
          </w:tcPr>
          <w:p w14:paraId="72A101A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25C9CD42"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20'600</w:t>
            </w:r>
          </w:p>
        </w:tc>
        <w:tc>
          <w:tcPr>
            <w:tcW w:w="993" w:type="dxa"/>
            <w:tcBorders>
              <w:top w:val="nil"/>
              <w:left w:val="nil"/>
              <w:bottom w:val="nil"/>
              <w:right w:val="nil"/>
            </w:tcBorders>
            <w:shd w:val="clear" w:color="auto" w:fill="auto"/>
            <w:noWrap/>
            <w:vAlign w:val="bottom"/>
            <w:hideMark/>
          </w:tcPr>
          <w:p w14:paraId="49D42DD3"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6BEED11D"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25'600</w:t>
            </w:r>
          </w:p>
        </w:tc>
        <w:tc>
          <w:tcPr>
            <w:tcW w:w="1276" w:type="dxa"/>
            <w:tcBorders>
              <w:top w:val="nil"/>
              <w:left w:val="nil"/>
              <w:bottom w:val="nil"/>
              <w:right w:val="nil"/>
            </w:tcBorders>
            <w:shd w:val="clear" w:color="auto" w:fill="auto"/>
            <w:noWrap/>
            <w:vAlign w:val="bottom"/>
            <w:hideMark/>
          </w:tcPr>
          <w:p w14:paraId="43D94118"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3.990</w:t>
            </w:r>
          </w:p>
        </w:tc>
        <w:tc>
          <w:tcPr>
            <w:tcW w:w="1701" w:type="dxa"/>
            <w:tcBorders>
              <w:top w:val="nil"/>
              <w:left w:val="nil"/>
              <w:bottom w:val="nil"/>
              <w:right w:val="nil"/>
            </w:tcBorders>
            <w:shd w:val="clear" w:color="auto" w:fill="auto"/>
            <w:noWrap/>
            <w:vAlign w:val="bottom"/>
            <w:hideMark/>
          </w:tcPr>
          <w:p w14:paraId="00A2FD6E"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684.20</w:t>
            </w:r>
          </w:p>
        </w:tc>
        <w:tc>
          <w:tcPr>
            <w:tcW w:w="1701" w:type="dxa"/>
            <w:tcBorders>
              <w:top w:val="nil"/>
              <w:left w:val="nil"/>
              <w:bottom w:val="nil"/>
              <w:right w:val="nil"/>
            </w:tcBorders>
            <w:shd w:val="clear" w:color="auto" w:fill="auto"/>
            <w:noWrap/>
            <w:vAlign w:val="bottom"/>
            <w:hideMark/>
          </w:tcPr>
          <w:p w14:paraId="07E111EC"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2.672</w:t>
            </w:r>
          </w:p>
        </w:tc>
      </w:tr>
      <w:tr w:rsidR="004411A7" w:rsidRPr="004411A7" w14:paraId="41497F84" w14:textId="77777777" w:rsidTr="00D930C0">
        <w:trPr>
          <w:trHeight w:val="255"/>
        </w:trPr>
        <w:tc>
          <w:tcPr>
            <w:tcW w:w="707" w:type="dxa"/>
            <w:tcBorders>
              <w:top w:val="nil"/>
              <w:left w:val="nil"/>
              <w:bottom w:val="nil"/>
              <w:right w:val="nil"/>
            </w:tcBorders>
            <w:shd w:val="clear" w:color="auto" w:fill="auto"/>
            <w:noWrap/>
            <w:vAlign w:val="bottom"/>
            <w:hideMark/>
          </w:tcPr>
          <w:p w14:paraId="263D7BD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1FC43043"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25'700</w:t>
            </w:r>
          </w:p>
        </w:tc>
        <w:tc>
          <w:tcPr>
            <w:tcW w:w="993" w:type="dxa"/>
            <w:tcBorders>
              <w:top w:val="nil"/>
              <w:left w:val="nil"/>
              <w:bottom w:val="nil"/>
              <w:right w:val="nil"/>
            </w:tcBorders>
            <w:shd w:val="clear" w:color="auto" w:fill="auto"/>
            <w:noWrap/>
            <w:vAlign w:val="bottom"/>
            <w:hideMark/>
          </w:tcPr>
          <w:p w14:paraId="447C2F5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6B2FFA02"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29'600</w:t>
            </w:r>
          </w:p>
        </w:tc>
        <w:tc>
          <w:tcPr>
            <w:tcW w:w="1276" w:type="dxa"/>
            <w:tcBorders>
              <w:top w:val="nil"/>
              <w:left w:val="nil"/>
              <w:bottom w:val="nil"/>
              <w:right w:val="nil"/>
            </w:tcBorders>
            <w:shd w:val="clear" w:color="auto" w:fill="auto"/>
            <w:noWrap/>
            <w:vAlign w:val="bottom"/>
            <w:hideMark/>
          </w:tcPr>
          <w:p w14:paraId="2A9718C9"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7.626</w:t>
            </w:r>
          </w:p>
        </w:tc>
        <w:tc>
          <w:tcPr>
            <w:tcW w:w="1701" w:type="dxa"/>
            <w:tcBorders>
              <w:top w:val="nil"/>
              <w:left w:val="nil"/>
              <w:bottom w:val="nil"/>
              <w:right w:val="nil"/>
            </w:tcBorders>
            <w:shd w:val="clear" w:color="auto" w:fill="auto"/>
            <w:noWrap/>
            <w:vAlign w:val="bottom"/>
            <w:hideMark/>
          </w:tcPr>
          <w:p w14:paraId="019EACD1"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989.25</w:t>
            </w:r>
          </w:p>
        </w:tc>
        <w:tc>
          <w:tcPr>
            <w:tcW w:w="1701" w:type="dxa"/>
            <w:tcBorders>
              <w:top w:val="nil"/>
              <w:left w:val="nil"/>
              <w:bottom w:val="nil"/>
              <w:right w:val="nil"/>
            </w:tcBorders>
            <w:shd w:val="clear" w:color="auto" w:fill="auto"/>
            <w:noWrap/>
            <w:vAlign w:val="bottom"/>
            <w:hideMark/>
          </w:tcPr>
          <w:p w14:paraId="3F588094"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3.342</w:t>
            </w:r>
          </w:p>
        </w:tc>
      </w:tr>
      <w:tr w:rsidR="004411A7" w:rsidRPr="004411A7" w14:paraId="750AA5DD" w14:textId="77777777" w:rsidTr="00D930C0">
        <w:trPr>
          <w:trHeight w:val="255"/>
        </w:trPr>
        <w:tc>
          <w:tcPr>
            <w:tcW w:w="707" w:type="dxa"/>
            <w:tcBorders>
              <w:top w:val="nil"/>
              <w:left w:val="nil"/>
              <w:bottom w:val="nil"/>
              <w:right w:val="nil"/>
            </w:tcBorders>
            <w:shd w:val="clear" w:color="auto" w:fill="auto"/>
            <w:noWrap/>
            <w:vAlign w:val="bottom"/>
            <w:hideMark/>
          </w:tcPr>
          <w:p w14:paraId="3BADB06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11559499"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29'700</w:t>
            </w:r>
          </w:p>
        </w:tc>
        <w:tc>
          <w:tcPr>
            <w:tcW w:w="993" w:type="dxa"/>
            <w:tcBorders>
              <w:top w:val="nil"/>
              <w:left w:val="nil"/>
              <w:bottom w:val="nil"/>
              <w:right w:val="nil"/>
            </w:tcBorders>
            <w:shd w:val="clear" w:color="auto" w:fill="auto"/>
            <w:noWrap/>
            <w:vAlign w:val="bottom"/>
            <w:hideMark/>
          </w:tcPr>
          <w:p w14:paraId="1B326D01"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788C7469"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39'200</w:t>
            </w:r>
          </w:p>
        </w:tc>
        <w:tc>
          <w:tcPr>
            <w:tcW w:w="1276" w:type="dxa"/>
            <w:tcBorders>
              <w:top w:val="nil"/>
              <w:left w:val="nil"/>
              <w:bottom w:val="nil"/>
              <w:right w:val="nil"/>
            </w:tcBorders>
            <w:shd w:val="clear" w:color="auto" w:fill="auto"/>
            <w:noWrap/>
            <w:vAlign w:val="bottom"/>
            <w:hideMark/>
          </w:tcPr>
          <w:p w14:paraId="3F5AD110"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9.621</w:t>
            </w:r>
          </w:p>
        </w:tc>
        <w:tc>
          <w:tcPr>
            <w:tcW w:w="1701" w:type="dxa"/>
            <w:tcBorders>
              <w:top w:val="nil"/>
              <w:left w:val="nil"/>
              <w:bottom w:val="nil"/>
              <w:right w:val="nil"/>
            </w:tcBorders>
            <w:shd w:val="clear" w:color="auto" w:fill="auto"/>
            <w:noWrap/>
            <w:vAlign w:val="bottom"/>
            <w:hideMark/>
          </w:tcPr>
          <w:p w14:paraId="1A132277"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1'912.85</w:t>
            </w:r>
          </w:p>
        </w:tc>
        <w:tc>
          <w:tcPr>
            <w:tcW w:w="1701" w:type="dxa"/>
            <w:tcBorders>
              <w:top w:val="nil"/>
              <w:left w:val="nil"/>
              <w:bottom w:val="nil"/>
              <w:right w:val="nil"/>
            </w:tcBorders>
            <w:shd w:val="clear" w:color="auto" w:fill="auto"/>
            <w:noWrap/>
            <w:vAlign w:val="bottom"/>
            <w:hideMark/>
          </w:tcPr>
          <w:p w14:paraId="6B1DE5ED"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4.879</w:t>
            </w:r>
          </w:p>
        </w:tc>
      </w:tr>
      <w:tr w:rsidR="004411A7" w:rsidRPr="004411A7" w14:paraId="18E84494" w14:textId="77777777" w:rsidTr="00D930C0">
        <w:trPr>
          <w:trHeight w:val="255"/>
        </w:trPr>
        <w:tc>
          <w:tcPr>
            <w:tcW w:w="707" w:type="dxa"/>
            <w:tcBorders>
              <w:top w:val="nil"/>
              <w:left w:val="nil"/>
              <w:bottom w:val="nil"/>
              <w:right w:val="nil"/>
            </w:tcBorders>
            <w:shd w:val="clear" w:color="auto" w:fill="auto"/>
            <w:noWrap/>
            <w:vAlign w:val="bottom"/>
            <w:hideMark/>
          </w:tcPr>
          <w:p w14:paraId="3489F75D"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2BE369CD"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39'300</w:t>
            </w:r>
          </w:p>
        </w:tc>
        <w:tc>
          <w:tcPr>
            <w:tcW w:w="993" w:type="dxa"/>
            <w:tcBorders>
              <w:top w:val="nil"/>
              <w:left w:val="nil"/>
              <w:bottom w:val="nil"/>
              <w:right w:val="nil"/>
            </w:tcBorders>
            <w:shd w:val="clear" w:color="auto" w:fill="auto"/>
            <w:noWrap/>
            <w:vAlign w:val="bottom"/>
            <w:hideMark/>
          </w:tcPr>
          <w:p w14:paraId="4E5EAE18"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2149B9A5"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51'800</w:t>
            </w:r>
          </w:p>
        </w:tc>
        <w:tc>
          <w:tcPr>
            <w:tcW w:w="1276" w:type="dxa"/>
            <w:tcBorders>
              <w:top w:val="nil"/>
              <w:left w:val="nil"/>
              <w:bottom w:val="nil"/>
              <w:right w:val="nil"/>
            </w:tcBorders>
            <w:shd w:val="clear" w:color="auto" w:fill="auto"/>
            <w:noWrap/>
            <w:vAlign w:val="bottom"/>
            <w:hideMark/>
          </w:tcPr>
          <w:p w14:paraId="2463AA23"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10.553</w:t>
            </w:r>
          </w:p>
        </w:tc>
        <w:tc>
          <w:tcPr>
            <w:tcW w:w="1701" w:type="dxa"/>
            <w:tcBorders>
              <w:top w:val="nil"/>
              <w:left w:val="nil"/>
              <w:bottom w:val="nil"/>
              <w:right w:val="nil"/>
            </w:tcBorders>
            <w:shd w:val="clear" w:color="auto" w:fill="auto"/>
            <w:noWrap/>
            <w:vAlign w:val="bottom"/>
            <w:hideMark/>
          </w:tcPr>
          <w:p w14:paraId="1E82C73A"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3'242.55</w:t>
            </w:r>
          </w:p>
        </w:tc>
        <w:tc>
          <w:tcPr>
            <w:tcW w:w="1701" w:type="dxa"/>
            <w:tcBorders>
              <w:top w:val="nil"/>
              <w:left w:val="nil"/>
              <w:bottom w:val="nil"/>
              <w:right w:val="nil"/>
            </w:tcBorders>
            <w:shd w:val="clear" w:color="auto" w:fill="auto"/>
            <w:noWrap/>
            <w:vAlign w:val="bottom"/>
            <w:hideMark/>
          </w:tcPr>
          <w:p w14:paraId="1A21ACA0"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6.259</w:t>
            </w:r>
          </w:p>
        </w:tc>
      </w:tr>
      <w:tr w:rsidR="004411A7" w:rsidRPr="004411A7" w14:paraId="5A54057E" w14:textId="77777777" w:rsidTr="00D930C0">
        <w:trPr>
          <w:trHeight w:val="255"/>
        </w:trPr>
        <w:tc>
          <w:tcPr>
            <w:tcW w:w="707" w:type="dxa"/>
            <w:tcBorders>
              <w:top w:val="nil"/>
              <w:left w:val="nil"/>
              <w:bottom w:val="nil"/>
              <w:right w:val="nil"/>
            </w:tcBorders>
            <w:shd w:val="clear" w:color="auto" w:fill="auto"/>
            <w:noWrap/>
            <w:vAlign w:val="bottom"/>
            <w:hideMark/>
          </w:tcPr>
          <w:p w14:paraId="219B9C1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69BED16D"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51'900</w:t>
            </w:r>
          </w:p>
        </w:tc>
        <w:tc>
          <w:tcPr>
            <w:tcW w:w="993" w:type="dxa"/>
            <w:tcBorders>
              <w:top w:val="nil"/>
              <w:left w:val="nil"/>
              <w:bottom w:val="nil"/>
              <w:right w:val="nil"/>
            </w:tcBorders>
            <w:shd w:val="clear" w:color="auto" w:fill="auto"/>
            <w:noWrap/>
            <w:vAlign w:val="bottom"/>
            <w:hideMark/>
          </w:tcPr>
          <w:p w14:paraId="5875249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210A1844"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57'200</w:t>
            </w:r>
          </w:p>
        </w:tc>
        <w:tc>
          <w:tcPr>
            <w:tcW w:w="1276" w:type="dxa"/>
            <w:tcBorders>
              <w:top w:val="nil"/>
              <w:left w:val="nil"/>
              <w:bottom w:val="nil"/>
              <w:right w:val="nil"/>
            </w:tcBorders>
            <w:shd w:val="clear" w:color="auto" w:fill="auto"/>
            <w:noWrap/>
            <w:vAlign w:val="bottom"/>
            <w:hideMark/>
          </w:tcPr>
          <w:p w14:paraId="1B51A6E5"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11.174</w:t>
            </w:r>
          </w:p>
        </w:tc>
        <w:tc>
          <w:tcPr>
            <w:tcW w:w="1701" w:type="dxa"/>
            <w:tcBorders>
              <w:top w:val="nil"/>
              <w:left w:val="nil"/>
              <w:bottom w:val="nil"/>
              <w:right w:val="nil"/>
            </w:tcBorders>
            <w:shd w:val="clear" w:color="auto" w:fill="auto"/>
            <w:noWrap/>
            <w:vAlign w:val="bottom"/>
            <w:hideMark/>
          </w:tcPr>
          <w:p w14:paraId="267C6FE4"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3'845.95</w:t>
            </w:r>
          </w:p>
        </w:tc>
        <w:tc>
          <w:tcPr>
            <w:tcW w:w="1701" w:type="dxa"/>
            <w:tcBorders>
              <w:top w:val="nil"/>
              <w:left w:val="nil"/>
              <w:bottom w:val="nil"/>
              <w:right w:val="nil"/>
            </w:tcBorders>
            <w:shd w:val="clear" w:color="auto" w:fill="auto"/>
            <w:noWrap/>
            <w:vAlign w:val="bottom"/>
            <w:hideMark/>
          </w:tcPr>
          <w:p w14:paraId="0EDD495C"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6.723</w:t>
            </w:r>
          </w:p>
        </w:tc>
      </w:tr>
      <w:tr w:rsidR="004411A7" w:rsidRPr="004411A7" w14:paraId="32DDFC3E" w14:textId="77777777" w:rsidTr="00D930C0">
        <w:trPr>
          <w:trHeight w:val="255"/>
        </w:trPr>
        <w:tc>
          <w:tcPr>
            <w:tcW w:w="707" w:type="dxa"/>
            <w:tcBorders>
              <w:top w:val="nil"/>
              <w:left w:val="nil"/>
              <w:bottom w:val="nil"/>
              <w:right w:val="nil"/>
            </w:tcBorders>
            <w:shd w:val="clear" w:color="auto" w:fill="auto"/>
            <w:noWrap/>
            <w:vAlign w:val="bottom"/>
            <w:hideMark/>
          </w:tcPr>
          <w:p w14:paraId="6463A00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5CFEB336"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57'300</w:t>
            </w:r>
          </w:p>
        </w:tc>
        <w:tc>
          <w:tcPr>
            <w:tcW w:w="993" w:type="dxa"/>
            <w:tcBorders>
              <w:top w:val="nil"/>
              <w:left w:val="nil"/>
              <w:bottom w:val="nil"/>
              <w:right w:val="nil"/>
            </w:tcBorders>
            <w:shd w:val="clear" w:color="auto" w:fill="auto"/>
            <w:noWrap/>
            <w:vAlign w:val="bottom"/>
            <w:hideMark/>
          </w:tcPr>
          <w:p w14:paraId="322DFED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2995C72F"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71'800</w:t>
            </w:r>
          </w:p>
        </w:tc>
        <w:tc>
          <w:tcPr>
            <w:tcW w:w="1276" w:type="dxa"/>
            <w:tcBorders>
              <w:top w:val="nil"/>
              <w:left w:val="nil"/>
              <w:bottom w:val="nil"/>
              <w:right w:val="nil"/>
            </w:tcBorders>
            <w:shd w:val="clear" w:color="auto" w:fill="auto"/>
            <w:noWrap/>
            <w:vAlign w:val="bottom"/>
            <w:hideMark/>
          </w:tcPr>
          <w:p w14:paraId="72072A71"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12.000</w:t>
            </w:r>
          </w:p>
        </w:tc>
        <w:tc>
          <w:tcPr>
            <w:tcW w:w="1701" w:type="dxa"/>
            <w:tcBorders>
              <w:top w:val="nil"/>
              <w:left w:val="nil"/>
              <w:bottom w:val="nil"/>
              <w:right w:val="nil"/>
            </w:tcBorders>
            <w:shd w:val="clear" w:color="auto" w:fill="auto"/>
            <w:noWrap/>
            <w:vAlign w:val="bottom"/>
            <w:hideMark/>
          </w:tcPr>
          <w:p w14:paraId="17F41F20"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5'597.95</w:t>
            </w:r>
          </w:p>
        </w:tc>
        <w:tc>
          <w:tcPr>
            <w:tcW w:w="1701" w:type="dxa"/>
            <w:tcBorders>
              <w:top w:val="nil"/>
              <w:left w:val="nil"/>
              <w:bottom w:val="nil"/>
              <w:right w:val="nil"/>
            </w:tcBorders>
            <w:shd w:val="clear" w:color="auto" w:fill="auto"/>
            <w:noWrap/>
            <w:vAlign w:val="bottom"/>
            <w:hideMark/>
          </w:tcPr>
          <w:p w14:paraId="0B5ABBA9"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7.796</w:t>
            </w:r>
          </w:p>
        </w:tc>
      </w:tr>
      <w:tr w:rsidR="004411A7" w:rsidRPr="004411A7" w14:paraId="4575DA7C" w14:textId="77777777" w:rsidTr="00D930C0">
        <w:trPr>
          <w:trHeight w:val="255"/>
        </w:trPr>
        <w:tc>
          <w:tcPr>
            <w:tcW w:w="707" w:type="dxa"/>
            <w:tcBorders>
              <w:top w:val="nil"/>
              <w:left w:val="nil"/>
              <w:bottom w:val="nil"/>
              <w:right w:val="nil"/>
            </w:tcBorders>
            <w:shd w:val="clear" w:color="auto" w:fill="auto"/>
            <w:noWrap/>
            <w:vAlign w:val="bottom"/>
            <w:hideMark/>
          </w:tcPr>
          <w:p w14:paraId="092292B2"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0E6264AC"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71'900</w:t>
            </w:r>
          </w:p>
        </w:tc>
        <w:tc>
          <w:tcPr>
            <w:tcW w:w="993" w:type="dxa"/>
            <w:tcBorders>
              <w:top w:val="nil"/>
              <w:left w:val="nil"/>
              <w:bottom w:val="nil"/>
              <w:right w:val="nil"/>
            </w:tcBorders>
            <w:shd w:val="clear" w:color="auto" w:fill="auto"/>
            <w:noWrap/>
            <w:vAlign w:val="bottom"/>
            <w:hideMark/>
          </w:tcPr>
          <w:p w14:paraId="6FBCE23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3C3E451F"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89'900</w:t>
            </w:r>
          </w:p>
        </w:tc>
        <w:tc>
          <w:tcPr>
            <w:tcW w:w="1276" w:type="dxa"/>
            <w:tcBorders>
              <w:top w:val="nil"/>
              <w:left w:val="nil"/>
              <w:bottom w:val="nil"/>
              <w:right w:val="nil"/>
            </w:tcBorders>
            <w:shd w:val="clear" w:color="auto" w:fill="auto"/>
            <w:noWrap/>
            <w:vAlign w:val="bottom"/>
            <w:hideMark/>
          </w:tcPr>
          <w:p w14:paraId="3BEE8F80"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11.794</w:t>
            </w:r>
          </w:p>
        </w:tc>
        <w:tc>
          <w:tcPr>
            <w:tcW w:w="1701" w:type="dxa"/>
            <w:tcBorders>
              <w:top w:val="nil"/>
              <w:left w:val="nil"/>
              <w:bottom w:val="nil"/>
              <w:right w:val="nil"/>
            </w:tcBorders>
            <w:shd w:val="clear" w:color="auto" w:fill="auto"/>
            <w:noWrap/>
            <w:vAlign w:val="bottom"/>
            <w:hideMark/>
          </w:tcPr>
          <w:p w14:paraId="4A040827"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7'732.65</w:t>
            </w:r>
          </w:p>
        </w:tc>
        <w:tc>
          <w:tcPr>
            <w:tcW w:w="1701" w:type="dxa"/>
            <w:tcBorders>
              <w:top w:val="nil"/>
              <w:left w:val="nil"/>
              <w:bottom w:val="nil"/>
              <w:right w:val="nil"/>
            </w:tcBorders>
            <w:shd w:val="clear" w:color="auto" w:fill="auto"/>
            <w:noWrap/>
            <w:vAlign w:val="bottom"/>
            <w:hideMark/>
          </w:tcPr>
          <w:p w14:paraId="17B9942A"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8.601</w:t>
            </w:r>
          </w:p>
        </w:tc>
      </w:tr>
      <w:tr w:rsidR="004411A7" w:rsidRPr="004411A7" w14:paraId="1BCD6A93" w14:textId="77777777" w:rsidTr="00D930C0">
        <w:trPr>
          <w:trHeight w:val="255"/>
        </w:trPr>
        <w:tc>
          <w:tcPr>
            <w:tcW w:w="707" w:type="dxa"/>
            <w:tcBorders>
              <w:top w:val="nil"/>
              <w:left w:val="nil"/>
              <w:bottom w:val="nil"/>
              <w:right w:val="nil"/>
            </w:tcBorders>
            <w:shd w:val="clear" w:color="auto" w:fill="auto"/>
            <w:noWrap/>
            <w:vAlign w:val="bottom"/>
            <w:hideMark/>
          </w:tcPr>
          <w:p w14:paraId="554BAEF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53845DD3"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90'000</w:t>
            </w:r>
          </w:p>
        </w:tc>
        <w:tc>
          <w:tcPr>
            <w:tcW w:w="993" w:type="dxa"/>
            <w:tcBorders>
              <w:top w:val="nil"/>
              <w:left w:val="nil"/>
              <w:bottom w:val="nil"/>
              <w:right w:val="nil"/>
            </w:tcBorders>
            <w:shd w:val="clear" w:color="auto" w:fill="auto"/>
            <w:noWrap/>
            <w:vAlign w:val="bottom"/>
            <w:hideMark/>
          </w:tcPr>
          <w:p w14:paraId="1810398D"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417C9E27"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112'000</w:t>
            </w:r>
          </w:p>
        </w:tc>
        <w:tc>
          <w:tcPr>
            <w:tcW w:w="1276" w:type="dxa"/>
            <w:tcBorders>
              <w:top w:val="nil"/>
              <w:left w:val="nil"/>
              <w:bottom w:val="nil"/>
              <w:right w:val="nil"/>
            </w:tcBorders>
            <w:shd w:val="clear" w:color="auto" w:fill="auto"/>
            <w:noWrap/>
            <w:vAlign w:val="bottom"/>
            <w:hideMark/>
          </w:tcPr>
          <w:p w14:paraId="64CC2664"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12.681</w:t>
            </w:r>
          </w:p>
        </w:tc>
        <w:tc>
          <w:tcPr>
            <w:tcW w:w="1701" w:type="dxa"/>
            <w:tcBorders>
              <w:top w:val="nil"/>
              <w:left w:val="nil"/>
              <w:bottom w:val="nil"/>
              <w:right w:val="nil"/>
            </w:tcBorders>
            <w:shd w:val="clear" w:color="auto" w:fill="auto"/>
            <w:noWrap/>
            <w:vAlign w:val="bottom"/>
            <w:hideMark/>
          </w:tcPr>
          <w:p w14:paraId="06E9BD92"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10'535.15</w:t>
            </w:r>
          </w:p>
        </w:tc>
        <w:tc>
          <w:tcPr>
            <w:tcW w:w="1701" w:type="dxa"/>
            <w:tcBorders>
              <w:top w:val="nil"/>
              <w:left w:val="nil"/>
              <w:bottom w:val="nil"/>
              <w:right w:val="nil"/>
            </w:tcBorders>
            <w:shd w:val="clear" w:color="auto" w:fill="auto"/>
            <w:noWrap/>
            <w:vAlign w:val="bottom"/>
            <w:hideMark/>
          </w:tcPr>
          <w:p w14:paraId="501A4B73"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9.406</w:t>
            </w:r>
          </w:p>
        </w:tc>
      </w:tr>
      <w:tr w:rsidR="004411A7" w:rsidRPr="004411A7" w14:paraId="18D34EA2" w14:textId="77777777" w:rsidTr="00D930C0">
        <w:trPr>
          <w:trHeight w:val="255"/>
        </w:trPr>
        <w:tc>
          <w:tcPr>
            <w:tcW w:w="707" w:type="dxa"/>
            <w:tcBorders>
              <w:top w:val="nil"/>
              <w:left w:val="nil"/>
              <w:bottom w:val="nil"/>
              <w:right w:val="nil"/>
            </w:tcBorders>
            <w:shd w:val="clear" w:color="auto" w:fill="auto"/>
            <w:noWrap/>
            <w:vAlign w:val="bottom"/>
            <w:hideMark/>
          </w:tcPr>
          <w:p w14:paraId="327E3D2E"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nil"/>
              <w:right w:val="nil"/>
            </w:tcBorders>
            <w:shd w:val="clear" w:color="auto" w:fill="auto"/>
            <w:noWrap/>
            <w:vAlign w:val="bottom"/>
            <w:hideMark/>
          </w:tcPr>
          <w:p w14:paraId="2FFDD4E5"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112'100</w:t>
            </w:r>
          </w:p>
        </w:tc>
        <w:tc>
          <w:tcPr>
            <w:tcW w:w="993" w:type="dxa"/>
            <w:tcBorders>
              <w:top w:val="nil"/>
              <w:left w:val="nil"/>
              <w:bottom w:val="nil"/>
              <w:right w:val="nil"/>
            </w:tcBorders>
            <w:shd w:val="clear" w:color="auto" w:fill="auto"/>
            <w:noWrap/>
            <w:vAlign w:val="bottom"/>
            <w:hideMark/>
          </w:tcPr>
          <w:p w14:paraId="37DD1E1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bottom w:val="nil"/>
              <w:right w:val="nil"/>
            </w:tcBorders>
            <w:shd w:val="clear" w:color="auto" w:fill="auto"/>
            <w:noWrap/>
            <w:vAlign w:val="bottom"/>
            <w:hideMark/>
          </w:tcPr>
          <w:p w14:paraId="38D874CE"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224'100</w:t>
            </w:r>
          </w:p>
        </w:tc>
        <w:tc>
          <w:tcPr>
            <w:tcW w:w="1276" w:type="dxa"/>
            <w:tcBorders>
              <w:top w:val="nil"/>
              <w:left w:val="nil"/>
              <w:bottom w:val="nil"/>
              <w:right w:val="nil"/>
            </w:tcBorders>
            <w:shd w:val="clear" w:color="auto" w:fill="auto"/>
            <w:noWrap/>
            <w:vAlign w:val="bottom"/>
            <w:hideMark/>
          </w:tcPr>
          <w:p w14:paraId="6305E6DD"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13.302</w:t>
            </w:r>
          </w:p>
        </w:tc>
        <w:tc>
          <w:tcPr>
            <w:tcW w:w="1701" w:type="dxa"/>
            <w:tcBorders>
              <w:top w:val="nil"/>
              <w:left w:val="nil"/>
              <w:bottom w:val="nil"/>
              <w:right w:val="nil"/>
            </w:tcBorders>
            <w:shd w:val="clear" w:color="auto" w:fill="auto"/>
            <w:noWrap/>
            <w:vAlign w:val="bottom"/>
            <w:hideMark/>
          </w:tcPr>
          <w:p w14:paraId="747698EE"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25'446.70</w:t>
            </w:r>
          </w:p>
        </w:tc>
        <w:tc>
          <w:tcPr>
            <w:tcW w:w="1701" w:type="dxa"/>
            <w:tcBorders>
              <w:top w:val="nil"/>
              <w:left w:val="nil"/>
              <w:bottom w:val="nil"/>
              <w:right w:val="nil"/>
            </w:tcBorders>
            <w:shd w:val="clear" w:color="auto" w:fill="auto"/>
            <w:noWrap/>
            <w:vAlign w:val="bottom"/>
            <w:hideMark/>
          </w:tcPr>
          <w:p w14:paraId="04D5CAD7"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11.355</w:t>
            </w:r>
          </w:p>
        </w:tc>
      </w:tr>
      <w:tr w:rsidR="004411A7" w:rsidRPr="004411A7" w14:paraId="341FF783" w14:textId="77777777" w:rsidTr="00D930C0">
        <w:trPr>
          <w:trHeight w:val="255"/>
        </w:trPr>
        <w:tc>
          <w:tcPr>
            <w:tcW w:w="707" w:type="dxa"/>
            <w:tcBorders>
              <w:top w:val="nil"/>
              <w:left w:val="nil"/>
              <w:right w:val="nil"/>
            </w:tcBorders>
            <w:shd w:val="clear" w:color="auto" w:fill="auto"/>
            <w:noWrap/>
            <w:vAlign w:val="bottom"/>
            <w:hideMark/>
          </w:tcPr>
          <w:p w14:paraId="7D7C5CFD"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right w:val="nil"/>
            </w:tcBorders>
            <w:shd w:val="clear" w:color="auto" w:fill="auto"/>
            <w:noWrap/>
            <w:vAlign w:val="bottom"/>
            <w:hideMark/>
          </w:tcPr>
          <w:p w14:paraId="27084255"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224'200</w:t>
            </w:r>
          </w:p>
        </w:tc>
        <w:tc>
          <w:tcPr>
            <w:tcW w:w="993" w:type="dxa"/>
            <w:tcBorders>
              <w:top w:val="nil"/>
              <w:left w:val="nil"/>
              <w:right w:val="nil"/>
            </w:tcBorders>
            <w:shd w:val="clear" w:color="auto" w:fill="auto"/>
            <w:noWrap/>
            <w:vAlign w:val="bottom"/>
            <w:hideMark/>
          </w:tcPr>
          <w:p w14:paraId="02E58A6E"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0" w:type="dxa"/>
            <w:tcBorders>
              <w:top w:val="nil"/>
              <w:left w:val="nil"/>
              <w:right w:val="nil"/>
            </w:tcBorders>
            <w:shd w:val="clear" w:color="auto" w:fill="auto"/>
            <w:noWrap/>
            <w:vAlign w:val="bottom"/>
            <w:hideMark/>
          </w:tcPr>
          <w:p w14:paraId="3AFC3F61" w14:textId="77777777" w:rsidR="004411A7" w:rsidRPr="004411A7" w:rsidRDefault="004411A7" w:rsidP="004411A7">
            <w:pPr>
              <w:ind w:left="-209"/>
              <w:jc w:val="right"/>
              <w:rPr>
                <w:rFonts w:eastAsia="Times New Roman" w:cs="Arial"/>
                <w:sz w:val="20"/>
                <w:szCs w:val="20"/>
                <w:lang w:eastAsia="it-CH"/>
              </w:rPr>
            </w:pPr>
            <w:r w:rsidRPr="004411A7">
              <w:rPr>
                <w:rFonts w:eastAsia="Times New Roman" w:cs="Arial"/>
                <w:sz w:val="20"/>
                <w:szCs w:val="20"/>
                <w:lang w:eastAsia="it-CH"/>
              </w:rPr>
              <w:t>287'600</w:t>
            </w:r>
          </w:p>
        </w:tc>
        <w:tc>
          <w:tcPr>
            <w:tcW w:w="1276" w:type="dxa"/>
            <w:tcBorders>
              <w:top w:val="nil"/>
              <w:left w:val="nil"/>
              <w:right w:val="nil"/>
            </w:tcBorders>
            <w:shd w:val="clear" w:color="auto" w:fill="auto"/>
            <w:noWrap/>
            <w:vAlign w:val="bottom"/>
            <w:hideMark/>
          </w:tcPr>
          <w:p w14:paraId="7A184687"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14.278</w:t>
            </w:r>
          </w:p>
        </w:tc>
        <w:tc>
          <w:tcPr>
            <w:tcW w:w="1701" w:type="dxa"/>
            <w:tcBorders>
              <w:top w:val="nil"/>
              <w:left w:val="nil"/>
              <w:right w:val="nil"/>
            </w:tcBorders>
            <w:shd w:val="clear" w:color="auto" w:fill="auto"/>
            <w:noWrap/>
            <w:vAlign w:val="bottom"/>
            <w:hideMark/>
          </w:tcPr>
          <w:p w14:paraId="1056952B" w14:textId="77777777" w:rsidR="004411A7" w:rsidRPr="004411A7" w:rsidRDefault="004411A7" w:rsidP="004411A7">
            <w:pPr>
              <w:ind w:right="494"/>
              <w:jc w:val="right"/>
              <w:rPr>
                <w:rFonts w:eastAsia="Times New Roman" w:cs="Arial"/>
                <w:sz w:val="20"/>
                <w:szCs w:val="20"/>
                <w:lang w:eastAsia="it-CH"/>
              </w:rPr>
            </w:pPr>
            <w:r w:rsidRPr="004411A7">
              <w:rPr>
                <w:rFonts w:eastAsia="Times New Roman" w:cs="Arial"/>
                <w:sz w:val="20"/>
                <w:szCs w:val="20"/>
                <w:lang w:eastAsia="it-CH"/>
              </w:rPr>
              <w:t>34'513.25</w:t>
            </w:r>
          </w:p>
        </w:tc>
        <w:tc>
          <w:tcPr>
            <w:tcW w:w="1701" w:type="dxa"/>
            <w:tcBorders>
              <w:top w:val="nil"/>
              <w:left w:val="nil"/>
              <w:right w:val="nil"/>
            </w:tcBorders>
            <w:shd w:val="clear" w:color="auto" w:fill="auto"/>
            <w:noWrap/>
            <w:vAlign w:val="bottom"/>
            <w:hideMark/>
          </w:tcPr>
          <w:p w14:paraId="64A54A4A" w14:textId="77777777" w:rsidR="004411A7" w:rsidRPr="004411A7" w:rsidRDefault="004411A7" w:rsidP="004411A7">
            <w:pPr>
              <w:ind w:right="644"/>
              <w:jc w:val="right"/>
              <w:rPr>
                <w:rFonts w:eastAsia="Times New Roman" w:cs="Arial"/>
                <w:sz w:val="20"/>
                <w:szCs w:val="20"/>
                <w:lang w:eastAsia="it-CH"/>
              </w:rPr>
            </w:pPr>
            <w:r w:rsidRPr="004411A7">
              <w:rPr>
                <w:rFonts w:eastAsia="Times New Roman" w:cs="Arial"/>
                <w:sz w:val="20"/>
                <w:szCs w:val="20"/>
                <w:lang w:eastAsia="it-CH"/>
              </w:rPr>
              <w:t>12.000</w:t>
            </w:r>
          </w:p>
        </w:tc>
      </w:tr>
      <w:tr w:rsidR="004411A7" w:rsidRPr="004411A7" w14:paraId="73582181" w14:textId="77777777" w:rsidTr="00D930C0">
        <w:trPr>
          <w:trHeight w:val="255"/>
        </w:trPr>
        <w:tc>
          <w:tcPr>
            <w:tcW w:w="707" w:type="dxa"/>
            <w:tcBorders>
              <w:top w:val="nil"/>
              <w:left w:val="nil"/>
              <w:bottom w:val="single" w:sz="4" w:space="0" w:color="auto"/>
              <w:right w:val="nil"/>
            </w:tcBorders>
            <w:shd w:val="clear" w:color="auto" w:fill="auto"/>
            <w:noWrap/>
            <w:vAlign w:val="bottom"/>
            <w:hideMark/>
          </w:tcPr>
          <w:p w14:paraId="49673561"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994" w:type="dxa"/>
            <w:tcBorders>
              <w:top w:val="nil"/>
              <w:left w:val="nil"/>
              <w:bottom w:val="single" w:sz="4" w:space="0" w:color="auto"/>
              <w:right w:val="nil"/>
            </w:tcBorders>
            <w:shd w:val="clear" w:color="auto" w:fill="auto"/>
            <w:noWrap/>
            <w:vAlign w:val="bottom"/>
            <w:hideMark/>
          </w:tcPr>
          <w:p w14:paraId="1777AD72" w14:textId="77777777" w:rsidR="004411A7" w:rsidRPr="004411A7" w:rsidRDefault="004411A7" w:rsidP="004411A7">
            <w:pPr>
              <w:ind w:right="65"/>
              <w:jc w:val="right"/>
              <w:rPr>
                <w:rFonts w:eastAsia="Times New Roman" w:cs="Arial"/>
                <w:sz w:val="20"/>
                <w:szCs w:val="20"/>
                <w:lang w:eastAsia="it-CH"/>
              </w:rPr>
            </w:pPr>
            <w:r w:rsidRPr="004411A7">
              <w:rPr>
                <w:rFonts w:eastAsia="Times New Roman" w:cs="Arial"/>
                <w:sz w:val="20"/>
                <w:szCs w:val="20"/>
                <w:lang w:eastAsia="it-CH"/>
              </w:rPr>
              <w:t>287'700</w:t>
            </w:r>
          </w:p>
        </w:tc>
        <w:tc>
          <w:tcPr>
            <w:tcW w:w="993" w:type="dxa"/>
            <w:tcBorders>
              <w:top w:val="nil"/>
              <w:left w:val="nil"/>
              <w:bottom w:val="single" w:sz="4" w:space="0" w:color="auto"/>
              <w:right w:val="nil"/>
            </w:tcBorders>
            <w:shd w:val="clear" w:color="auto" w:fill="auto"/>
            <w:noWrap/>
            <w:vAlign w:val="bottom"/>
            <w:hideMark/>
          </w:tcPr>
          <w:p w14:paraId="6545B4C5"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in avanti</w:t>
            </w:r>
          </w:p>
        </w:tc>
        <w:tc>
          <w:tcPr>
            <w:tcW w:w="850" w:type="dxa"/>
            <w:tcBorders>
              <w:top w:val="nil"/>
              <w:left w:val="nil"/>
              <w:bottom w:val="single" w:sz="4" w:space="0" w:color="auto"/>
              <w:right w:val="nil"/>
            </w:tcBorders>
            <w:shd w:val="clear" w:color="auto" w:fill="auto"/>
            <w:noWrap/>
            <w:vAlign w:val="bottom"/>
            <w:hideMark/>
          </w:tcPr>
          <w:p w14:paraId="3E34D8E9" w14:textId="77777777" w:rsidR="004411A7" w:rsidRPr="004411A7" w:rsidRDefault="004411A7" w:rsidP="004411A7">
            <w:pPr>
              <w:jc w:val="right"/>
              <w:rPr>
                <w:rFonts w:eastAsia="Times New Roman" w:cs="Arial"/>
                <w:sz w:val="20"/>
                <w:szCs w:val="20"/>
                <w:lang w:eastAsia="it-CH"/>
              </w:rPr>
            </w:pPr>
          </w:p>
        </w:tc>
        <w:tc>
          <w:tcPr>
            <w:tcW w:w="1276" w:type="dxa"/>
            <w:tcBorders>
              <w:top w:val="nil"/>
              <w:left w:val="nil"/>
              <w:bottom w:val="single" w:sz="4" w:space="0" w:color="auto"/>
              <w:right w:val="nil"/>
            </w:tcBorders>
            <w:shd w:val="clear" w:color="auto" w:fill="auto"/>
            <w:noWrap/>
            <w:vAlign w:val="bottom"/>
            <w:hideMark/>
          </w:tcPr>
          <w:p w14:paraId="0C723957"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12.000</w:t>
            </w:r>
          </w:p>
        </w:tc>
        <w:tc>
          <w:tcPr>
            <w:tcW w:w="1701" w:type="dxa"/>
            <w:tcBorders>
              <w:top w:val="nil"/>
              <w:left w:val="nil"/>
              <w:bottom w:val="single" w:sz="4" w:space="0" w:color="auto"/>
              <w:right w:val="nil"/>
            </w:tcBorders>
            <w:shd w:val="clear" w:color="auto" w:fill="auto"/>
            <w:noWrap/>
            <w:vAlign w:val="bottom"/>
            <w:hideMark/>
          </w:tcPr>
          <w:p w14:paraId="150E7827" w14:textId="77777777" w:rsidR="004411A7" w:rsidRPr="004411A7" w:rsidRDefault="004411A7" w:rsidP="004411A7">
            <w:pPr>
              <w:ind w:right="494"/>
              <w:jc w:val="right"/>
              <w:rPr>
                <w:rFonts w:eastAsia="Times New Roman" w:cs="Arial"/>
                <w:sz w:val="20"/>
                <w:szCs w:val="20"/>
                <w:lang w:eastAsia="it-CH"/>
              </w:rPr>
            </w:pPr>
          </w:p>
        </w:tc>
        <w:tc>
          <w:tcPr>
            <w:tcW w:w="1701" w:type="dxa"/>
            <w:tcBorders>
              <w:top w:val="nil"/>
              <w:left w:val="nil"/>
              <w:bottom w:val="single" w:sz="4" w:space="0" w:color="auto"/>
              <w:right w:val="nil"/>
            </w:tcBorders>
            <w:shd w:val="clear" w:color="auto" w:fill="auto"/>
            <w:noWrap/>
            <w:vAlign w:val="bottom"/>
            <w:hideMark/>
          </w:tcPr>
          <w:p w14:paraId="672436D3" w14:textId="77777777" w:rsidR="004411A7" w:rsidRPr="004411A7" w:rsidRDefault="004411A7" w:rsidP="004411A7">
            <w:pPr>
              <w:ind w:right="644"/>
              <w:jc w:val="right"/>
              <w:rPr>
                <w:rFonts w:eastAsia="Times New Roman" w:cs="Arial"/>
                <w:sz w:val="20"/>
                <w:szCs w:val="20"/>
                <w:lang w:eastAsia="it-CH"/>
              </w:rPr>
            </w:pPr>
          </w:p>
        </w:tc>
      </w:tr>
    </w:tbl>
    <w:p w14:paraId="170A3E70" w14:textId="77777777" w:rsidR="004411A7" w:rsidRPr="004411A7" w:rsidRDefault="004411A7" w:rsidP="004411A7">
      <w:pPr>
        <w:rPr>
          <w:sz w:val="24"/>
          <w:szCs w:val="24"/>
        </w:rPr>
      </w:pPr>
      <w:r w:rsidRPr="004411A7">
        <w:rPr>
          <w:sz w:val="24"/>
          <w:szCs w:val="24"/>
          <w:vertAlign w:val="superscript"/>
        </w:rPr>
        <w:t>2</w:t>
      </w:r>
      <w:r w:rsidRPr="004411A7">
        <w:rPr>
          <w:sz w:val="24"/>
          <w:szCs w:val="24"/>
        </w:rPr>
        <w:t>Per i coniugi viventi in comunione domestica, nonché per i contribuenti vedovi, separati legalmente o di fatto, divorziati, nubili e celibi, che vivono in comunione domestica con figli minorenni o con figli a tirocinio o agli studi fino al 28.mo anno di età al cui sostentamento provvedono oppure con persone bisognose al cui sostentamento provvedono in modo essenziale, l’imposta annua sul reddito è calcolata per categorie in base alle seguenti aliquote:</w:t>
      </w:r>
    </w:p>
    <w:p w14:paraId="7F0A09CD" w14:textId="77777777" w:rsidR="004411A7" w:rsidRPr="004411A7" w:rsidRDefault="004411A7" w:rsidP="004411A7">
      <w:pPr>
        <w:rPr>
          <w:sz w:val="24"/>
          <w:szCs w:val="24"/>
        </w:rPr>
      </w:pPr>
      <w:r w:rsidRPr="004411A7">
        <w:rPr>
          <w:sz w:val="24"/>
          <w:szCs w:val="24"/>
        </w:rPr>
        <w:br w:type="page"/>
      </w:r>
    </w:p>
    <w:tbl>
      <w:tblPr>
        <w:tblW w:w="8222" w:type="dxa"/>
        <w:tblLayout w:type="fixed"/>
        <w:tblCellMar>
          <w:left w:w="70" w:type="dxa"/>
          <w:right w:w="70" w:type="dxa"/>
        </w:tblCellMar>
        <w:tblLook w:val="04A0" w:firstRow="1" w:lastRow="0" w:firstColumn="1" w:lastColumn="0" w:noHBand="0" w:noVBand="1"/>
      </w:tblPr>
      <w:tblGrid>
        <w:gridCol w:w="709"/>
        <w:gridCol w:w="992"/>
        <w:gridCol w:w="993"/>
        <w:gridCol w:w="850"/>
        <w:gridCol w:w="1276"/>
        <w:gridCol w:w="1701"/>
        <w:gridCol w:w="1701"/>
      </w:tblGrid>
      <w:tr w:rsidR="004411A7" w:rsidRPr="004411A7" w14:paraId="50C72037" w14:textId="77777777" w:rsidTr="00D930C0">
        <w:trPr>
          <w:trHeight w:val="868"/>
        </w:trPr>
        <w:tc>
          <w:tcPr>
            <w:tcW w:w="1701" w:type="dxa"/>
            <w:gridSpan w:val="2"/>
            <w:tcBorders>
              <w:top w:val="single" w:sz="4" w:space="0" w:color="auto"/>
              <w:left w:val="nil"/>
              <w:bottom w:val="single" w:sz="4" w:space="0" w:color="auto"/>
              <w:right w:val="nil"/>
            </w:tcBorders>
            <w:shd w:val="clear" w:color="auto" w:fill="auto"/>
            <w:hideMark/>
          </w:tcPr>
          <w:p w14:paraId="3F2709BD"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Categorie</w:t>
            </w:r>
          </w:p>
        </w:tc>
        <w:tc>
          <w:tcPr>
            <w:tcW w:w="993" w:type="dxa"/>
            <w:tcBorders>
              <w:top w:val="single" w:sz="4" w:space="0" w:color="auto"/>
              <w:left w:val="nil"/>
              <w:bottom w:val="single" w:sz="4" w:space="0" w:color="auto"/>
              <w:right w:val="nil"/>
            </w:tcBorders>
            <w:shd w:val="clear" w:color="auto" w:fill="auto"/>
            <w:noWrap/>
            <w:hideMark/>
          </w:tcPr>
          <w:p w14:paraId="57AD72B2" w14:textId="77777777" w:rsidR="004411A7" w:rsidRPr="004411A7" w:rsidRDefault="004411A7" w:rsidP="004411A7">
            <w:pPr>
              <w:jc w:val="left"/>
              <w:rPr>
                <w:rFonts w:asciiTheme="minorHAnsi" w:eastAsia="Times New Roman" w:hAnsiTheme="minorHAnsi" w:cstheme="minorHAnsi"/>
                <w:sz w:val="20"/>
                <w:szCs w:val="20"/>
                <w:lang w:eastAsia="it-CH"/>
              </w:rPr>
            </w:pPr>
          </w:p>
        </w:tc>
        <w:tc>
          <w:tcPr>
            <w:tcW w:w="850" w:type="dxa"/>
            <w:tcBorders>
              <w:top w:val="single" w:sz="4" w:space="0" w:color="auto"/>
              <w:left w:val="nil"/>
              <w:bottom w:val="single" w:sz="4" w:space="0" w:color="auto"/>
              <w:right w:val="nil"/>
            </w:tcBorders>
            <w:shd w:val="clear" w:color="auto" w:fill="auto"/>
            <w:noWrap/>
            <w:hideMark/>
          </w:tcPr>
          <w:p w14:paraId="34160B1B"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 </w:t>
            </w:r>
          </w:p>
        </w:tc>
        <w:tc>
          <w:tcPr>
            <w:tcW w:w="1276" w:type="dxa"/>
            <w:tcBorders>
              <w:top w:val="single" w:sz="4" w:space="0" w:color="auto"/>
              <w:left w:val="nil"/>
              <w:bottom w:val="single" w:sz="4" w:space="0" w:color="auto"/>
              <w:right w:val="nil"/>
            </w:tcBorders>
            <w:shd w:val="clear" w:color="auto" w:fill="auto"/>
            <w:hideMark/>
          </w:tcPr>
          <w:p w14:paraId="4CB4C8A0"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Aliquote di ogni categoria</w:t>
            </w:r>
          </w:p>
          <w:p w14:paraId="4E81765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w:t>
            </w:r>
          </w:p>
        </w:tc>
        <w:tc>
          <w:tcPr>
            <w:tcW w:w="1701" w:type="dxa"/>
            <w:tcBorders>
              <w:top w:val="single" w:sz="4" w:space="0" w:color="auto"/>
              <w:left w:val="nil"/>
              <w:bottom w:val="single" w:sz="4" w:space="0" w:color="auto"/>
              <w:right w:val="nil"/>
            </w:tcBorders>
            <w:shd w:val="clear" w:color="auto" w:fill="auto"/>
            <w:hideMark/>
          </w:tcPr>
          <w:p w14:paraId="57A5EE1A"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Imposta dovuta per il reddito massimo di ogni categoria Fr.</w:t>
            </w:r>
          </w:p>
        </w:tc>
        <w:tc>
          <w:tcPr>
            <w:tcW w:w="1701" w:type="dxa"/>
            <w:tcBorders>
              <w:top w:val="single" w:sz="4" w:space="0" w:color="auto"/>
              <w:left w:val="nil"/>
              <w:bottom w:val="single" w:sz="4" w:space="0" w:color="auto"/>
              <w:right w:val="nil"/>
            </w:tcBorders>
            <w:shd w:val="clear" w:color="auto" w:fill="auto"/>
            <w:hideMark/>
          </w:tcPr>
          <w:p w14:paraId="13AC3703"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Aliquota effettiva del massimo di categoria %</w:t>
            </w:r>
          </w:p>
        </w:tc>
      </w:tr>
      <w:tr w:rsidR="004411A7" w:rsidRPr="004411A7" w14:paraId="3662165B" w14:textId="77777777" w:rsidTr="00D930C0">
        <w:trPr>
          <w:trHeight w:val="255"/>
        </w:trPr>
        <w:tc>
          <w:tcPr>
            <w:tcW w:w="709" w:type="dxa"/>
            <w:tcBorders>
              <w:top w:val="nil"/>
              <w:left w:val="nil"/>
              <w:bottom w:val="nil"/>
              <w:right w:val="nil"/>
            </w:tcBorders>
            <w:shd w:val="clear" w:color="auto" w:fill="auto"/>
            <w:noWrap/>
            <w:vAlign w:val="bottom"/>
            <w:hideMark/>
          </w:tcPr>
          <w:p w14:paraId="022BCBAE"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fino </w:t>
            </w:r>
          </w:p>
        </w:tc>
        <w:tc>
          <w:tcPr>
            <w:tcW w:w="992" w:type="dxa"/>
            <w:tcBorders>
              <w:top w:val="nil"/>
              <w:left w:val="nil"/>
              <w:bottom w:val="nil"/>
              <w:right w:val="nil"/>
            </w:tcBorders>
            <w:shd w:val="clear" w:color="auto" w:fill="auto"/>
            <w:noWrap/>
            <w:vAlign w:val="bottom"/>
            <w:hideMark/>
          </w:tcPr>
          <w:p w14:paraId="653182B0" w14:textId="77777777" w:rsidR="004411A7" w:rsidRPr="004411A7" w:rsidRDefault="004411A7" w:rsidP="004411A7">
            <w:pPr>
              <w:ind w:right="41"/>
              <w:jc w:val="right"/>
              <w:rPr>
                <w:rFonts w:asciiTheme="minorHAnsi" w:eastAsia="Times New Roman" w:hAnsiTheme="minorHAnsi" w:cstheme="minorHAnsi"/>
                <w:sz w:val="20"/>
                <w:szCs w:val="20"/>
                <w:lang w:eastAsia="it-CH"/>
              </w:rPr>
            </w:pPr>
          </w:p>
        </w:tc>
        <w:tc>
          <w:tcPr>
            <w:tcW w:w="993" w:type="dxa"/>
            <w:tcBorders>
              <w:top w:val="nil"/>
              <w:left w:val="nil"/>
              <w:bottom w:val="nil"/>
              <w:right w:val="nil"/>
            </w:tcBorders>
            <w:shd w:val="clear" w:color="auto" w:fill="auto"/>
            <w:noWrap/>
            <w:vAlign w:val="bottom"/>
            <w:hideMark/>
          </w:tcPr>
          <w:p w14:paraId="376F87C9"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4CB8FF70"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20'100 </w:t>
            </w:r>
          </w:p>
        </w:tc>
        <w:tc>
          <w:tcPr>
            <w:tcW w:w="1276" w:type="dxa"/>
            <w:tcBorders>
              <w:top w:val="nil"/>
              <w:left w:val="nil"/>
              <w:bottom w:val="nil"/>
              <w:right w:val="nil"/>
            </w:tcBorders>
            <w:shd w:val="clear" w:color="auto" w:fill="auto"/>
            <w:noWrap/>
            <w:vAlign w:val="bottom"/>
            <w:hideMark/>
          </w:tcPr>
          <w:p w14:paraId="702C4839"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0.144</w:t>
            </w:r>
          </w:p>
        </w:tc>
        <w:tc>
          <w:tcPr>
            <w:tcW w:w="1701" w:type="dxa"/>
            <w:tcBorders>
              <w:top w:val="nil"/>
              <w:left w:val="nil"/>
              <w:bottom w:val="nil"/>
              <w:right w:val="nil"/>
            </w:tcBorders>
            <w:shd w:val="clear" w:color="auto" w:fill="auto"/>
            <w:noWrap/>
            <w:vAlign w:val="bottom"/>
            <w:hideMark/>
          </w:tcPr>
          <w:p w14:paraId="6DDB990E"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28.95 </w:t>
            </w:r>
          </w:p>
        </w:tc>
        <w:tc>
          <w:tcPr>
            <w:tcW w:w="1701" w:type="dxa"/>
            <w:tcBorders>
              <w:top w:val="nil"/>
              <w:left w:val="nil"/>
              <w:bottom w:val="nil"/>
              <w:right w:val="nil"/>
            </w:tcBorders>
            <w:shd w:val="clear" w:color="auto" w:fill="auto"/>
            <w:noWrap/>
            <w:vAlign w:val="bottom"/>
            <w:hideMark/>
          </w:tcPr>
          <w:p w14:paraId="1C8BB316"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0.144</w:t>
            </w:r>
          </w:p>
        </w:tc>
      </w:tr>
      <w:tr w:rsidR="004411A7" w:rsidRPr="004411A7" w14:paraId="143865AF" w14:textId="77777777" w:rsidTr="00D930C0">
        <w:trPr>
          <w:trHeight w:val="255"/>
        </w:trPr>
        <w:tc>
          <w:tcPr>
            <w:tcW w:w="709" w:type="dxa"/>
            <w:tcBorders>
              <w:top w:val="nil"/>
              <w:left w:val="nil"/>
              <w:bottom w:val="nil"/>
              <w:right w:val="nil"/>
            </w:tcBorders>
            <w:shd w:val="clear" w:color="auto" w:fill="auto"/>
            <w:noWrap/>
            <w:vAlign w:val="bottom"/>
            <w:hideMark/>
          </w:tcPr>
          <w:p w14:paraId="6C005FD9"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6569E9E9"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20'200</w:t>
            </w:r>
          </w:p>
        </w:tc>
        <w:tc>
          <w:tcPr>
            <w:tcW w:w="993" w:type="dxa"/>
            <w:tcBorders>
              <w:top w:val="nil"/>
              <w:left w:val="nil"/>
              <w:bottom w:val="nil"/>
              <w:right w:val="nil"/>
            </w:tcBorders>
            <w:shd w:val="clear" w:color="auto" w:fill="auto"/>
            <w:noWrap/>
            <w:vAlign w:val="bottom"/>
            <w:hideMark/>
          </w:tcPr>
          <w:p w14:paraId="2B3F8702"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3F2B18C4"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24'400 </w:t>
            </w:r>
          </w:p>
        </w:tc>
        <w:tc>
          <w:tcPr>
            <w:tcW w:w="1276" w:type="dxa"/>
            <w:tcBorders>
              <w:top w:val="nil"/>
              <w:left w:val="nil"/>
              <w:bottom w:val="nil"/>
              <w:right w:val="nil"/>
            </w:tcBorders>
            <w:shd w:val="clear" w:color="auto" w:fill="auto"/>
            <w:noWrap/>
            <w:vAlign w:val="bottom"/>
            <w:hideMark/>
          </w:tcPr>
          <w:p w14:paraId="7361E427"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3.990</w:t>
            </w:r>
          </w:p>
        </w:tc>
        <w:tc>
          <w:tcPr>
            <w:tcW w:w="1701" w:type="dxa"/>
            <w:tcBorders>
              <w:top w:val="nil"/>
              <w:left w:val="nil"/>
              <w:bottom w:val="nil"/>
              <w:right w:val="nil"/>
            </w:tcBorders>
            <w:shd w:val="clear" w:color="auto" w:fill="auto"/>
            <w:noWrap/>
            <w:vAlign w:val="bottom"/>
            <w:hideMark/>
          </w:tcPr>
          <w:p w14:paraId="0D7A9AEA"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200.50 </w:t>
            </w:r>
          </w:p>
        </w:tc>
        <w:tc>
          <w:tcPr>
            <w:tcW w:w="1701" w:type="dxa"/>
            <w:tcBorders>
              <w:top w:val="nil"/>
              <w:left w:val="nil"/>
              <w:bottom w:val="nil"/>
              <w:right w:val="nil"/>
            </w:tcBorders>
            <w:shd w:val="clear" w:color="auto" w:fill="auto"/>
            <w:noWrap/>
            <w:vAlign w:val="bottom"/>
            <w:hideMark/>
          </w:tcPr>
          <w:p w14:paraId="3395C878"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0.821</w:t>
            </w:r>
          </w:p>
        </w:tc>
      </w:tr>
      <w:tr w:rsidR="004411A7" w:rsidRPr="004411A7" w14:paraId="1F3C2B37" w14:textId="77777777" w:rsidTr="00D930C0">
        <w:trPr>
          <w:trHeight w:val="255"/>
        </w:trPr>
        <w:tc>
          <w:tcPr>
            <w:tcW w:w="709" w:type="dxa"/>
            <w:tcBorders>
              <w:top w:val="nil"/>
              <w:left w:val="nil"/>
              <w:bottom w:val="nil"/>
              <w:right w:val="nil"/>
            </w:tcBorders>
            <w:shd w:val="clear" w:color="auto" w:fill="auto"/>
            <w:noWrap/>
            <w:vAlign w:val="bottom"/>
            <w:hideMark/>
          </w:tcPr>
          <w:p w14:paraId="52A1A5FE"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1E69DCB0"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24'500</w:t>
            </w:r>
          </w:p>
        </w:tc>
        <w:tc>
          <w:tcPr>
            <w:tcW w:w="993" w:type="dxa"/>
            <w:tcBorders>
              <w:top w:val="nil"/>
              <w:left w:val="nil"/>
              <w:bottom w:val="nil"/>
              <w:right w:val="nil"/>
            </w:tcBorders>
            <w:shd w:val="clear" w:color="auto" w:fill="auto"/>
            <w:noWrap/>
            <w:vAlign w:val="bottom"/>
            <w:hideMark/>
          </w:tcPr>
          <w:p w14:paraId="5E44167D"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751FAF58"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27'700 </w:t>
            </w:r>
          </w:p>
        </w:tc>
        <w:tc>
          <w:tcPr>
            <w:tcW w:w="1276" w:type="dxa"/>
            <w:tcBorders>
              <w:top w:val="nil"/>
              <w:left w:val="nil"/>
              <w:bottom w:val="nil"/>
              <w:right w:val="nil"/>
            </w:tcBorders>
            <w:shd w:val="clear" w:color="auto" w:fill="auto"/>
            <w:noWrap/>
            <w:vAlign w:val="bottom"/>
            <w:hideMark/>
          </w:tcPr>
          <w:p w14:paraId="5B96BF6C"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4.434</w:t>
            </w:r>
          </w:p>
        </w:tc>
        <w:tc>
          <w:tcPr>
            <w:tcW w:w="1701" w:type="dxa"/>
            <w:tcBorders>
              <w:top w:val="nil"/>
              <w:left w:val="nil"/>
              <w:bottom w:val="nil"/>
              <w:right w:val="nil"/>
            </w:tcBorders>
            <w:shd w:val="clear" w:color="auto" w:fill="auto"/>
            <w:noWrap/>
            <w:vAlign w:val="bottom"/>
            <w:hideMark/>
          </w:tcPr>
          <w:p w14:paraId="413A8733"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346.80 </w:t>
            </w:r>
          </w:p>
        </w:tc>
        <w:tc>
          <w:tcPr>
            <w:tcW w:w="1701" w:type="dxa"/>
            <w:tcBorders>
              <w:top w:val="nil"/>
              <w:left w:val="nil"/>
              <w:bottom w:val="nil"/>
              <w:right w:val="nil"/>
            </w:tcBorders>
            <w:shd w:val="clear" w:color="auto" w:fill="auto"/>
            <w:noWrap/>
            <w:vAlign w:val="bottom"/>
            <w:hideMark/>
          </w:tcPr>
          <w:p w14:paraId="7D6177C1"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1.251</w:t>
            </w:r>
          </w:p>
        </w:tc>
      </w:tr>
      <w:tr w:rsidR="004411A7" w:rsidRPr="004411A7" w14:paraId="0C28F085" w14:textId="77777777" w:rsidTr="00D930C0">
        <w:trPr>
          <w:trHeight w:val="255"/>
        </w:trPr>
        <w:tc>
          <w:tcPr>
            <w:tcW w:w="709" w:type="dxa"/>
            <w:tcBorders>
              <w:top w:val="nil"/>
              <w:left w:val="nil"/>
              <w:bottom w:val="nil"/>
              <w:right w:val="nil"/>
            </w:tcBorders>
            <w:shd w:val="clear" w:color="auto" w:fill="auto"/>
            <w:noWrap/>
            <w:vAlign w:val="bottom"/>
            <w:hideMark/>
          </w:tcPr>
          <w:p w14:paraId="62529972"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15D59AA9"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27'800</w:t>
            </w:r>
          </w:p>
        </w:tc>
        <w:tc>
          <w:tcPr>
            <w:tcW w:w="993" w:type="dxa"/>
            <w:tcBorders>
              <w:top w:val="nil"/>
              <w:left w:val="nil"/>
              <w:bottom w:val="nil"/>
              <w:right w:val="nil"/>
            </w:tcBorders>
            <w:shd w:val="clear" w:color="auto" w:fill="auto"/>
            <w:noWrap/>
            <w:vAlign w:val="bottom"/>
            <w:hideMark/>
          </w:tcPr>
          <w:p w14:paraId="3E9AFC9E"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5ADA0E37"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32'600 </w:t>
            </w:r>
          </w:p>
        </w:tc>
        <w:tc>
          <w:tcPr>
            <w:tcW w:w="1276" w:type="dxa"/>
            <w:tcBorders>
              <w:top w:val="nil"/>
              <w:left w:val="nil"/>
              <w:bottom w:val="nil"/>
              <w:right w:val="nil"/>
            </w:tcBorders>
            <w:shd w:val="clear" w:color="auto" w:fill="auto"/>
            <w:noWrap/>
            <w:vAlign w:val="bottom"/>
            <w:hideMark/>
          </w:tcPr>
          <w:p w14:paraId="7A60457E"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2.660</w:t>
            </w:r>
          </w:p>
        </w:tc>
        <w:tc>
          <w:tcPr>
            <w:tcW w:w="1701" w:type="dxa"/>
            <w:tcBorders>
              <w:top w:val="nil"/>
              <w:left w:val="nil"/>
              <w:bottom w:val="nil"/>
              <w:right w:val="nil"/>
            </w:tcBorders>
            <w:shd w:val="clear" w:color="auto" w:fill="auto"/>
            <w:noWrap/>
            <w:vAlign w:val="bottom"/>
            <w:hideMark/>
          </w:tcPr>
          <w:p w14:paraId="5A56FA18"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477.15 </w:t>
            </w:r>
          </w:p>
        </w:tc>
        <w:tc>
          <w:tcPr>
            <w:tcW w:w="1701" w:type="dxa"/>
            <w:tcBorders>
              <w:top w:val="nil"/>
              <w:left w:val="nil"/>
              <w:bottom w:val="nil"/>
              <w:right w:val="nil"/>
            </w:tcBorders>
            <w:shd w:val="clear" w:color="auto" w:fill="auto"/>
            <w:noWrap/>
            <w:vAlign w:val="bottom"/>
            <w:hideMark/>
          </w:tcPr>
          <w:p w14:paraId="55C5465B"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1.463</w:t>
            </w:r>
          </w:p>
        </w:tc>
      </w:tr>
      <w:tr w:rsidR="004411A7" w:rsidRPr="004411A7" w14:paraId="4125E1FC" w14:textId="77777777" w:rsidTr="00D930C0">
        <w:trPr>
          <w:trHeight w:val="255"/>
        </w:trPr>
        <w:tc>
          <w:tcPr>
            <w:tcW w:w="709" w:type="dxa"/>
            <w:tcBorders>
              <w:top w:val="nil"/>
              <w:left w:val="nil"/>
              <w:bottom w:val="nil"/>
              <w:right w:val="nil"/>
            </w:tcBorders>
            <w:shd w:val="clear" w:color="auto" w:fill="auto"/>
            <w:noWrap/>
            <w:vAlign w:val="bottom"/>
            <w:hideMark/>
          </w:tcPr>
          <w:p w14:paraId="199FE18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259BCF43"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32'700</w:t>
            </w:r>
          </w:p>
        </w:tc>
        <w:tc>
          <w:tcPr>
            <w:tcW w:w="993" w:type="dxa"/>
            <w:tcBorders>
              <w:top w:val="nil"/>
              <w:left w:val="nil"/>
              <w:bottom w:val="nil"/>
              <w:right w:val="nil"/>
            </w:tcBorders>
            <w:shd w:val="clear" w:color="auto" w:fill="auto"/>
            <w:noWrap/>
            <w:vAlign w:val="bottom"/>
            <w:hideMark/>
          </w:tcPr>
          <w:p w14:paraId="656B014C"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551DB725"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41'600 </w:t>
            </w:r>
          </w:p>
        </w:tc>
        <w:tc>
          <w:tcPr>
            <w:tcW w:w="1276" w:type="dxa"/>
            <w:tcBorders>
              <w:top w:val="nil"/>
              <w:left w:val="nil"/>
              <w:bottom w:val="nil"/>
              <w:right w:val="nil"/>
            </w:tcBorders>
            <w:shd w:val="clear" w:color="auto" w:fill="auto"/>
            <w:noWrap/>
            <w:vAlign w:val="bottom"/>
            <w:hideMark/>
          </w:tcPr>
          <w:p w14:paraId="7007EDEA"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3.990</w:t>
            </w:r>
          </w:p>
        </w:tc>
        <w:tc>
          <w:tcPr>
            <w:tcW w:w="1701" w:type="dxa"/>
            <w:tcBorders>
              <w:top w:val="nil"/>
              <w:left w:val="nil"/>
              <w:bottom w:val="nil"/>
              <w:right w:val="nil"/>
            </w:tcBorders>
            <w:shd w:val="clear" w:color="auto" w:fill="auto"/>
            <w:noWrap/>
            <w:vAlign w:val="bottom"/>
            <w:hideMark/>
          </w:tcPr>
          <w:p w14:paraId="7B3F244A"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836.25 </w:t>
            </w:r>
          </w:p>
        </w:tc>
        <w:tc>
          <w:tcPr>
            <w:tcW w:w="1701" w:type="dxa"/>
            <w:tcBorders>
              <w:top w:val="nil"/>
              <w:left w:val="nil"/>
              <w:bottom w:val="nil"/>
              <w:right w:val="nil"/>
            </w:tcBorders>
            <w:shd w:val="clear" w:color="auto" w:fill="auto"/>
            <w:noWrap/>
            <w:vAlign w:val="bottom"/>
            <w:hideMark/>
          </w:tcPr>
          <w:p w14:paraId="40601582"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2.010</w:t>
            </w:r>
          </w:p>
        </w:tc>
      </w:tr>
      <w:tr w:rsidR="004411A7" w:rsidRPr="004411A7" w14:paraId="0B7D9B81" w14:textId="77777777" w:rsidTr="00D930C0">
        <w:trPr>
          <w:trHeight w:val="255"/>
        </w:trPr>
        <w:tc>
          <w:tcPr>
            <w:tcW w:w="709" w:type="dxa"/>
            <w:tcBorders>
              <w:top w:val="nil"/>
              <w:left w:val="nil"/>
              <w:bottom w:val="nil"/>
              <w:right w:val="nil"/>
            </w:tcBorders>
            <w:shd w:val="clear" w:color="auto" w:fill="auto"/>
            <w:noWrap/>
            <w:vAlign w:val="bottom"/>
            <w:hideMark/>
          </w:tcPr>
          <w:p w14:paraId="655B5E81"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7D457285"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41'700</w:t>
            </w:r>
          </w:p>
        </w:tc>
        <w:tc>
          <w:tcPr>
            <w:tcW w:w="993" w:type="dxa"/>
            <w:tcBorders>
              <w:top w:val="nil"/>
              <w:left w:val="nil"/>
              <w:bottom w:val="nil"/>
              <w:right w:val="nil"/>
            </w:tcBorders>
            <w:shd w:val="clear" w:color="auto" w:fill="auto"/>
            <w:noWrap/>
            <w:vAlign w:val="bottom"/>
            <w:hideMark/>
          </w:tcPr>
          <w:p w14:paraId="6C475B97"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089192B1"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47'000 </w:t>
            </w:r>
          </w:p>
        </w:tc>
        <w:tc>
          <w:tcPr>
            <w:tcW w:w="1276" w:type="dxa"/>
            <w:tcBorders>
              <w:top w:val="nil"/>
              <w:left w:val="nil"/>
              <w:bottom w:val="nil"/>
              <w:right w:val="nil"/>
            </w:tcBorders>
            <w:shd w:val="clear" w:color="auto" w:fill="auto"/>
            <w:noWrap/>
            <w:vAlign w:val="bottom"/>
            <w:hideMark/>
          </w:tcPr>
          <w:p w14:paraId="53B533E4"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6.651</w:t>
            </w:r>
          </w:p>
        </w:tc>
        <w:tc>
          <w:tcPr>
            <w:tcW w:w="1701" w:type="dxa"/>
            <w:tcBorders>
              <w:top w:val="nil"/>
              <w:left w:val="nil"/>
              <w:bottom w:val="nil"/>
              <w:right w:val="nil"/>
            </w:tcBorders>
            <w:shd w:val="clear" w:color="auto" w:fill="auto"/>
            <w:noWrap/>
            <w:vAlign w:val="bottom"/>
            <w:hideMark/>
          </w:tcPr>
          <w:p w14:paraId="69949661"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1'195.40 </w:t>
            </w:r>
          </w:p>
        </w:tc>
        <w:tc>
          <w:tcPr>
            <w:tcW w:w="1701" w:type="dxa"/>
            <w:tcBorders>
              <w:top w:val="nil"/>
              <w:left w:val="nil"/>
              <w:bottom w:val="nil"/>
              <w:right w:val="nil"/>
            </w:tcBorders>
            <w:shd w:val="clear" w:color="auto" w:fill="auto"/>
            <w:noWrap/>
            <w:vAlign w:val="bottom"/>
            <w:hideMark/>
          </w:tcPr>
          <w:p w14:paraId="0459FE4E"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2.543</w:t>
            </w:r>
          </w:p>
        </w:tc>
      </w:tr>
      <w:tr w:rsidR="004411A7" w:rsidRPr="004411A7" w14:paraId="52BFC312" w14:textId="77777777" w:rsidTr="00D930C0">
        <w:trPr>
          <w:trHeight w:val="255"/>
        </w:trPr>
        <w:tc>
          <w:tcPr>
            <w:tcW w:w="709" w:type="dxa"/>
            <w:tcBorders>
              <w:top w:val="nil"/>
              <w:left w:val="nil"/>
              <w:bottom w:val="nil"/>
              <w:right w:val="nil"/>
            </w:tcBorders>
            <w:shd w:val="clear" w:color="auto" w:fill="auto"/>
            <w:noWrap/>
            <w:vAlign w:val="bottom"/>
            <w:hideMark/>
          </w:tcPr>
          <w:p w14:paraId="6CC35AEF"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1D847012"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47'100</w:t>
            </w:r>
          </w:p>
        </w:tc>
        <w:tc>
          <w:tcPr>
            <w:tcW w:w="993" w:type="dxa"/>
            <w:tcBorders>
              <w:top w:val="nil"/>
              <w:left w:val="nil"/>
              <w:bottom w:val="nil"/>
              <w:right w:val="nil"/>
            </w:tcBorders>
            <w:shd w:val="clear" w:color="auto" w:fill="auto"/>
            <w:noWrap/>
            <w:vAlign w:val="bottom"/>
            <w:hideMark/>
          </w:tcPr>
          <w:p w14:paraId="7CCC3615"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4143B1C6"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59'600 </w:t>
            </w:r>
          </w:p>
        </w:tc>
        <w:tc>
          <w:tcPr>
            <w:tcW w:w="1276" w:type="dxa"/>
            <w:tcBorders>
              <w:top w:val="nil"/>
              <w:left w:val="nil"/>
              <w:bottom w:val="nil"/>
              <w:right w:val="nil"/>
            </w:tcBorders>
            <w:shd w:val="clear" w:color="auto" w:fill="auto"/>
            <w:noWrap/>
            <w:vAlign w:val="bottom"/>
            <w:hideMark/>
          </w:tcPr>
          <w:p w14:paraId="5D07D35E"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7.981</w:t>
            </w:r>
          </w:p>
        </w:tc>
        <w:tc>
          <w:tcPr>
            <w:tcW w:w="1701" w:type="dxa"/>
            <w:tcBorders>
              <w:top w:val="nil"/>
              <w:left w:val="nil"/>
              <w:bottom w:val="nil"/>
              <w:right w:val="nil"/>
            </w:tcBorders>
            <w:shd w:val="clear" w:color="auto" w:fill="auto"/>
            <w:noWrap/>
            <w:vAlign w:val="bottom"/>
            <w:hideMark/>
          </w:tcPr>
          <w:p w14:paraId="1044A035"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2'201.00 </w:t>
            </w:r>
          </w:p>
        </w:tc>
        <w:tc>
          <w:tcPr>
            <w:tcW w:w="1701" w:type="dxa"/>
            <w:tcBorders>
              <w:top w:val="nil"/>
              <w:left w:val="nil"/>
              <w:bottom w:val="nil"/>
              <w:right w:val="nil"/>
            </w:tcBorders>
            <w:shd w:val="clear" w:color="auto" w:fill="auto"/>
            <w:noWrap/>
            <w:vAlign w:val="bottom"/>
            <w:hideMark/>
          </w:tcPr>
          <w:p w14:paraId="33C2C9AD"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3.692</w:t>
            </w:r>
          </w:p>
        </w:tc>
      </w:tr>
      <w:tr w:rsidR="004411A7" w:rsidRPr="004411A7" w14:paraId="7B00E319" w14:textId="77777777" w:rsidTr="00D930C0">
        <w:trPr>
          <w:trHeight w:val="255"/>
        </w:trPr>
        <w:tc>
          <w:tcPr>
            <w:tcW w:w="709" w:type="dxa"/>
            <w:tcBorders>
              <w:top w:val="nil"/>
              <w:left w:val="nil"/>
              <w:bottom w:val="nil"/>
              <w:right w:val="nil"/>
            </w:tcBorders>
            <w:shd w:val="clear" w:color="auto" w:fill="auto"/>
            <w:noWrap/>
            <w:vAlign w:val="bottom"/>
            <w:hideMark/>
          </w:tcPr>
          <w:p w14:paraId="21AB5F7C"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467AD8A3"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59'700</w:t>
            </w:r>
          </w:p>
        </w:tc>
        <w:tc>
          <w:tcPr>
            <w:tcW w:w="993" w:type="dxa"/>
            <w:tcBorders>
              <w:top w:val="nil"/>
              <w:left w:val="nil"/>
              <w:bottom w:val="nil"/>
              <w:right w:val="nil"/>
            </w:tcBorders>
            <w:shd w:val="clear" w:color="auto" w:fill="auto"/>
            <w:noWrap/>
            <w:vAlign w:val="bottom"/>
            <w:hideMark/>
          </w:tcPr>
          <w:p w14:paraId="71D5AEB7"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2D9CA9F4"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78'500 </w:t>
            </w:r>
          </w:p>
        </w:tc>
        <w:tc>
          <w:tcPr>
            <w:tcW w:w="1276" w:type="dxa"/>
            <w:tcBorders>
              <w:top w:val="nil"/>
              <w:left w:val="nil"/>
              <w:bottom w:val="nil"/>
              <w:right w:val="nil"/>
            </w:tcBorders>
            <w:shd w:val="clear" w:color="auto" w:fill="auto"/>
            <w:noWrap/>
            <w:vAlign w:val="bottom"/>
            <w:hideMark/>
          </w:tcPr>
          <w:p w14:paraId="6E30B8B3"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10.287</w:t>
            </w:r>
          </w:p>
        </w:tc>
        <w:tc>
          <w:tcPr>
            <w:tcW w:w="1701" w:type="dxa"/>
            <w:tcBorders>
              <w:top w:val="nil"/>
              <w:left w:val="nil"/>
              <w:bottom w:val="nil"/>
              <w:right w:val="nil"/>
            </w:tcBorders>
            <w:shd w:val="clear" w:color="auto" w:fill="auto"/>
            <w:noWrap/>
            <w:vAlign w:val="bottom"/>
            <w:hideMark/>
          </w:tcPr>
          <w:p w14:paraId="5E2A9AAB"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4'145.25 </w:t>
            </w:r>
          </w:p>
        </w:tc>
        <w:tc>
          <w:tcPr>
            <w:tcW w:w="1701" w:type="dxa"/>
            <w:tcBorders>
              <w:top w:val="nil"/>
              <w:left w:val="nil"/>
              <w:bottom w:val="nil"/>
              <w:right w:val="nil"/>
            </w:tcBorders>
            <w:shd w:val="clear" w:color="auto" w:fill="auto"/>
            <w:noWrap/>
            <w:vAlign w:val="bottom"/>
            <w:hideMark/>
          </w:tcPr>
          <w:p w14:paraId="237C84D7"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5.280</w:t>
            </w:r>
          </w:p>
        </w:tc>
      </w:tr>
      <w:tr w:rsidR="004411A7" w:rsidRPr="004411A7" w14:paraId="08934CC5" w14:textId="77777777" w:rsidTr="00D930C0">
        <w:trPr>
          <w:trHeight w:val="255"/>
        </w:trPr>
        <w:tc>
          <w:tcPr>
            <w:tcW w:w="709" w:type="dxa"/>
            <w:tcBorders>
              <w:top w:val="nil"/>
              <w:left w:val="nil"/>
              <w:bottom w:val="nil"/>
              <w:right w:val="nil"/>
            </w:tcBorders>
            <w:shd w:val="clear" w:color="auto" w:fill="auto"/>
            <w:noWrap/>
            <w:vAlign w:val="bottom"/>
            <w:hideMark/>
          </w:tcPr>
          <w:p w14:paraId="6C1542B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06AD8ACD"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78'600</w:t>
            </w:r>
          </w:p>
        </w:tc>
        <w:tc>
          <w:tcPr>
            <w:tcW w:w="993" w:type="dxa"/>
            <w:tcBorders>
              <w:top w:val="nil"/>
              <w:left w:val="nil"/>
              <w:bottom w:val="nil"/>
              <w:right w:val="nil"/>
            </w:tcBorders>
            <w:shd w:val="clear" w:color="auto" w:fill="auto"/>
            <w:noWrap/>
            <w:vAlign w:val="bottom"/>
            <w:hideMark/>
          </w:tcPr>
          <w:p w14:paraId="4AB29AFC"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40F09E72"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88'900 </w:t>
            </w:r>
          </w:p>
        </w:tc>
        <w:tc>
          <w:tcPr>
            <w:tcW w:w="1276" w:type="dxa"/>
            <w:tcBorders>
              <w:top w:val="nil"/>
              <w:left w:val="nil"/>
              <w:bottom w:val="nil"/>
              <w:right w:val="nil"/>
            </w:tcBorders>
            <w:shd w:val="clear" w:color="auto" w:fill="auto"/>
            <w:noWrap/>
            <w:vAlign w:val="bottom"/>
            <w:hideMark/>
          </w:tcPr>
          <w:p w14:paraId="69FB60A4"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11.262</w:t>
            </w:r>
          </w:p>
        </w:tc>
        <w:tc>
          <w:tcPr>
            <w:tcW w:w="1701" w:type="dxa"/>
            <w:tcBorders>
              <w:top w:val="nil"/>
              <w:left w:val="nil"/>
              <w:bottom w:val="nil"/>
              <w:right w:val="nil"/>
            </w:tcBorders>
            <w:shd w:val="clear" w:color="auto" w:fill="auto"/>
            <w:noWrap/>
            <w:vAlign w:val="bottom"/>
            <w:hideMark/>
          </w:tcPr>
          <w:p w14:paraId="6BB75CA0"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5'316.50 </w:t>
            </w:r>
          </w:p>
        </w:tc>
        <w:tc>
          <w:tcPr>
            <w:tcW w:w="1701" w:type="dxa"/>
            <w:tcBorders>
              <w:top w:val="nil"/>
              <w:left w:val="nil"/>
              <w:bottom w:val="nil"/>
              <w:right w:val="nil"/>
            </w:tcBorders>
            <w:shd w:val="clear" w:color="auto" w:fill="auto"/>
            <w:noWrap/>
            <w:vAlign w:val="bottom"/>
            <w:hideMark/>
          </w:tcPr>
          <w:p w14:paraId="74695949"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5.980</w:t>
            </w:r>
          </w:p>
        </w:tc>
      </w:tr>
      <w:tr w:rsidR="004411A7" w:rsidRPr="004411A7" w14:paraId="7D9E7AED" w14:textId="77777777" w:rsidTr="00D930C0">
        <w:trPr>
          <w:trHeight w:val="255"/>
        </w:trPr>
        <w:tc>
          <w:tcPr>
            <w:tcW w:w="709" w:type="dxa"/>
            <w:tcBorders>
              <w:top w:val="nil"/>
              <w:left w:val="nil"/>
              <w:bottom w:val="nil"/>
              <w:right w:val="nil"/>
            </w:tcBorders>
            <w:shd w:val="clear" w:color="auto" w:fill="auto"/>
            <w:noWrap/>
            <w:vAlign w:val="bottom"/>
            <w:hideMark/>
          </w:tcPr>
          <w:p w14:paraId="15F4CFCD"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6BD4A1B8"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89'000</w:t>
            </w:r>
          </w:p>
        </w:tc>
        <w:tc>
          <w:tcPr>
            <w:tcW w:w="993" w:type="dxa"/>
            <w:tcBorders>
              <w:top w:val="nil"/>
              <w:left w:val="nil"/>
              <w:bottom w:val="nil"/>
              <w:right w:val="nil"/>
            </w:tcBorders>
            <w:shd w:val="clear" w:color="auto" w:fill="auto"/>
            <w:noWrap/>
            <w:vAlign w:val="bottom"/>
            <w:hideMark/>
          </w:tcPr>
          <w:p w14:paraId="574CFD2A"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3F990EB2"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120'600 </w:t>
            </w:r>
          </w:p>
        </w:tc>
        <w:tc>
          <w:tcPr>
            <w:tcW w:w="1276" w:type="dxa"/>
            <w:tcBorders>
              <w:top w:val="nil"/>
              <w:left w:val="nil"/>
              <w:bottom w:val="nil"/>
              <w:right w:val="nil"/>
            </w:tcBorders>
            <w:shd w:val="clear" w:color="auto" w:fill="auto"/>
            <w:noWrap/>
            <w:vAlign w:val="bottom"/>
            <w:hideMark/>
          </w:tcPr>
          <w:p w14:paraId="6DD5A5B7"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12.859</w:t>
            </w:r>
          </w:p>
        </w:tc>
        <w:tc>
          <w:tcPr>
            <w:tcW w:w="1701" w:type="dxa"/>
            <w:tcBorders>
              <w:top w:val="nil"/>
              <w:left w:val="nil"/>
              <w:bottom w:val="nil"/>
              <w:right w:val="nil"/>
            </w:tcBorders>
            <w:shd w:val="clear" w:color="auto" w:fill="auto"/>
            <w:noWrap/>
            <w:vAlign w:val="bottom"/>
            <w:hideMark/>
          </w:tcPr>
          <w:p w14:paraId="384362A1"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9'392.80 </w:t>
            </w:r>
          </w:p>
        </w:tc>
        <w:tc>
          <w:tcPr>
            <w:tcW w:w="1701" w:type="dxa"/>
            <w:tcBorders>
              <w:top w:val="nil"/>
              <w:left w:val="nil"/>
              <w:bottom w:val="nil"/>
              <w:right w:val="nil"/>
            </w:tcBorders>
            <w:shd w:val="clear" w:color="auto" w:fill="auto"/>
            <w:noWrap/>
            <w:vAlign w:val="bottom"/>
            <w:hideMark/>
          </w:tcPr>
          <w:p w14:paraId="0C2B8BCA"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7.788</w:t>
            </w:r>
          </w:p>
        </w:tc>
      </w:tr>
      <w:tr w:rsidR="004411A7" w:rsidRPr="004411A7" w14:paraId="554A3385" w14:textId="77777777" w:rsidTr="00D930C0">
        <w:trPr>
          <w:trHeight w:val="255"/>
        </w:trPr>
        <w:tc>
          <w:tcPr>
            <w:tcW w:w="709" w:type="dxa"/>
            <w:tcBorders>
              <w:top w:val="nil"/>
              <w:left w:val="nil"/>
              <w:bottom w:val="nil"/>
              <w:right w:val="nil"/>
            </w:tcBorders>
            <w:shd w:val="clear" w:color="auto" w:fill="auto"/>
            <w:noWrap/>
            <w:vAlign w:val="bottom"/>
            <w:hideMark/>
          </w:tcPr>
          <w:p w14:paraId="43DEDF4B"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58290A33"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120'700</w:t>
            </w:r>
          </w:p>
        </w:tc>
        <w:tc>
          <w:tcPr>
            <w:tcW w:w="993" w:type="dxa"/>
            <w:tcBorders>
              <w:top w:val="nil"/>
              <w:left w:val="nil"/>
              <w:bottom w:val="nil"/>
              <w:right w:val="nil"/>
            </w:tcBorders>
            <w:shd w:val="clear" w:color="auto" w:fill="auto"/>
            <w:noWrap/>
            <w:vAlign w:val="bottom"/>
            <w:hideMark/>
          </w:tcPr>
          <w:p w14:paraId="39792B15"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78769553"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138'700 </w:t>
            </w:r>
          </w:p>
        </w:tc>
        <w:tc>
          <w:tcPr>
            <w:tcW w:w="1276" w:type="dxa"/>
            <w:tcBorders>
              <w:top w:val="nil"/>
              <w:left w:val="nil"/>
              <w:bottom w:val="nil"/>
              <w:right w:val="nil"/>
            </w:tcBorders>
            <w:shd w:val="clear" w:color="auto" w:fill="auto"/>
            <w:noWrap/>
            <w:vAlign w:val="bottom"/>
            <w:hideMark/>
          </w:tcPr>
          <w:p w14:paraId="784B830A"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12.238</w:t>
            </w:r>
          </w:p>
        </w:tc>
        <w:tc>
          <w:tcPr>
            <w:tcW w:w="1701" w:type="dxa"/>
            <w:tcBorders>
              <w:top w:val="nil"/>
              <w:left w:val="nil"/>
              <w:bottom w:val="nil"/>
              <w:right w:val="nil"/>
            </w:tcBorders>
            <w:shd w:val="clear" w:color="auto" w:fill="auto"/>
            <w:noWrap/>
            <w:vAlign w:val="bottom"/>
            <w:hideMark/>
          </w:tcPr>
          <w:p w14:paraId="03EF1A70"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11'607.90 </w:t>
            </w:r>
          </w:p>
        </w:tc>
        <w:tc>
          <w:tcPr>
            <w:tcW w:w="1701" w:type="dxa"/>
            <w:tcBorders>
              <w:top w:val="nil"/>
              <w:left w:val="nil"/>
              <w:bottom w:val="nil"/>
              <w:right w:val="nil"/>
            </w:tcBorders>
            <w:shd w:val="clear" w:color="auto" w:fill="auto"/>
            <w:noWrap/>
            <w:vAlign w:val="bottom"/>
            <w:hideMark/>
          </w:tcPr>
          <w:p w14:paraId="06D5DB49"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8.369</w:t>
            </w:r>
          </w:p>
        </w:tc>
      </w:tr>
      <w:tr w:rsidR="004411A7" w:rsidRPr="004411A7" w14:paraId="72ED4761" w14:textId="77777777" w:rsidTr="00D930C0">
        <w:trPr>
          <w:trHeight w:val="255"/>
        </w:trPr>
        <w:tc>
          <w:tcPr>
            <w:tcW w:w="709" w:type="dxa"/>
            <w:tcBorders>
              <w:top w:val="nil"/>
              <w:left w:val="nil"/>
              <w:bottom w:val="nil"/>
              <w:right w:val="nil"/>
            </w:tcBorders>
            <w:shd w:val="clear" w:color="auto" w:fill="auto"/>
            <w:noWrap/>
            <w:vAlign w:val="bottom"/>
            <w:hideMark/>
          </w:tcPr>
          <w:p w14:paraId="1AA7516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1FEABF53"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138'800</w:t>
            </w:r>
          </w:p>
        </w:tc>
        <w:tc>
          <w:tcPr>
            <w:tcW w:w="993" w:type="dxa"/>
            <w:tcBorders>
              <w:top w:val="nil"/>
              <w:left w:val="nil"/>
              <w:bottom w:val="nil"/>
              <w:right w:val="nil"/>
            </w:tcBorders>
            <w:shd w:val="clear" w:color="auto" w:fill="auto"/>
            <w:noWrap/>
            <w:vAlign w:val="bottom"/>
            <w:hideMark/>
          </w:tcPr>
          <w:p w14:paraId="0BBAA401"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12326D78"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180'200 </w:t>
            </w:r>
          </w:p>
        </w:tc>
        <w:tc>
          <w:tcPr>
            <w:tcW w:w="1276" w:type="dxa"/>
            <w:tcBorders>
              <w:top w:val="nil"/>
              <w:left w:val="nil"/>
              <w:bottom w:val="nil"/>
              <w:right w:val="nil"/>
            </w:tcBorders>
            <w:shd w:val="clear" w:color="auto" w:fill="auto"/>
            <w:noWrap/>
            <w:vAlign w:val="bottom"/>
            <w:hideMark/>
          </w:tcPr>
          <w:p w14:paraId="339E436D"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13.125</w:t>
            </w:r>
          </w:p>
        </w:tc>
        <w:tc>
          <w:tcPr>
            <w:tcW w:w="1701" w:type="dxa"/>
            <w:tcBorders>
              <w:top w:val="nil"/>
              <w:left w:val="nil"/>
              <w:bottom w:val="nil"/>
              <w:right w:val="nil"/>
            </w:tcBorders>
            <w:shd w:val="clear" w:color="auto" w:fill="auto"/>
            <w:noWrap/>
            <w:vAlign w:val="bottom"/>
            <w:hideMark/>
          </w:tcPr>
          <w:p w14:paraId="598D743A"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17'054.80 </w:t>
            </w:r>
          </w:p>
        </w:tc>
        <w:tc>
          <w:tcPr>
            <w:tcW w:w="1701" w:type="dxa"/>
            <w:tcBorders>
              <w:top w:val="nil"/>
              <w:left w:val="nil"/>
              <w:bottom w:val="nil"/>
              <w:right w:val="nil"/>
            </w:tcBorders>
            <w:shd w:val="clear" w:color="auto" w:fill="auto"/>
            <w:noWrap/>
            <w:vAlign w:val="bottom"/>
            <w:hideMark/>
          </w:tcPr>
          <w:p w14:paraId="22B0C7CA"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9.464</w:t>
            </w:r>
          </w:p>
        </w:tc>
      </w:tr>
      <w:tr w:rsidR="004411A7" w:rsidRPr="004411A7" w14:paraId="16230270" w14:textId="77777777" w:rsidTr="00D930C0">
        <w:trPr>
          <w:trHeight w:val="255"/>
        </w:trPr>
        <w:tc>
          <w:tcPr>
            <w:tcW w:w="709" w:type="dxa"/>
            <w:tcBorders>
              <w:top w:val="nil"/>
              <w:left w:val="nil"/>
              <w:bottom w:val="nil"/>
              <w:right w:val="nil"/>
            </w:tcBorders>
            <w:shd w:val="clear" w:color="auto" w:fill="auto"/>
            <w:noWrap/>
            <w:vAlign w:val="bottom"/>
            <w:hideMark/>
          </w:tcPr>
          <w:p w14:paraId="13D83A85"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6949B18B"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180'300</w:t>
            </w:r>
          </w:p>
        </w:tc>
        <w:tc>
          <w:tcPr>
            <w:tcW w:w="993" w:type="dxa"/>
            <w:tcBorders>
              <w:top w:val="nil"/>
              <w:left w:val="nil"/>
              <w:bottom w:val="nil"/>
              <w:right w:val="nil"/>
            </w:tcBorders>
            <w:shd w:val="clear" w:color="auto" w:fill="auto"/>
            <w:noWrap/>
            <w:vAlign w:val="bottom"/>
            <w:hideMark/>
          </w:tcPr>
          <w:p w14:paraId="4B2D084C"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19A42D8B"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224'100 </w:t>
            </w:r>
          </w:p>
        </w:tc>
        <w:tc>
          <w:tcPr>
            <w:tcW w:w="1276" w:type="dxa"/>
            <w:tcBorders>
              <w:top w:val="nil"/>
              <w:left w:val="nil"/>
              <w:bottom w:val="nil"/>
              <w:right w:val="nil"/>
            </w:tcBorders>
            <w:shd w:val="clear" w:color="auto" w:fill="auto"/>
            <w:noWrap/>
            <w:vAlign w:val="bottom"/>
            <w:hideMark/>
          </w:tcPr>
          <w:p w14:paraId="4A73F07B"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14.011</w:t>
            </w:r>
          </w:p>
        </w:tc>
        <w:tc>
          <w:tcPr>
            <w:tcW w:w="1701" w:type="dxa"/>
            <w:tcBorders>
              <w:top w:val="nil"/>
              <w:left w:val="nil"/>
              <w:bottom w:val="nil"/>
              <w:right w:val="nil"/>
            </w:tcBorders>
            <w:shd w:val="clear" w:color="auto" w:fill="auto"/>
            <w:noWrap/>
            <w:vAlign w:val="bottom"/>
            <w:hideMark/>
          </w:tcPr>
          <w:p w14:paraId="5CDD875B"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23'205.65 </w:t>
            </w:r>
          </w:p>
        </w:tc>
        <w:tc>
          <w:tcPr>
            <w:tcW w:w="1701" w:type="dxa"/>
            <w:tcBorders>
              <w:top w:val="nil"/>
              <w:left w:val="nil"/>
              <w:bottom w:val="nil"/>
              <w:right w:val="nil"/>
            </w:tcBorders>
            <w:shd w:val="clear" w:color="auto" w:fill="auto"/>
            <w:noWrap/>
            <w:vAlign w:val="bottom"/>
            <w:hideMark/>
          </w:tcPr>
          <w:p w14:paraId="399EA4BF"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10.355</w:t>
            </w:r>
          </w:p>
        </w:tc>
      </w:tr>
      <w:tr w:rsidR="004411A7" w:rsidRPr="004411A7" w14:paraId="5B741337" w14:textId="77777777" w:rsidTr="00D930C0">
        <w:trPr>
          <w:trHeight w:val="255"/>
        </w:trPr>
        <w:tc>
          <w:tcPr>
            <w:tcW w:w="709" w:type="dxa"/>
            <w:tcBorders>
              <w:top w:val="nil"/>
              <w:left w:val="nil"/>
              <w:bottom w:val="nil"/>
              <w:right w:val="nil"/>
            </w:tcBorders>
            <w:shd w:val="clear" w:color="auto" w:fill="auto"/>
            <w:noWrap/>
            <w:vAlign w:val="bottom"/>
            <w:hideMark/>
          </w:tcPr>
          <w:p w14:paraId="58214E5D"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nil"/>
              <w:right w:val="nil"/>
            </w:tcBorders>
            <w:shd w:val="clear" w:color="auto" w:fill="auto"/>
            <w:noWrap/>
            <w:vAlign w:val="bottom"/>
            <w:hideMark/>
          </w:tcPr>
          <w:p w14:paraId="10C83129"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224'200</w:t>
            </w:r>
          </w:p>
        </w:tc>
        <w:tc>
          <w:tcPr>
            <w:tcW w:w="993" w:type="dxa"/>
            <w:tcBorders>
              <w:top w:val="nil"/>
              <w:left w:val="nil"/>
              <w:bottom w:val="nil"/>
              <w:right w:val="nil"/>
            </w:tcBorders>
            <w:shd w:val="clear" w:color="auto" w:fill="auto"/>
            <w:noWrap/>
            <w:vAlign w:val="bottom"/>
            <w:hideMark/>
          </w:tcPr>
          <w:p w14:paraId="6B12B08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bottom w:val="nil"/>
              <w:right w:val="nil"/>
            </w:tcBorders>
            <w:shd w:val="clear" w:color="auto" w:fill="auto"/>
            <w:noWrap/>
            <w:vAlign w:val="bottom"/>
            <w:hideMark/>
          </w:tcPr>
          <w:p w14:paraId="470B4BEA"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298'900 </w:t>
            </w:r>
          </w:p>
        </w:tc>
        <w:tc>
          <w:tcPr>
            <w:tcW w:w="1276" w:type="dxa"/>
            <w:tcBorders>
              <w:top w:val="nil"/>
              <w:left w:val="nil"/>
              <w:bottom w:val="nil"/>
              <w:right w:val="nil"/>
            </w:tcBorders>
            <w:shd w:val="clear" w:color="auto" w:fill="auto"/>
            <w:noWrap/>
            <w:vAlign w:val="bottom"/>
            <w:hideMark/>
          </w:tcPr>
          <w:p w14:paraId="176C2940"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14.544</w:t>
            </w:r>
          </w:p>
        </w:tc>
        <w:tc>
          <w:tcPr>
            <w:tcW w:w="1701" w:type="dxa"/>
            <w:tcBorders>
              <w:top w:val="nil"/>
              <w:left w:val="nil"/>
              <w:bottom w:val="nil"/>
              <w:right w:val="nil"/>
            </w:tcBorders>
            <w:shd w:val="clear" w:color="auto" w:fill="auto"/>
            <w:noWrap/>
            <w:vAlign w:val="bottom"/>
            <w:hideMark/>
          </w:tcPr>
          <w:p w14:paraId="2B773C8A"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34'084.55 </w:t>
            </w:r>
          </w:p>
        </w:tc>
        <w:tc>
          <w:tcPr>
            <w:tcW w:w="1701" w:type="dxa"/>
            <w:tcBorders>
              <w:top w:val="nil"/>
              <w:left w:val="nil"/>
              <w:bottom w:val="nil"/>
              <w:right w:val="nil"/>
            </w:tcBorders>
            <w:shd w:val="clear" w:color="auto" w:fill="auto"/>
            <w:noWrap/>
            <w:vAlign w:val="bottom"/>
            <w:hideMark/>
          </w:tcPr>
          <w:p w14:paraId="185A4E21"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11.403</w:t>
            </w:r>
          </w:p>
        </w:tc>
      </w:tr>
      <w:tr w:rsidR="004411A7" w:rsidRPr="004411A7" w14:paraId="3CD929F0" w14:textId="77777777" w:rsidTr="00D930C0">
        <w:trPr>
          <w:trHeight w:val="255"/>
        </w:trPr>
        <w:tc>
          <w:tcPr>
            <w:tcW w:w="709" w:type="dxa"/>
            <w:tcBorders>
              <w:top w:val="nil"/>
              <w:left w:val="nil"/>
              <w:right w:val="nil"/>
            </w:tcBorders>
            <w:shd w:val="clear" w:color="auto" w:fill="auto"/>
            <w:noWrap/>
            <w:vAlign w:val="bottom"/>
            <w:hideMark/>
          </w:tcPr>
          <w:p w14:paraId="0F120CE9"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right w:val="nil"/>
            </w:tcBorders>
            <w:shd w:val="clear" w:color="auto" w:fill="auto"/>
            <w:noWrap/>
            <w:vAlign w:val="bottom"/>
            <w:hideMark/>
          </w:tcPr>
          <w:p w14:paraId="4285F7A6"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299'000</w:t>
            </w:r>
          </w:p>
        </w:tc>
        <w:tc>
          <w:tcPr>
            <w:tcW w:w="993" w:type="dxa"/>
            <w:tcBorders>
              <w:top w:val="nil"/>
              <w:left w:val="nil"/>
              <w:right w:val="nil"/>
            </w:tcBorders>
            <w:shd w:val="clear" w:color="auto" w:fill="auto"/>
            <w:noWrap/>
            <w:vAlign w:val="bottom"/>
            <w:hideMark/>
          </w:tcPr>
          <w:p w14:paraId="287A6D34"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0" w:type="dxa"/>
            <w:tcBorders>
              <w:top w:val="nil"/>
              <w:left w:val="nil"/>
              <w:right w:val="nil"/>
            </w:tcBorders>
            <w:shd w:val="clear" w:color="auto" w:fill="auto"/>
            <w:noWrap/>
            <w:vAlign w:val="bottom"/>
            <w:hideMark/>
          </w:tcPr>
          <w:p w14:paraId="7BBC2BD2"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360'500 </w:t>
            </w:r>
          </w:p>
        </w:tc>
        <w:tc>
          <w:tcPr>
            <w:tcW w:w="1276" w:type="dxa"/>
            <w:tcBorders>
              <w:top w:val="nil"/>
              <w:left w:val="nil"/>
              <w:right w:val="nil"/>
            </w:tcBorders>
            <w:shd w:val="clear" w:color="auto" w:fill="auto"/>
            <w:noWrap/>
            <w:vAlign w:val="bottom"/>
            <w:hideMark/>
          </w:tcPr>
          <w:p w14:paraId="7CE9FF83"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14.898</w:t>
            </w:r>
          </w:p>
        </w:tc>
        <w:tc>
          <w:tcPr>
            <w:tcW w:w="1701" w:type="dxa"/>
            <w:tcBorders>
              <w:top w:val="nil"/>
              <w:left w:val="nil"/>
              <w:right w:val="nil"/>
            </w:tcBorders>
            <w:shd w:val="clear" w:color="auto" w:fill="auto"/>
            <w:noWrap/>
            <w:vAlign w:val="bottom"/>
            <w:hideMark/>
          </w:tcPr>
          <w:p w14:paraId="37FC37E8" w14:textId="77777777" w:rsidR="004411A7" w:rsidRPr="004411A7" w:rsidRDefault="004411A7" w:rsidP="004411A7">
            <w:pPr>
              <w:ind w:right="49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43'261.70 </w:t>
            </w:r>
          </w:p>
        </w:tc>
        <w:tc>
          <w:tcPr>
            <w:tcW w:w="1701" w:type="dxa"/>
            <w:tcBorders>
              <w:top w:val="nil"/>
              <w:left w:val="nil"/>
              <w:right w:val="nil"/>
            </w:tcBorders>
            <w:shd w:val="clear" w:color="auto" w:fill="auto"/>
            <w:noWrap/>
            <w:vAlign w:val="bottom"/>
            <w:hideMark/>
          </w:tcPr>
          <w:p w14:paraId="61F987BC" w14:textId="77777777" w:rsidR="004411A7" w:rsidRPr="004411A7" w:rsidRDefault="004411A7" w:rsidP="004411A7">
            <w:pPr>
              <w:ind w:right="64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12.000</w:t>
            </w:r>
          </w:p>
        </w:tc>
      </w:tr>
      <w:tr w:rsidR="004411A7" w:rsidRPr="004411A7" w14:paraId="11ED09E4" w14:textId="77777777" w:rsidTr="00D930C0">
        <w:trPr>
          <w:trHeight w:val="255"/>
        </w:trPr>
        <w:tc>
          <w:tcPr>
            <w:tcW w:w="709" w:type="dxa"/>
            <w:tcBorders>
              <w:top w:val="nil"/>
              <w:left w:val="nil"/>
              <w:bottom w:val="single" w:sz="4" w:space="0" w:color="auto"/>
              <w:right w:val="nil"/>
            </w:tcBorders>
            <w:shd w:val="clear" w:color="auto" w:fill="auto"/>
            <w:noWrap/>
            <w:vAlign w:val="bottom"/>
            <w:hideMark/>
          </w:tcPr>
          <w:p w14:paraId="722AB294"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992" w:type="dxa"/>
            <w:tcBorders>
              <w:top w:val="nil"/>
              <w:left w:val="nil"/>
              <w:bottom w:val="single" w:sz="4" w:space="0" w:color="auto"/>
              <w:right w:val="nil"/>
            </w:tcBorders>
            <w:shd w:val="clear" w:color="auto" w:fill="auto"/>
            <w:noWrap/>
            <w:vAlign w:val="bottom"/>
            <w:hideMark/>
          </w:tcPr>
          <w:p w14:paraId="6B11C229" w14:textId="77777777" w:rsidR="004411A7" w:rsidRPr="004411A7" w:rsidRDefault="004411A7" w:rsidP="004411A7">
            <w:pPr>
              <w:ind w:right="4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360'600</w:t>
            </w:r>
          </w:p>
        </w:tc>
        <w:tc>
          <w:tcPr>
            <w:tcW w:w="993" w:type="dxa"/>
            <w:tcBorders>
              <w:top w:val="nil"/>
              <w:left w:val="nil"/>
              <w:bottom w:val="single" w:sz="4" w:space="0" w:color="auto"/>
              <w:right w:val="nil"/>
            </w:tcBorders>
            <w:shd w:val="clear" w:color="auto" w:fill="auto"/>
            <w:noWrap/>
            <w:vAlign w:val="bottom"/>
            <w:hideMark/>
          </w:tcPr>
          <w:p w14:paraId="23529C67" w14:textId="77777777" w:rsidR="004411A7" w:rsidRPr="004411A7" w:rsidRDefault="004411A7" w:rsidP="004411A7">
            <w:pPr>
              <w:ind w:hanging="55"/>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in avanti</w:t>
            </w:r>
          </w:p>
        </w:tc>
        <w:tc>
          <w:tcPr>
            <w:tcW w:w="850" w:type="dxa"/>
            <w:tcBorders>
              <w:top w:val="nil"/>
              <w:left w:val="nil"/>
              <w:bottom w:val="single" w:sz="4" w:space="0" w:color="auto"/>
              <w:right w:val="nil"/>
            </w:tcBorders>
            <w:shd w:val="clear" w:color="auto" w:fill="auto"/>
            <w:noWrap/>
            <w:vAlign w:val="bottom"/>
            <w:hideMark/>
          </w:tcPr>
          <w:p w14:paraId="3346D87C" w14:textId="77777777" w:rsidR="004411A7" w:rsidRPr="004411A7" w:rsidRDefault="004411A7" w:rsidP="004411A7">
            <w:pPr>
              <w:jc w:val="right"/>
              <w:rPr>
                <w:rFonts w:asciiTheme="minorHAnsi" w:eastAsia="Times New Roman" w:hAnsiTheme="minorHAnsi" w:cstheme="minorHAnsi"/>
                <w:sz w:val="20"/>
                <w:szCs w:val="20"/>
                <w:lang w:eastAsia="it-CH"/>
              </w:rPr>
            </w:pPr>
          </w:p>
        </w:tc>
        <w:tc>
          <w:tcPr>
            <w:tcW w:w="1276" w:type="dxa"/>
            <w:tcBorders>
              <w:top w:val="nil"/>
              <w:left w:val="nil"/>
              <w:bottom w:val="single" w:sz="4" w:space="0" w:color="auto"/>
              <w:right w:val="nil"/>
            </w:tcBorders>
            <w:shd w:val="clear" w:color="auto" w:fill="auto"/>
            <w:noWrap/>
            <w:vAlign w:val="bottom"/>
            <w:hideMark/>
          </w:tcPr>
          <w:p w14:paraId="3FEBE84F" w14:textId="77777777" w:rsidR="004411A7" w:rsidRPr="004411A7" w:rsidRDefault="004411A7" w:rsidP="004411A7">
            <w:pPr>
              <w:ind w:right="320"/>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12.000</w:t>
            </w:r>
          </w:p>
        </w:tc>
        <w:tc>
          <w:tcPr>
            <w:tcW w:w="1701" w:type="dxa"/>
            <w:tcBorders>
              <w:top w:val="nil"/>
              <w:left w:val="nil"/>
              <w:bottom w:val="single" w:sz="4" w:space="0" w:color="auto"/>
              <w:right w:val="nil"/>
            </w:tcBorders>
            <w:shd w:val="clear" w:color="auto" w:fill="auto"/>
            <w:noWrap/>
            <w:vAlign w:val="bottom"/>
            <w:hideMark/>
          </w:tcPr>
          <w:p w14:paraId="583C01AE" w14:textId="77777777" w:rsidR="004411A7" w:rsidRPr="004411A7" w:rsidRDefault="004411A7" w:rsidP="004411A7">
            <w:pPr>
              <w:ind w:right="494"/>
              <w:jc w:val="right"/>
              <w:rPr>
                <w:rFonts w:asciiTheme="minorHAnsi" w:eastAsia="Times New Roman" w:hAnsiTheme="minorHAnsi" w:cstheme="minorHAnsi"/>
                <w:sz w:val="20"/>
                <w:szCs w:val="20"/>
                <w:lang w:eastAsia="it-CH"/>
              </w:rPr>
            </w:pPr>
          </w:p>
        </w:tc>
        <w:tc>
          <w:tcPr>
            <w:tcW w:w="1701" w:type="dxa"/>
            <w:tcBorders>
              <w:top w:val="nil"/>
              <w:left w:val="nil"/>
              <w:bottom w:val="single" w:sz="4" w:space="0" w:color="auto"/>
              <w:right w:val="nil"/>
            </w:tcBorders>
            <w:shd w:val="clear" w:color="auto" w:fill="auto"/>
            <w:noWrap/>
            <w:vAlign w:val="bottom"/>
            <w:hideMark/>
          </w:tcPr>
          <w:p w14:paraId="11194808" w14:textId="77777777" w:rsidR="004411A7" w:rsidRPr="004411A7" w:rsidRDefault="004411A7" w:rsidP="004411A7">
            <w:pPr>
              <w:ind w:right="644"/>
              <w:jc w:val="right"/>
              <w:rPr>
                <w:rFonts w:asciiTheme="minorHAnsi" w:eastAsia="Times New Roman" w:hAnsiTheme="minorHAnsi" w:cstheme="minorHAnsi"/>
                <w:sz w:val="20"/>
                <w:szCs w:val="20"/>
                <w:lang w:eastAsia="it-CH"/>
              </w:rPr>
            </w:pPr>
          </w:p>
        </w:tc>
      </w:tr>
    </w:tbl>
    <w:p w14:paraId="4DA11F08" w14:textId="77777777" w:rsidR="004411A7" w:rsidRPr="004411A7" w:rsidRDefault="004411A7" w:rsidP="004411A7">
      <w:pPr>
        <w:rPr>
          <w:sz w:val="24"/>
          <w:szCs w:val="24"/>
        </w:rPr>
      </w:pPr>
      <w:r w:rsidRPr="004411A7">
        <w:rPr>
          <w:sz w:val="24"/>
          <w:szCs w:val="24"/>
          <w:vertAlign w:val="superscript"/>
        </w:rPr>
        <w:t>3</w:t>
      </w:r>
      <w:r w:rsidRPr="004411A7">
        <w:rPr>
          <w:sz w:val="24"/>
          <w:szCs w:val="24"/>
        </w:rPr>
        <w:t>I redditi inferiori a 12'300 franchi, per i contribuenti di cui alle categorie del capoverso 1, e a 20'100 franchi, per i contribuenti di cui alle categorie del capoverso 2, sono esenti da imposta. Le frazioni di reddito inferiori a 100 franchi non sono computate.</w:t>
      </w:r>
    </w:p>
    <w:p w14:paraId="39306061" w14:textId="77777777" w:rsidR="004411A7" w:rsidRPr="004411A7" w:rsidRDefault="004411A7" w:rsidP="004411A7">
      <w:pPr>
        <w:rPr>
          <w:sz w:val="24"/>
          <w:szCs w:val="24"/>
        </w:rPr>
      </w:pPr>
    </w:p>
    <w:p w14:paraId="0FEE475A" w14:textId="77777777" w:rsidR="004411A7" w:rsidRPr="004411A7" w:rsidRDefault="004411A7" w:rsidP="004411A7">
      <w:pPr>
        <w:spacing w:before="120"/>
        <w:contextualSpacing/>
        <w:rPr>
          <w:b/>
          <w:sz w:val="24"/>
          <w:szCs w:val="24"/>
        </w:rPr>
      </w:pPr>
      <w:r w:rsidRPr="004411A7">
        <w:rPr>
          <w:b/>
          <w:sz w:val="24"/>
          <w:szCs w:val="24"/>
        </w:rPr>
        <w:t>3. Prestazioni in capitale della previdenza</w:t>
      </w:r>
    </w:p>
    <w:p w14:paraId="43340091" w14:textId="77777777" w:rsidR="004411A7" w:rsidRPr="004411A7" w:rsidRDefault="004411A7" w:rsidP="004411A7">
      <w:pPr>
        <w:rPr>
          <w:b/>
          <w:sz w:val="24"/>
          <w:szCs w:val="24"/>
        </w:rPr>
      </w:pPr>
      <w:r w:rsidRPr="004411A7">
        <w:rPr>
          <w:b/>
          <w:sz w:val="24"/>
          <w:szCs w:val="24"/>
        </w:rPr>
        <w:t>Art. 38 cpv. 2</w:t>
      </w:r>
    </w:p>
    <w:p w14:paraId="3D068F58" w14:textId="77777777" w:rsidR="004411A7" w:rsidRPr="004411A7" w:rsidRDefault="004411A7" w:rsidP="004411A7">
      <w:pPr>
        <w:rPr>
          <w:sz w:val="24"/>
          <w:szCs w:val="24"/>
        </w:rPr>
      </w:pPr>
      <w:r w:rsidRPr="004411A7">
        <w:rPr>
          <w:sz w:val="24"/>
          <w:szCs w:val="24"/>
          <w:vertAlign w:val="superscript"/>
        </w:rPr>
        <w:t>2</w:t>
      </w:r>
      <w:r w:rsidRPr="004411A7">
        <w:rPr>
          <w:sz w:val="24"/>
          <w:szCs w:val="24"/>
        </w:rPr>
        <w:t>L’imposta è calcolata con l’aliquota che sarebbe applicabile se al posto della prestazione unica fosse versata una prestazione annua corrispondente, ritenuto un’aliquota minima del 2 per cento e un’aliquota massima del 3 per cento.</w:t>
      </w:r>
    </w:p>
    <w:p w14:paraId="3FB6068C" w14:textId="77777777" w:rsidR="004411A7" w:rsidRPr="004411A7" w:rsidRDefault="004411A7" w:rsidP="004411A7">
      <w:pPr>
        <w:rPr>
          <w:sz w:val="24"/>
          <w:szCs w:val="24"/>
        </w:rPr>
      </w:pPr>
    </w:p>
    <w:p w14:paraId="4526120F" w14:textId="77777777" w:rsidR="004411A7" w:rsidRPr="004411A7" w:rsidRDefault="004411A7" w:rsidP="004411A7">
      <w:pPr>
        <w:rPr>
          <w:b/>
          <w:sz w:val="24"/>
          <w:szCs w:val="24"/>
        </w:rPr>
      </w:pPr>
      <w:r w:rsidRPr="004411A7">
        <w:rPr>
          <w:b/>
          <w:sz w:val="24"/>
          <w:szCs w:val="24"/>
        </w:rPr>
        <w:t>Art. 142 cpv. 2 lett. e)</w:t>
      </w:r>
    </w:p>
    <w:p w14:paraId="608FA430" w14:textId="77777777" w:rsidR="004411A7" w:rsidRPr="004411A7" w:rsidRDefault="004411A7" w:rsidP="004411A7">
      <w:pPr>
        <w:tabs>
          <w:tab w:val="left" w:pos="284"/>
        </w:tabs>
        <w:ind w:left="284" w:hanging="284"/>
        <w:rPr>
          <w:sz w:val="24"/>
          <w:szCs w:val="24"/>
        </w:rPr>
      </w:pPr>
      <w:r w:rsidRPr="004411A7">
        <w:rPr>
          <w:sz w:val="24"/>
          <w:szCs w:val="24"/>
        </w:rPr>
        <w:t>e)</w:t>
      </w:r>
      <w:r w:rsidRPr="004411A7">
        <w:rPr>
          <w:sz w:val="24"/>
          <w:szCs w:val="24"/>
        </w:rPr>
        <w:tab/>
        <w:t>le liberalità contenute in un contratto misto o simulato quando la prestazione di una delle parti è manifestamente sproporzionata rispetto alla controprestazione. La differenza di valore è calcolata considerando il valore commerciale dei beni;</w:t>
      </w:r>
    </w:p>
    <w:p w14:paraId="019A9E02" w14:textId="77777777" w:rsidR="004411A7" w:rsidRPr="004411A7" w:rsidRDefault="004411A7" w:rsidP="004411A7">
      <w:pPr>
        <w:rPr>
          <w:sz w:val="24"/>
          <w:szCs w:val="24"/>
        </w:rPr>
      </w:pPr>
    </w:p>
    <w:p w14:paraId="23AC5AAA" w14:textId="77777777" w:rsidR="004411A7" w:rsidRPr="004411A7" w:rsidRDefault="004411A7" w:rsidP="004411A7">
      <w:pPr>
        <w:rPr>
          <w:b/>
          <w:sz w:val="24"/>
          <w:szCs w:val="24"/>
        </w:rPr>
      </w:pPr>
      <w:r w:rsidRPr="004411A7">
        <w:rPr>
          <w:b/>
          <w:sz w:val="24"/>
          <w:szCs w:val="24"/>
        </w:rPr>
        <w:t>Art. 154 cpv. 1 lett. d) e f) e cpv. 3</w:t>
      </w:r>
    </w:p>
    <w:p w14:paraId="261EFE7B" w14:textId="77777777" w:rsidR="004411A7" w:rsidRPr="004411A7" w:rsidRDefault="004411A7" w:rsidP="004411A7">
      <w:pPr>
        <w:rPr>
          <w:sz w:val="24"/>
          <w:szCs w:val="24"/>
        </w:rPr>
      </w:pPr>
      <w:r w:rsidRPr="004411A7">
        <w:rPr>
          <w:sz w:val="24"/>
          <w:szCs w:val="24"/>
          <w:vertAlign w:val="superscript"/>
        </w:rPr>
        <w:t>1</w:t>
      </w:r>
      <w:r w:rsidRPr="004411A7">
        <w:rPr>
          <w:sz w:val="24"/>
          <w:szCs w:val="24"/>
        </w:rPr>
        <w:t xml:space="preserve">Sono esenti dall’imposta di successione e donazione: </w:t>
      </w:r>
    </w:p>
    <w:p w14:paraId="0E15880B" w14:textId="77777777" w:rsidR="004411A7" w:rsidRPr="004411A7" w:rsidRDefault="004411A7" w:rsidP="004411A7">
      <w:pPr>
        <w:tabs>
          <w:tab w:val="left" w:pos="284"/>
        </w:tabs>
        <w:ind w:left="284" w:hanging="284"/>
        <w:rPr>
          <w:sz w:val="24"/>
          <w:szCs w:val="24"/>
        </w:rPr>
      </w:pPr>
      <w:r w:rsidRPr="004411A7">
        <w:rPr>
          <w:sz w:val="24"/>
          <w:szCs w:val="24"/>
        </w:rPr>
        <w:t>d)</w:t>
      </w:r>
      <w:r w:rsidRPr="004411A7">
        <w:rPr>
          <w:sz w:val="24"/>
          <w:szCs w:val="24"/>
        </w:rPr>
        <w:tab/>
        <w:t>le persone giuridiche con sede nel Cantone che perseguono uno scopo pubblico, di utilità pubblica oppure scopi ideali in Svizzera per le devoluzioni o liberalità esclusivamente e irrevocabilmente destinate a tali fini;</w:t>
      </w:r>
    </w:p>
    <w:p w14:paraId="6B10D789" w14:textId="77777777" w:rsidR="004411A7" w:rsidRPr="004411A7" w:rsidRDefault="004411A7" w:rsidP="004411A7">
      <w:pPr>
        <w:tabs>
          <w:tab w:val="left" w:pos="284"/>
        </w:tabs>
        <w:ind w:left="284" w:hanging="284"/>
        <w:rPr>
          <w:sz w:val="24"/>
          <w:szCs w:val="24"/>
        </w:rPr>
      </w:pPr>
      <w:r w:rsidRPr="004411A7">
        <w:rPr>
          <w:sz w:val="24"/>
          <w:szCs w:val="24"/>
        </w:rPr>
        <w:t>f)</w:t>
      </w:r>
      <w:r w:rsidRPr="004411A7">
        <w:rPr>
          <w:sz w:val="24"/>
          <w:szCs w:val="24"/>
        </w:rPr>
        <w:tab/>
        <w:t xml:space="preserve">il coniuge, il partner registrato, gli ascendenti e discendenti in linea diretta, compresi gli adottivi. </w:t>
      </w:r>
    </w:p>
    <w:p w14:paraId="00299A8C" w14:textId="77777777" w:rsidR="004411A7" w:rsidRPr="004411A7" w:rsidRDefault="004411A7" w:rsidP="004411A7">
      <w:pPr>
        <w:rPr>
          <w:rFonts w:asciiTheme="minorHAnsi" w:hAnsiTheme="minorHAnsi" w:cstheme="minorHAnsi"/>
          <w:sz w:val="24"/>
          <w:szCs w:val="24"/>
        </w:rPr>
      </w:pPr>
      <w:r w:rsidRPr="004411A7">
        <w:rPr>
          <w:sz w:val="24"/>
          <w:szCs w:val="24"/>
          <w:vertAlign w:val="superscript"/>
        </w:rPr>
        <w:t>3</w:t>
      </w:r>
      <w:r w:rsidRPr="004411A7">
        <w:rPr>
          <w:rFonts w:asciiTheme="minorHAnsi" w:hAnsiTheme="minorHAnsi" w:cstheme="minorHAnsi"/>
          <w:sz w:val="24"/>
          <w:szCs w:val="24"/>
        </w:rPr>
        <w:t>L’autorità fiscale può esentare, su richiesta, in tutto o in parte, le istituzioni e le persone giuridiche che perseguono uno scopo pubblico, di utilità pubblica oppure scopi ideali per le devoluzioni o liberalità esclusivamente e irrevocabilmente destinate a tali fini:</w:t>
      </w:r>
    </w:p>
    <w:p w14:paraId="571A9ACA" w14:textId="77777777" w:rsidR="004411A7" w:rsidRPr="004411A7" w:rsidRDefault="004411A7" w:rsidP="004411A7">
      <w:pPr>
        <w:numPr>
          <w:ilvl w:val="0"/>
          <w:numId w:val="28"/>
        </w:numPr>
        <w:tabs>
          <w:tab w:val="clear" w:pos="720"/>
          <w:tab w:val="num" w:pos="284"/>
        </w:tabs>
        <w:ind w:left="284" w:hanging="284"/>
        <w:contextualSpacing/>
        <w:rPr>
          <w:rFonts w:asciiTheme="minorHAnsi" w:eastAsia="Times New Roman" w:hAnsiTheme="minorHAnsi" w:cstheme="minorHAnsi"/>
          <w:sz w:val="24"/>
          <w:szCs w:val="24"/>
        </w:rPr>
      </w:pPr>
      <w:r w:rsidRPr="004411A7">
        <w:rPr>
          <w:rFonts w:asciiTheme="minorHAnsi" w:eastAsia="Times New Roman" w:hAnsiTheme="minorHAnsi" w:cstheme="minorHAnsi"/>
          <w:sz w:val="24"/>
          <w:szCs w:val="24"/>
        </w:rPr>
        <w:t>se con sede nel Cantone, quando rivestono carattere prevalentemente internazionale;</w:t>
      </w:r>
    </w:p>
    <w:p w14:paraId="32B11E7D" w14:textId="77777777" w:rsidR="004411A7" w:rsidRPr="004411A7" w:rsidRDefault="004411A7" w:rsidP="004411A7">
      <w:pPr>
        <w:numPr>
          <w:ilvl w:val="0"/>
          <w:numId w:val="28"/>
        </w:numPr>
        <w:tabs>
          <w:tab w:val="clear" w:pos="720"/>
          <w:tab w:val="num" w:pos="284"/>
        </w:tabs>
        <w:ind w:left="284" w:hanging="284"/>
        <w:rPr>
          <w:rFonts w:asciiTheme="minorHAnsi" w:eastAsia="Times New Roman" w:hAnsiTheme="minorHAnsi" w:cstheme="minorHAnsi"/>
          <w:sz w:val="24"/>
          <w:szCs w:val="24"/>
        </w:rPr>
      </w:pPr>
      <w:r w:rsidRPr="004411A7">
        <w:rPr>
          <w:rFonts w:asciiTheme="minorHAnsi" w:eastAsia="Times New Roman" w:hAnsiTheme="minorHAnsi" w:cstheme="minorHAnsi"/>
          <w:sz w:val="24"/>
          <w:szCs w:val="24"/>
        </w:rPr>
        <w:t>se con sede in altro Cantone, quando le stesse sono esenti presso tale Cantone e quest’ultimo accorda la reciprocità in materia di esenzione.</w:t>
      </w:r>
    </w:p>
    <w:p w14:paraId="4FEB60E0" w14:textId="1A47AED5" w:rsidR="004411A7" w:rsidRDefault="004411A7" w:rsidP="004411A7">
      <w:pPr>
        <w:rPr>
          <w:sz w:val="24"/>
          <w:szCs w:val="24"/>
        </w:rPr>
      </w:pPr>
    </w:p>
    <w:p w14:paraId="4B0AEC75" w14:textId="77777777" w:rsidR="004411A7" w:rsidRPr="004411A7" w:rsidRDefault="004411A7" w:rsidP="004411A7">
      <w:pPr>
        <w:rPr>
          <w:sz w:val="24"/>
          <w:szCs w:val="24"/>
        </w:rPr>
      </w:pPr>
    </w:p>
    <w:p w14:paraId="13F04573" w14:textId="77777777" w:rsidR="004411A7" w:rsidRPr="004411A7" w:rsidRDefault="004411A7" w:rsidP="004411A7">
      <w:pPr>
        <w:rPr>
          <w:b/>
          <w:sz w:val="24"/>
          <w:szCs w:val="24"/>
          <w:vertAlign w:val="superscript"/>
        </w:rPr>
      </w:pPr>
      <w:r w:rsidRPr="004411A7">
        <w:rPr>
          <w:b/>
          <w:sz w:val="24"/>
          <w:szCs w:val="24"/>
        </w:rPr>
        <w:t>Art. 155 cpv. 1 lett. a) e cpv. 2</w:t>
      </w:r>
    </w:p>
    <w:p w14:paraId="03A4F89D" w14:textId="77777777" w:rsidR="004411A7" w:rsidRPr="004411A7" w:rsidRDefault="004411A7" w:rsidP="004411A7">
      <w:pPr>
        <w:rPr>
          <w:sz w:val="24"/>
          <w:szCs w:val="24"/>
        </w:rPr>
      </w:pPr>
      <w:r w:rsidRPr="004411A7">
        <w:rPr>
          <w:sz w:val="24"/>
          <w:szCs w:val="24"/>
          <w:vertAlign w:val="superscript"/>
        </w:rPr>
        <w:t>1</w:t>
      </w:r>
      <w:r w:rsidRPr="004411A7">
        <w:rPr>
          <w:sz w:val="24"/>
          <w:szCs w:val="24"/>
        </w:rPr>
        <w:t>Sono esenti dall’imposta di donazione:</w:t>
      </w:r>
    </w:p>
    <w:p w14:paraId="6AE25C79" w14:textId="77777777" w:rsidR="004411A7" w:rsidRPr="004411A7" w:rsidRDefault="004411A7" w:rsidP="004411A7">
      <w:pPr>
        <w:numPr>
          <w:ilvl w:val="0"/>
          <w:numId w:val="17"/>
        </w:numPr>
        <w:tabs>
          <w:tab w:val="left" w:pos="284"/>
        </w:tabs>
        <w:ind w:left="0" w:firstLine="0"/>
        <w:contextualSpacing/>
        <w:rPr>
          <w:i/>
          <w:sz w:val="24"/>
          <w:szCs w:val="24"/>
        </w:rPr>
      </w:pPr>
      <w:r w:rsidRPr="004411A7">
        <w:rPr>
          <w:i/>
          <w:sz w:val="24"/>
          <w:szCs w:val="24"/>
        </w:rPr>
        <w:t>abrogata</w:t>
      </w:r>
    </w:p>
    <w:p w14:paraId="09028C11" w14:textId="77777777" w:rsidR="004411A7" w:rsidRPr="004411A7" w:rsidRDefault="004411A7" w:rsidP="004411A7">
      <w:pPr>
        <w:rPr>
          <w:rFonts w:cs="Arial"/>
          <w:sz w:val="24"/>
          <w:szCs w:val="24"/>
        </w:rPr>
      </w:pPr>
      <w:r w:rsidRPr="004411A7">
        <w:rPr>
          <w:rFonts w:cs="Arial"/>
          <w:sz w:val="24"/>
          <w:szCs w:val="24"/>
          <w:vertAlign w:val="superscript"/>
        </w:rPr>
        <w:t>2</w:t>
      </w:r>
      <w:r w:rsidRPr="004411A7">
        <w:rPr>
          <w:rFonts w:cs="Arial"/>
          <w:sz w:val="24"/>
          <w:szCs w:val="24"/>
        </w:rPr>
        <w:t xml:space="preserve">Sono esenti dall’imposta di successione o donazione i primi 10'000 franchi netti all’anno ricevuti da ogni singolo beneficiario da parte di un singolo disponente o donante. </w:t>
      </w:r>
    </w:p>
    <w:p w14:paraId="41C41043" w14:textId="77777777" w:rsidR="004411A7" w:rsidRPr="004411A7" w:rsidRDefault="004411A7" w:rsidP="004411A7">
      <w:pPr>
        <w:rPr>
          <w:sz w:val="24"/>
          <w:szCs w:val="24"/>
        </w:rPr>
      </w:pPr>
    </w:p>
    <w:p w14:paraId="19B0BB00" w14:textId="77777777" w:rsidR="004411A7" w:rsidRPr="004411A7" w:rsidRDefault="004411A7" w:rsidP="004411A7">
      <w:pPr>
        <w:rPr>
          <w:b/>
          <w:sz w:val="24"/>
          <w:szCs w:val="24"/>
        </w:rPr>
      </w:pPr>
      <w:r w:rsidRPr="004411A7">
        <w:rPr>
          <w:b/>
          <w:sz w:val="24"/>
          <w:szCs w:val="24"/>
        </w:rPr>
        <w:t>CAPITOLO VI</w:t>
      </w:r>
    </w:p>
    <w:p w14:paraId="2C02AE9E" w14:textId="77777777" w:rsidR="004411A7" w:rsidRPr="004411A7" w:rsidRDefault="004411A7" w:rsidP="004411A7">
      <w:pPr>
        <w:rPr>
          <w:b/>
          <w:sz w:val="24"/>
          <w:szCs w:val="24"/>
        </w:rPr>
      </w:pPr>
      <w:r w:rsidRPr="004411A7">
        <w:rPr>
          <w:b/>
          <w:sz w:val="24"/>
          <w:szCs w:val="24"/>
        </w:rPr>
        <w:t>Riduzione di imposta</w:t>
      </w:r>
    </w:p>
    <w:p w14:paraId="7DF19F0A" w14:textId="77777777" w:rsidR="004411A7" w:rsidRPr="004411A7" w:rsidRDefault="004411A7" w:rsidP="004411A7">
      <w:pPr>
        <w:rPr>
          <w:b/>
          <w:sz w:val="24"/>
          <w:szCs w:val="24"/>
        </w:rPr>
      </w:pPr>
    </w:p>
    <w:p w14:paraId="396F32F3" w14:textId="77777777" w:rsidR="004411A7" w:rsidRPr="004411A7" w:rsidRDefault="004411A7" w:rsidP="004411A7">
      <w:pPr>
        <w:rPr>
          <w:sz w:val="24"/>
          <w:szCs w:val="24"/>
        </w:rPr>
      </w:pPr>
      <w:r w:rsidRPr="004411A7">
        <w:rPr>
          <w:b/>
          <w:sz w:val="24"/>
          <w:szCs w:val="24"/>
        </w:rPr>
        <w:t>Successione aziendale</w:t>
      </w:r>
    </w:p>
    <w:p w14:paraId="7A0278E7" w14:textId="77777777" w:rsidR="004411A7" w:rsidRPr="004411A7" w:rsidRDefault="004411A7" w:rsidP="004411A7">
      <w:pPr>
        <w:rPr>
          <w:b/>
          <w:sz w:val="24"/>
          <w:szCs w:val="24"/>
        </w:rPr>
      </w:pPr>
      <w:r w:rsidRPr="004411A7">
        <w:rPr>
          <w:b/>
          <w:sz w:val="24"/>
          <w:szCs w:val="24"/>
        </w:rPr>
        <w:t xml:space="preserve">Art. 156a </w:t>
      </w:r>
    </w:p>
    <w:p w14:paraId="4BE533F2" w14:textId="77777777" w:rsidR="004411A7" w:rsidRPr="004411A7" w:rsidRDefault="004411A7" w:rsidP="004411A7">
      <w:pPr>
        <w:rPr>
          <w:sz w:val="24"/>
          <w:szCs w:val="24"/>
        </w:rPr>
      </w:pPr>
      <w:r w:rsidRPr="004411A7">
        <w:rPr>
          <w:sz w:val="24"/>
          <w:szCs w:val="24"/>
          <w:vertAlign w:val="superscript"/>
        </w:rPr>
        <w:t>1</w:t>
      </w:r>
      <w:r w:rsidRPr="004411A7">
        <w:rPr>
          <w:sz w:val="24"/>
          <w:szCs w:val="24"/>
        </w:rPr>
        <w:t>L'imposta di successione e donazione è ridotta del 50 per cento se la sostanza commerciale di un’impresa di persone (ditta individuale o società di persone) domiciliata in Ticino, che serve integralmente o in modo preponderante all’attività lucrativa indipendente del beneficiario, è trasferita a titolo gratuito o per successione a una persona fisica che ricopre nell’impresa una posizione dirigenziale.</w:t>
      </w:r>
    </w:p>
    <w:p w14:paraId="3306B8D6" w14:textId="77777777" w:rsidR="004411A7" w:rsidRPr="004411A7" w:rsidRDefault="004411A7" w:rsidP="004411A7">
      <w:pPr>
        <w:rPr>
          <w:sz w:val="24"/>
          <w:szCs w:val="24"/>
        </w:rPr>
      </w:pPr>
      <w:r w:rsidRPr="004411A7">
        <w:rPr>
          <w:sz w:val="24"/>
          <w:szCs w:val="24"/>
          <w:vertAlign w:val="superscript"/>
        </w:rPr>
        <w:t>2</w:t>
      </w:r>
      <w:r w:rsidRPr="004411A7">
        <w:rPr>
          <w:sz w:val="24"/>
          <w:szCs w:val="24"/>
        </w:rPr>
        <w:t>La medesima riduzione di cui al capoverso 1 è concessa se una partecipazione del 51 per cento almeno al capitale azionario o sociale e/o ai diritti di voto di una società di capitali o di una società cooperativa con sede in Ticino che esercita un'attività commerciale, detenuta direttamente o indirettamente tramite una società interposta, è trasferita a titolo gratuito o per successione a una persona fisica che ricopre una posizione dirigenziale nella società operativa.</w:t>
      </w:r>
    </w:p>
    <w:p w14:paraId="23EDAF21" w14:textId="77777777" w:rsidR="004411A7" w:rsidRPr="004411A7" w:rsidRDefault="004411A7" w:rsidP="004411A7">
      <w:pPr>
        <w:rPr>
          <w:sz w:val="24"/>
          <w:szCs w:val="24"/>
        </w:rPr>
      </w:pPr>
      <w:r w:rsidRPr="004411A7">
        <w:rPr>
          <w:sz w:val="24"/>
          <w:szCs w:val="24"/>
          <w:vertAlign w:val="superscript"/>
        </w:rPr>
        <w:t>3</w:t>
      </w:r>
      <w:r w:rsidRPr="004411A7">
        <w:rPr>
          <w:sz w:val="24"/>
          <w:szCs w:val="24"/>
        </w:rPr>
        <w:t>La riduzione è revocata se nei successivi cinque anni dal trasferimento la sostanza commerciale è sottratta dall’azienda, se l'attività aziendale è alienata a titolo oneroso, cessa o è trasferita fuori Cantone o all’estero, se la posizione dirigenziale del beneficiario nell’impresa è interrotta, fatta eccezione in caso di decesso prematuro del beneficiario, nonché se la partecipazione determinante al capitale azionario o sociale e/o ai diritti di voto di una società di capitali o di una società cooperativa è alienata oppure scende al di sotto del 51 per cento. È riservata la procedura per il recupero di imposta secondo l’articolo 236.</w:t>
      </w:r>
    </w:p>
    <w:p w14:paraId="7064401B" w14:textId="77777777" w:rsidR="004411A7" w:rsidRPr="004411A7" w:rsidRDefault="004411A7" w:rsidP="004411A7">
      <w:pPr>
        <w:rPr>
          <w:sz w:val="24"/>
          <w:szCs w:val="24"/>
        </w:rPr>
      </w:pPr>
      <w:r w:rsidRPr="004411A7">
        <w:rPr>
          <w:sz w:val="24"/>
          <w:szCs w:val="24"/>
          <w:vertAlign w:val="superscript"/>
        </w:rPr>
        <w:t>4</w:t>
      </w:r>
      <w:r w:rsidRPr="004411A7">
        <w:rPr>
          <w:sz w:val="24"/>
          <w:szCs w:val="24"/>
        </w:rPr>
        <w:t>Sono riservate le disposizioni relative alla responsabilità solidale secondo l’articolo 152, nonché alla costituzione di garanzie secondo l’articolo 248.</w:t>
      </w:r>
    </w:p>
    <w:p w14:paraId="50FC31B6" w14:textId="77777777" w:rsidR="004411A7" w:rsidRPr="004411A7" w:rsidRDefault="004411A7" w:rsidP="004411A7">
      <w:pPr>
        <w:rPr>
          <w:sz w:val="24"/>
          <w:szCs w:val="24"/>
        </w:rPr>
      </w:pPr>
    </w:p>
    <w:p w14:paraId="760BEE27" w14:textId="77777777" w:rsidR="004411A7" w:rsidRPr="004411A7" w:rsidRDefault="004411A7" w:rsidP="004411A7">
      <w:pPr>
        <w:rPr>
          <w:b/>
          <w:sz w:val="24"/>
          <w:szCs w:val="24"/>
          <w:vertAlign w:val="superscript"/>
          <w:lang w:val="de-CH"/>
        </w:rPr>
      </w:pPr>
      <w:r w:rsidRPr="004411A7">
        <w:rPr>
          <w:b/>
          <w:sz w:val="24"/>
          <w:szCs w:val="24"/>
          <w:lang w:val="de-CH"/>
        </w:rPr>
        <w:t>Art. 164 cpv. 1 lett. b) e cpv. 3</w:t>
      </w:r>
    </w:p>
    <w:p w14:paraId="42BC429B" w14:textId="77777777" w:rsidR="004411A7" w:rsidRPr="004411A7" w:rsidRDefault="004411A7" w:rsidP="004411A7">
      <w:pPr>
        <w:numPr>
          <w:ilvl w:val="0"/>
          <w:numId w:val="17"/>
        </w:numPr>
        <w:tabs>
          <w:tab w:val="left" w:pos="284"/>
        </w:tabs>
        <w:ind w:left="0" w:firstLine="0"/>
        <w:contextualSpacing/>
        <w:rPr>
          <w:sz w:val="24"/>
          <w:szCs w:val="24"/>
        </w:rPr>
      </w:pPr>
      <w:r w:rsidRPr="004411A7">
        <w:rPr>
          <w:sz w:val="24"/>
          <w:szCs w:val="24"/>
        </w:rPr>
        <w:t>coefficienti e aliquote massime per i singoli gradi di parentela:</w:t>
      </w:r>
    </w:p>
    <w:tbl>
      <w:tblPr>
        <w:tblStyle w:val="Grigliatabella"/>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5387"/>
        <w:gridCol w:w="1275"/>
        <w:gridCol w:w="1134"/>
      </w:tblGrid>
      <w:tr w:rsidR="004411A7" w:rsidRPr="004411A7" w14:paraId="46EAAFDC" w14:textId="77777777" w:rsidTr="00D930C0">
        <w:tc>
          <w:tcPr>
            <w:tcW w:w="709" w:type="dxa"/>
          </w:tcPr>
          <w:p w14:paraId="4B5418A3" w14:textId="77777777" w:rsidR="004411A7" w:rsidRPr="004411A7" w:rsidRDefault="004411A7" w:rsidP="004411A7">
            <w:pPr>
              <w:ind w:left="-107"/>
              <w:jc w:val="left"/>
              <w:rPr>
                <w:sz w:val="20"/>
                <w:szCs w:val="20"/>
              </w:rPr>
            </w:pPr>
            <w:r w:rsidRPr="004411A7">
              <w:rPr>
                <w:sz w:val="20"/>
                <w:szCs w:val="20"/>
              </w:rPr>
              <w:t>Grado</w:t>
            </w:r>
          </w:p>
        </w:tc>
        <w:tc>
          <w:tcPr>
            <w:tcW w:w="5387" w:type="dxa"/>
          </w:tcPr>
          <w:p w14:paraId="7442075E" w14:textId="77777777" w:rsidR="004411A7" w:rsidRPr="004411A7" w:rsidRDefault="004411A7" w:rsidP="004411A7">
            <w:pPr>
              <w:ind w:right="32"/>
              <w:jc w:val="left"/>
              <w:rPr>
                <w:sz w:val="20"/>
                <w:szCs w:val="20"/>
              </w:rPr>
            </w:pPr>
            <w:r w:rsidRPr="004411A7">
              <w:rPr>
                <w:sz w:val="20"/>
                <w:szCs w:val="20"/>
              </w:rPr>
              <w:t xml:space="preserve">Categoria </w:t>
            </w:r>
          </w:p>
          <w:p w14:paraId="24219F68" w14:textId="77777777" w:rsidR="004411A7" w:rsidRPr="004411A7" w:rsidRDefault="004411A7" w:rsidP="004411A7">
            <w:pPr>
              <w:ind w:right="32"/>
              <w:jc w:val="left"/>
              <w:rPr>
                <w:sz w:val="20"/>
                <w:szCs w:val="20"/>
              </w:rPr>
            </w:pPr>
            <w:r w:rsidRPr="004411A7">
              <w:rPr>
                <w:sz w:val="20"/>
                <w:szCs w:val="20"/>
              </w:rPr>
              <w:t>di contribuente</w:t>
            </w:r>
          </w:p>
        </w:tc>
        <w:tc>
          <w:tcPr>
            <w:tcW w:w="1275" w:type="dxa"/>
          </w:tcPr>
          <w:p w14:paraId="38ED0ECE" w14:textId="77777777" w:rsidR="004411A7" w:rsidRPr="004411A7" w:rsidRDefault="004411A7" w:rsidP="004411A7">
            <w:pPr>
              <w:jc w:val="left"/>
              <w:rPr>
                <w:sz w:val="20"/>
                <w:szCs w:val="20"/>
              </w:rPr>
            </w:pPr>
            <w:r w:rsidRPr="004411A7">
              <w:rPr>
                <w:sz w:val="20"/>
                <w:szCs w:val="20"/>
              </w:rPr>
              <w:t>Coefficiente</w:t>
            </w:r>
          </w:p>
        </w:tc>
        <w:tc>
          <w:tcPr>
            <w:tcW w:w="1134" w:type="dxa"/>
          </w:tcPr>
          <w:p w14:paraId="795DCD40" w14:textId="77777777" w:rsidR="004411A7" w:rsidRPr="004411A7" w:rsidRDefault="004411A7" w:rsidP="004411A7">
            <w:pPr>
              <w:jc w:val="left"/>
              <w:rPr>
                <w:sz w:val="20"/>
                <w:szCs w:val="20"/>
              </w:rPr>
            </w:pPr>
            <w:r w:rsidRPr="004411A7">
              <w:rPr>
                <w:sz w:val="20"/>
                <w:szCs w:val="20"/>
              </w:rPr>
              <w:t xml:space="preserve">Aliquota </w:t>
            </w:r>
          </w:p>
          <w:p w14:paraId="1E97F6FB" w14:textId="77777777" w:rsidR="004411A7" w:rsidRPr="004411A7" w:rsidRDefault="004411A7" w:rsidP="004411A7">
            <w:pPr>
              <w:jc w:val="left"/>
              <w:rPr>
                <w:sz w:val="20"/>
                <w:szCs w:val="20"/>
              </w:rPr>
            </w:pPr>
            <w:r w:rsidRPr="004411A7">
              <w:rPr>
                <w:sz w:val="20"/>
                <w:szCs w:val="20"/>
              </w:rPr>
              <w:t>massima</w:t>
            </w:r>
          </w:p>
        </w:tc>
      </w:tr>
      <w:tr w:rsidR="004411A7" w:rsidRPr="004411A7" w14:paraId="0325F1F8" w14:textId="77777777" w:rsidTr="00D930C0">
        <w:tc>
          <w:tcPr>
            <w:tcW w:w="709" w:type="dxa"/>
          </w:tcPr>
          <w:p w14:paraId="34695900" w14:textId="77777777" w:rsidR="004411A7" w:rsidRPr="004411A7" w:rsidRDefault="004411A7" w:rsidP="004411A7">
            <w:pPr>
              <w:ind w:left="-107"/>
              <w:rPr>
                <w:sz w:val="20"/>
                <w:szCs w:val="20"/>
              </w:rPr>
            </w:pPr>
            <w:r w:rsidRPr="004411A7">
              <w:rPr>
                <w:sz w:val="20"/>
                <w:szCs w:val="20"/>
              </w:rPr>
              <w:t>1</w:t>
            </w:r>
          </w:p>
        </w:tc>
        <w:tc>
          <w:tcPr>
            <w:tcW w:w="5387" w:type="dxa"/>
          </w:tcPr>
          <w:p w14:paraId="488812D1" w14:textId="77777777" w:rsidR="004411A7" w:rsidRPr="004411A7" w:rsidRDefault="004411A7" w:rsidP="004411A7">
            <w:pPr>
              <w:ind w:right="32"/>
              <w:rPr>
                <w:sz w:val="20"/>
                <w:szCs w:val="20"/>
              </w:rPr>
            </w:pPr>
            <w:r w:rsidRPr="004411A7">
              <w:rPr>
                <w:sz w:val="20"/>
                <w:szCs w:val="20"/>
              </w:rPr>
              <w:t>Fratelli e sorelle (germani, consanguinei e uterini), figliastri, figli di figliastri, partner consensuale, figli del partner consensuale, affiliati e affidatari</w:t>
            </w:r>
          </w:p>
        </w:tc>
        <w:tc>
          <w:tcPr>
            <w:tcW w:w="1275" w:type="dxa"/>
          </w:tcPr>
          <w:p w14:paraId="2746B026" w14:textId="77777777" w:rsidR="004411A7" w:rsidRPr="004411A7" w:rsidRDefault="004411A7" w:rsidP="004411A7">
            <w:pPr>
              <w:jc w:val="left"/>
              <w:rPr>
                <w:sz w:val="20"/>
                <w:szCs w:val="20"/>
              </w:rPr>
            </w:pPr>
            <w:r w:rsidRPr="004411A7">
              <w:rPr>
                <w:sz w:val="20"/>
                <w:szCs w:val="20"/>
              </w:rPr>
              <w:t>1.0</w:t>
            </w:r>
          </w:p>
        </w:tc>
        <w:tc>
          <w:tcPr>
            <w:tcW w:w="1134" w:type="dxa"/>
          </w:tcPr>
          <w:p w14:paraId="5DE05B93" w14:textId="77777777" w:rsidR="004411A7" w:rsidRPr="004411A7" w:rsidRDefault="004411A7" w:rsidP="004411A7">
            <w:pPr>
              <w:jc w:val="left"/>
              <w:rPr>
                <w:sz w:val="20"/>
                <w:szCs w:val="20"/>
              </w:rPr>
            </w:pPr>
            <w:r w:rsidRPr="004411A7">
              <w:rPr>
                <w:sz w:val="20"/>
                <w:szCs w:val="20"/>
              </w:rPr>
              <w:t>15.5%</w:t>
            </w:r>
          </w:p>
        </w:tc>
      </w:tr>
      <w:tr w:rsidR="004411A7" w:rsidRPr="004411A7" w14:paraId="6BADE5AF" w14:textId="77777777" w:rsidTr="00D930C0">
        <w:tc>
          <w:tcPr>
            <w:tcW w:w="709" w:type="dxa"/>
          </w:tcPr>
          <w:p w14:paraId="61C06938" w14:textId="77777777" w:rsidR="004411A7" w:rsidRPr="004411A7" w:rsidRDefault="004411A7" w:rsidP="004411A7">
            <w:pPr>
              <w:ind w:left="-107"/>
              <w:rPr>
                <w:sz w:val="20"/>
                <w:szCs w:val="20"/>
              </w:rPr>
            </w:pPr>
            <w:r w:rsidRPr="004411A7">
              <w:rPr>
                <w:sz w:val="20"/>
                <w:szCs w:val="20"/>
              </w:rPr>
              <w:t>2</w:t>
            </w:r>
          </w:p>
        </w:tc>
        <w:tc>
          <w:tcPr>
            <w:tcW w:w="5387" w:type="dxa"/>
          </w:tcPr>
          <w:p w14:paraId="2D91770B" w14:textId="77777777" w:rsidR="004411A7" w:rsidRPr="004411A7" w:rsidRDefault="004411A7" w:rsidP="004411A7">
            <w:pPr>
              <w:ind w:right="32"/>
              <w:rPr>
                <w:sz w:val="20"/>
                <w:szCs w:val="20"/>
              </w:rPr>
            </w:pPr>
            <w:r w:rsidRPr="004411A7">
              <w:rPr>
                <w:sz w:val="20"/>
                <w:szCs w:val="20"/>
              </w:rPr>
              <w:t>Fratellastri e sorellastre, nipoti (consanguinei e affini), abiatici del partner consensuale</w:t>
            </w:r>
          </w:p>
        </w:tc>
        <w:tc>
          <w:tcPr>
            <w:tcW w:w="1275" w:type="dxa"/>
          </w:tcPr>
          <w:p w14:paraId="4090A87A" w14:textId="77777777" w:rsidR="004411A7" w:rsidRPr="004411A7" w:rsidRDefault="004411A7" w:rsidP="004411A7">
            <w:pPr>
              <w:jc w:val="left"/>
              <w:rPr>
                <w:sz w:val="20"/>
                <w:szCs w:val="20"/>
              </w:rPr>
            </w:pPr>
            <w:r w:rsidRPr="004411A7">
              <w:rPr>
                <w:sz w:val="20"/>
                <w:szCs w:val="20"/>
              </w:rPr>
              <w:t>1.3</w:t>
            </w:r>
          </w:p>
        </w:tc>
        <w:tc>
          <w:tcPr>
            <w:tcW w:w="1134" w:type="dxa"/>
          </w:tcPr>
          <w:p w14:paraId="089C351A" w14:textId="77777777" w:rsidR="004411A7" w:rsidRPr="004411A7" w:rsidRDefault="004411A7" w:rsidP="004411A7">
            <w:pPr>
              <w:jc w:val="left"/>
              <w:rPr>
                <w:sz w:val="20"/>
                <w:szCs w:val="20"/>
              </w:rPr>
            </w:pPr>
            <w:r w:rsidRPr="004411A7">
              <w:rPr>
                <w:sz w:val="20"/>
                <w:szCs w:val="20"/>
              </w:rPr>
              <w:t>18.5%</w:t>
            </w:r>
          </w:p>
        </w:tc>
      </w:tr>
      <w:tr w:rsidR="004411A7" w:rsidRPr="004411A7" w14:paraId="2DC35D14" w14:textId="77777777" w:rsidTr="00D930C0">
        <w:tc>
          <w:tcPr>
            <w:tcW w:w="709" w:type="dxa"/>
          </w:tcPr>
          <w:p w14:paraId="0951501B" w14:textId="77777777" w:rsidR="004411A7" w:rsidRPr="004411A7" w:rsidRDefault="004411A7" w:rsidP="004411A7">
            <w:pPr>
              <w:ind w:left="-107"/>
              <w:rPr>
                <w:sz w:val="20"/>
                <w:szCs w:val="20"/>
              </w:rPr>
            </w:pPr>
            <w:r w:rsidRPr="004411A7">
              <w:rPr>
                <w:sz w:val="20"/>
                <w:szCs w:val="20"/>
              </w:rPr>
              <w:t>3</w:t>
            </w:r>
          </w:p>
        </w:tc>
        <w:tc>
          <w:tcPr>
            <w:tcW w:w="5387" w:type="dxa"/>
          </w:tcPr>
          <w:p w14:paraId="0F7AD415" w14:textId="77777777" w:rsidR="004411A7" w:rsidRPr="004411A7" w:rsidRDefault="004411A7" w:rsidP="004411A7">
            <w:pPr>
              <w:ind w:right="32"/>
              <w:rPr>
                <w:sz w:val="20"/>
                <w:szCs w:val="20"/>
              </w:rPr>
            </w:pPr>
            <w:r w:rsidRPr="004411A7">
              <w:rPr>
                <w:sz w:val="20"/>
                <w:szCs w:val="20"/>
              </w:rPr>
              <w:t>Zii, pronipoti (consanguinei e affini), primi cugini, genero e nuora, matrigna e patrigno</w:t>
            </w:r>
          </w:p>
        </w:tc>
        <w:tc>
          <w:tcPr>
            <w:tcW w:w="1275" w:type="dxa"/>
          </w:tcPr>
          <w:p w14:paraId="7626ECE9" w14:textId="77777777" w:rsidR="004411A7" w:rsidRPr="004411A7" w:rsidRDefault="004411A7" w:rsidP="004411A7">
            <w:pPr>
              <w:jc w:val="left"/>
              <w:rPr>
                <w:sz w:val="20"/>
                <w:szCs w:val="20"/>
              </w:rPr>
            </w:pPr>
            <w:r w:rsidRPr="004411A7">
              <w:rPr>
                <w:sz w:val="20"/>
                <w:szCs w:val="20"/>
              </w:rPr>
              <w:t>1.8</w:t>
            </w:r>
          </w:p>
        </w:tc>
        <w:tc>
          <w:tcPr>
            <w:tcW w:w="1134" w:type="dxa"/>
          </w:tcPr>
          <w:p w14:paraId="4E5BAB31" w14:textId="77777777" w:rsidR="004411A7" w:rsidRPr="004411A7" w:rsidRDefault="004411A7" w:rsidP="004411A7">
            <w:pPr>
              <w:jc w:val="left"/>
              <w:rPr>
                <w:sz w:val="20"/>
                <w:szCs w:val="20"/>
              </w:rPr>
            </w:pPr>
            <w:r w:rsidRPr="004411A7">
              <w:rPr>
                <w:sz w:val="20"/>
                <w:szCs w:val="20"/>
              </w:rPr>
              <w:t>27.0%</w:t>
            </w:r>
          </w:p>
        </w:tc>
      </w:tr>
      <w:tr w:rsidR="004411A7" w:rsidRPr="004411A7" w14:paraId="102D6F4E" w14:textId="77777777" w:rsidTr="00D930C0">
        <w:tc>
          <w:tcPr>
            <w:tcW w:w="709" w:type="dxa"/>
          </w:tcPr>
          <w:p w14:paraId="3AD69FC8" w14:textId="77777777" w:rsidR="004411A7" w:rsidRPr="004411A7" w:rsidRDefault="004411A7" w:rsidP="004411A7">
            <w:pPr>
              <w:ind w:left="-107"/>
              <w:rPr>
                <w:sz w:val="20"/>
                <w:szCs w:val="20"/>
              </w:rPr>
            </w:pPr>
            <w:r w:rsidRPr="004411A7">
              <w:rPr>
                <w:sz w:val="20"/>
                <w:szCs w:val="20"/>
              </w:rPr>
              <w:t>4</w:t>
            </w:r>
          </w:p>
        </w:tc>
        <w:tc>
          <w:tcPr>
            <w:tcW w:w="5387" w:type="dxa"/>
          </w:tcPr>
          <w:p w14:paraId="56BC9B7D" w14:textId="77777777" w:rsidR="004411A7" w:rsidRPr="004411A7" w:rsidRDefault="004411A7" w:rsidP="004411A7">
            <w:pPr>
              <w:ind w:right="32"/>
              <w:rPr>
                <w:sz w:val="20"/>
                <w:szCs w:val="20"/>
              </w:rPr>
            </w:pPr>
            <w:r w:rsidRPr="004411A7">
              <w:rPr>
                <w:sz w:val="20"/>
                <w:szCs w:val="20"/>
              </w:rPr>
              <w:t>Parenti di altro grado, altri parenti per affinità, non parenti.</w:t>
            </w:r>
          </w:p>
        </w:tc>
        <w:tc>
          <w:tcPr>
            <w:tcW w:w="1275" w:type="dxa"/>
          </w:tcPr>
          <w:p w14:paraId="1CA5F077" w14:textId="77777777" w:rsidR="004411A7" w:rsidRPr="004411A7" w:rsidRDefault="004411A7" w:rsidP="004411A7">
            <w:pPr>
              <w:jc w:val="left"/>
              <w:rPr>
                <w:sz w:val="20"/>
                <w:szCs w:val="20"/>
              </w:rPr>
            </w:pPr>
            <w:r w:rsidRPr="004411A7">
              <w:rPr>
                <w:sz w:val="20"/>
                <w:szCs w:val="20"/>
              </w:rPr>
              <w:t>3.0</w:t>
            </w:r>
          </w:p>
        </w:tc>
        <w:tc>
          <w:tcPr>
            <w:tcW w:w="1134" w:type="dxa"/>
          </w:tcPr>
          <w:p w14:paraId="2506C7D8" w14:textId="77777777" w:rsidR="004411A7" w:rsidRPr="004411A7" w:rsidRDefault="004411A7" w:rsidP="004411A7">
            <w:pPr>
              <w:jc w:val="left"/>
              <w:rPr>
                <w:sz w:val="20"/>
                <w:szCs w:val="20"/>
              </w:rPr>
            </w:pPr>
            <w:r w:rsidRPr="004411A7">
              <w:rPr>
                <w:sz w:val="20"/>
                <w:szCs w:val="20"/>
              </w:rPr>
              <w:t>35.0%</w:t>
            </w:r>
          </w:p>
        </w:tc>
      </w:tr>
    </w:tbl>
    <w:p w14:paraId="3A13C1E7" w14:textId="77777777" w:rsidR="004411A7" w:rsidRPr="004411A7" w:rsidRDefault="004411A7" w:rsidP="004411A7">
      <w:pPr>
        <w:rPr>
          <w:sz w:val="24"/>
          <w:szCs w:val="24"/>
        </w:rPr>
      </w:pPr>
      <w:r w:rsidRPr="004411A7">
        <w:rPr>
          <w:sz w:val="24"/>
          <w:szCs w:val="24"/>
          <w:vertAlign w:val="superscript"/>
        </w:rPr>
        <w:t>3</w:t>
      </w:r>
      <w:r w:rsidRPr="004411A7">
        <w:rPr>
          <w:sz w:val="24"/>
          <w:szCs w:val="24"/>
        </w:rPr>
        <w:t>La parentela va intesa per consanguineità e per affinità conformemente ai gradi specificati al capoverso 1.</w:t>
      </w:r>
    </w:p>
    <w:p w14:paraId="23028819" w14:textId="4B55C28C" w:rsidR="004411A7" w:rsidRDefault="004411A7" w:rsidP="004411A7">
      <w:pPr>
        <w:rPr>
          <w:sz w:val="24"/>
          <w:szCs w:val="24"/>
        </w:rPr>
      </w:pPr>
    </w:p>
    <w:p w14:paraId="34155631" w14:textId="12DC8E50" w:rsidR="004411A7" w:rsidRDefault="004411A7" w:rsidP="004411A7">
      <w:pPr>
        <w:rPr>
          <w:sz w:val="24"/>
          <w:szCs w:val="24"/>
        </w:rPr>
      </w:pPr>
    </w:p>
    <w:p w14:paraId="324C5813" w14:textId="7937E875" w:rsidR="004411A7" w:rsidRDefault="004411A7" w:rsidP="004411A7">
      <w:pPr>
        <w:rPr>
          <w:sz w:val="24"/>
          <w:szCs w:val="24"/>
        </w:rPr>
      </w:pPr>
    </w:p>
    <w:p w14:paraId="70DDD340" w14:textId="77777777" w:rsidR="004411A7" w:rsidRPr="004411A7" w:rsidRDefault="004411A7" w:rsidP="004411A7">
      <w:pPr>
        <w:rPr>
          <w:sz w:val="24"/>
          <w:szCs w:val="24"/>
        </w:rPr>
      </w:pPr>
    </w:p>
    <w:p w14:paraId="332BDE01" w14:textId="77777777" w:rsidR="004411A7" w:rsidRPr="004411A7" w:rsidRDefault="004411A7" w:rsidP="004411A7">
      <w:pPr>
        <w:rPr>
          <w:b/>
          <w:sz w:val="24"/>
          <w:szCs w:val="24"/>
          <w:vertAlign w:val="superscript"/>
        </w:rPr>
      </w:pPr>
      <w:r w:rsidRPr="004411A7">
        <w:rPr>
          <w:b/>
          <w:sz w:val="24"/>
          <w:szCs w:val="24"/>
        </w:rPr>
        <w:t>Art. 170 cpv. 1</w:t>
      </w:r>
    </w:p>
    <w:p w14:paraId="34F0ABAC" w14:textId="538484F6" w:rsidR="004411A7" w:rsidRPr="004411A7" w:rsidRDefault="004411A7" w:rsidP="004411A7">
      <w:pPr>
        <w:rPr>
          <w:sz w:val="24"/>
          <w:szCs w:val="24"/>
        </w:rPr>
      </w:pPr>
      <w:r w:rsidRPr="004411A7">
        <w:rPr>
          <w:sz w:val="24"/>
          <w:szCs w:val="24"/>
          <w:vertAlign w:val="superscript"/>
        </w:rPr>
        <w:t>1</w:t>
      </w:r>
      <w:r w:rsidRPr="004411A7">
        <w:rPr>
          <w:sz w:val="24"/>
          <w:szCs w:val="24"/>
        </w:rPr>
        <w:t>Qualora l’attivo successorio risulti in pericolo, i delegati comunali procedono immediatamente all’apposizione dei sigilli ai locali e mobili ove si presume possano trovarsi o dove sono deposti, a cura del delegato, oggetti di valore, registri, carte di famiglia, titoli, documenti o altri beni rilevanti ai fini della determinazione della sostanza</w:t>
      </w:r>
      <w:r w:rsidR="009C1358">
        <w:rPr>
          <w:sz w:val="24"/>
          <w:szCs w:val="24"/>
        </w:rPr>
        <w:t>,</w:t>
      </w:r>
      <w:r w:rsidRPr="004411A7">
        <w:rPr>
          <w:sz w:val="24"/>
          <w:szCs w:val="24"/>
        </w:rPr>
        <w:t xml:space="preserve"> nonché alle casseforti e alle cassette di sicurezza presso istituti finanziari o presso terzi che ne abbiano la custodia.</w:t>
      </w:r>
    </w:p>
    <w:p w14:paraId="0FF6C120" w14:textId="77777777" w:rsidR="004411A7" w:rsidRPr="004411A7" w:rsidRDefault="004411A7" w:rsidP="004411A7">
      <w:pPr>
        <w:rPr>
          <w:sz w:val="24"/>
          <w:szCs w:val="24"/>
        </w:rPr>
      </w:pPr>
    </w:p>
    <w:p w14:paraId="3E57F96B" w14:textId="77777777" w:rsidR="004411A7" w:rsidRPr="00082447" w:rsidRDefault="004411A7" w:rsidP="004411A7">
      <w:pPr>
        <w:rPr>
          <w:b/>
          <w:sz w:val="24"/>
          <w:szCs w:val="24"/>
        </w:rPr>
      </w:pPr>
      <w:r w:rsidRPr="00082447">
        <w:rPr>
          <w:b/>
          <w:sz w:val="24"/>
          <w:szCs w:val="24"/>
        </w:rPr>
        <w:t>Art. 300a cpv. 2</w:t>
      </w:r>
    </w:p>
    <w:p w14:paraId="50085516" w14:textId="77777777" w:rsidR="004411A7" w:rsidRPr="00082447" w:rsidRDefault="004411A7" w:rsidP="004411A7">
      <w:pPr>
        <w:rPr>
          <w:sz w:val="24"/>
          <w:szCs w:val="24"/>
        </w:rPr>
      </w:pPr>
      <w:r w:rsidRPr="00082447">
        <w:rPr>
          <w:sz w:val="24"/>
          <w:szCs w:val="24"/>
          <w:vertAlign w:val="superscript"/>
        </w:rPr>
        <w:t>2</w:t>
      </w:r>
      <w:r w:rsidRPr="00082447">
        <w:rPr>
          <w:i/>
          <w:sz w:val="24"/>
          <w:szCs w:val="24"/>
        </w:rPr>
        <w:t>abrogato</w:t>
      </w:r>
    </w:p>
    <w:p w14:paraId="6AB51750" w14:textId="77777777" w:rsidR="004411A7" w:rsidRPr="00082447" w:rsidRDefault="004411A7" w:rsidP="004411A7">
      <w:pPr>
        <w:rPr>
          <w:sz w:val="24"/>
          <w:szCs w:val="24"/>
        </w:rPr>
      </w:pPr>
    </w:p>
    <w:p w14:paraId="404C4E99" w14:textId="77777777" w:rsidR="004411A7" w:rsidRPr="00082447" w:rsidRDefault="004411A7" w:rsidP="004411A7">
      <w:pPr>
        <w:rPr>
          <w:b/>
          <w:sz w:val="24"/>
          <w:szCs w:val="24"/>
        </w:rPr>
      </w:pPr>
      <w:r w:rsidRPr="00082447">
        <w:rPr>
          <w:b/>
          <w:sz w:val="24"/>
          <w:szCs w:val="24"/>
        </w:rPr>
        <w:t xml:space="preserve">Art. 309g </w:t>
      </w:r>
    </w:p>
    <w:p w14:paraId="4A702B0F" w14:textId="77777777" w:rsidR="004411A7" w:rsidRPr="004411A7" w:rsidRDefault="004411A7" w:rsidP="004411A7">
      <w:pPr>
        <w:rPr>
          <w:sz w:val="24"/>
          <w:szCs w:val="24"/>
        </w:rPr>
      </w:pPr>
      <w:r w:rsidRPr="004411A7">
        <w:rPr>
          <w:b/>
          <w:sz w:val="24"/>
          <w:szCs w:val="24"/>
        </w:rPr>
        <w:t>Imposta sul reddito, aliquote transitorie</w:t>
      </w:r>
    </w:p>
    <w:p w14:paraId="4C30B25E" w14:textId="77777777" w:rsidR="004411A7" w:rsidRPr="004411A7" w:rsidRDefault="004411A7" w:rsidP="004411A7">
      <w:pPr>
        <w:rPr>
          <w:sz w:val="24"/>
          <w:szCs w:val="24"/>
        </w:rPr>
      </w:pPr>
      <w:r w:rsidRPr="004411A7">
        <w:rPr>
          <w:sz w:val="24"/>
          <w:szCs w:val="24"/>
          <w:vertAlign w:val="superscript"/>
        </w:rPr>
        <w:t>1</w:t>
      </w:r>
      <w:r w:rsidRPr="004411A7">
        <w:rPr>
          <w:sz w:val="24"/>
          <w:szCs w:val="24"/>
        </w:rPr>
        <w:t>In deroga all’articolo 35 capoverso 1, per il periodo fiscale 2024 l’imposta annua sul reddito è calcolata per categorie in base alle seguenti aliquote:</w:t>
      </w:r>
    </w:p>
    <w:tbl>
      <w:tblPr>
        <w:tblW w:w="7797" w:type="dxa"/>
        <w:tblLayout w:type="fixed"/>
        <w:tblCellMar>
          <w:left w:w="70" w:type="dxa"/>
          <w:right w:w="70" w:type="dxa"/>
        </w:tblCellMar>
        <w:tblLook w:val="04A0" w:firstRow="1" w:lastRow="0" w:firstColumn="1" w:lastColumn="0" w:noHBand="0" w:noVBand="1"/>
      </w:tblPr>
      <w:tblGrid>
        <w:gridCol w:w="707"/>
        <w:gridCol w:w="1136"/>
        <w:gridCol w:w="992"/>
        <w:gridCol w:w="851"/>
        <w:gridCol w:w="1276"/>
        <w:gridCol w:w="1559"/>
        <w:gridCol w:w="1276"/>
      </w:tblGrid>
      <w:tr w:rsidR="004411A7" w:rsidRPr="004411A7" w14:paraId="72B80C87" w14:textId="77777777" w:rsidTr="00D930C0">
        <w:trPr>
          <w:trHeight w:val="1110"/>
        </w:trPr>
        <w:tc>
          <w:tcPr>
            <w:tcW w:w="1843" w:type="dxa"/>
            <w:gridSpan w:val="2"/>
            <w:tcBorders>
              <w:top w:val="single" w:sz="4" w:space="0" w:color="auto"/>
              <w:left w:val="nil"/>
              <w:bottom w:val="single" w:sz="4" w:space="0" w:color="auto"/>
              <w:right w:val="nil"/>
            </w:tcBorders>
            <w:shd w:val="clear" w:color="auto" w:fill="auto"/>
            <w:hideMark/>
          </w:tcPr>
          <w:p w14:paraId="0337AAC7"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Categorie</w:t>
            </w:r>
          </w:p>
        </w:tc>
        <w:tc>
          <w:tcPr>
            <w:tcW w:w="992" w:type="dxa"/>
            <w:tcBorders>
              <w:top w:val="single" w:sz="4" w:space="0" w:color="auto"/>
              <w:left w:val="nil"/>
              <w:bottom w:val="single" w:sz="4" w:space="0" w:color="auto"/>
              <w:right w:val="nil"/>
            </w:tcBorders>
            <w:shd w:val="clear" w:color="auto" w:fill="auto"/>
            <w:hideMark/>
          </w:tcPr>
          <w:p w14:paraId="099F339E" w14:textId="77777777" w:rsidR="004411A7" w:rsidRPr="004411A7" w:rsidRDefault="004411A7" w:rsidP="004411A7">
            <w:pPr>
              <w:jc w:val="left"/>
              <w:rPr>
                <w:rFonts w:eastAsia="Times New Roman" w:cs="Arial"/>
                <w:sz w:val="20"/>
                <w:szCs w:val="20"/>
                <w:lang w:eastAsia="it-CH"/>
              </w:rPr>
            </w:pPr>
          </w:p>
        </w:tc>
        <w:tc>
          <w:tcPr>
            <w:tcW w:w="851" w:type="dxa"/>
            <w:tcBorders>
              <w:top w:val="single" w:sz="4" w:space="0" w:color="auto"/>
              <w:left w:val="nil"/>
              <w:bottom w:val="single" w:sz="4" w:space="0" w:color="auto"/>
              <w:right w:val="nil"/>
            </w:tcBorders>
            <w:shd w:val="clear" w:color="auto" w:fill="auto"/>
            <w:hideMark/>
          </w:tcPr>
          <w:p w14:paraId="3B8BE508" w14:textId="77777777" w:rsidR="004411A7" w:rsidRPr="004411A7" w:rsidRDefault="004411A7" w:rsidP="004411A7">
            <w:pPr>
              <w:jc w:val="left"/>
              <w:rPr>
                <w:rFonts w:eastAsia="Times New Roman" w:cs="Arial"/>
                <w:sz w:val="20"/>
                <w:szCs w:val="20"/>
                <w:lang w:eastAsia="it-CH"/>
              </w:rPr>
            </w:pPr>
          </w:p>
        </w:tc>
        <w:tc>
          <w:tcPr>
            <w:tcW w:w="1276" w:type="dxa"/>
            <w:tcBorders>
              <w:top w:val="single" w:sz="4" w:space="0" w:color="auto"/>
              <w:left w:val="nil"/>
              <w:bottom w:val="single" w:sz="4" w:space="0" w:color="auto"/>
              <w:right w:val="nil"/>
            </w:tcBorders>
            <w:shd w:val="clear" w:color="auto" w:fill="auto"/>
            <w:hideMark/>
          </w:tcPr>
          <w:p w14:paraId="00DE29F6"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Aliquote di ogni categoria %</w:t>
            </w:r>
          </w:p>
        </w:tc>
        <w:tc>
          <w:tcPr>
            <w:tcW w:w="1559" w:type="dxa"/>
            <w:tcBorders>
              <w:top w:val="single" w:sz="4" w:space="0" w:color="auto"/>
              <w:left w:val="nil"/>
              <w:bottom w:val="single" w:sz="4" w:space="0" w:color="auto"/>
              <w:right w:val="nil"/>
            </w:tcBorders>
            <w:shd w:val="clear" w:color="auto" w:fill="auto"/>
            <w:hideMark/>
          </w:tcPr>
          <w:p w14:paraId="65FC603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Imposta dovuta per il reddito massimo di ogni categoria Fr.</w:t>
            </w:r>
          </w:p>
        </w:tc>
        <w:tc>
          <w:tcPr>
            <w:tcW w:w="1276" w:type="dxa"/>
            <w:tcBorders>
              <w:top w:val="single" w:sz="4" w:space="0" w:color="auto"/>
              <w:left w:val="nil"/>
              <w:bottom w:val="single" w:sz="4" w:space="0" w:color="auto"/>
              <w:right w:val="nil"/>
            </w:tcBorders>
            <w:shd w:val="clear" w:color="auto" w:fill="auto"/>
            <w:hideMark/>
          </w:tcPr>
          <w:p w14:paraId="1E02F685"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Aliquota effettiva del massimo di categoria %</w:t>
            </w:r>
          </w:p>
        </w:tc>
      </w:tr>
      <w:tr w:rsidR="004411A7" w:rsidRPr="004411A7" w14:paraId="03D984BA" w14:textId="77777777" w:rsidTr="00D930C0">
        <w:trPr>
          <w:trHeight w:val="255"/>
        </w:trPr>
        <w:tc>
          <w:tcPr>
            <w:tcW w:w="707" w:type="dxa"/>
            <w:tcBorders>
              <w:top w:val="nil"/>
              <w:left w:val="nil"/>
              <w:bottom w:val="nil"/>
              <w:right w:val="nil"/>
            </w:tcBorders>
            <w:shd w:val="clear" w:color="auto" w:fill="auto"/>
            <w:noWrap/>
            <w:vAlign w:val="bottom"/>
            <w:hideMark/>
          </w:tcPr>
          <w:p w14:paraId="19C58A6F"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 xml:space="preserve">fino </w:t>
            </w:r>
          </w:p>
        </w:tc>
        <w:tc>
          <w:tcPr>
            <w:tcW w:w="1136" w:type="dxa"/>
            <w:tcBorders>
              <w:top w:val="nil"/>
              <w:left w:val="nil"/>
              <w:bottom w:val="nil"/>
              <w:right w:val="nil"/>
            </w:tcBorders>
            <w:shd w:val="clear" w:color="auto" w:fill="auto"/>
            <w:noWrap/>
            <w:vAlign w:val="bottom"/>
            <w:hideMark/>
          </w:tcPr>
          <w:p w14:paraId="4A5C93AC" w14:textId="77777777" w:rsidR="004411A7" w:rsidRPr="004411A7" w:rsidRDefault="004411A7" w:rsidP="004411A7">
            <w:pPr>
              <w:ind w:right="180"/>
              <w:jc w:val="right"/>
              <w:rPr>
                <w:rFonts w:eastAsia="Times New Roman" w:cs="Arial"/>
                <w:sz w:val="20"/>
                <w:szCs w:val="20"/>
                <w:lang w:eastAsia="it-CH"/>
              </w:rPr>
            </w:pPr>
          </w:p>
        </w:tc>
        <w:tc>
          <w:tcPr>
            <w:tcW w:w="992" w:type="dxa"/>
            <w:tcBorders>
              <w:top w:val="nil"/>
              <w:left w:val="nil"/>
              <w:bottom w:val="nil"/>
              <w:right w:val="nil"/>
            </w:tcBorders>
            <w:shd w:val="clear" w:color="auto" w:fill="auto"/>
            <w:noWrap/>
            <w:vAlign w:val="bottom"/>
            <w:hideMark/>
          </w:tcPr>
          <w:p w14:paraId="5C9A150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1E25D529"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12'300 </w:t>
            </w:r>
          </w:p>
        </w:tc>
        <w:tc>
          <w:tcPr>
            <w:tcW w:w="1276" w:type="dxa"/>
            <w:tcBorders>
              <w:top w:val="nil"/>
              <w:left w:val="nil"/>
              <w:bottom w:val="nil"/>
              <w:right w:val="nil"/>
            </w:tcBorders>
            <w:shd w:val="clear" w:color="auto" w:fill="auto"/>
            <w:noWrap/>
            <w:vAlign w:val="bottom"/>
            <w:hideMark/>
          </w:tcPr>
          <w:p w14:paraId="2C6F4609"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0.159</w:t>
            </w:r>
          </w:p>
        </w:tc>
        <w:tc>
          <w:tcPr>
            <w:tcW w:w="1559" w:type="dxa"/>
            <w:tcBorders>
              <w:top w:val="nil"/>
              <w:left w:val="nil"/>
              <w:bottom w:val="nil"/>
              <w:right w:val="nil"/>
            </w:tcBorders>
            <w:shd w:val="clear" w:color="auto" w:fill="auto"/>
            <w:noWrap/>
            <w:vAlign w:val="bottom"/>
            <w:hideMark/>
          </w:tcPr>
          <w:p w14:paraId="43DE8D54"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19.60</w:t>
            </w:r>
          </w:p>
        </w:tc>
        <w:tc>
          <w:tcPr>
            <w:tcW w:w="1276" w:type="dxa"/>
            <w:tcBorders>
              <w:top w:val="nil"/>
              <w:left w:val="nil"/>
              <w:bottom w:val="nil"/>
              <w:right w:val="nil"/>
            </w:tcBorders>
            <w:shd w:val="clear" w:color="auto" w:fill="auto"/>
            <w:noWrap/>
            <w:vAlign w:val="bottom"/>
            <w:hideMark/>
          </w:tcPr>
          <w:p w14:paraId="4BE0A2FC"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0.159</w:t>
            </w:r>
          </w:p>
        </w:tc>
      </w:tr>
      <w:tr w:rsidR="004411A7" w:rsidRPr="004411A7" w14:paraId="458D29B3" w14:textId="77777777" w:rsidTr="00D930C0">
        <w:trPr>
          <w:trHeight w:val="255"/>
        </w:trPr>
        <w:tc>
          <w:tcPr>
            <w:tcW w:w="707" w:type="dxa"/>
            <w:tcBorders>
              <w:top w:val="nil"/>
              <w:left w:val="nil"/>
              <w:bottom w:val="nil"/>
              <w:right w:val="nil"/>
            </w:tcBorders>
            <w:shd w:val="clear" w:color="auto" w:fill="auto"/>
            <w:noWrap/>
            <w:vAlign w:val="bottom"/>
            <w:hideMark/>
          </w:tcPr>
          <w:p w14:paraId="4AC58B9E"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178A0125"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12'400</w:t>
            </w:r>
          </w:p>
        </w:tc>
        <w:tc>
          <w:tcPr>
            <w:tcW w:w="992" w:type="dxa"/>
            <w:tcBorders>
              <w:top w:val="nil"/>
              <w:left w:val="nil"/>
              <w:bottom w:val="nil"/>
              <w:right w:val="nil"/>
            </w:tcBorders>
            <w:shd w:val="clear" w:color="auto" w:fill="auto"/>
            <w:noWrap/>
            <w:vAlign w:val="bottom"/>
            <w:hideMark/>
          </w:tcPr>
          <w:p w14:paraId="245AACA1"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459D5B34"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17'100 </w:t>
            </w:r>
          </w:p>
        </w:tc>
        <w:tc>
          <w:tcPr>
            <w:tcW w:w="1276" w:type="dxa"/>
            <w:tcBorders>
              <w:top w:val="nil"/>
              <w:left w:val="nil"/>
              <w:bottom w:val="nil"/>
              <w:right w:val="nil"/>
            </w:tcBorders>
            <w:shd w:val="clear" w:color="auto" w:fill="auto"/>
            <w:noWrap/>
            <w:vAlign w:val="bottom"/>
            <w:hideMark/>
          </w:tcPr>
          <w:p w14:paraId="40C0B501"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5.321</w:t>
            </w:r>
          </w:p>
        </w:tc>
        <w:tc>
          <w:tcPr>
            <w:tcW w:w="1559" w:type="dxa"/>
            <w:tcBorders>
              <w:top w:val="nil"/>
              <w:left w:val="nil"/>
              <w:bottom w:val="nil"/>
              <w:right w:val="nil"/>
            </w:tcBorders>
            <w:shd w:val="clear" w:color="auto" w:fill="auto"/>
            <w:noWrap/>
            <w:vAlign w:val="bottom"/>
            <w:hideMark/>
          </w:tcPr>
          <w:p w14:paraId="3BECBC68"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275.00</w:t>
            </w:r>
          </w:p>
        </w:tc>
        <w:tc>
          <w:tcPr>
            <w:tcW w:w="1276" w:type="dxa"/>
            <w:tcBorders>
              <w:top w:val="nil"/>
              <w:left w:val="nil"/>
              <w:bottom w:val="nil"/>
              <w:right w:val="nil"/>
            </w:tcBorders>
            <w:shd w:val="clear" w:color="auto" w:fill="auto"/>
            <w:noWrap/>
            <w:vAlign w:val="bottom"/>
            <w:hideMark/>
          </w:tcPr>
          <w:p w14:paraId="0404C1D8"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1.608</w:t>
            </w:r>
          </w:p>
        </w:tc>
      </w:tr>
      <w:tr w:rsidR="004411A7" w:rsidRPr="004411A7" w14:paraId="422F84A4" w14:textId="77777777" w:rsidTr="00D930C0">
        <w:trPr>
          <w:trHeight w:val="255"/>
        </w:trPr>
        <w:tc>
          <w:tcPr>
            <w:tcW w:w="707" w:type="dxa"/>
            <w:tcBorders>
              <w:top w:val="nil"/>
              <w:left w:val="nil"/>
              <w:bottom w:val="nil"/>
              <w:right w:val="nil"/>
            </w:tcBorders>
            <w:shd w:val="clear" w:color="auto" w:fill="auto"/>
            <w:noWrap/>
            <w:vAlign w:val="bottom"/>
            <w:hideMark/>
          </w:tcPr>
          <w:p w14:paraId="538594A3"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46A41E89"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17'200</w:t>
            </w:r>
          </w:p>
        </w:tc>
        <w:tc>
          <w:tcPr>
            <w:tcW w:w="992" w:type="dxa"/>
            <w:tcBorders>
              <w:top w:val="nil"/>
              <w:left w:val="nil"/>
              <w:bottom w:val="nil"/>
              <w:right w:val="nil"/>
            </w:tcBorders>
            <w:shd w:val="clear" w:color="auto" w:fill="auto"/>
            <w:noWrap/>
            <w:vAlign w:val="bottom"/>
            <w:hideMark/>
          </w:tcPr>
          <w:p w14:paraId="21344823"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6DC01C70"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20'500 </w:t>
            </w:r>
          </w:p>
        </w:tc>
        <w:tc>
          <w:tcPr>
            <w:tcW w:w="1276" w:type="dxa"/>
            <w:tcBorders>
              <w:top w:val="nil"/>
              <w:left w:val="nil"/>
              <w:bottom w:val="nil"/>
              <w:right w:val="nil"/>
            </w:tcBorders>
            <w:shd w:val="clear" w:color="auto" w:fill="auto"/>
            <w:noWrap/>
            <w:vAlign w:val="bottom"/>
            <w:hideMark/>
          </w:tcPr>
          <w:p w14:paraId="7E0FD797"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6.050</w:t>
            </w:r>
          </w:p>
        </w:tc>
        <w:tc>
          <w:tcPr>
            <w:tcW w:w="1559" w:type="dxa"/>
            <w:tcBorders>
              <w:top w:val="nil"/>
              <w:left w:val="nil"/>
              <w:bottom w:val="nil"/>
              <w:right w:val="nil"/>
            </w:tcBorders>
            <w:shd w:val="clear" w:color="auto" w:fill="auto"/>
            <w:noWrap/>
            <w:vAlign w:val="bottom"/>
            <w:hideMark/>
          </w:tcPr>
          <w:p w14:paraId="40CEB311"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480.70</w:t>
            </w:r>
          </w:p>
        </w:tc>
        <w:tc>
          <w:tcPr>
            <w:tcW w:w="1276" w:type="dxa"/>
            <w:tcBorders>
              <w:top w:val="nil"/>
              <w:left w:val="nil"/>
              <w:bottom w:val="nil"/>
              <w:right w:val="nil"/>
            </w:tcBorders>
            <w:shd w:val="clear" w:color="auto" w:fill="auto"/>
            <w:noWrap/>
            <w:vAlign w:val="bottom"/>
            <w:hideMark/>
          </w:tcPr>
          <w:p w14:paraId="54B86CB7"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2.344</w:t>
            </w:r>
          </w:p>
        </w:tc>
      </w:tr>
      <w:tr w:rsidR="004411A7" w:rsidRPr="004411A7" w14:paraId="53A2BDBA" w14:textId="77777777" w:rsidTr="00D930C0">
        <w:trPr>
          <w:trHeight w:val="255"/>
        </w:trPr>
        <w:tc>
          <w:tcPr>
            <w:tcW w:w="707" w:type="dxa"/>
            <w:tcBorders>
              <w:top w:val="nil"/>
              <w:left w:val="nil"/>
              <w:bottom w:val="nil"/>
              <w:right w:val="nil"/>
            </w:tcBorders>
            <w:shd w:val="clear" w:color="auto" w:fill="auto"/>
            <w:noWrap/>
            <w:vAlign w:val="bottom"/>
            <w:hideMark/>
          </w:tcPr>
          <w:p w14:paraId="3400717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100D3BDF"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20'600</w:t>
            </w:r>
          </w:p>
        </w:tc>
        <w:tc>
          <w:tcPr>
            <w:tcW w:w="992" w:type="dxa"/>
            <w:tcBorders>
              <w:top w:val="nil"/>
              <w:left w:val="nil"/>
              <w:bottom w:val="nil"/>
              <w:right w:val="nil"/>
            </w:tcBorders>
            <w:shd w:val="clear" w:color="auto" w:fill="auto"/>
            <w:noWrap/>
            <w:vAlign w:val="bottom"/>
            <w:hideMark/>
          </w:tcPr>
          <w:p w14:paraId="66BE8D7C"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3746C615"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25'600 </w:t>
            </w:r>
          </w:p>
        </w:tc>
        <w:tc>
          <w:tcPr>
            <w:tcW w:w="1276" w:type="dxa"/>
            <w:tcBorders>
              <w:top w:val="nil"/>
              <w:left w:val="nil"/>
              <w:bottom w:val="nil"/>
              <w:right w:val="nil"/>
            </w:tcBorders>
            <w:shd w:val="clear" w:color="auto" w:fill="auto"/>
            <w:noWrap/>
            <w:vAlign w:val="bottom"/>
            <w:hideMark/>
          </w:tcPr>
          <w:p w14:paraId="3129ED05"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3.990</w:t>
            </w:r>
          </w:p>
        </w:tc>
        <w:tc>
          <w:tcPr>
            <w:tcW w:w="1559" w:type="dxa"/>
            <w:tcBorders>
              <w:top w:val="nil"/>
              <w:left w:val="nil"/>
              <w:bottom w:val="nil"/>
              <w:right w:val="nil"/>
            </w:tcBorders>
            <w:shd w:val="clear" w:color="auto" w:fill="auto"/>
            <w:noWrap/>
            <w:vAlign w:val="bottom"/>
            <w:hideMark/>
          </w:tcPr>
          <w:p w14:paraId="3076A70B"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684.20</w:t>
            </w:r>
          </w:p>
        </w:tc>
        <w:tc>
          <w:tcPr>
            <w:tcW w:w="1276" w:type="dxa"/>
            <w:tcBorders>
              <w:top w:val="nil"/>
              <w:left w:val="nil"/>
              <w:bottom w:val="nil"/>
              <w:right w:val="nil"/>
            </w:tcBorders>
            <w:shd w:val="clear" w:color="auto" w:fill="auto"/>
            <w:noWrap/>
            <w:vAlign w:val="bottom"/>
            <w:hideMark/>
          </w:tcPr>
          <w:p w14:paraId="52F31CBF"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2.672</w:t>
            </w:r>
          </w:p>
        </w:tc>
      </w:tr>
      <w:tr w:rsidR="004411A7" w:rsidRPr="004411A7" w14:paraId="589125CA" w14:textId="77777777" w:rsidTr="00D930C0">
        <w:trPr>
          <w:trHeight w:val="255"/>
        </w:trPr>
        <w:tc>
          <w:tcPr>
            <w:tcW w:w="707" w:type="dxa"/>
            <w:tcBorders>
              <w:top w:val="nil"/>
              <w:left w:val="nil"/>
              <w:bottom w:val="nil"/>
              <w:right w:val="nil"/>
            </w:tcBorders>
            <w:shd w:val="clear" w:color="auto" w:fill="auto"/>
            <w:noWrap/>
            <w:vAlign w:val="bottom"/>
            <w:hideMark/>
          </w:tcPr>
          <w:p w14:paraId="2555697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58BB5BA9"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25'700</w:t>
            </w:r>
          </w:p>
        </w:tc>
        <w:tc>
          <w:tcPr>
            <w:tcW w:w="992" w:type="dxa"/>
            <w:tcBorders>
              <w:top w:val="nil"/>
              <w:left w:val="nil"/>
              <w:bottom w:val="nil"/>
              <w:right w:val="nil"/>
            </w:tcBorders>
            <w:shd w:val="clear" w:color="auto" w:fill="auto"/>
            <w:noWrap/>
            <w:vAlign w:val="bottom"/>
            <w:hideMark/>
          </w:tcPr>
          <w:p w14:paraId="26B8380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044AA2B7"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29'600 </w:t>
            </w:r>
          </w:p>
        </w:tc>
        <w:tc>
          <w:tcPr>
            <w:tcW w:w="1276" w:type="dxa"/>
            <w:tcBorders>
              <w:top w:val="nil"/>
              <w:left w:val="nil"/>
              <w:bottom w:val="nil"/>
              <w:right w:val="nil"/>
            </w:tcBorders>
            <w:shd w:val="clear" w:color="auto" w:fill="auto"/>
            <w:noWrap/>
            <w:vAlign w:val="bottom"/>
            <w:hideMark/>
          </w:tcPr>
          <w:p w14:paraId="3E50FA1B"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7.626</w:t>
            </w:r>
          </w:p>
        </w:tc>
        <w:tc>
          <w:tcPr>
            <w:tcW w:w="1559" w:type="dxa"/>
            <w:tcBorders>
              <w:top w:val="nil"/>
              <w:left w:val="nil"/>
              <w:bottom w:val="nil"/>
              <w:right w:val="nil"/>
            </w:tcBorders>
            <w:shd w:val="clear" w:color="auto" w:fill="auto"/>
            <w:noWrap/>
            <w:vAlign w:val="bottom"/>
            <w:hideMark/>
          </w:tcPr>
          <w:p w14:paraId="4397BD6B"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989.25</w:t>
            </w:r>
          </w:p>
        </w:tc>
        <w:tc>
          <w:tcPr>
            <w:tcW w:w="1276" w:type="dxa"/>
            <w:tcBorders>
              <w:top w:val="nil"/>
              <w:left w:val="nil"/>
              <w:bottom w:val="nil"/>
              <w:right w:val="nil"/>
            </w:tcBorders>
            <w:shd w:val="clear" w:color="auto" w:fill="auto"/>
            <w:noWrap/>
            <w:vAlign w:val="bottom"/>
            <w:hideMark/>
          </w:tcPr>
          <w:p w14:paraId="2F4A8305"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3.342</w:t>
            </w:r>
          </w:p>
        </w:tc>
      </w:tr>
      <w:tr w:rsidR="004411A7" w:rsidRPr="004411A7" w14:paraId="1831F566" w14:textId="77777777" w:rsidTr="00D930C0">
        <w:trPr>
          <w:trHeight w:val="255"/>
        </w:trPr>
        <w:tc>
          <w:tcPr>
            <w:tcW w:w="707" w:type="dxa"/>
            <w:tcBorders>
              <w:top w:val="nil"/>
              <w:left w:val="nil"/>
              <w:bottom w:val="nil"/>
              <w:right w:val="nil"/>
            </w:tcBorders>
            <w:shd w:val="clear" w:color="auto" w:fill="auto"/>
            <w:noWrap/>
            <w:vAlign w:val="bottom"/>
            <w:hideMark/>
          </w:tcPr>
          <w:p w14:paraId="5363A17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3035CEA3"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29'700</w:t>
            </w:r>
          </w:p>
        </w:tc>
        <w:tc>
          <w:tcPr>
            <w:tcW w:w="992" w:type="dxa"/>
            <w:tcBorders>
              <w:top w:val="nil"/>
              <w:left w:val="nil"/>
              <w:bottom w:val="nil"/>
              <w:right w:val="nil"/>
            </w:tcBorders>
            <w:shd w:val="clear" w:color="auto" w:fill="auto"/>
            <w:noWrap/>
            <w:vAlign w:val="bottom"/>
            <w:hideMark/>
          </w:tcPr>
          <w:p w14:paraId="1B45017C"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4156A35A"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39'200 </w:t>
            </w:r>
          </w:p>
        </w:tc>
        <w:tc>
          <w:tcPr>
            <w:tcW w:w="1276" w:type="dxa"/>
            <w:tcBorders>
              <w:top w:val="nil"/>
              <w:left w:val="nil"/>
              <w:bottom w:val="nil"/>
              <w:right w:val="nil"/>
            </w:tcBorders>
            <w:shd w:val="clear" w:color="auto" w:fill="auto"/>
            <w:noWrap/>
            <w:vAlign w:val="bottom"/>
            <w:hideMark/>
          </w:tcPr>
          <w:p w14:paraId="33C57B1A"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9.621</w:t>
            </w:r>
          </w:p>
        </w:tc>
        <w:tc>
          <w:tcPr>
            <w:tcW w:w="1559" w:type="dxa"/>
            <w:tcBorders>
              <w:top w:val="nil"/>
              <w:left w:val="nil"/>
              <w:bottom w:val="nil"/>
              <w:right w:val="nil"/>
            </w:tcBorders>
            <w:shd w:val="clear" w:color="auto" w:fill="auto"/>
            <w:noWrap/>
            <w:vAlign w:val="bottom"/>
            <w:hideMark/>
          </w:tcPr>
          <w:p w14:paraId="3A107242"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1'912.85</w:t>
            </w:r>
          </w:p>
        </w:tc>
        <w:tc>
          <w:tcPr>
            <w:tcW w:w="1276" w:type="dxa"/>
            <w:tcBorders>
              <w:top w:val="nil"/>
              <w:left w:val="nil"/>
              <w:bottom w:val="nil"/>
              <w:right w:val="nil"/>
            </w:tcBorders>
            <w:shd w:val="clear" w:color="auto" w:fill="auto"/>
            <w:noWrap/>
            <w:vAlign w:val="bottom"/>
            <w:hideMark/>
          </w:tcPr>
          <w:p w14:paraId="23FC1157"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4.879</w:t>
            </w:r>
          </w:p>
        </w:tc>
      </w:tr>
      <w:tr w:rsidR="004411A7" w:rsidRPr="004411A7" w14:paraId="0E093F1B" w14:textId="77777777" w:rsidTr="00D930C0">
        <w:trPr>
          <w:trHeight w:val="255"/>
        </w:trPr>
        <w:tc>
          <w:tcPr>
            <w:tcW w:w="707" w:type="dxa"/>
            <w:tcBorders>
              <w:top w:val="nil"/>
              <w:left w:val="nil"/>
              <w:bottom w:val="nil"/>
              <w:right w:val="nil"/>
            </w:tcBorders>
            <w:shd w:val="clear" w:color="auto" w:fill="auto"/>
            <w:noWrap/>
            <w:vAlign w:val="bottom"/>
            <w:hideMark/>
          </w:tcPr>
          <w:p w14:paraId="4FA005C6"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490A4DDA"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39'300</w:t>
            </w:r>
          </w:p>
        </w:tc>
        <w:tc>
          <w:tcPr>
            <w:tcW w:w="992" w:type="dxa"/>
            <w:tcBorders>
              <w:top w:val="nil"/>
              <w:left w:val="nil"/>
              <w:bottom w:val="nil"/>
              <w:right w:val="nil"/>
            </w:tcBorders>
            <w:shd w:val="clear" w:color="auto" w:fill="auto"/>
            <w:noWrap/>
            <w:vAlign w:val="bottom"/>
            <w:hideMark/>
          </w:tcPr>
          <w:p w14:paraId="2B5984A1"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2441E590"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51'800 </w:t>
            </w:r>
          </w:p>
        </w:tc>
        <w:tc>
          <w:tcPr>
            <w:tcW w:w="1276" w:type="dxa"/>
            <w:tcBorders>
              <w:top w:val="nil"/>
              <w:left w:val="nil"/>
              <w:bottom w:val="nil"/>
              <w:right w:val="nil"/>
            </w:tcBorders>
            <w:shd w:val="clear" w:color="auto" w:fill="auto"/>
            <w:noWrap/>
            <w:vAlign w:val="bottom"/>
            <w:hideMark/>
          </w:tcPr>
          <w:p w14:paraId="0F108D52"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10.553</w:t>
            </w:r>
          </w:p>
        </w:tc>
        <w:tc>
          <w:tcPr>
            <w:tcW w:w="1559" w:type="dxa"/>
            <w:tcBorders>
              <w:top w:val="nil"/>
              <w:left w:val="nil"/>
              <w:bottom w:val="nil"/>
              <w:right w:val="nil"/>
            </w:tcBorders>
            <w:shd w:val="clear" w:color="auto" w:fill="auto"/>
            <w:noWrap/>
            <w:vAlign w:val="bottom"/>
            <w:hideMark/>
          </w:tcPr>
          <w:p w14:paraId="090A4B9F"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3'242.55</w:t>
            </w:r>
          </w:p>
        </w:tc>
        <w:tc>
          <w:tcPr>
            <w:tcW w:w="1276" w:type="dxa"/>
            <w:tcBorders>
              <w:top w:val="nil"/>
              <w:left w:val="nil"/>
              <w:bottom w:val="nil"/>
              <w:right w:val="nil"/>
            </w:tcBorders>
            <w:shd w:val="clear" w:color="auto" w:fill="auto"/>
            <w:noWrap/>
            <w:vAlign w:val="bottom"/>
            <w:hideMark/>
          </w:tcPr>
          <w:p w14:paraId="6B03DB84"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6.259</w:t>
            </w:r>
          </w:p>
        </w:tc>
      </w:tr>
      <w:tr w:rsidR="004411A7" w:rsidRPr="004411A7" w14:paraId="51FF8953" w14:textId="77777777" w:rsidTr="00D930C0">
        <w:trPr>
          <w:trHeight w:val="255"/>
        </w:trPr>
        <w:tc>
          <w:tcPr>
            <w:tcW w:w="707" w:type="dxa"/>
            <w:tcBorders>
              <w:top w:val="nil"/>
              <w:left w:val="nil"/>
              <w:bottom w:val="nil"/>
              <w:right w:val="nil"/>
            </w:tcBorders>
            <w:shd w:val="clear" w:color="auto" w:fill="auto"/>
            <w:noWrap/>
            <w:vAlign w:val="bottom"/>
            <w:hideMark/>
          </w:tcPr>
          <w:p w14:paraId="13C6B4DF"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49157C1E"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51'900</w:t>
            </w:r>
          </w:p>
        </w:tc>
        <w:tc>
          <w:tcPr>
            <w:tcW w:w="992" w:type="dxa"/>
            <w:tcBorders>
              <w:top w:val="nil"/>
              <w:left w:val="nil"/>
              <w:bottom w:val="nil"/>
              <w:right w:val="nil"/>
            </w:tcBorders>
            <w:shd w:val="clear" w:color="auto" w:fill="auto"/>
            <w:noWrap/>
            <w:vAlign w:val="bottom"/>
            <w:hideMark/>
          </w:tcPr>
          <w:p w14:paraId="58477213"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47F02150"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57'200 </w:t>
            </w:r>
          </w:p>
        </w:tc>
        <w:tc>
          <w:tcPr>
            <w:tcW w:w="1276" w:type="dxa"/>
            <w:tcBorders>
              <w:top w:val="nil"/>
              <w:left w:val="nil"/>
              <w:bottom w:val="nil"/>
              <w:right w:val="nil"/>
            </w:tcBorders>
            <w:shd w:val="clear" w:color="auto" w:fill="auto"/>
            <w:noWrap/>
            <w:vAlign w:val="bottom"/>
            <w:hideMark/>
          </w:tcPr>
          <w:p w14:paraId="623ACECE"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11.174</w:t>
            </w:r>
          </w:p>
        </w:tc>
        <w:tc>
          <w:tcPr>
            <w:tcW w:w="1559" w:type="dxa"/>
            <w:tcBorders>
              <w:top w:val="nil"/>
              <w:left w:val="nil"/>
              <w:bottom w:val="nil"/>
              <w:right w:val="nil"/>
            </w:tcBorders>
            <w:shd w:val="clear" w:color="auto" w:fill="auto"/>
            <w:noWrap/>
            <w:vAlign w:val="bottom"/>
            <w:hideMark/>
          </w:tcPr>
          <w:p w14:paraId="051C9F63"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3'845.95</w:t>
            </w:r>
          </w:p>
        </w:tc>
        <w:tc>
          <w:tcPr>
            <w:tcW w:w="1276" w:type="dxa"/>
            <w:tcBorders>
              <w:top w:val="nil"/>
              <w:left w:val="nil"/>
              <w:bottom w:val="nil"/>
              <w:right w:val="nil"/>
            </w:tcBorders>
            <w:shd w:val="clear" w:color="auto" w:fill="auto"/>
            <w:noWrap/>
            <w:vAlign w:val="bottom"/>
            <w:hideMark/>
          </w:tcPr>
          <w:p w14:paraId="361B57AE"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6.723</w:t>
            </w:r>
          </w:p>
        </w:tc>
      </w:tr>
      <w:tr w:rsidR="004411A7" w:rsidRPr="004411A7" w14:paraId="1EDB66AF" w14:textId="77777777" w:rsidTr="00D930C0">
        <w:trPr>
          <w:trHeight w:val="255"/>
        </w:trPr>
        <w:tc>
          <w:tcPr>
            <w:tcW w:w="707" w:type="dxa"/>
            <w:tcBorders>
              <w:top w:val="nil"/>
              <w:left w:val="nil"/>
              <w:bottom w:val="nil"/>
              <w:right w:val="nil"/>
            </w:tcBorders>
            <w:shd w:val="clear" w:color="auto" w:fill="auto"/>
            <w:noWrap/>
            <w:vAlign w:val="bottom"/>
            <w:hideMark/>
          </w:tcPr>
          <w:p w14:paraId="53440A32"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74480038"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57'300</w:t>
            </w:r>
          </w:p>
        </w:tc>
        <w:tc>
          <w:tcPr>
            <w:tcW w:w="992" w:type="dxa"/>
            <w:tcBorders>
              <w:top w:val="nil"/>
              <w:left w:val="nil"/>
              <w:bottom w:val="nil"/>
              <w:right w:val="nil"/>
            </w:tcBorders>
            <w:shd w:val="clear" w:color="auto" w:fill="auto"/>
            <w:noWrap/>
            <w:vAlign w:val="bottom"/>
            <w:hideMark/>
          </w:tcPr>
          <w:p w14:paraId="093D5F4E"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127DE9A9"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71'800 </w:t>
            </w:r>
          </w:p>
        </w:tc>
        <w:tc>
          <w:tcPr>
            <w:tcW w:w="1276" w:type="dxa"/>
            <w:tcBorders>
              <w:top w:val="nil"/>
              <w:left w:val="nil"/>
              <w:bottom w:val="nil"/>
              <w:right w:val="nil"/>
            </w:tcBorders>
            <w:shd w:val="clear" w:color="auto" w:fill="auto"/>
            <w:noWrap/>
            <w:vAlign w:val="bottom"/>
            <w:hideMark/>
          </w:tcPr>
          <w:p w14:paraId="0379C653"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12.000</w:t>
            </w:r>
          </w:p>
        </w:tc>
        <w:tc>
          <w:tcPr>
            <w:tcW w:w="1559" w:type="dxa"/>
            <w:tcBorders>
              <w:top w:val="nil"/>
              <w:left w:val="nil"/>
              <w:bottom w:val="nil"/>
              <w:right w:val="nil"/>
            </w:tcBorders>
            <w:shd w:val="clear" w:color="auto" w:fill="auto"/>
            <w:noWrap/>
            <w:vAlign w:val="bottom"/>
            <w:hideMark/>
          </w:tcPr>
          <w:p w14:paraId="71BA0E07"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5'597.95</w:t>
            </w:r>
          </w:p>
        </w:tc>
        <w:tc>
          <w:tcPr>
            <w:tcW w:w="1276" w:type="dxa"/>
            <w:tcBorders>
              <w:top w:val="nil"/>
              <w:left w:val="nil"/>
              <w:bottom w:val="nil"/>
              <w:right w:val="nil"/>
            </w:tcBorders>
            <w:shd w:val="clear" w:color="auto" w:fill="auto"/>
            <w:noWrap/>
            <w:vAlign w:val="bottom"/>
            <w:hideMark/>
          </w:tcPr>
          <w:p w14:paraId="09B9255F"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7.796</w:t>
            </w:r>
          </w:p>
        </w:tc>
      </w:tr>
      <w:tr w:rsidR="004411A7" w:rsidRPr="004411A7" w14:paraId="0661742D" w14:textId="77777777" w:rsidTr="00D930C0">
        <w:trPr>
          <w:trHeight w:val="255"/>
        </w:trPr>
        <w:tc>
          <w:tcPr>
            <w:tcW w:w="707" w:type="dxa"/>
            <w:tcBorders>
              <w:top w:val="nil"/>
              <w:left w:val="nil"/>
              <w:bottom w:val="nil"/>
              <w:right w:val="nil"/>
            </w:tcBorders>
            <w:shd w:val="clear" w:color="auto" w:fill="auto"/>
            <w:noWrap/>
            <w:vAlign w:val="bottom"/>
            <w:hideMark/>
          </w:tcPr>
          <w:p w14:paraId="61FF11C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1158EC36"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71'900</w:t>
            </w:r>
          </w:p>
        </w:tc>
        <w:tc>
          <w:tcPr>
            <w:tcW w:w="992" w:type="dxa"/>
            <w:tcBorders>
              <w:top w:val="nil"/>
              <w:left w:val="nil"/>
              <w:bottom w:val="nil"/>
              <w:right w:val="nil"/>
            </w:tcBorders>
            <w:shd w:val="clear" w:color="auto" w:fill="auto"/>
            <w:noWrap/>
            <w:vAlign w:val="bottom"/>
            <w:hideMark/>
          </w:tcPr>
          <w:p w14:paraId="1B6A97F4"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6354384A"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89'900 </w:t>
            </w:r>
          </w:p>
        </w:tc>
        <w:tc>
          <w:tcPr>
            <w:tcW w:w="1276" w:type="dxa"/>
            <w:tcBorders>
              <w:top w:val="nil"/>
              <w:left w:val="nil"/>
              <w:bottom w:val="nil"/>
              <w:right w:val="nil"/>
            </w:tcBorders>
            <w:shd w:val="clear" w:color="auto" w:fill="auto"/>
            <w:noWrap/>
            <w:vAlign w:val="bottom"/>
            <w:hideMark/>
          </w:tcPr>
          <w:p w14:paraId="3100681E"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11.794</w:t>
            </w:r>
          </w:p>
        </w:tc>
        <w:tc>
          <w:tcPr>
            <w:tcW w:w="1559" w:type="dxa"/>
            <w:tcBorders>
              <w:top w:val="nil"/>
              <w:left w:val="nil"/>
              <w:bottom w:val="nil"/>
              <w:right w:val="nil"/>
            </w:tcBorders>
            <w:shd w:val="clear" w:color="auto" w:fill="auto"/>
            <w:noWrap/>
            <w:vAlign w:val="bottom"/>
            <w:hideMark/>
          </w:tcPr>
          <w:p w14:paraId="77A71CB0"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7'732.65</w:t>
            </w:r>
          </w:p>
        </w:tc>
        <w:tc>
          <w:tcPr>
            <w:tcW w:w="1276" w:type="dxa"/>
            <w:tcBorders>
              <w:top w:val="nil"/>
              <w:left w:val="nil"/>
              <w:bottom w:val="nil"/>
              <w:right w:val="nil"/>
            </w:tcBorders>
            <w:shd w:val="clear" w:color="auto" w:fill="auto"/>
            <w:noWrap/>
            <w:vAlign w:val="bottom"/>
            <w:hideMark/>
          </w:tcPr>
          <w:p w14:paraId="61048B50"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8.601</w:t>
            </w:r>
          </w:p>
        </w:tc>
      </w:tr>
      <w:tr w:rsidR="004411A7" w:rsidRPr="004411A7" w14:paraId="5AA65906" w14:textId="77777777" w:rsidTr="00D930C0">
        <w:trPr>
          <w:trHeight w:val="255"/>
        </w:trPr>
        <w:tc>
          <w:tcPr>
            <w:tcW w:w="707" w:type="dxa"/>
            <w:tcBorders>
              <w:top w:val="nil"/>
              <w:left w:val="nil"/>
              <w:bottom w:val="nil"/>
              <w:right w:val="nil"/>
            </w:tcBorders>
            <w:shd w:val="clear" w:color="auto" w:fill="auto"/>
            <w:noWrap/>
            <w:vAlign w:val="bottom"/>
            <w:hideMark/>
          </w:tcPr>
          <w:p w14:paraId="63B29C57"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5624A612"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90'000</w:t>
            </w:r>
          </w:p>
        </w:tc>
        <w:tc>
          <w:tcPr>
            <w:tcW w:w="992" w:type="dxa"/>
            <w:tcBorders>
              <w:top w:val="nil"/>
              <w:left w:val="nil"/>
              <w:bottom w:val="nil"/>
              <w:right w:val="nil"/>
            </w:tcBorders>
            <w:shd w:val="clear" w:color="auto" w:fill="auto"/>
            <w:noWrap/>
            <w:vAlign w:val="bottom"/>
            <w:hideMark/>
          </w:tcPr>
          <w:p w14:paraId="5703F307"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4D8F425D"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112'000 </w:t>
            </w:r>
          </w:p>
        </w:tc>
        <w:tc>
          <w:tcPr>
            <w:tcW w:w="1276" w:type="dxa"/>
            <w:tcBorders>
              <w:top w:val="nil"/>
              <w:left w:val="nil"/>
              <w:bottom w:val="nil"/>
              <w:right w:val="nil"/>
            </w:tcBorders>
            <w:shd w:val="clear" w:color="auto" w:fill="auto"/>
            <w:noWrap/>
            <w:vAlign w:val="bottom"/>
            <w:hideMark/>
          </w:tcPr>
          <w:p w14:paraId="0BF1B611"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12.681</w:t>
            </w:r>
          </w:p>
        </w:tc>
        <w:tc>
          <w:tcPr>
            <w:tcW w:w="1559" w:type="dxa"/>
            <w:tcBorders>
              <w:top w:val="nil"/>
              <w:left w:val="nil"/>
              <w:bottom w:val="nil"/>
              <w:right w:val="nil"/>
            </w:tcBorders>
            <w:shd w:val="clear" w:color="auto" w:fill="auto"/>
            <w:noWrap/>
            <w:vAlign w:val="bottom"/>
            <w:hideMark/>
          </w:tcPr>
          <w:p w14:paraId="52E25A34"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10'535.15</w:t>
            </w:r>
          </w:p>
        </w:tc>
        <w:tc>
          <w:tcPr>
            <w:tcW w:w="1276" w:type="dxa"/>
            <w:tcBorders>
              <w:top w:val="nil"/>
              <w:left w:val="nil"/>
              <w:bottom w:val="nil"/>
              <w:right w:val="nil"/>
            </w:tcBorders>
            <w:shd w:val="clear" w:color="auto" w:fill="auto"/>
            <w:noWrap/>
            <w:vAlign w:val="bottom"/>
            <w:hideMark/>
          </w:tcPr>
          <w:p w14:paraId="50AB674A"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9.406</w:t>
            </w:r>
          </w:p>
        </w:tc>
      </w:tr>
      <w:tr w:rsidR="004411A7" w:rsidRPr="004411A7" w14:paraId="2B4F3B0D" w14:textId="77777777" w:rsidTr="00D930C0">
        <w:trPr>
          <w:trHeight w:val="255"/>
        </w:trPr>
        <w:tc>
          <w:tcPr>
            <w:tcW w:w="707" w:type="dxa"/>
            <w:tcBorders>
              <w:top w:val="nil"/>
              <w:left w:val="nil"/>
              <w:bottom w:val="nil"/>
              <w:right w:val="nil"/>
            </w:tcBorders>
            <w:shd w:val="clear" w:color="auto" w:fill="auto"/>
            <w:noWrap/>
            <w:vAlign w:val="bottom"/>
            <w:hideMark/>
          </w:tcPr>
          <w:p w14:paraId="3AB21E8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5E4A4210"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112'100</w:t>
            </w:r>
          </w:p>
        </w:tc>
        <w:tc>
          <w:tcPr>
            <w:tcW w:w="992" w:type="dxa"/>
            <w:tcBorders>
              <w:top w:val="nil"/>
              <w:left w:val="nil"/>
              <w:bottom w:val="nil"/>
              <w:right w:val="nil"/>
            </w:tcBorders>
            <w:shd w:val="clear" w:color="auto" w:fill="auto"/>
            <w:noWrap/>
            <w:vAlign w:val="bottom"/>
            <w:hideMark/>
          </w:tcPr>
          <w:p w14:paraId="61D546E9"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4E0E5673" w14:textId="77777777" w:rsidR="004411A7" w:rsidRPr="004411A7" w:rsidRDefault="004411A7" w:rsidP="004411A7">
            <w:pPr>
              <w:jc w:val="right"/>
              <w:rPr>
                <w:rFonts w:eastAsia="Times New Roman" w:cs="Arial"/>
                <w:sz w:val="20"/>
                <w:szCs w:val="20"/>
                <w:lang w:eastAsia="it-CH"/>
              </w:rPr>
            </w:pPr>
            <w:r w:rsidRPr="004411A7">
              <w:rPr>
                <w:rFonts w:eastAsia="Times New Roman" w:cs="Arial"/>
                <w:sz w:val="20"/>
                <w:szCs w:val="20"/>
                <w:lang w:eastAsia="it-CH"/>
              </w:rPr>
              <w:t xml:space="preserve">224'100 </w:t>
            </w:r>
          </w:p>
        </w:tc>
        <w:tc>
          <w:tcPr>
            <w:tcW w:w="1276" w:type="dxa"/>
            <w:tcBorders>
              <w:top w:val="nil"/>
              <w:left w:val="nil"/>
              <w:bottom w:val="nil"/>
              <w:right w:val="nil"/>
            </w:tcBorders>
            <w:shd w:val="clear" w:color="auto" w:fill="auto"/>
            <w:noWrap/>
            <w:vAlign w:val="bottom"/>
            <w:hideMark/>
          </w:tcPr>
          <w:p w14:paraId="171752A5"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13.302</w:t>
            </w:r>
          </w:p>
        </w:tc>
        <w:tc>
          <w:tcPr>
            <w:tcW w:w="1559" w:type="dxa"/>
            <w:tcBorders>
              <w:top w:val="nil"/>
              <w:left w:val="nil"/>
              <w:bottom w:val="nil"/>
              <w:right w:val="nil"/>
            </w:tcBorders>
            <w:shd w:val="clear" w:color="auto" w:fill="auto"/>
            <w:noWrap/>
            <w:vAlign w:val="bottom"/>
            <w:hideMark/>
          </w:tcPr>
          <w:p w14:paraId="74CA47C0"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25'446.70</w:t>
            </w:r>
          </w:p>
        </w:tc>
        <w:tc>
          <w:tcPr>
            <w:tcW w:w="1276" w:type="dxa"/>
            <w:tcBorders>
              <w:top w:val="nil"/>
              <w:left w:val="nil"/>
              <w:bottom w:val="nil"/>
              <w:right w:val="nil"/>
            </w:tcBorders>
            <w:shd w:val="clear" w:color="auto" w:fill="auto"/>
            <w:noWrap/>
            <w:vAlign w:val="bottom"/>
            <w:hideMark/>
          </w:tcPr>
          <w:p w14:paraId="0F2F795A"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11.355</w:t>
            </w:r>
          </w:p>
        </w:tc>
      </w:tr>
      <w:tr w:rsidR="004411A7" w:rsidRPr="004411A7" w14:paraId="7FBCB256" w14:textId="77777777" w:rsidTr="00D930C0">
        <w:trPr>
          <w:trHeight w:val="255"/>
        </w:trPr>
        <w:tc>
          <w:tcPr>
            <w:tcW w:w="707" w:type="dxa"/>
            <w:tcBorders>
              <w:top w:val="nil"/>
              <w:left w:val="nil"/>
              <w:right w:val="nil"/>
            </w:tcBorders>
            <w:shd w:val="clear" w:color="auto" w:fill="auto"/>
            <w:noWrap/>
            <w:vAlign w:val="bottom"/>
            <w:hideMark/>
          </w:tcPr>
          <w:p w14:paraId="199934E5"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right w:val="nil"/>
            </w:tcBorders>
            <w:shd w:val="clear" w:color="auto" w:fill="auto"/>
            <w:noWrap/>
            <w:vAlign w:val="bottom"/>
            <w:hideMark/>
          </w:tcPr>
          <w:p w14:paraId="258F007F"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224'200</w:t>
            </w:r>
          </w:p>
        </w:tc>
        <w:tc>
          <w:tcPr>
            <w:tcW w:w="992" w:type="dxa"/>
            <w:tcBorders>
              <w:top w:val="nil"/>
              <w:left w:val="nil"/>
              <w:right w:val="nil"/>
            </w:tcBorders>
            <w:shd w:val="clear" w:color="auto" w:fill="auto"/>
            <w:noWrap/>
            <w:vAlign w:val="bottom"/>
            <w:hideMark/>
          </w:tcPr>
          <w:p w14:paraId="7A12D0A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right w:val="nil"/>
            </w:tcBorders>
            <w:shd w:val="clear" w:color="auto" w:fill="auto"/>
            <w:noWrap/>
            <w:vAlign w:val="bottom"/>
            <w:hideMark/>
          </w:tcPr>
          <w:p w14:paraId="3EDC035E" w14:textId="77777777" w:rsidR="004411A7" w:rsidRPr="004411A7" w:rsidRDefault="004411A7" w:rsidP="004411A7">
            <w:pPr>
              <w:ind w:left="-15"/>
              <w:jc w:val="right"/>
              <w:rPr>
                <w:rFonts w:eastAsia="Times New Roman" w:cs="Arial"/>
                <w:sz w:val="20"/>
                <w:szCs w:val="20"/>
                <w:lang w:eastAsia="it-CH"/>
              </w:rPr>
            </w:pPr>
            <w:r w:rsidRPr="004411A7">
              <w:rPr>
                <w:rFonts w:eastAsia="Times New Roman" w:cs="Arial"/>
                <w:sz w:val="20"/>
                <w:szCs w:val="20"/>
                <w:lang w:eastAsia="it-CH"/>
              </w:rPr>
              <w:t xml:space="preserve">374’400 </w:t>
            </w:r>
          </w:p>
        </w:tc>
        <w:tc>
          <w:tcPr>
            <w:tcW w:w="1276" w:type="dxa"/>
            <w:tcBorders>
              <w:top w:val="nil"/>
              <w:left w:val="nil"/>
              <w:right w:val="nil"/>
            </w:tcBorders>
            <w:shd w:val="clear" w:color="auto" w:fill="auto"/>
            <w:noWrap/>
            <w:vAlign w:val="bottom"/>
            <w:hideMark/>
          </w:tcPr>
          <w:p w14:paraId="1979FF7F"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14.278</w:t>
            </w:r>
          </w:p>
        </w:tc>
        <w:tc>
          <w:tcPr>
            <w:tcW w:w="1559" w:type="dxa"/>
            <w:tcBorders>
              <w:top w:val="nil"/>
              <w:left w:val="nil"/>
              <w:right w:val="nil"/>
            </w:tcBorders>
            <w:shd w:val="clear" w:color="auto" w:fill="auto"/>
            <w:noWrap/>
            <w:vAlign w:val="bottom"/>
            <w:hideMark/>
          </w:tcPr>
          <w:p w14:paraId="784B7683"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46'906.55</w:t>
            </w:r>
          </w:p>
        </w:tc>
        <w:tc>
          <w:tcPr>
            <w:tcW w:w="1276" w:type="dxa"/>
            <w:tcBorders>
              <w:top w:val="nil"/>
              <w:left w:val="nil"/>
              <w:right w:val="nil"/>
            </w:tcBorders>
            <w:shd w:val="clear" w:color="auto" w:fill="auto"/>
            <w:noWrap/>
            <w:vAlign w:val="bottom"/>
            <w:hideMark/>
          </w:tcPr>
          <w:p w14:paraId="020E7575"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12.528</w:t>
            </w:r>
          </w:p>
        </w:tc>
      </w:tr>
      <w:tr w:rsidR="004411A7" w:rsidRPr="004411A7" w14:paraId="1E76D8A8" w14:textId="77777777" w:rsidTr="00D930C0">
        <w:trPr>
          <w:trHeight w:val="255"/>
        </w:trPr>
        <w:tc>
          <w:tcPr>
            <w:tcW w:w="707" w:type="dxa"/>
            <w:tcBorders>
              <w:top w:val="nil"/>
              <w:left w:val="nil"/>
              <w:bottom w:val="nil"/>
              <w:right w:val="nil"/>
            </w:tcBorders>
            <w:shd w:val="clear" w:color="auto" w:fill="auto"/>
            <w:noWrap/>
            <w:vAlign w:val="bottom"/>
            <w:hideMark/>
          </w:tcPr>
          <w:p w14:paraId="05128D3A"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nil"/>
              <w:right w:val="nil"/>
            </w:tcBorders>
            <w:shd w:val="clear" w:color="auto" w:fill="auto"/>
            <w:noWrap/>
            <w:vAlign w:val="bottom"/>
            <w:hideMark/>
          </w:tcPr>
          <w:p w14:paraId="33C0978E"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374’500</w:t>
            </w:r>
          </w:p>
        </w:tc>
        <w:tc>
          <w:tcPr>
            <w:tcW w:w="992" w:type="dxa"/>
            <w:tcBorders>
              <w:top w:val="nil"/>
              <w:left w:val="nil"/>
              <w:bottom w:val="nil"/>
              <w:right w:val="nil"/>
            </w:tcBorders>
            <w:shd w:val="clear" w:color="auto" w:fill="auto"/>
            <w:noWrap/>
            <w:vAlign w:val="bottom"/>
            <w:hideMark/>
          </w:tcPr>
          <w:p w14:paraId="7E82DFE0"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a fr.</w:t>
            </w:r>
          </w:p>
        </w:tc>
        <w:tc>
          <w:tcPr>
            <w:tcW w:w="851" w:type="dxa"/>
            <w:tcBorders>
              <w:top w:val="nil"/>
              <w:left w:val="nil"/>
              <w:bottom w:val="nil"/>
              <w:right w:val="nil"/>
            </w:tcBorders>
            <w:shd w:val="clear" w:color="auto" w:fill="auto"/>
            <w:noWrap/>
            <w:vAlign w:val="bottom"/>
            <w:hideMark/>
          </w:tcPr>
          <w:p w14:paraId="7DD3848A" w14:textId="77777777" w:rsidR="004411A7" w:rsidRPr="004411A7" w:rsidRDefault="004411A7" w:rsidP="004411A7">
            <w:pPr>
              <w:ind w:left="-15"/>
              <w:jc w:val="left"/>
              <w:rPr>
                <w:rFonts w:eastAsia="Times New Roman" w:cs="Arial"/>
                <w:sz w:val="20"/>
                <w:szCs w:val="20"/>
                <w:lang w:eastAsia="it-CH"/>
              </w:rPr>
            </w:pPr>
            <w:r w:rsidRPr="004411A7">
              <w:rPr>
                <w:rFonts w:eastAsia="Times New Roman" w:cs="Arial"/>
                <w:sz w:val="20"/>
                <w:szCs w:val="20"/>
                <w:lang w:eastAsia="it-CH"/>
              </w:rPr>
              <w:t>522’500</w:t>
            </w:r>
          </w:p>
        </w:tc>
        <w:tc>
          <w:tcPr>
            <w:tcW w:w="1276" w:type="dxa"/>
            <w:tcBorders>
              <w:top w:val="nil"/>
              <w:left w:val="nil"/>
              <w:bottom w:val="nil"/>
              <w:right w:val="nil"/>
            </w:tcBorders>
            <w:shd w:val="clear" w:color="auto" w:fill="auto"/>
            <w:noWrap/>
            <w:vAlign w:val="bottom"/>
            <w:hideMark/>
          </w:tcPr>
          <w:p w14:paraId="36909F30"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15.076</w:t>
            </w:r>
          </w:p>
        </w:tc>
        <w:tc>
          <w:tcPr>
            <w:tcW w:w="1559" w:type="dxa"/>
            <w:tcBorders>
              <w:top w:val="nil"/>
              <w:left w:val="nil"/>
              <w:bottom w:val="nil"/>
              <w:right w:val="nil"/>
            </w:tcBorders>
            <w:shd w:val="clear" w:color="auto" w:fill="auto"/>
            <w:noWrap/>
            <w:vAlign w:val="bottom"/>
            <w:hideMark/>
          </w:tcPr>
          <w:p w14:paraId="6537D46B" w14:textId="77777777" w:rsidR="004411A7" w:rsidRPr="004411A7" w:rsidRDefault="004411A7" w:rsidP="004411A7">
            <w:pPr>
              <w:ind w:right="352"/>
              <w:jc w:val="right"/>
              <w:rPr>
                <w:rFonts w:eastAsia="Times New Roman" w:cs="Arial"/>
                <w:sz w:val="20"/>
                <w:szCs w:val="20"/>
                <w:lang w:eastAsia="it-CH"/>
              </w:rPr>
            </w:pPr>
            <w:r w:rsidRPr="004411A7">
              <w:rPr>
                <w:rFonts w:eastAsia="Times New Roman" w:cs="Arial"/>
                <w:sz w:val="20"/>
                <w:szCs w:val="20"/>
                <w:lang w:eastAsia="it-CH"/>
              </w:rPr>
              <w:t>69'234.10</w:t>
            </w:r>
          </w:p>
        </w:tc>
        <w:tc>
          <w:tcPr>
            <w:tcW w:w="1276" w:type="dxa"/>
            <w:tcBorders>
              <w:top w:val="nil"/>
              <w:left w:val="nil"/>
              <w:bottom w:val="nil"/>
              <w:right w:val="nil"/>
            </w:tcBorders>
            <w:shd w:val="clear" w:color="auto" w:fill="auto"/>
            <w:noWrap/>
            <w:vAlign w:val="bottom"/>
            <w:hideMark/>
          </w:tcPr>
          <w:p w14:paraId="29DD00DD" w14:textId="77777777" w:rsidR="004411A7" w:rsidRPr="004411A7" w:rsidRDefault="004411A7" w:rsidP="004411A7">
            <w:pPr>
              <w:ind w:right="320"/>
              <w:jc w:val="right"/>
              <w:rPr>
                <w:rFonts w:eastAsia="Times New Roman" w:cs="Arial"/>
                <w:sz w:val="20"/>
                <w:szCs w:val="20"/>
                <w:lang w:eastAsia="it-CH"/>
              </w:rPr>
            </w:pPr>
            <w:r w:rsidRPr="004411A7">
              <w:rPr>
                <w:rFonts w:eastAsia="Times New Roman" w:cs="Arial"/>
                <w:sz w:val="20"/>
                <w:szCs w:val="20"/>
                <w:lang w:eastAsia="it-CH"/>
              </w:rPr>
              <w:t>13.250</w:t>
            </w:r>
          </w:p>
        </w:tc>
      </w:tr>
      <w:tr w:rsidR="004411A7" w:rsidRPr="004411A7" w14:paraId="2640DD68" w14:textId="77777777" w:rsidTr="00D930C0">
        <w:trPr>
          <w:trHeight w:val="255"/>
        </w:trPr>
        <w:tc>
          <w:tcPr>
            <w:tcW w:w="707" w:type="dxa"/>
            <w:tcBorders>
              <w:top w:val="nil"/>
              <w:left w:val="nil"/>
              <w:bottom w:val="single" w:sz="4" w:space="0" w:color="auto"/>
              <w:right w:val="nil"/>
            </w:tcBorders>
            <w:shd w:val="clear" w:color="auto" w:fill="auto"/>
            <w:noWrap/>
            <w:vAlign w:val="bottom"/>
          </w:tcPr>
          <w:p w14:paraId="50626B9D"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da fr.</w:t>
            </w:r>
          </w:p>
        </w:tc>
        <w:tc>
          <w:tcPr>
            <w:tcW w:w="1136" w:type="dxa"/>
            <w:tcBorders>
              <w:top w:val="nil"/>
              <w:left w:val="nil"/>
              <w:bottom w:val="single" w:sz="4" w:space="0" w:color="auto"/>
              <w:right w:val="nil"/>
            </w:tcBorders>
            <w:shd w:val="clear" w:color="auto" w:fill="auto"/>
            <w:noWrap/>
            <w:vAlign w:val="bottom"/>
          </w:tcPr>
          <w:p w14:paraId="6AC743EB" w14:textId="77777777" w:rsidR="004411A7" w:rsidRPr="004411A7" w:rsidRDefault="004411A7" w:rsidP="004411A7">
            <w:pPr>
              <w:ind w:right="180"/>
              <w:jc w:val="right"/>
              <w:rPr>
                <w:rFonts w:eastAsia="Times New Roman" w:cs="Arial"/>
                <w:sz w:val="20"/>
                <w:szCs w:val="20"/>
                <w:lang w:eastAsia="it-CH"/>
              </w:rPr>
            </w:pPr>
            <w:r w:rsidRPr="004411A7">
              <w:rPr>
                <w:rFonts w:eastAsia="Times New Roman" w:cs="Arial"/>
                <w:sz w:val="20"/>
                <w:szCs w:val="20"/>
                <w:lang w:eastAsia="it-CH"/>
              </w:rPr>
              <w:t>522’600</w:t>
            </w:r>
          </w:p>
        </w:tc>
        <w:tc>
          <w:tcPr>
            <w:tcW w:w="992" w:type="dxa"/>
            <w:tcBorders>
              <w:top w:val="nil"/>
              <w:left w:val="nil"/>
              <w:bottom w:val="single" w:sz="4" w:space="0" w:color="auto"/>
              <w:right w:val="nil"/>
            </w:tcBorders>
            <w:shd w:val="clear" w:color="auto" w:fill="auto"/>
            <w:noWrap/>
            <w:vAlign w:val="bottom"/>
          </w:tcPr>
          <w:p w14:paraId="79857F0F" w14:textId="77777777" w:rsidR="004411A7" w:rsidRPr="004411A7" w:rsidRDefault="004411A7" w:rsidP="004411A7">
            <w:pPr>
              <w:jc w:val="left"/>
              <w:rPr>
                <w:rFonts w:eastAsia="Times New Roman" w:cs="Arial"/>
                <w:sz w:val="20"/>
                <w:szCs w:val="20"/>
                <w:lang w:eastAsia="it-CH"/>
              </w:rPr>
            </w:pPr>
            <w:r w:rsidRPr="004411A7">
              <w:rPr>
                <w:rFonts w:eastAsia="Times New Roman" w:cs="Arial"/>
                <w:sz w:val="20"/>
                <w:szCs w:val="20"/>
                <w:lang w:eastAsia="it-CH"/>
              </w:rPr>
              <w:t>in avanti</w:t>
            </w:r>
          </w:p>
        </w:tc>
        <w:tc>
          <w:tcPr>
            <w:tcW w:w="851" w:type="dxa"/>
            <w:tcBorders>
              <w:top w:val="nil"/>
              <w:left w:val="nil"/>
              <w:bottom w:val="single" w:sz="4" w:space="0" w:color="auto"/>
              <w:right w:val="nil"/>
            </w:tcBorders>
            <w:shd w:val="clear" w:color="auto" w:fill="auto"/>
            <w:noWrap/>
            <w:vAlign w:val="bottom"/>
          </w:tcPr>
          <w:p w14:paraId="116869D9" w14:textId="77777777" w:rsidR="004411A7" w:rsidRPr="004411A7" w:rsidRDefault="004411A7" w:rsidP="004411A7">
            <w:pPr>
              <w:ind w:left="-15"/>
              <w:jc w:val="left"/>
              <w:rPr>
                <w:rFonts w:eastAsia="Times New Roman" w:cs="Arial"/>
                <w:sz w:val="20"/>
                <w:szCs w:val="20"/>
                <w:lang w:eastAsia="it-CH"/>
              </w:rPr>
            </w:pPr>
          </w:p>
        </w:tc>
        <w:tc>
          <w:tcPr>
            <w:tcW w:w="1276" w:type="dxa"/>
            <w:tcBorders>
              <w:top w:val="nil"/>
              <w:left w:val="nil"/>
              <w:bottom w:val="single" w:sz="4" w:space="0" w:color="auto"/>
              <w:right w:val="nil"/>
            </w:tcBorders>
            <w:shd w:val="clear" w:color="auto" w:fill="auto"/>
            <w:noWrap/>
            <w:vAlign w:val="bottom"/>
          </w:tcPr>
          <w:p w14:paraId="6DB165FF" w14:textId="77777777" w:rsidR="004411A7" w:rsidRPr="004411A7" w:rsidRDefault="004411A7" w:rsidP="004411A7">
            <w:pPr>
              <w:ind w:right="309"/>
              <w:jc w:val="right"/>
              <w:rPr>
                <w:rFonts w:eastAsia="Times New Roman" w:cs="Arial"/>
                <w:sz w:val="20"/>
                <w:szCs w:val="20"/>
                <w:lang w:eastAsia="it-CH"/>
              </w:rPr>
            </w:pPr>
            <w:r w:rsidRPr="004411A7">
              <w:rPr>
                <w:rFonts w:eastAsia="Times New Roman" w:cs="Arial"/>
                <w:sz w:val="20"/>
                <w:szCs w:val="20"/>
                <w:lang w:eastAsia="it-CH"/>
              </w:rPr>
              <w:t>13.250</w:t>
            </w:r>
          </w:p>
        </w:tc>
        <w:tc>
          <w:tcPr>
            <w:tcW w:w="1559" w:type="dxa"/>
            <w:tcBorders>
              <w:top w:val="nil"/>
              <w:left w:val="nil"/>
              <w:bottom w:val="single" w:sz="4" w:space="0" w:color="auto"/>
              <w:right w:val="nil"/>
            </w:tcBorders>
            <w:shd w:val="clear" w:color="auto" w:fill="auto"/>
            <w:noWrap/>
            <w:vAlign w:val="bottom"/>
          </w:tcPr>
          <w:p w14:paraId="49A2E25E" w14:textId="77777777" w:rsidR="004411A7" w:rsidRPr="004411A7" w:rsidRDefault="004411A7" w:rsidP="004411A7">
            <w:pPr>
              <w:ind w:right="352"/>
              <w:jc w:val="right"/>
              <w:rPr>
                <w:rFonts w:eastAsia="Times New Roman" w:cs="Arial"/>
                <w:sz w:val="20"/>
                <w:szCs w:val="20"/>
                <w:lang w:eastAsia="it-CH"/>
              </w:rPr>
            </w:pPr>
          </w:p>
        </w:tc>
        <w:tc>
          <w:tcPr>
            <w:tcW w:w="1276" w:type="dxa"/>
            <w:tcBorders>
              <w:top w:val="nil"/>
              <w:left w:val="nil"/>
              <w:bottom w:val="single" w:sz="4" w:space="0" w:color="auto"/>
              <w:right w:val="nil"/>
            </w:tcBorders>
            <w:shd w:val="clear" w:color="auto" w:fill="auto"/>
            <w:noWrap/>
            <w:vAlign w:val="bottom"/>
          </w:tcPr>
          <w:p w14:paraId="08D31E5F" w14:textId="77777777" w:rsidR="004411A7" w:rsidRPr="004411A7" w:rsidRDefault="004411A7" w:rsidP="004411A7">
            <w:pPr>
              <w:ind w:right="320"/>
              <w:jc w:val="right"/>
              <w:rPr>
                <w:rFonts w:eastAsia="Times New Roman" w:cs="Arial"/>
                <w:sz w:val="20"/>
                <w:szCs w:val="20"/>
                <w:lang w:eastAsia="it-CH"/>
              </w:rPr>
            </w:pPr>
          </w:p>
        </w:tc>
      </w:tr>
    </w:tbl>
    <w:p w14:paraId="217AAFC8" w14:textId="77777777" w:rsidR="004411A7" w:rsidRPr="004411A7" w:rsidRDefault="004411A7" w:rsidP="004411A7">
      <w:pPr>
        <w:rPr>
          <w:sz w:val="24"/>
          <w:szCs w:val="24"/>
        </w:rPr>
      </w:pPr>
      <w:r w:rsidRPr="004411A7">
        <w:rPr>
          <w:sz w:val="24"/>
          <w:szCs w:val="24"/>
          <w:vertAlign w:val="superscript"/>
        </w:rPr>
        <w:t>2</w:t>
      </w:r>
      <w:r w:rsidRPr="004411A7">
        <w:rPr>
          <w:sz w:val="24"/>
          <w:szCs w:val="24"/>
        </w:rPr>
        <w:t>In deroga all’articolo 35 capoverso 2, l’imposta annua sul reddito è calcolata per categorie in base alle seguenti aliquote:</w:t>
      </w:r>
    </w:p>
    <w:tbl>
      <w:tblPr>
        <w:tblW w:w="7797" w:type="dxa"/>
        <w:tblLayout w:type="fixed"/>
        <w:tblCellMar>
          <w:left w:w="70" w:type="dxa"/>
          <w:right w:w="70" w:type="dxa"/>
        </w:tblCellMar>
        <w:tblLook w:val="04A0" w:firstRow="1" w:lastRow="0" w:firstColumn="1" w:lastColumn="0" w:noHBand="0" w:noVBand="1"/>
      </w:tblPr>
      <w:tblGrid>
        <w:gridCol w:w="709"/>
        <w:gridCol w:w="1134"/>
        <w:gridCol w:w="992"/>
        <w:gridCol w:w="851"/>
        <w:gridCol w:w="1276"/>
        <w:gridCol w:w="1559"/>
        <w:gridCol w:w="1276"/>
      </w:tblGrid>
      <w:tr w:rsidR="004411A7" w:rsidRPr="004411A7" w14:paraId="086E59AD" w14:textId="77777777" w:rsidTr="00D930C0">
        <w:trPr>
          <w:trHeight w:val="1140"/>
        </w:trPr>
        <w:tc>
          <w:tcPr>
            <w:tcW w:w="1843" w:type="dxa"/>
            <w:gridSpan w:val="2"/>
            <w:tcBorders>
              <w:top w:val="single" w:sz="4" w:space="0" w:color="auto"/>
              <w:left w:val="nil"/>
              <w:bottom w:val="single" w:sz="4" w:space="0" w:color="auto"/>
              <w:right w:val="nil"/>
            </w:tcBorders>
            <w:shd w:val="clear" w:color="auto" w:fill="auto"/>
            <w:hideMark/>
          </w:tcPr>
          <w:p w14:paraId="7AB64CB1"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Categorie</w:t>
            </w:r>
          </w:p>
        </w:tc>
        <w:tc>
          <w:tcPr>
            <w:tcW w:w="992" w:type="dxa"/>
            <w:tcBorders>
              <w:top w:val="single" w:sz="4" w:space="0" w:color="auto"/>
              <w:left w:val="nil"/>
              <w:bottom w:val="single" w:sz="4" w:space="0" w:color="auto"/>
              <w:right w:val="nil"/>
            </w:tcBorders>
            <w:shd w:val="clear" w:color="auto" w:fill="auto"/>
            <w:noWrap/>
            <w:hideMark/>
          </w:tcPr>
          <w:p w14:paraId="3EA9159E" w14:textId="77777777" w:rsidR="004411A7" w:rsidRPr="004411A7" w:rsidRDefault="004411A7" w:rsidP="004411A7">
            <w:pPr>
              <w:jc w:val="left"/>
              <w:rPr>
                <w:rFonts w:asciiTheme="minorHAnsi" w:eastAsia="Times New Roman" w:hAnsiTheme="minorHAnsi" w:cstheme="minorHAnsi"/>
                <w:sz w:val="20"/>
                <w:szCs w:val="20"/>
                <w:lang w:eastAsia="it-CH"/>
              </w:rPr>
            </w:pPr>
          </w:p>
        </w:tc>
        <w:tc>
          <w:tcPr>
            <w:tcW w:w="851" w:type="dxa"/>
            <w:tcBorders>
              <w:top w:val="single" w:sz="4" w:space="0" w:color="auto"/>
              <w:left w:val="nil"/>
              <w:bottom w:val="single" w:sz="4" w:space="0" w:color="auto"/>
              <w:right w:val="nil"/>
            </w:tcBorders>
            <w:shd w:val="clear" w:color="auto" w:fill="auto"/>
            <w:noWrap/>
            <w:hideMark/>
          </w:tcPr>
          <w:p w14:paraId="77AF16DA"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 </w:t>
            </w:r>
          </w:p>
        </w:tc>
        <w:tc>
          <w:tcPr>
            <w:tcW w:w="1276" w:type="dxa"/>
            <w:tcBorders>
              <w:top w:val="single" w:sz="4" w:space="0" w:color="auto"/>
              <w:left w:val="nil"/>
              <w:bottom w:val="single" w:sz="4" w:space="0" w:color="auto"/>
              <w:right w:val="nil"/>
            </w:tcBorders>
            <w:shd w:val="clear" w:color="auto" w:fill="auto"/>
            <w:hideMark/>
          </w:tcPr>
          <w:p w14:paraId="130C9BD7"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Aliquote di ogni categoria %</w:t>
            </w:r>
          </w:p>
        </w:tc>
        <w:tc>
          <w:tcPr>
            <w:tcW w:w="1559" w:type="dxa"/>
            <w:tcBorders>
              <w:top w:val="single" w:sz="4" w:space="0" w:color="auto"/>
              <w:left w:val="nil"/>
              <w:bottom w:val="single" w:sz="4" w:space="0" w:color="auto"/>
              <w:right w:val="nil"/>
            </w:tcBorders>
            <w:shd w:val="clear" w:color="auto" w:fill="auto"/>
            <w:hideMark/>
          </w:tcPr>
          <w:p w14:paraId="65C3374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Imposta dovuta per il reddito massimo di ogni categoria Fr.</w:t>
            </w:r>
          </w:p>
        </w:tc>
        <w:tc>
          <w:tcPr>
            <w:tcW w:w="1276" w:type="dxa"/>
            <w:tcBorders>
              <w:top w:val="single" w:sz="4" w:space="0" w:color="auto"/>
              <w:left w:val="nil"/>
              <w:bottom w:val="single" w:sz="4" w:space="0" w:color="auto"/>
              <w:right w:val="nil"/>
            </w:tcBorders>
            <w:shd w:val="clear" w:color="auto" w:fill="auto"/>
            <w:hideMark/>
          </w:tcPr>
          <w:p w14:paraId="0D2CBD7F"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Aliquota effettiva del massimo di categoria %</w:t>
            </w:r>
          </w:p>
        </w:tc>
      </w:tr>
      <w:tr w:rsidR="004411A7" w:rsidRPr="004411A7" w14:paraId="78F674AD" w14:textId="77777777" w:rsidTr="00D930C0">
        <w:trPr>
          <w:trHeight w:val="255"/>
        </w:trPr>
        <w:tc>
          <w:tcPr>
            <w:tcW w:w="709" w:type="dxa"/>
            <w:tcBorders>
              <w:top w:val="nil"/>
              <w:left w:val="nil"/>
              <w:bottom w:val="nil"/>
              <w:right w:val="nil"/>
            </w:tcBorders>
            <w:shd w:val="clear" w:color="auto" w:fill="auto"/>
            <w:noWrap/>
            <w:vAlign w:val="bottom"/>
            <w:hideMark/>
          </w:tcPr>
          <w:p w14:paraId="0C72FF9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fino </w:t>
            </w:r>
          </w:p>
        </w:tc>
        <w:tc>
          <w:tcPr>
            <w:tcW w:w="1134" w:type="dxa"/>
            <w:tcBorders>
              <w:top w:val="nil"/>
              <w:left w:val="nil"/>
              <w:bottom w:val="nil"/>
              <w:right w:val="nil"/>
            </w:tcBorders>
            <w:shd w:val="clear" w:color="auto" w:fill="auto"/>
            <w:noWrap/>
            <w:vAlign w:val="bottom"/>
            <w:hideMark/>
          </w:tcPr>
          <w:p w14:paraId="32C4111C" w14:textId="77777777" w:rsidR="004411A7" w:rsidRPr="004411A7" w:rsidRDefault="004411A7" w:rsidP="004411A7">
            <w:pPr>
              <w:ind w:right="204"/>
              <w:jc w:val="right"/>
              <w:rPr>
                <w:rFonts w:asciiTheme="minorHAnsi" w:eastAsia="Times New Roman" w:hAnsiTheme="minorHAnsi" w:cstheme="minorHAnsi"/>
                <w:sz w:val="20"/>
                <w:szCs w:val="20"/>
                <w:lang w:eastAsia="it-CH"/>
              </w:rPr>
            </w:pPr>
          </w:p>
        </w:tc>
        <w:tc>
          <w:tcPr>
            <w:tcW w:w="992" w:type="dxa"/>
            <w:tcBorders>
              <w:top w:val="nil"/>
              <w:left w:val="nil"/>
              <w:bottom w:val="nil"/>
              <w:right w:val="nil"/>
            </w:tcBorders>
            <w:shd w:val="clear" w:color="auto" w:fill="auto"/>
            <w:noWrap/>
            <w:vAlign w:val="bottom"/>
            <w:hideMark/>
          </w:tcPr>
          <w:p w14:paraId="26D11D11"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3F54CA00"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20'100 </w:t>
            </w:r>
          </w:p>
        </w:tc>
        <w:tc>
          <w:tcPr>
            <w:tcW w:w="1276" w:type="dxa"/>
            <w:tcBorders>
              <w:top w:val="nil"/>
              <w:left w:val="nil"/>
              <w:bottom w:val="nil"/>
              <w:right w:val="nil"/>
            </w:tcBorders>
            <w:shd w:val="clear" w:color="auto" w:fill="auto"/>
            <w:noWrap/>
            <w:vAlign w:val="bottom"/>
            <w:hideMark/>
          </w:tcPr>
          <w:p w14:paraId="32D63E03"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0.144</w:t>
            </w:r>
          </w:p>
        </w:tc>
        <w:tc>
          <w:tcPr>
            <w:tcW w:w="1559" w:type="dxa"/>
            <w:tcBorders>
              <w:top w:val="nil"/>
              <w:left w:val="nil"/>
              <w:bottom w:val="nil"/>
              <w:right w:val="nil"/>
            </w:tcBorders>
            <w:shd w:val="clear" w:color="auto" w:fill="auto"/>
            <w:noWrap/>
            <w:vAlign w:val="bottom"/>
            <w:hideMark/>
          </w:tcPr>
          <w:p w14:paraId="6015D506"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28.95 </w:t>
            </w:r>
          </w:p>
        </w:tc>
        <w:tc>
          <w:tcPr>
            <w:tcW w:w="1276" w:type="dxa"/>
            <w:tcBorders>
              <w:top w:val="nil"/>
              <w:left w:val="nil"/>
              <w:bottom w:val="nil"/>
              <w:right w:val="nil"/>
            </w:tcBorders>
            <w:shd w:val="clear" w:color="auto" w:fill="auto"/>
            <w:noWrap/>
            <w:vAlign w:val="bottom"/>
            <w:hideMark/>
          </w:tcPr>
          <w:p w14:paraId="409A4283"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0.144</w:t>
            </w:r>
          </w:p>
        </w:tc>
      </w:tr>
      <w:tr w:rsidR="004411A7" w:rsidRPr="004411A7" w14:paraId="25BC74A1" w14:textId="77777777" w:rsidTr="00D930C0">
        <w:trPr>
          <w:trHeight w:val="255"/>
        </w:trPr>
        <w:tc>
          <w:tcPr>
            <w:tcW w:w="709" w:type="dxa"/>
            <w:tcBorders>
              <w:top w:val="nil"/>
              <w:left w:val="nil"/>
              <w:bottom w:val="nil"/>
              <w:right w:val="nil"/>
            </w:tcBorders>
            <w:shd w:val="clear" w:color="auto" w:fill="auto"/>
            <w:noWrap/>
            <w:vAlign w:val="bottom"/>
            <w:hideMark/>
          </w:tcPr>
          <w:p w14:paraId="21E70FEE"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385AD356"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20'200</w:t>
            </w:r>
          </w:p>
        </w:tc>
        <w:tc>
          <w:tcPr>
            <w:tcW w:w="992" w:type="dxa"/>
            <w:tcBorders>
              <w:top w:val="nil"/>
              <w:left w:val="nil"/>
              <w:bottom w:val="nil"/>
              <w:right w:val="nil"/>
            </w:tcBorders>
            <w:shd w:val="clear" w:color="auto" w:fill="auto"/>
            <w:noWrap/>
            <w:vAlign w:val="bottom"/>
            <w:hideMark/>
          </w:tcPr>
          <w:p w14:paraId="0F6A54B9"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7D4105CF"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24'400 </w:t>
            </w:r>
          </w:p>
        </w:tc>
        <w:tc>
          <w:tcPr>
            <w:tcW w:w="1276" w:type="dxa"/>
            <w:tcBorders>
              <w:top w:val="nil"/>
              <w:left w:val="nil"/>
              <w:bottom w:val="nil"/>
              <w:right w:val="nil"/>
            </w:tcBorders>
            <w:shd w:val="clear" w:color="auto" w:fill="auto"/>
            <w:noWrap/>
            <w:vAlign w:val="bottom"/>
            <w:hideMark/>
          </w:tcPr>
          <w:p w14:paraId="4288D6C7"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3.990</w:t>
            </w:r>
          </w:p>
        </w:tc>
        <w:tc>
          <w:tcPr>
            <w:tcW w:w="1559" w:type="dxa"/>
            <w:tcBorders>
              <w:top w:val="nil"/>
              <w:left w:val="nil"/>
              <w:bottom w:val="nil"/>
              <w:right w:val="nil"/>
            </w:tcBorders>
            <w:shd w:val="clear" w:color="auto" w:fill="auto"/>
            <w:noWrap/>
            <w:vAlign w:val="bottom"/>
            <w:hideMark/>
          </w:tcPr>
          <w:p w14:paraId="16A45E72"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200.50 </w:t>
            </w:r>
          </w:p>
        </w:tc>
        <w:tc>
          <w:tcPr>
            <w:tcW w:w="1276" w:type="dxa"/>
            <w:tcBorders>
              <w:top w:val="nil"/>
              <w:left w:val="nil"/>
              <w:bottom w:val="nil"/>
              <w:right w:val="nil"/>
            </w:tcBorders>
            <w:shd w:val="clear" w:color="auto" w:fill="auto"/>
            <w:noWrap/>
            <w:vAlign w:val="bottom"/>
            <w:hideMark/>
          </w:tcPr>
          <w:p w14:paraId="3AC80033"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0.821</w:t>
            </w:r>
          </w:p>
        </w:tc>
      </w:tr>
      <w:tr w:rsidR="004411A7" w:rsidRPr="004411A7" w14:paraId="25B6DBD3" w14:textId="77777777" w:rsidTr="00D930C0">
        <w:trPr>
          <w:trHeight w:val="255"/>
        </w:trPr>
        <w:tc>
          <w:tcPr>
            <w:tcW w:w="709" w:type="dxa"/>
            <w:tcBorders>
              <w:top w:val="nil"/>
              <w:left w:val="nil"/>
              <w:bottom w:val="nil"/>
              <w:right w:val="nil"/>
            </w:tcBorders>
            <w:shd w:val="clear" w:color="auto" w:fill="auto"/>
            <w:noWrap/>
            <w:vAlign w:val="bottom"/>
            <w:hideMark/>
          </w:tcPr>
          <w:p w14:paraId="49D2FEA2"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3E7F64E5"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24'500</w:t>
            </w:r>
          </w:p>
        </w:tc>
        <w:tc>
          <w:tcPr>
            <w:tcW w:w="992" w:type="dxa"/>
            <w:tcBorders>
              <w:top w:val="nil"/>
              <w:left w:val="nil"/>
              <w:bottom w:val="nil"/>
              <w:right w:val="nil"/>
            </w:tcBorders>
            <w:shd w:val="clear" w:color="auto" w:fill="auto"/>
            <w:noWrap/>
            <w:vAlign w:val="bottom"/>
            <w:hideMark/>
          </w:tcPr>
          <w:p w14:paraId="384E6914"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3321ED79"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27'700 </w:t>
            </w:r>
          </w:p>
        </w:tc>
        <w:tc>
          <w:tcPr>
            <w:tcW w:w="1276" w:type="dxa"/>
            <w:tcBorders>
              <w:top w:val="nil"/>
              <w:left w:val="nil"/>
              <w:bottom w:val="nil"/>
              <w:right w:val="nil"/>
            </w:tcBorders>
            <w:shd w:val="clear" w:color="auto" w:fill="auto"/>
            <w:noWrap/>
            <w:vAlign w:val="bottom"/>
            <w:hideMark/>
          </w:tcPr>
          <w:p w14:paraId="37A00031"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4.434</w:t>
            </w:r>
          </w:p>
        </w:tc>
        <w:tc>
          <w:tcPr>
            <w:tcW w:w="1559" w:type="dxa"/>
            <w:tcBorders>
              <w:top w:val="nil"/>
              <w:left w:val="nil"/>
              <w:bottom w:val="nil"/>
              <w:right w:val="nil"/>
            </w:tcBorders>
            <w:shd w:val="clear" w:color="auto" w:fill="auto"/>
            <w:noWrap/>
            <w:vAlign w:val="bottom"/>
            <w:hideMark/>
          </w:tcPr>
          <w:p w14:paraId="10342B59"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346.80 </w:t>
            </w:r>
          </w:p>
        </w:tc>
        <w:tc>
          <w:tcPr>
            <w:tcW w:w="1276" w:type="dxa"/>
            <w:tcBorders>
              <w:top w:val="nil"/>
              <w:left w:val="nil"/>
              <w:bottom w:val="nil"/>
              <w:right w:val="nil"/>
            </w:tcBorders>
            <w:shd w:val="clear" w:color="auto" w:fill="auto"/>
            <w:noWrap/>
            <w:vAlign w:val="bottom"/>
            <w:hideMark/>
          </w:tcPr>
          <w:p w14:paraId="3C6FBD1D"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1.251</w:t>
            </w:r>
          </w:p>
        </w:tc>
      </w:tr>
      <w:tr w:rsidR="004411A7" w:rsidRPr="004411A7" w14:paraId="2E17617E" w14:textId="77777777" w:rsidTr="00D930C0">
        <w:trPr>
          <w:trHeight w:val="255"/>
        </w:trPr>
        <w:tc>
          <w:tcPr>
            <w:tcW w:w="709" w:type="dxa"/>
            <w:tcBorders>
              <w:top w:val="nil"/>
              <w:left w:val="nil"/>
              <w:bottom w:val="nil"/>
              <w:right w:val="nil"/>
            </w:tcBorders>
            <w:shd w:val="clear" w:color="auto" w:fill="auto"/>
            <w:noWrap/>
            <w:vAlign w:val="bottom"/>
            <w:hideMark/>
          </w:tcPr>
          <w:p w14:paraId="731C02C5"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14A32699"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27'800</w:t>
            </w:r>
          </w:p>
        </w:tc>
        <w:tc>
          <w:tcPr>
            <w:tcW w:w="992" w:type="dxa"/>
            <w:tcBorders>
              <w:top w:val="nil"/>
              <w:left w:val="nil"/>
              <w:bottom w:val="nil"/>
              <w:right w:val="nil"/>
            </w:tcBorders>
            <w:shd w:val="clear" w:color="auto" w:fill="auto"/>
            <w:noWrap/>
            <w:vAlign w:val="bottom"/>
            <w:hideMark/>
          </w:tcPr>
          <w:p w14:paraId="520C65C4"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40A8F428"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32'600 </w:t>
            </w:r>
          </w:p>
        </w:tc>
        <w:tc>
          <w:tcPr>
            <w:tcW w:w="1276" w:type="dxa"/>
            <w:tcBorders>
              <w:top w:val="nil"/>
              <w:left w:val="nil"/>
              <w:bottom w:val="nil"/>
              <w:right w:val="nil"/>
            </w:tcBorders>
            <w:shd w:val="clear" w:color="auto" w:fill="auto"/>
            <w:noWrap/>
            <w:vAlign w:val="bottom"/>
            <w:hideMark/>
          </w:tcPr>
          <w:p w14:paraId="2CAB8836"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2.660</w:t>
            </w:r>
          </w:p>
        </w:tc>
        <w:tc>
          <w:tcPr>
            <w:tcW w:w="1559" w:type="dxa"/>
            <w:tcBorders>
              <w:top w:val="nil"/>
              <w:left w:val="nil"/>
              <w:bottom w:val="nil"/>
              <w:right w:val="nil"/>
            </w:tcBorders>
            <w:shd w:val="clear" w:color="auto" w:fill="auto"/>
            <w:noWrap/>
            <w:vAlign w:val="bottom"/>
            <w:hideMark/>
          </w:tcPr>
          <w:p w14:paraId="4B9545C0"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477.15 </w:t>
            </w:r>
          </w:p>
        </w:tc>
        <w:tc>
          <w:tcPr>
            <w:tcW w:w="1276" w:type="dxa"/>
            <w:tcBorders>
              <w:top w:val="nil"/>
              <w:left w:val="nil"/>
              <w:bottom w:val="nil"/>
              <w:right w:val="nil"/>
            </w:tcBorders>
            <w:shd w:val="clear" w:color="auto" w:fill="auto"/>
            <w:noWrap/>
            <w:vAlign w:val="bottom"/>
            <w:hideMark/>
          </w:tcPr>
          <w:p w14:paraId="38A1B130"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1.463</w:t>
            </w:r>
          </w:p>
        </w:tc>
      </w:tr>
      <w:tr w:rsidR="004411A7" w:rsidRPr="004411A7" w14:paraId="222A5174" w14:textId="77777777" w:rsidTr="00D930C0">
        <w:trPr>
          <w:trHeight w:val="255"/>
        </w:trPr>
        <w:tc>
          <w:tcPr>
            <w:tcW w:w="709" w:type="dxa"/>
            <w:tcBorders>
              <w:top w:val="nil"/>
              <w:left w:val="nil"/>
              <w:bottom w:val="nil"/>
              <w:right w:val="nil"/>
            </w:tcBorders>
            <w:shd w:val="clear" w:color="auto" w:fill="auto"/>
            <w:noWrap/>
            <w:vAlign w:val="bottom"/>
            <w:hideMark/>
          </w:tcPr>
          <w:p w14:paraId="5203FD8F"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7E23282B"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32'700</w:t>
            </w:r>
          </w:p>
        </w:tc>
        <w:tc>
          <w:tcPr>
            <w:tcW w:w="992" w:type="dxa"/>
            <w:tcBorders>
              <w:top w:val="nil"/>
              <w:left w:val="nil"/>
              <w:bottom w:val="nil"/>
              <w:right w:val="nil"/>
            </w:tcBorders>
            <w:shd w:val="clear" w:color="auto" w:fill="auto"/>
            <w:noWrap/>
            <w:vAlign w:val="bottom"/>
            <w:hideMark/>
          </w:tcPr>
          <w:p w14:paraId="25C8F5EE"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298F6C20"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41'600 </w:t>
            </w:r>
          </w:p>
        </w:tc>
        <w:tc>
          <w:tcPr>
            <w:tcW w:w="1276" w:type="dxa"/>
            <w:tcBorders>
              <w:top w:val="nil"/>
              <w:left w:val="nil"/>
              <w:bottom w:val="nil"/>
              <w:right w:val="nil"/>
            </w:tcBorders>
            <w:shd w:val="clear" w:color="auto" w:fill="auto"/>
            <w:noWrap/>
            <w:vAlign w:val="bottom"/>
            <w:hideMark/>
          </w:tcPr>
          <w:p w14:paraId="7E33D818"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3.990</w:t>
            </w:r>
          </w:p>
        </w:tc>
        <w:tc>
          <w:tcPr>
            <w:tcW w:w="1559" w:type="dxa"/>
            <w:tcBorders>
              <w:top w:val="nil"/>
              <w:left w:val="nil"/>
              <w:bottom w:val="nil"/>
              <w:right w:val="nil"/>
            </w:tcBorders>
            <w:shd w:val="clear" w:color="auto" w:fill="auto"/>
            <w:noWrap/>
            <w:vAlign w:val="bottom"/>
            <w:hideMark/>
          </w:tcPr>
          <w:p w14:paraId="25F61412"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836.25 </w:t>
            </w:r>
          </w:p>
        </w:tc>
        <w:tc>
          <w:tcPr>
            <w:tcW w:w="1276" w:type="dxa"/>
            <w:tcBorders>
              <w:top w:val="nil"/>
              <w:left w:val="nil"/>
              <w:bottom w:val="nil"/>
              <w:right w:val="nil"/>
            </w:tcBorders>
            <w:shd w:val="clear" w:color="auto" w:fill="auto"/>
            <w:noWrap/>
            <w:vAlign w:val="bottom"/>
            <w:hideMark/>
          </w:tcPr>
          <w:p w14:paraId="6C6CBA0C"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2.010</w:t>
            </w:r>
          </w:p>
        </w:tc>
      </w:tr>
      <w:tr w:rsidR="004411A7" w:rsidRPr="004411A7" w14:paraId="59AC5D9B" w14:textId="77777777" w:rsidTr="00D930C0">
        <w:trPr>
          <w:trHeight w:val="255"/>
        </w:trPr>
        <w:tc>
          <w:tcPr>
            <w:tcW w:w="709" w:type="dxa"/>
            <w:tcBorders>
              <w:top w:val="nil"/>
              <w:left w:val="nil"/>
              <w:bottom w:val="nil"/>
              <w:right w:val="nil"/>
            </w:tcBorders>
            <w:shd w:val="clear" w:color="auto" w:fill="auto"/>
            <w:noWrap/>
            <w:vAlign w:val="bottom"/>
            <w:hideMark/>
          </w:tcPr>
          <w:p w14:paraId="4C83829E"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6C36B911"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41'700</w:t>
            </w:r>
          </w:p>
        </w:tc>
        <w:tc>
          <w:tcPr>
            <w:tcW w:w="992" w:type="dxa"/>
            <w:tcBorders>
              <w:top w:val="nil"/>
              <w:left w:val="nil"/>
              <w:bottom w:val="nil"/>
              <w:right w:val="nil"/>
            </w:tcBorders>
            <w:shd w:val="clear" w:color="auto" w:fill="auto"/>
            <w:noWrap/>
            <w:vAlign w:val="bottom"/>
            <w:hideMark/>
          </w:tcPr>
          <w:p w14:paraId="0A66C0EF"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230438C3"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47'000 </w:t>
            </w:r>
          </w:p>
        </w:tc>
        <w:tc>
          <w:tcPr>
            <w:tcW w:w="1276" w:type="dxa"/>
            <w:tcBorders>
              <w:top w:val="nil"/>
              <w:left w:val="nil"/>
              <w:bottom w:val="nil"/>
              <w:right w:val="nil"/>
            </w:tcBorders>
            <w:shd w:val="clear" w:color="auto" w:fill="auto"/>
            <w:noWrap/>
            <w:vAlign w:val="bottom"/>
            <w:hideMark/>
          </w:tcPr>
          <w:p w14:paraId="7402638F"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6.651</w:t>
            </w:r>
          </w:p>
        </w:tc>
        <w:tc>
          <w:tcPr>
            <w:tcW w:w="1559" w:type="dxa"/>
            <w:tcBorders>
              <w:top w:val="nil"/>
              <w:left w:val="nil"/>
              <w:bottom w:val="nil"/>
              <w:right w:val="nil"/>
            </w:tcBorders>
            <w:shd w:val="clear" w:color="auto" w:fill="auto"/>
            <w:noWrap/>
            <w:vAlign w:val="bottom"/>
            <w:hideMark/>
          </w:tcPr>
          <w:p w14:paraId="1AB2532C"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1'195.40 </w:t>
            </w:r>
          </w:p>
        </w:tc>
        <w:tc>
          <w:tcPr>
            <w:tcW w:w="1276" w:type="dxa"/>
            <w:tcBorders>
              <w:top w:val="nil"/>
              <w:left w:val="nil"/>
              <w:bottom w:val="nil"/>
              <w:right w:val="nil"/>
            </w:tcBorders>
            <w:shd w:val="clear" w:color="auto" w:fill="auto"/>
            <w:noWrap/>
            <w:vAlign w:val="bottom"/>
            <w:hideMark/>
          </w:tcPr>
          <w:p w14:paraId="462D79F4"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2.543</w:t>
            </w:r>
          </w:p>
        </w:tc>
      </w:tr>
      <w:tr w:rsidR="004411A7" w:rsidRPr="004411A7" w14:paraId="79B327D5" w14:textId="77777777" w:rsidTr="00D930C0">
        <w:trPr>
          <w:trHeight w:val="255"/>
        </w:trPr>
        <w:tc>
          <w:tcPr>
            <w:tcW w:w="709" w:type="dxa"/>
            <w:tcBorders>
              <w:top w:val="nil"/>
              <w:left w:val="nil"/>
              <w:bottom w:val="nil"/>
              <w:right w:val="nil"/>
            </w:tcBorders>
            <w:shd w:val="clear" w:color="auto" w:fill="auto"/>
            <w:noWrap/>
            <w:vAlign w:val="bottom"/>
            <w:hideMark/>
          </w:tcPr>
          <w:p w14:paraId="448FE697"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5F8DFC2E"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47'100</w:t>
            </w:r>
          </w:p>
        </w:tc>
        <w:tc>
          <w:tcPr>
            <w:tcW w:w="992" w:type="dxa"/>
            <w:tcBorders>
              <w:top w:val="nil"/>
              <w:left w:val="nil"/>
              <w:bottom w:val="nil"/>
              <w:right w:val="nil"/>
            </w:tcBorders>
            <w:shd w:val="clear" w:color="auto" w:fill="auto"/>
            <w:noWrap/>
            <w:vAlign w:val="bottom"/>
            <w:hideMark/>
          </w:tcPr>
          <w:p w14:paraId="65105BEE"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3FA3B6E4"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59'600 </w:t>
            </w:r>
          </w:p>
        </w:tc>
        <w:tc>
          <w:tcPr>
            <w:tcW w:w="1276" w:type="dxa"/>
            <w:tcBorders>
              <w:top w:val="nil"/>
              <w:left w:val="nil"/>
              <w:bottom w:val="nil"/>
              <w:right w:val="nil"/>
            </w:tcBorders>
            <w:shd w:val="clear" w:color="auto" w:fill="auto"/>
            <w:noWrap/>
            <w:vAlign w:val="bottom"/>
            <w:hideMark/>
          </w:tcPr>
          <w:p w14:paraId="06AC2538"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7.981</w:t>
            </w:r>
          </w:p>
        </w:tc>
        <w:tc>
          <w:tcPr>
            <w:tcW w:w="1559" w:type="dxa"/>
            <w:tcBorders>
              <w:top w:val="nil"/>
              <w:left w:val="nil"/>
              <w:bottom w:val="nil"/>
              <w:right w:val="nil"/>
            </w:tcBorders>
            <w:shd w:val="clear" w:color="auto" w:fill="auto"/>
            <w:noWrap/>
            <w:vAlign w:val="bottom"/>
            <w:hideMark/>
          </w:tcPr>
          <w:p w14:paraId="151C8766"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2'201.00 </w:t>
            </w:r>
          </w:p>
        </w:tc>
        <w:tc>
          <w:tcPr>
            <w:tcW w:w="1276" w:type="dxa"/>
            <w:tcBorders>
              <w:top w:val="nil"/>
              <w:left w:val="nil"/>
              <w:bottom w:val="nil"/>
              <w:right w:val="nil"/>
            </w:tcBorders>
            <w:shd w:val="clear" w:color="auto" w:fill="auto"/>
            <w:noWrap/>
            <w:vAlign w:val="bottom"/>
            <w:hideMark/>
          </w:tcPr>
          <w:p w14:paraId="0283146C"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3.692</w:t>
            </w:r>
          </w:p>
        </w:tc>
      </w:tr>
      <w:tr w:rsidR="004411A7" w:rsidRPr="004411A7" w14:paraId="26F9936C" w14:textId="77777777" w:rsidTr="00D930C0">
        <w:trPr>
          <w:trHeight w:val="255"/>
        </w:trPr>
        <w:tc>
          <w:tcPr>
            <w:tcW w:w="709" w:type="dxa"/>
            <w:tcBorders>
              <w:top w:val="nil"/>
              <w:left w:val="nil"/>
              <w:bottom w:val="nil"/>
              <w:right w:val="nil"/>
            </w:tcBorders>
            <w:shd w:val="clear" w:color="auto" w:fill="auto"/>
            <w:noWrap/>
            <w:vAlign w:val="bottom"/>
            <w:hideMark/>
          </w:tcPr>
          <w:p w14:paraId="690C03D9"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0CFC9B23"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59'700</w:t>
            </w:r>
          </w:p>
        </w:tc>
        <w:tc>
          <w:tcPr>
            <w:tcW w:w="992" w:type="dxa"/>
            <w:tcBorders>
              <w:top w:val="nil"/>
              <w:left w:val="nil"/>
              <w:bottom w:val="nil"/>
              <w:right w:val="nil"/>
            </w:tcBorders>
            <w:shd w:val="clear" w:color="auto" w:fill="auto"/>
            <w:noWrap/>
            <w:vAlign w:val="bottom"/>
            <w:hideMark/>
          </w:tcPr>
          <w:p w14:paraId="51D8587E"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73C7BE40"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78'500 </w:t>
            </w:r>
          </w:p>
        </w:tc>
        <w:tc>
          <w:tcPr>
            <w:tcW w:w="1276" w:type="dxa"/>
            <w:tcBorders>
              <w:top w:val="nil"/>
              <w:left w:val="nil"/>
              <w:bottom w:val="nil"/>
              <w:right w:val="nil"/>
            </w:tcBorders>
            <w:shd w:val="clear" w:color="auto" w:fill="auto"/>
            <w:noWrap/>
            <w:vAlign w:val="bottom"/>
            <w:hideMark/>
          </w:tcPr>
          <w:p w14:paraId="50DA8D58"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10.287</w:t>
            </w:r>
          </w:p>
        </w:tc>
        <w:tc>
          <w:tcPr>
            <w:tcW w:w="1559" w:type="dxa"/>
            <w:tcBorders>
              <w:top w:val="nil"/>
              <w:left w:val="nil"/>
              <w:bottom w:val="nil"/>
              <w:right w:val="nil"/>
            </w:tcBorders>
            <w:shd w:val="clear" w:color="auto" w:fill="auto"/>
            <w:noWrap/>
            <w:vAlign w:val="bottom"/>
            <w:hideMark/>
          </w:tcPr>
          <w:p w14:paraId="6B6D389D"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4'145.25 </w:t>
            </w:r>
          </w:p>
        </w:tc>
        <w:tc>
          <w:tcPr>
            <w:tcW w:w="1276" w:type="dxa"/>
            <w:tcBorders>
              <w:top w:val="nil"/>
              <w:left w:val="nil"/>
              <w:bottom w:val="nil"/>
              <w:right w:val="nil"/>
            </w:tcBorders>
            <w:shd w:val="clear" w:color="auto" w:fill="auto"/>
            <w:noWrap/>
            <w:vAlign w:val="bottom"/>
            <w:hideMark/>
          </w:tcPr>
          <w:p w14:paraId="5821E275"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5.280</w:t>
            </w:r>
          </w:p>
        </w:tc>
      </w:tr>
      <w:tr w:rsidR="004411A7" w:rsidRPr="004411A7" w14:paraId="2438B180" w14:textId="77777777" w:rsidTr="00D930C0">
        <w:trPr>
          <w:trHeight w:val="255"/>
        </w:trPr>
        <w:tc>
          <w:tcPr>
            <w:tcW w:w="709" w:type="dxa"/>
            <w:tcBorders>
              <w:top w:val="nil"/>
              <w:left w:val="nil"/>
              <w:bottom w:val="nil"/>
              <w:right w:val="nil"/>
            </w:tcBorders>
            <w:shd w:val="clear" w:color="auto" w:fill="auto"/>
            <w:noWrap/>
            <w:vAlign w:val="bottom"/>
            <w:hideMark/>
          </w:tcPr>
          <w:p w14:paraId="4F9965CF"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4AE38C4B"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78'600</w:t>
            </w:r>
          </w:p>
        </w:tc>
        <w:tc>
          <w:tcPr>
            <w:tcW w:w="992" w:type="dxa"/>
            <w:tcBorders>
              <w:top w:val="nil"/>
              <w:left w:val="nil"/>
              <w:bottom w:val="nil"/>
              <w:right w:val="nil"/>
            </w:tcBorders>
            <w:shd w:val="clear" w:color="auto" w:fill="auto"/>
            <w:noWrap/>
            <w:vAlign w:val="bottom"/>
            <w:hideMark/>
          </w:tcPr>
          <w:p w14:paraId="1689E7C6"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438D5831"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88'900 </w:t>
            </w:r>
          </w:p>
        </w:tc>
        <w:tc>
          <w:tcPr>
            <w:tcW w:w="1276" w:type="dxa"/>
            <w:tcBorders>
              <w:top w:val="nil"/>
              <w:left w:val="nil"/>
              <w:bottom w:val="nil"/>
              <w:right w:val="nil"/>
            </w:tcBorders>
            <w:shd w:val="clear" w:color="auto" w:fill="auto"/>
            <w:noWrap/>
            <w:vAlign w:val="bottom"/>
            <w:hideMark/>
          </w:tcPr>
          <w:p w14:paraId="207D31A9"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11.262</w:t>
            </w:r>
          </w:p>
        </w:tc>
        <w:tc>
          <w:tcPr>
            <w:tcW w:w="1559" w:type="dxa"/>
            <w:tcBorders>
              <w:top w:val="nil"/>
              <w:left w:val="nil"/>
              <w:bottom w:val="nil"/>
              <w:right w:val="nil"/>
            </w:tcBorders>
            <w:shd w:val="clear" w:color="auto" w:fill="auto"/>
            <w:noWrap/>
            <w:vAlign w:val="bottom"/>
            <w:hideMark/>
          </w:tcPr>
          <w:p w14:paraId="7DE6DC69"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5'316.50 </w:t>
            </w:r>
          </w:p>
        </w:tc>
        <w:tc>
          <w:tcPr>
            <w:tcW w:w="1276" w:type="dxa"/>
            <w:tcBorders>
              <w:top w:val="nil"/>
              <w:left w:val="nil"/>
              <w:bottom w:val="nil"/>
              <w:right w:val="nil"/>
            </w:tcBorders>
            <w:shd w:val="clear" w:color="auto" w:fill="auto"/>
            <w:noWrap/>
            <w:vAlign w:val="bottom"/>
            <w:hideMark/>
          </w:tcPr>
          <w:p w14:paraId="1CA294F1"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5.980</w:t>
            </w:r>
          </w:p>
        </w:tc>
      </w:tr>
      <w:tr w:rsidR="004411A7" w:rsidRPr="004411A7" w14:paraId="45B560DF" w14:textId="77777777" w:rsidTr="00D930C0">
        <w:trPr>
          <w:trHeight w:val="255"/>
        </w:trPr>
        <w:tc>
          <w:tcPr>
            <w:tcW w:w="709" w:type="dxa"/>
            <w:tcBorders>
              <w:top w:val="nil"/>
              <w:left w:val="nil"/>
              <w:bottom w:val="nil"/>
              <w:right w:val="nil"/>
            </w:tcBorders>
            <w:shd w:val="clear" w:color="auto" w:fill="auto"/>
            <w:noWrap/>
            <w:vAlign w:val="bottom"/>
            <w:hideMark/>
          </w:tcPr>
          <w:p w14:paraId="2DFE4E13"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1005E8D3"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89'000</w:t>
            </w:r>
          </w:p>
        </w:tc>
        <w:tc>
          <w:tcPr>
            <w:tcW w:w="992" w:type="dxa"/>
            <w:tcBorders>
              <w:top w:val="nil"/>
              <w:left w:val="nil"/>
              <w:bottom w:val="nil"/>
              <w:right w:val="nil"/>
            </w:tcBorders>
            <w:shd w:val="clear" w:color="auto" w:fill="auto"/>
            <w:noWrap/>
            <w:vAlign w:val="bottom"/>
            <w:hideMark/>
          </w:tcPr>
          <w:p w14:paraId="4DC1A9CA"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199B7AA2"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120'600 </w:t>
            </w:r>
          </w:p>
        </w:tc>
        <w:tc>
          <w:tcPr>
            <w:tcW w:w="1276" w:type="dxa"/>
            <w:tcBorders>
              <w:top w:val="nil"/>
              <w:left w:val="nil"/>
              <w:bottom w:val="nil"/>
              <w:right w:val="nil"/>
            </w:tcBorders>
            <w:shd w:val="clear" w:color="auto" w:fill="auto"/>
            <w:noWrap/>
            <w:vAlign w:val="bottom"/>
            <w:hideMark/>
          </w:tcPr>
          <w:p w14:paraId="7CBC60EE"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12.859</w:t>
            </w:r>
          </w:p>
        </w:tc>
        <w:tc>
          <w:tcPr>
            <w:tcW w:w="1559" w:type="dxa"/>
            <w:tcBorders>
              <w:top w:val="nil"/>
              <w:left w:val="nil"/>
              <w:bottom w:val="nil"/>
              <w:right w:val="nil"/>
            </w:tcBorders>
            <w:shd w:val="clear" w:color="auto" w:fill="auto"/>
            <w:noWrap/>
            <w:vAlign w:val="bottom"/>
            <w:hideMark/>
          </w:tcPr>
          <w:p w14:paraId="61DF809F"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9'392.80 </w:t>
            </w:r>
          </w:p>
        </w:tc>
        <w:tc>
          <w:tcPr>
            <w:tcW w:w="1276" w:type="dxa"/>
            <w:tcBorders>
              <w:top w:val="nil"/>
              <w:left w:val="nil"/>
              <w:bottom w:val="nil"/>
              <w:right w:val="nil"/>
            </w:tcBorders>
            <w:shd w:val="clear" w:color="auto" w:fill="auto"/>
            <w:noWrap/>
            <w:vAlign w:val="bottom"/>
            <w:hideMark/>
          </w:tcPr>
          <w:p w14:paraId="56563ED5"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7.788</w:t>
            </w:r>
          </w:p>
        </w:tc>
      </w:tr>
      <w:tr w:rsidR="004411A7" w:rsidRPr="004411A7" w14:paraId="2BDDBE4B" w14:textId="77777777" w:rsidTr="00D930C0">
        <w:trPr>
          <w:trHeight w:val="255"/>
        </w:trPr>
        <w:tc>
          <w:tcPr>
            <w:tcW w:w="709" w:type="dxa"/>
            <w:tcBorders>
              <w:top w:val="nil"/>
              <w:left w:val="nil"/>
              <w:bottom w:val="nil"/>
              <w:right w:val="nil"/>
            </w:tcBorders>
            <w:shd w:val="clear" w:color="auto" w:fill="auto"/>
            <w:noWrap/>
            <w:vAlign w:val="bottom"/>
            <w:hideMark/>
          </w:tcPr>
          <w:p w14:paraId="5A522FA4"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1DFA7E3F"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120'700</w:t>
            </w:r>
          </w:p>
        </w:tc>
        <w:tc>
          <w:tcPr>
            <w:tcW w:w="992" w:type="dxa"/>
            <w:tcBorders>
              <w:top w:val="nil"/>
              <w:left w:val="nil"/>
              <w:bottom w:val="nil"/>
              <w:right w:val="nil"/>
            </w:tcBorders>
            <w:shd w:val="clear" w:color="auto" w:fill="auto"/>
            <w:noWrap/>
            <w:vAlign w:val="bottom"/>
            <w:hideMark/>
          </w:tcPr>
          <w:p w14:paraId="2DC9FE4B"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392D610F"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138'700 </w:t>
            </w:r>
          </w:p>
        </w:tc>
        <w:tc>
          <w:tcPr>
            <w:tcW w:w="1276" w:type="dxa"/>
            <w:tcBorders>
              <w:top w:val="nil"/>
              <w:left w:val="nil"/>
              <w:bottom w:val="nil"/>
              <w:right w:val="nil"/>
            </w:tcBorders>
            <w:shd w:val="clear" w:color="auto" w:fill="auto"/>
            <w:noWrap/>
            <w:vAlign w:val="bottom"/>
            <w:hideMark/>
          </w:tcPr>
          <w:p w14:paraId="1CF13FD0"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12.238</w:t>
            </w:r>
          </w:p>
        </w:tc>
        <w:tc>
          <w:tcPr>
            <w:tcW w:w="1559" w:type="dxa"/>
            <w:tcBorders>
              <w:top w:val="nil"/>
              <w:left w:val="nil"/>
              <w:bottom w:val="nil"/>
              <w:right w:val="nil"/>
            </w:tcBorders>
            <w:shd w:val="clear" w:color="auto" w:fill="auto"/>
            <w:noWrap/>
            <w:vAlign w:val="bottom"/>
            <w:hideMark/>
          </w:tcPr>
          <w:p w14:paraId="6E29CD5A"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11'607.90 </w:t>
            </w:r>
          </w:p>
        </w:tc>
        <w:tc>
          <w:tcPr>
            <w:tcW w:w="1276" w:type="dxa"/>
            <w:tcBorders>
              <w:top w:val="nil"/>
              <w:left w:val="nil"/>
              <w:bottom w:val="nil"/>
              <w:right w:val="nil"/>
            </w:tcBorders>
            <w:shd w:val="clear" w:color="auto" w:fill="auto"/>
            <w:noWrap/>
            <w:vAlign w:val="bottom"/>
            <w:hideMark/>
          </w:tcPr>
          <w:p w14:paraId="54B7D7C7"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8.369</w:t>
            </w:r>
          </w:p>
        </w:tc>
      </w:tr>
      <w:tr w:rsidR="004411A7" w:rsidRPr="004411A7" w14:paraId="1190DEF1" w14:textId="77777777" w:rsidTr="00D930C0">
        <w:trPr>
          <w:trHeight w:val="255"/>
        </w:trPr>
        <w:tc>
          <w:tcPr>
            <w:tcW w:w="709" w:type="dxa"/>
            <w:tcBorders>
              <w:top w:val="nil"/>
              <w:left w:val="nil"/>
              <w:bottom w:val="nil"/>
              <w:right w:val="nil"/>
            </w:tcBorders>
            <w:shd w:val="clear" w:color="auto" w:fill="auto"/>
            <w:noWrap/>
            <w:vAlign w:val="bottom"/>
            <w:hideMark/>
          </w:tcPr>
          <w:p w14:paraId="74DA0448"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6AE33178"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138'800</w:t>
            </w:r>
          </w:p>
        </w:tc>
        <w:tc>
          <w:tcPr>
            <w:tcW w:w="992" w:type="dxa"/>
            <w:tcBorders>
              <w:top w:val="nil"/>
              <w:left w:val="nil"/>
              <w:bottom w:val="nil"/>
              <w:right w:val="nil"/>
            </w:tcBorders>
            <w:shd w:val="clear" w:color="auto" w:fill="auto"/>
            <w:noWrap/>
            <w:vAlign w:val="bottom"/>
            <w:hideMark/>
          </w:tcPr>
          <w:p w14:paraId="28EDB76A"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42A229DC"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180'200 </w:t>
            </w:r>
          </w:p>
        </w:tc>
        <w:tc>
          <w:tcPr>
            <w:tcW w:w="1276" w:type="dxa"/>
            <w:tcBorders>
              <w:top w:val="nil"/>
              <w:left w:val="nil"/>
              <w:bottom w:val="nil"/>
              <w:right w:val="nil"/>
            </w:tcBorders>
            <w:shd w:val="clear" w:color="auto" w:fill="auto"/>
            <w:noWrap/>
            <w:vAlign w:val="bottom"/>
            <w:hideMark/>
          </w:tcPr>
          <w:p w14:paraId="622CBA48"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13.125</w:t>
            </w:r>
          </w:p>
        </w:tc>
        <w:tc>
          <w:tcPr>
            <w:tcW w:w="1559" w:type="dxa"/>
            <w:tcBorders>
              <w:top w:val="nil"/>
              <w:left w:val="nil"/>
              <w:bottom w:val="nil"/>
              <w:right w:val="nil"/>
            </w:tcBorders>
            <w:shd w:val="clear" w:color="auto" w:fill="auto"/>
            <w:noWrap/>
            <w:vAlign w:val="bottom"/>
            <w:hideMark/>
          </w:tcPr>
          <w:p w14:paraId="68F3426E"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17'054.80 </w:t>
            </w:r>
          </w:p>
        </w:tc>
        <w:tc>
          <w:tcPr>
            <w:tcW w:w="1276" w:type="dxa"/>
            <w:tcBorders>
              <w:top w:val="nil"/>
              <w:left w:val="nil"/>
              <w:bottom w:val="nil"/>
              <w:right w:val="nil"/>
            </w:tcBorders>
            <w:shd w:val="clear" w:color="auto" w:fill="auto"/>
            <w:noWrap/>
            <w:vAlign w:val="bottom"/>
            <w:hideMark/>
          </w:tcPr>
          <w:p w14:paraId="574873D7"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9.464</w:t>
            </w:r>
          </w:p>
        </w:tc>
      </w:tr>
      <w:tr w:rsidR="004411A7" w:rsidRPr="004411A7" w14:paraId="50C53718" w14:textId="77777777" w:rsidTr="00D930C0">
        <w:trPr>
          <w:trHeight w:val="255"/>
        </w:trPr>
        <w:tc>
          <w:tcPr>
            <w:tcW w:w="709" w:type="dxa"/>
            <w:tcBorders>
              <w:top w:val="nil"/>
              <w:left w:val="nil"/>
              <w:bottom w:val="nil"/>
              <w:right w:val="nil"/>
            </w:tcBorders>
            <w:shd w:val="clear" w:color="auto" w:fill="auto"/>
            <w:noWrap/>
            <w:vAlign w:val="bottom"/>
            <w:hideMark/>
          </w:tcPr>
          <w:p w14:paraId="7DC5833D"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1D48A423"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180'300</w:t>
            </w:r>
          </w:p>
        </w:tc>
        <w:tc>
          <w:tcPr>
            <w:tcW w:w="992" w:type="dxa"/>
            <w:tcBorders>
              <w:top w:val="nil"/>
              <w:left w:val="nil"/>
              <w:bottom w:val="nil"/>
              <w:right w:val="nil"/>
            </w:tcBorders>
            <w:shd w:val="clear" w:color="auto" w:fill="auto"/>
            <w:noWrap/>
            <w:vAlign w:val="bottom"/>
            <w:hideMark/>
          </w:tcPr>
          <w:p w14:paraId="06CD98A0"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1864F7A9"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224'100 </w:t>
            </w:r>
          </w:p>
        </w:tc>
        <w:tc>
          <w:tcPr>
            <w:tcW w:w="1276" w:type="dxa"/>
            <w:tcBorders>
              <w:top w:val="nil"/>
              <w:left w:val="nil"/>
              <w:bottom w:val="nil"/>
              <w:right w:val="nil"/>
            </w:tcBorders>
            <w:shd w:val="clear" w:color="auto" w:fill="auto"/>
            <w:noWrap/>
            <w:vAlign w:val="bottom"/>
            <w:hideMark/>
          </w:tcPr>
          <w:p w14:paraId="747DD772"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14.011</w:t>
            </w:r>
          </w:p>
        </w:tc>
        <w:tc>
          <w:tcPr>
            <w:tcW w:w="1559" w:type="dxa"/>
            <w:tcBorders>
              <w:top w:val="nil"/>
              <w:left w:val="nil"/>
              <w:bottom w:val="nil"/>
              <w:right w:val="nil"/>
            </w:tcBorders>
            <w:shd w:val="clear" w:color="auto" w:fill="auto"/>
            <w:noWrap/>
            <w:vAlign w:val="bottom"/>
            <w:hideMark/>
          </w:tcPr>
          <w:p w14:paraId="1ABF3471"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23'205.65 </w:t>
            </w:r>
          </w:p>
        </w:tc>
        <w:tc>
          <w:tcPr>
            <w:tcW w:w="1276" w:type="dxa"/>
            <w:tcBorders>
              <w:top w:val="nil"/>
              <w:left w:val="nil"/>
              <w:bottom w:val="nil"/>
              <w:right w:val="nil"/>
            </w:tcBorders>
            <w:shd w:val="clear" w:color="auto" w:fill="auto"/>
            <w:noWrap/>
            <w:vAlign w:val="bottom"/>
            <w:hideMark/>
          </w:tcPr>
          <w:p w14:paraId="344B88A0"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10.355</w:t>
            </w:r>
          </w:p>
        </w:tc>
      </w:tr>
      <w:tr w:rsidR="004411A7" w:rsidRPr="004411A7" w14:paraId="3D976146" w14:textId="77777777" w:rsidTr="00D930C0">
        <w:trPr>
          <w:trHeight w:val="255"/>
        </w:trPr>
        <w:tc>
          <w:tcPr>
            <w:tcW w:w="709" w:type="dxa"/>
            <w:tcBorders>
              <w:top w:val="nil"/>
              <w:left w:val="nil"/>
              <w:bottom w:val="nil"/>
              <w:right w:val="nil"/>
            </w:tcBorders>
            <w:shd w:val="clear" w:color="auto" w:fill="auto"/>
            <w:noWrap/>
            <w:vAlign w:val="bottom"/>
            <w:hideMark/>
          </w:tcPr>
          <w:p w14:paraId="38DF6CCF"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nil"/>
              <w:right w:val="nil"/>
            </w:tcBorders>
            <w:shd w:val="clear" w:color="auto" w:fill="auto"/>
            <w:noWrap/>
            <w:vAlign w:val="bottom"/>
            <w:hideMark/>
          </w:tcPr>
          <w:p w14:paraId="6E5E19E9"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224'200</w:t>
            </w:r>
          </w:p>
        </w:tc>
        <w:tc>
          <w:tcPr>
            <w:tcW w:w="992" w:type="dxa"/>
            <w:tcBorders>
              <w:top w:val="nil"/>
              <w:left w:val="nil"/>
              <w:bottom w:val="nil"/>
              <w:right w:val="nil"/>
            </w:tcBorders>
            <w:shd w:val="clear" w:color="auto" w:fill="auto"/>
            <w:noWrap/>
            <w:vAlign w:val="bottom"/>
            <w:hideMark/>
          </w:tcPr>
          <w:p w14:paraId="2B15023F"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bottom w:val="nil"/>
              <w:right w:val="nil"/>
            </w:tcBorders>
            <w:shd w:val="clear" w:color="auto" w:fill="auto"/>
            <w:noWrap/>
            <w:vAlign w:val="bottom"/>
            <w:hideMark/>
          </w:tcPr>
          <w:p w14:paraId="6003F570" w14:textId="77777777" w:rsidR="004411A7" w:rsidRPr="004411A7" w:rsidRDefault="004411A7" w:rsidP="004411A7">
            <w:pPr>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298'900 </w:t>
            </w:r>
          </w:p>
        </w:tc>
        <w:tc>
          <w:tcPr>
            <w:tcW w:w="1276" w:type="dxa"/>
            <w:tcBorders>
              <w:top w:val="nil"/>
              <w:left w:val="nil"/>
              <w:bottom w:val="nil"/>
              <w:right w:val="nil"/>
            </w:tcBorders>
            <w:shd w:val="clear" w:color="auto" w:fill="auto"/>
            <w:noWrap/>
            <w:vAlign w:val="bottom"/>
            <w:hideMark/>
          </w:tcPr>
          <w:p w14:paraId="12EBBFA1"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14.544</w:t>
            </w:r>
          </w:p>
        </w:tc>
        <w:tc>
          <w:tcPr>
            <w:tcW w:w="1559" w:type="dxa"/>
            <w:tcBorders>
              <w:top w:val="nil"/>
              <w:left w:val="nil"/>
              <w:bottom w:val="nil"/>
              <w:right w:val="nil"/>
            </w:tcBorders>
            <w:shd w:val="clear" w:color="auto" w:fill="auto"/>
            <w:noWrap/>
            <w:vAlign w:val="bottom"/>
            <w:hideMark/>
          </w:tcPr>
          <w:p w14:paraId="79233337"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34'084.55 </w:t>
            </w:r>
          </w:p>
        </w:tc>
        <w:tc>
          <w:tcPr>
            <w:tcW w:w="1276" w:type="dxa"/>
            <w:tcBorders>
              <w:top w:val="nil"/>
              <w:left w:val="nil"/>
              <w:bottom w:val="nil"/>
              <w:right w:val="nil"/>
            </w:tcBorders>
            <w:shd w:val="clear" w:color="auto" w:fill="auto"/>
            <w:noWrap/>
            <w:vAlign w:val="bottom"/>
            <w:hideMark/>
          </w:tcPr>
          <w:p w14:paraId="5670B9DE"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11.403</w:t>
            </w:r>
          </w:p>
        </w:tc>
      </w:tr>
      <w:tr w:rsidR="004411A7" w:rsidRPr="004411A7" w14:paraId="3B917582" w14:textId="77777777" w:rsidTr="00D930C0">
        <w:trPr>
          <w:trHeight w:val="255"/>
        </w:trPr>
        <w:tc>
          <w:tcPr>
            <w:tcW w:w="709" w:type="dxa"/>
            <w:tcBorders>
              <w:top w:val="nil"/>
              <w:left w:val="nil"/>
              <w:right w:val="nil"/>
            </w:tcBorders>
            <w:shd w:val="clear" w:color="auto" w:fill="auto"/>
            <w:noWrap/>
            <w:vAlign w:val="bottom"/>
            <w:hideMark/>
          </w:tcPr>
          <w:p w14:paraId="737B9C49"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right w:val="nil"/>
            </w:tcBorders>
            <w:shd w:val="clear" w:color="auto" w:fill="auto"/>
            <w:noWrap/>
            <w:vAlign w:val="bottom"/>
            <w:hideMark/>
          </w:tcPr>
          <w:p w14:paraId="68277EE6"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299'000</w:t>
            </w:r>
          </w:p>
        </w:tc>
        <w:tc>
          <w:tcPr>
            <w:tcW w:w="992" w:type="dxa"/>
            <w:tcBorders>
              <w:top w:val="nil"/>
              <w:left w:val="nil"/>
              <w:right w:val="nil"/>
            </w:tcBorders>
            <w:shd w:val="clear" w:color="auto" w:fill="auto"/>
            <w:noWrap/>
            <w:vAlign w:val="bottom"/>
            <w:hideMark/>
          </w:tcPr>
          <w:p w14:paraId="4E3C2A6D"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a fr.</w:t>
            </w:r>
          </w:p>
        </w:tc>
        <w:tc>
          <w:tcPr>
            <w:tcW w:w="851" w:type="dxa"/>
            <w:tcBorders>
              <w:top w:val="nil"/>
              <w:left w:val="nil"/>
              <w:right w:val="nil"/>
            </w:tcBorders>
            <w:shd w:val="clear" w:color="auto" w:fill="auto"/>
            <w:noWrap/>
            <w:vAlign w:val="bottom"/>
            <w:hideMark/>
          </w:tcPr>
          <w:p w14:paraId="75346E83" w14:textId="77777777" w:rsidR="004411A7" w:rsidRPr="004411A7" w:rsidRDefault="004411A7" w:rsidP="004411A7">
            <w:pPr>
              <w:ind w:left="-21"/>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634’000</w:t>
            </w:r>
          </w:p>
        </w:tc>
        <w:tc>
          <w:tcPr>
            <w:tcW w:w="1276" w:type="dxa"/>
            <w:tcBorders>
              <w:top w:val="nil"/>
              <w:left w:val="nil"/>
              <w:right w:val="nil"/>
            </w:tcBorders>
            <w:shd w:val="clear" w:color="auto" w:fill="auto"/>
            <w:noWrap/>
            <w:vAlign w:val="bottom"/>
            <w:hideMark/>
          </w:tcPr>
          <w:p w14:paraId="77808C66"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14.898</w:t>
            </w:r>
          </w:p>
        </w:tc>
        <w:tc>
          <w:tcPr>
            <w:tcW w:w="1559" w:type="dxa"/>
            <w:tcBorders>
              <w:top w:val="nil"/>
              <w:left w:val="nil"/>
              <w:right w:val="nil"/>
            </w:tcBorders>
            <w:shd w:val="clear" w:color="auto" w:fill="auto"/>
            <w:noWrap/>
            <w:vAlign w:val="bottom"/>
            <w:hideMark/>
          </w:tcPr>
          <w:p w14:paraId="19972C27" w14:textId="77777777" w:rsidR="004411A7" w:rsidRPr="004411A7" w:rsidRDefault="004411A7" w:rsidP="004411A7">
            <w:pPr>
              <w:ind w:right="352"/>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 xml:space="preserve">84'007.75 </w:t>
            </w:r>
          </w:p>
        </w:tc>
        <w:tc>
          <w:tcPr>
            <w:tcW w:w="1276" w:type="dxa"/>
            <w:tcBorders>
              <w:top w:val="nil"/>
              <w:left w:val="nil"/>
              <w:right w:val="nil"/>
            </w:tcBorders>
            <w:shd w:val="clear" w:color="auto" w:fill="auto"/>
            <w:noWrap/>
            <w:vAlign w:val="bottom"/>
            <w:hideMark/>
          </w:tcPr>
          <w:p w14:paraId="57859AD3" w14:textId="77777777" w:rsidR="004411A7" w:rsidRPr="004411A7" w:rsidRDefault="004411A7" w:rsidP="004411A7">
            <w:pPr>
              <w:ind w:right="72"/>
              <w:jc w:val="cente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13.250</w:t>
            </w:r>
          </w:p>
        </w:tc>
      </w:tr>
      <w:tr w:rsidR="004411A7" w:rsidRPr="004411A7" w14:paraId="49C56BD6" w14:textId="77777777" w:rsidTr="00D930C0">
        <w:trPr>
          <w:trHeight w:val="255"/>
        </w:trPr>
        <w:tc>
          <w:tcPr>
            <w:tcW w:w="709" w:type="dxa"/>
            <w:tcBorders>
              <w:top w:val="nil"/>
              <w:left w:val="nil"/>
              <w:bottom w:val="single" w:sz="4" w:space="0" w:color="auto"/>
              <w:right w:val="nil"/>
            </w:tcBorders>
            <w:shd w:val="clear" w:color="auto" w:fill="auto"/>
            <w:noWrap/>
            <w:vAlign w:val="bottom"/>
            <w:hideMark/>
          </w:tcPr>
          <w:p w14:paraId="5655C26F" w14:textId="77777777" w:rsidR="004411A7" w:rsidRPr="004411A7" w:rsidRDefault="004411A7" w:rsidP="004411A7">
            <w:pPr>
              <w:jc w:val="lef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da fr.</w:t>
            </w:r>
          </w:p>
        </w:tc>
        <w:tc>
          <w:tcPr>
            <w:tcW w:w="1134" w:type="dxa"/>
            <w:tcBorders>
              <w:top w:val="nil"/>
              <w:left w:val="nil"/>
              <w:bottom w:val="single" w:sz="4" w:space="0" w:color="auto"/>
              <w:right w:val="nil"/>
            </w:tcBorders>
            <w:shd w:val="clear" w:color="auto" w:fill="auto"/>
            <w:noWrap/>
            <w:vAlign w:val="bottom"/>
            <w:hideMark/>
          </w:tcPr>
          <w:p w14:paraId="3310FDBB" w14:textId="77777777" w:rsidR="004411A7" w:rsidRPr="004411A7" w:rsidRDefault="004411A7" w:rsidP="004411A7">
            <w:pPr>
              <w:ind w:right="204"/>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634’100</w:t>
            </w:r>
          </w:p>
        </w:tc>
        <w:tc>
          <w:tcPr>
            <w:tcW w:w="992" w:type="dxa"/>
            <w:tcBorders>
              <w:top w:val="nil"/>
              <w:left w:val="nil"/>
              <w:bottom w:val="single" w:sz="4" w:space="0" w:color="auto"/>
              <w:right w:val="nil"/>
            </w:tcBorders>
            <w:shd w:val="clear" w:color="auto" w:fill="auto"/>
            <w:noWrap/>
            <w:vAlign w:val="bottom"/>
            <w:hideMark/>
          </w:tcPr>
          <w:p w14:paraId="2DE2CDDF" w14:textId="77777777" w:rsidR="004411A7" w:rsidRPr="004411A7" w:rsidRDefault="004411A7" w:rsidP="004411A7">
            <w:pPr>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in avanti</w:t>
            </w:r>
          </w:p>
        </w:tc>
        <w:tc>
          <w:tcPr>
            <w:tcW w:w="851" w:type="dxa"/>
            <w:tcBorders>
              <w:top w:val="nil"/>
              <w:left w:val="nil"/>
              <w:bottom w:val="single" w:sz="4" w:space="0" w:color="auto"/>
              <w:right w:val="nil"/>
            </w:tcBorders>
            <w:shd w:val="clear" w:color="auto" w:fill="auto"/>
            <w:noWrap/>
            <w:vAlign w:val="bottom"/>
            <w:hideMark/>
          </w:tcPr>
          <w:p w14:paraId="71009CCE" w14:textId="77777777" w:rsidR="004411A7" w:rsidRPr="004411A7" w:rsidRDefault="004411A7" w:rsidP="004411A7">
            <w:pPr>
              <w:jc w:val="right"/>
              <w:rPr>
                <w:rFonts w:asciiTheme="minorHAnsi" w:eastAsia="Times New Roman" w:hAnsiTheme="minorHAnsi" w:cstheme="minorHAnsi"/>
                <w:sz w:val="20"/>
                <w:szCs w:val="20"/>
                <w:lang w:eastAsia="it-CH"/>
              </w:rPr>
            </w:pPr>
          </w:p>
        </w:tc>
        <w:tc>
          <w:tcPr>
            <w:tcW w:w="1276" w:type="dxa"/>
            <w:tcBorders>
              <w:top w:val="nil"/>
              <w:left w:val="nil"/>
              <w:bottom w:val="single" w:sz="4" w:space="0" w:color="auto"/>
              <w:right w:val="nil"/>
            </w:tcBorders>
            <w:shd w:val="clear" w:color="auto" w:fill="auto"/>
            <w:noWrap/>
            <w:vAlign w:val="bottom"/>
            <w:hideMark/>
          </w:tcPr>
          <w:p w14:paraId="3F8C7EE6" w14:textId="77777777" w:rsidR="004411A7" w:rsidRPr="004411A7" w:rsidRDefault="004411A7" w:rsidP="004411A7">
            <w:pPr>
              <w:ind w:right="309"/>
              <w:jc w:val="right"/>
              <w:rPr>
                <w:rFonts w:asciiTheme="minorHAnsi" w:eastAsia="Times New Roman" w:hAnsiTheme="minorHAnsi" w:cstheme="minorHAnsi"/>
                <w:sz w:val="20"/>
                <w:szCs w:val="20"/>
                <w:lang w:eastAsia="it-CH"/>
              </w:rPr>
            </w:pPr>
            <w:r w:rsidRPr="004411A7">
              <w:rPr>
                <w:rFonts w:asciiTheme="minorHAnsi" w:eastAsia="Times New Roman" w:hAnsiTheme="minorHAnsi" w:cstheme="minorHAnsi"/>
                <w:sz w:val="20"/>
                <w:szCs w:val="20"/>
                <w:lang w:eastAsia="it-CH"/>
              </w:rPr>
              <w:t>13.250</w:t>
            </w:r>
          </w:p>
        </w:tc>
        <w:tc>
          <w:tcPr>
            <w:tcW w:w="1559" w:type="dxa"/>
            <w:tcBorders>
              <w:top w:val="nil"/>
              <w:left w:val="nil"/>
              <w:bottom w:val="single" w:sz="4" w:space="0" w:color="auto"/>
              <w:right w:val="nil"/>
            </w:tcBorders>
            <w:shd w:val="clear" w:color="auto" w:fill="auto"/>
            <w:noWrap/>
            <w:vAlign w:val="bottom"/>
            <w:hideMark/>
          </w:tcPr>
          <w:p w14:paraId="0BED2555" w14:textId="77777777" w:rsidR="004411A7" w:rsidRPr="004411A7" w:rsidRDefault="004411A7" w:rsidP="004411A7">
            <w:pPr>
              <w:ind w:right="352"/>
              <w:jc w:val="right"/>
              <w:rPr>
                <w:rFonts w:asciiTheme="minorHAnsi" w:eastAsia="Times New Roman" w:hAnsiTheme="minorHAnsi" w:cstheme="minorHAnsi"/>
                <w:sz w:val="20"/>
                <w:szCs w:val="20"/>
                <w:lang w:eastAsia="it-CH"/>
              </w:rPr>
            </w:pPr>
          </w:p>
        </w:tc>
        <w:tc>
          <w:tcPr>
            <w:tcW w:w="1276" w:type="dxa"/>
            <w:tcBorders>
              <w:top w:val="nil"/>
              <w:left w:val="nil"/>
              <w:bottom w:val="single" w:sz="4" w:space="0" w:color="auto"/>
              <w:right w:val="nil"/>
            </w:tcBorders>
            <w:shd w:val="clear" w:color="auto" w:fill="auto"/>
            <w:noWrap/>
            <w:vAlign w:val="bottom"/>
            <w:hideMark/>
          </w:tcPr>
          <w:p w14:paraId="23BDF750" w14:textId="77777777" w:rsidR="004411A7" w:rsidRPr="004411A7" w:rsidRDefault="004411A7" w:rsidP="004411A7">
            <w:pPr>
              <w:ind w:right="72"/>
              <w:jc w:val="right"/>
              <w:rPr>
                <w:rFonts w:asciiTheme="minorHAnsi" w:eastAsia="Times New Roman" w:hAnsiTheme="minorHAnsi" w:cstheme="minorHAnsi"/>
                <w:sz w:val="20"/>
                <w:szCs w:val="20"/>
                <w:lang w:eastAsia="it-CH"/>
              </w:rPr>
            </w:pPr>
          </w:p>
        </w:tc>
      </w:tr>
    </w:tbl>
    <w:p w14:paraId="35C6DE4A" w14:textId="77777777" w:rsidR="004411A7" w:rsidRPr="004411A7" w:rsidRDefault="004411A7" w:rsidP="004411A7">
      <w:pPr>
        <w:rPr>
          <w:sz w:val="24"/>
          <w:szCs w:val="24"/>
        </w:rPr>
      </w:pPr>
      <w:r w:rsidRPr="004411A7">
        <w:rPr>
          <w:sz w:val="24"/>
          <w:szCs w:val="24"/>
          <w:vertAlign w:val="superscript"/>
        </w:rPr>
        <w:t>3</w:t>
      </w:r>
      <w:r w:rsidRPr="004411A7">
        <w:rPr>
          <w:sz w:val="24"/>
          <w:szCs w:val="24"/>
        </w:rPr>
        <w:t>I redditi inferiori a 12'300 franchi, per i contribuenti di cui alle categorie del capoverso 1, e a 20’100 franchi, per i contribuenti di cui alle categorie del capoverso 2, sono esenti da imposta. Le frazioni di reddito inferiori a 100 franchi non sono computate.</w:t>
      </w:r>
    </w:p>
    <w:p w14:paraId="294A85CA" w14:textId="77777777" w:rsidR="004411A7" w:rsidRPr="004411A7" w:rsidRDefault="004411A7" w:rsidP="004411A7">
      <w:pPr>
        <w:rPr>
          <w:sz w:val="24"/>
          <w:szCs w:val="24"/>
        </w:rPr>
      </w:pPr>
    </w:p>
    <w:p w14:paraId="2AFB661C" w14:textId="77777777" w:rsidR="004411A7" w:rsidRPr="004411A7" w:rsidRDefault="004411A7" w:rsidP="004411A7">
      <w:pPr>
        <w:rPr>
          <w:sz w:val="24"/>
          <w:szCs w:val="24"/>
        </w:rPr>
      </w:pPr>
    </w:p>
    <w:p w14:paraId="0988FDD7" w14:textId="77777777" w:rsidR="004411A7" w:rsidRPr="004411A7" w:rsidRDefault="004411A7" w:rsidP="004411A7">
      <w:pPr>
        <w:rPr>
          <w:b/>
          <w:bCs/>
          <w:sz w:val="24"/>
          <w:szCs w:val="24"/>
        </w:rPr>
      </w:pPr>
      <w:r w:rsidRPr="004411A7">
        <w:rPr>
          <w:b/>
          <w:bCs/>
          <w:sz w:val="24"/>
          <w:szCs w:val="24"/>
        </w:rPr>
        <w:t>II</w:t>
      </w:r>
    </w:p>
    <w:p w14:paraId="677EE763" w14:textId="77777777" w:rsidR="004411A7" w:rsidRPr="004411A7" w:rsidRDefault="004411A7" w:rsidP="004411A7">
      <w:pPr>
        <w:rPr>
          <w:sz w:val="24"/>
          <w:szCs w:val="24"/>
        </w:rPr>
      </w:pPr>
      <w:r w:rsidRPr="004411A7">
        <w:rPr>
          <w:sz w:val="24"/>
          <w:szCs w:val="24"/>
          <w:vertAlign w:val="superscript"/>
        </w:rPr>
        <w:t>1</w:t>
      </w:r>
      <w:r w:rsidRPr="004411A7">
        <w:rPr>
          <w:sz w:val="24"/>
          <w:szCs w:val="24"/>
        </w:rPr>
        <w:t>La presente legge sottostà a referendum facoltativo.</w:t>
      </w:r>
    </w:p>
    <w:p w14:paraId="0A7FA958" w14:textId="77777777" w:rsidR="004411A7" w:rsidRPr="004411A7" w:rsidRDefault="004411A7" w:rsidP="004411A7">
      <w:pPr>
        <w:rPr>
          <w:sz w:val="24"/>
          <w:szCs w:val="24"/>
        </w:rPr>
      </w:pPr>
      <w:r w:rsidRPr="004411A7">
        <w:rPr>
          <w:sz w:val="24"/>
          <w:szCs w:val="24"/>
          <w:vertAlign w:val="superscript"/>
        </w:rPr>
        <w:t>2</w:t>
      </w:r>
      <w:r w:rsidRPr="004411A7">
        <w:rPr>
          <w:sz w:val="24"/>
          <w:szCs w:val="24"/>
        </w:rPr>
        <w:t>Essa entra in vigore il 1° gennaio 2024.</w:t>
      </w:r>
    </w:p>
    <w:p w14:paraId="61A809F5" w14:textId="06D5AB21" w:rsidR="00644514" w:rsidRPr="00644514" w:rsidRDefault="00644514" w:rsidP="004411A7">
      <w:pPr>
        <w:rPr>
          <w:sz w:val="24"/>
          <w:szCs w:val="24"/>
        </w:rPr>
      </w:pPr>
    </w:p>
    <w:sectPr w:rsidR="00644514" w:rsidRPr="00644514" w:rsidSect="00B23311">
      <w:pgSz w:w="11906" w:h="16838" w:code="9"/>
      <w:pgMar w:top="1418" w:right="1134" w:bottom="1134" w:left="1134" w:header="533"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9351A" w14:textId="77777777" w:rsidR="00EA5096" w:rsidRDefault="00EA5096" w:rsidP="00F657BF">
      <w:r>
        <w:separator/>
      </w:r>
    </w:p>
  </w:endnote>
  <w:endnote w:type="continuationSeparator" w:id="0">
    <w:p w14:paraId="1013CFC2" w14:textId="77777777" w:rsidR="00EA5096" w:rsidRDefault="00EA509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A5096" w:rsidRPr="003D1008" w14:paraId="00771581" w14:textId="77777777" w:rsidTr="008D317C">
      <w:trPr>
        <w:trHeight w:hRule="exact" w:val="737"/>
      </w:trPr>
      <w:tc>
        <w:tcPr>
          <w:tcW w:w="4695" w:type="dxa"/>
        </w:tcPr>
        <w:p w14:paraId="00A28488" w14:textId="77777777" w:rsidR="00EA5096" w:rsidRPr="003D1008" w:rsidRDefault="00EA5096" w:rsidP="008D317C">
          <w:pPr>
            <w:tabs>
              <w:tab w:val="center" w:pos="2382"/>
            </w:tabs>
          </w:pPr>
        </w:p>
      </w:tc>
      <w:tc>
        <w:tcPr>
          <w:tcW w:w="721" w:type="dxa"/>
        </w:tcPr>
        <w:p w14:paraId="75C3037C" w14:textId="77777777" w:rsidR="00EA5096" w:rsidRPr="003D1008" w:rsidRDefault="00EA5096" w:rsidP="008D317C">
          <w:pPr>
            <w:jc w:val="center"/>
          </w:pPr>
          <w:r w:rsidRPr="003D1008">
            <w:rPr>
              <w:noProof/>
              <w:lang w:eastAsia="it-CH"/>
            </w:rPr>
            <w:drawing>
              <wp:anchor distT="0" distB="0" distL="114300" distR="114300" simplePos="0" relativeHeight="251669504" behindDoc="0" locked="1" layoutInCell="1" allowOverlap="1" wp14:anchorId="18883299" wp14:editId="3C09D10D">
                <wp:simplePos x="0" y="0"/>
                <wp:positionH relativeFrom="column">
                  <wp:posOffset>-46990</wp:posOffset>
                </wp:positionH>
                <wp:positionV relativeFrom="paragraph">
                  <wp:posOffset>4445</wp:posOffset>
                </wp:positionV>
                <wp:extent cx="423929" cy="431800"/>
                <wp:effectExtent l="0" t="0" r="0" b="6350"/>
                <wp:wrapNone/>
                <wp:docPr id="17"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5569A116" w14:textId="77777777" w:rsidR="00EA5096" w:rsidRPr="003D1008" w:rsidRDefault="00EA5096" w:rsidP="008D317C">
          <w:pPr>
            <w:jc w:val="center"/>
          </w:pPr>
          <w:r w:rsidRPr="003D1008">
            <w:rPr>
              <w:noProof/>
              <w:lang w:eastAsia="it-CH"/>
            </w:rPr>
            <w:drawing>
              <wp:anchor distT="0" distB="0" distL="114300" distR="114300" simplePos="0" relativeHeight="251670528" behindDoc="0" locked="1" layoutInCell="1" allowOverlap="1" wp14:anchorId="5FA5C5C6" wp14:editId="75A125E7">
                <wp:simplePos x="0" y="0"/>
                <wp:positionH relativeFrom="column">
                  <wp:posOffset>-57785</wp:posOffset>
                </wp:positionH>
                <wp:positionV relativeFrom="paragraph">
                  <wp:posOffset>4445</wp:posOffset>
                </wp:positionV>
                <wp:extent cx="253247" cy="428400"/>
                <wp:effectExtent l="0" t="0" r="0" b="0"/>
                <wp:wrapNone/>
                <wp:docPr id="18"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055A3BB" w14:textId="77777777" w:rsidR="00EA5096" w:rsidRPr="003D1008" w:rsidRDefault="00EA5096" w:rsidP="008D317C"/>
      </w:tc>
    </w:tr>
  </w:tbl>
  <w:p w14:paraId="73809DCC" w14:textId="77777777" w:rsidR="00EA5096" w:rsidRDefault="00EA5096" w:rsidP="008D317C">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E3810" w14:textId="77777777" w:rsidR="00EA5096" w:rsidRDefault="00EA5096">
    <w:pPr>
      <w:pStyle w:val="Pidipagina"/>
      <w:jc w:val="center"/>
    </w:pPr>
  </w:p>
  <w:p w14:paraId="5839A42A" w14:textId="77777777" w:rsidR="00EA5096" w:rsidRPr="008C6C46" w:rsidRDefault="00EA5096" w:rsidP="008D317C">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4742" w:type="dxa"/>
      <w:tblBorders>
        <w:top w:val="single" w:sz="2" w:space="0" w:color="auto"/>
        <w:insideH w:val="single" w:sz="4" w:space="0" w:color="auto"/>
        <w:insideV w:val="single" w:sz="2" w:space="0" w:color="auto"/>
      </w:tblBorders>
      <w:tblLook w:val="04A0" w:firstRow="1" w:lastRow="0" w:firstColumn="1" w:lastColumn="0" w:noHBand="0" w:noVBand="1"/>
    </w:tblPr>
    <w:tblGrid>
      <w:gridCol w:w="4536"/>
      <w:gridCol w:w="880"/>
      <w:gridCol w:w="424"/>
      <w:gridCol w:w="8902"/>
    </w:tblGrid>
    <w:tr w:rsidR="00EA5096" w:rsidRPr="003D1008" w14:paraId="68E154E0" w14:textId="77777777" w:rsidTr="009F0389">
      <w:trPr>
        <w:trHeight w:hRule="exact" w:val="737"/>
      </w:trPr>
      <w:tc>
        <w:tcPr>
          <w:tcW w:w="4536" w:type="dxa"/>
        </w:tcPr>
        <w:p w14:paraId="07FE41C9" w14:textId="08048DCB" w:rsidR="00EA5096" w:rsidRDefault="00EA5096" w:rsidP="008D317C">
          <w:pPr>
            <w:tabs>
              <w:tab w:val="center" w:pos="2382"/>
            </w:tabs>
          </w:pPr>
        </w:p>
        <w:p w14:paraId="31C04F3B" w14:textId="3EB1243B" w:rsidR="00EA5096" w:rsidRPr="00FC2B1F" w:rsidRDefault="00EA5096" w:rsidP="00FC2B1F">
          <w:pPr>
            <w:tabs>
              <w:tab w:val="left" w:pos="2980"/>
            </w:tabs>
          </w:pPr>
          <w:r>
            <w:tab/>
          </w:r>
        </w:p>
      </w:tc>
      <w:tc>
        <w:tcPr>
          <w:tcW w:w="880" w:type="dxa"/>
        </w:tcPr>
        <w:p w14:paraId="402E5F29" w14:textId="77777777" w:rsidR="00EA5096" w:rsidRPr="003D1008" w:rsidRDefault="00EA5096" w:rsidP="008D317C">
          <w:pPr>
            <w:jc w:val="center"/>
          </w:pPr>
          <w:r w:rsidRPr="003D1008">
            <w:rPr>
              <w:noProof/>
              <w:lang w:eastAsia="it-CH"/>
            </w:rPr>
            <w:drawing>
              <wp:anchor distT="0" distB="0" distL="114300" distR="114300" simplePos="0" relativeHeight="251674624" behindDoc="0" locked="1" layoutInCell="1" allowOverlap="1" wp14:anchorId="427777FA" wp14:editId="7C4279F9">
                <wp:simplePos x="0" y="0"/>
                <wp:positionH relativeFrom="column">
                  <wp:posOffset>-46990</wp:posOffset>
                </wp:positionH>
                <wp:positionV relativeFrom="paragraph">
                  <wp:posOffset>4445</wp:posOffset>
                </wp:positionV>
                <wp:extent cx="423929" cy="431800"/>
                <wp:effectExtent l="0" t="0" r="0" b="6350"/>
                <wp:wrapNone/>
                <wp:docPr id="21"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4E058900" w14:textId="77777777" w:rsidR="00EA5096" w:rsidRPr="003D1008" w:rsidRDefault="00EA5096" w:rsidP="008D317C">
          <w:pPr>
            <w:jc w:val="center"/>
          </w:pPr>
          <w:r w:rsidRPr="003D1008">
            <w:rPr>
              <w:noProof/>
              <w:lang w:eastAsia="it-CH"/>
            </w:rPr>
            <w:drawing>
              <wp:anchor distT="0" distB="0" distL="114300" distR="114300" simplePos="0" relativeHeight="251675648" behindDoc="0" locked="1" layoutInCell="1" allowOverlap="1" wp14:anchorId="1D4E4297" wp14:editId="5E5D5B84">
                <wp:simplePos x="0" y="0"/>
                <wp:positionH relativeFrom="column">
                  <wp:posOffset>-57785</wp:posOffset>
                </wp:positionH>
                <wp:positionV relativeFrom="paragraph">
                  <wp:posOffset>4445</wp:posOffset>
                </wp:positionV>
                <wp:extent cx="253247" cy="428400"/>
                <wp:effectExtent l="0" t="0" r="0" b="0"/>
                <wp:wrapNone/>
                <wp:docPr id="22"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8902" w:type="dxa"/>
        </w:tcPr>
        <w:p w14:paraId="4565AE6D" w14:textId="77777777" w:rsidR="00EA5096" w:rsidRPr="003D1008" w:rsidRDefault="00EA5096" w:rsidP="008D317C"/>
      </w:tc>
    </w:tr>
  </w:tbl>
  <w:p w14:paraId="278207F1" w14:textId="77777777" w:rsidR="00EA5096" w:rsidRDefault="00EA5096" w:rsidP="008D317C">
    <w:pPr>
      <w:pStyle w:val="InvisibleLin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EA5096" w:rsidRPr="003D1008" w14:paraId="5817B424" w14:textId="77777777" w:rsidTr="00BF3C78">
      <w:trPr>
        <w:trHeight w:hRule="exact" w:val="737"/>
      </w:trPr>
      <w:tc>
        <w:tcPr>
          <w:tcW w:w="4695" w:type="dxa"/>
        </w:tcPr>
        <w:p w14:paraId="0E07DB71" w14:textId="77777777" w:rsidR="00EA5096" w:rsidRPr="003D1008" w:rsidRDefault="00EA5096" w:rsidP="00FC2B1F">
          <w:pPr>
            <w:tabs>
              <w:tab w:val="center" w:pos="2382"/>
            </w:tabs>
          </w:pPr>
        </w:p>
      </w:tc>
      <w:tc>
        <w:tcPr>
          <w:tcW w:w="721" w:type="dxa"/>
        </w:tcPr>
        <w:p w14:paraId="5E7A2EE7" w14:textId="77777777" w:rsidR="00EA5096" w:rsidRPr="003D1008" w:rsidRDefault="00EA5096" w:rsidP="00FC2B1F">
          <w:pPr>
            <w:jc w:val="center"/>
          </w:pPr>
          <w:r w:rsidRPr="003D1008">
            <w:rPr>
              <w:noProof/>
              <w:lang w:eastAsia="it-CH"/>
            </w:rPr>
            <w:drawing>
              <wp:anchor distT="0" distB="0" distL="114300" distR="114300" simplePos="0" relativeHeight="251679744" behindDoc="0" locked="1" layoutInCell="1" allowOverlap="1" wp14:anchorId="1BA1CD43" wp14:editId="294C4906">
                <wp:simplePos x="0" y="0"/>
                <wp:positionH relativeFrom="column">
                  <wp:posOffset>-46990</wp:posOffset>
                </wp:positionH>
                <wp:positionV relativeFrom="paragraph">
                  <wp:posOffset>4445</wp:posOffset>
                </wp:positionV>
                <wp:extent cx="423929" cy="431800"/>
                <wp:effectExtent l="0" t="0" r="0" b="6350"/>
                <wp:wrapNone/>
                <wp:docPr id="13"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10663E3F" w14:textId="77777777" w:rsidR="00EA5096" w:rsidRPr="003D1008" w:rsidRDefault="00EA5096" w:rsidP="00FC2B1F">
          <w:pPr>
            <w:jc w:val="center"/>
          </w:pPr>
          <w:r w:rsidRPr="003D1008">
            <w:rPr>
              <w:noProof/>
              <w:lang w:eastAsia="it-CH"/>
            </w:rPr>
            <w:drawing>
              <wp:anchor distT="0" distB="0" distL="114300" distR="114300" simplePos="0" relativeHeight="251680768" behindDoc="0" locked="1" layoutInCell="1" allowOverlap="1" wp14:anchorId="6E9A422B" wp14:editId="2EE96767">
                <wp:simplePos x="0" y="0"/>
                <wp:positionH relativeFrom="column">
                  <wp:posOffset>-57785</wp:posOffset>
                </wp:positionH>
                <wp:positionV relativeFrom="paragraph">
                  <wp:posOffset>4445</wp:posOffset>
                </wp:positionV>
                <wp:extent cx="253247" cy="428400"/>
                <wp:effectExtent l="0" t="0" r="0" b="0"/>
                <wp:wrapNone/>
                <wp:docPr id="15"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D6EA0B2" w14:textId="77777777" w:rsidR="00EA5096" w:rsidRPr="003D1008" w:rsidRDefault="00EA5096" w:rsidP="00FC2B1F"/>
      </w:tc>
    </w:tr>
  </w:tbl>
  <w:p w14:paraId="20669D00" w14:textId="77777777" w:rsidR="00EA5096" w:rsidRDefault="00EA5096" w:rsidP="00FC2B1F">
    <w:pPr>
      <w:pStyle w:val="InvisibleLine"/>
    </w:pPr>
  </w:p>
  <w:p w14:paraId="32EFAB88" w14:textId="77777777" w:rsidR="00EA5096" w:rsidRPr="00FC2B1F" w:rsidRDefault="00EA5096" w:rsidP="00FC2B1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B5CEF" w14:textId="77777777" w:rsidR="00EA5096" w:rsidRDefault="00EA5096" w:rsidP="00F657BF">
      <w:r>
        <w:separator/>
      </w:r>
    </w:p>
  </w:footnote>
  <w:footnote w:type="continuationSeparator" w:id="0">
    <w:p w14:paraId="4D9D2420" w14:textId="77777777" w:rsidR="00EA5096" w:rsidRDefault="00EA5096" w:rsidP="00F657BF">
      <w:r>
        <w:continuationSeparator/>
      </w:r>
    </w:p>
  </w:footnote>
  <w:footnote w:id="1">
    <w:p w14:paraId="66A4E970" w14:textId="77777777"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Cfr. Messaggio n. 7684, p. 30.</w:t>
      </w:r>
    </w:p>
  </w:footnote>
  <w:footnote w:id="2">
    <w:p w14:paraId="5F9C5037" w14:textId="77777777" w:rsidR="00EA5096" w:rsidRPr="005813EF" w:rsidRDefault="00EA5096" w:rsidP="00737825">
      <w:pPr>
        <w:pStyle w:val="Testonotaapidipagina"/>
        <w:spacing w:after="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Cfr. Messaggio n. 7684, p. 31.</w:t>
      </w:r>
    </w:p>
  </w:footnote>
  <w:footnote w:id="3">
    <w:p w14:paraId="0ABE48B7" w14:textId="77777777" w:rsidR="00EA5096" w:rsidRPr="005813EF" w:rsidRDefault="00EA5096" w:rsidP="00100005">
      <w:pPr>
        <w:pStyle w:val="Testonotaapidipagina"/>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Cfr. Rapporto di maggioranza n. 7684 R1, p. 7.</w:t>
      </w:r>
    </w:p>
  </w:footnote>
  <w:footnote w:id="4">
    <w:p w14:paraId="12F570C3" w14:textId="6A34BE95" w:rsidR="00EA5096" w:rsidRPr="005813EF" w:rsidRDefault="00EA5096" w:rsidP="00737825">
      <w:pPr>
        <w:pStyle w:val="Testonotaapidipagina"/>
        <w:spacing w:after="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A seguito di un referendum promosso dal Partito socialista, tale modifica di legge è stata sottoposta al voto popolare lo scorso 18 giugno, accogliendo l’adesione del popolo con il 53.3% dei voti favorevoli.</w:t>
      </w:r>
    </w:p>
  </w:footnote>
  <w:footnote w:id="5">
    <w:p w14:paraId="6CF39BB7" w14:textId="77777777"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 xml:space="preserve"> </w:t>
      </w:r>
      <w:r w:rsidRPr="005813EF">
        <w:rPr>
          <w:rFonts w:cstheme="minorHAnsi"/>
          <w:sz w:val="20"/>
          <w:lang w:val="it-CH"/>
        </w:rPr>
        <w:tab/>
        <w:t>Cfr. Messaggio n. 8207 p. 7.</w:t>
      </w:r>
    </w:p>
  </w:footnote>
  <w:footnote w:id="6">
    <w:p w14:paraId="621EBE2B" w14:textId="77777777"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Ai sensi della Legge tributaria cantonale, i partner registrati hanno il medesimo statuto dei coniugi (art. 8 cpv. 1bis LT).</w:t>
      </w:r>
    </w:p>
  </w:footnote>
  <w:footnote w:id="7">
    <w:p w14:paraId="509CE025" w14:textId="464BC186"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 xml:space="preserve">Comunicato stampa del 29 agosto 2018, Il Consiglio federale intende ammodernare il diritto successorio, in: </w:t>
      </w:r>
      <w:hyperlink r:id="rId1" w:history="1">
        <w:r w:rsidRPr="005813EF">
          <w:rPr>
            <w:rStyle w:val="Collegamentoipertestuale"/>
            <w:rFonts w:cstheme="minorHAnsi"/>
            <w:sz w:val="20"/>
            <w:lang w:val="it-CH"/>
          </w:rPr>
          <w:t>https://www.bj.admin.ch/ejpd/it/home/attualita/news/2018/2018-08-29.html</w:t>
        </w:r>
      </w:hyperlink>
      <w:r w:rsidRPr="00100005">
        <w:rPr>
          <w:rStyle w:val="Collegamentoipertestuale"/>
          <w:rFonts w:cstheme="minorHAnsi"/>
          <w:color w:val="auto"/>
          <w:sz w:val="20"/>
          <w:u w:val="none"/>
          <w:lang w:val="it-CH"/>
        </w:rPr>
        <w:t>.</w:t>
      </w:r>
    </w:p>
  </w:footnote>
  <w:footnote w:id="8">
    <w:p w14:paraId="69F0FA13" w14:textId="77777777"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 xml:space="preserve">Messaggio del Consiglio federale concernente la revisione del Codice civile svizzero (successione d’imprese) del 10 giugno 2022 (di seguito: Messaggio sulla successione di imprese), p. 1 segg. </w:t>
      </w:r>
    </w:p>
  </w:footnote>
  <w:footnote w:id="9">
    <w:p w14:paraId="5CB6948D" w14:textId="792C2D06" w:rsidR="00EA5096" w:rsidRPr="005813EF" w:rsidRDefault="00EA5096" w:rsidP="00737825">
      <w:pPr>
        <w:pStyle w:val="Testonotaapidipagina"/>
        <w:tabs>
          <w:tab w:val="left" w:pos="284"/>
        </w:tabs>
        <w:spacing w:after="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 xml:space="preserve">Il Consiglio federale adotta il messaggio sulla trasmissione d’imprese per via successoria, in: </w:t>
      </w:r>
      <w:hyperlink r:id="rId2" w:history="1">
        <w:r w:rsidRPr="005813EF">
          <w:rPr>
            <w:rStyle w:val="Collegamentoipertestuale"/>
            <w:rFonts w:cstheme="minorHAnsi"/>
            <w:sz w:val="20"/>
            <w:lang w:val="it-CH"/>
          </w:rPr>
          <w:t>https://www.admin.ch/gov/it/pagina-iniziale/documentazione/comunicati-stampa.msg-id-89219.html</w:t>
        </w:r>
      </w:hyperlink>
      <w:r w:rsidRPr="00100005">
        <w:rPr>
          <w:rStyle w:val="Collegamentoipertestuale"/>
          <w:rFonts w:cstheme="minorHAnsi"/>
          <w:color w:val="auto"/>
          <w:sz w:val="20"/>
          <w:u w:val="none"/>
          <w:lang w:val="it-CH"/>
        </w:rPr>
        <w:t>.</w:t>
      </w:r>
    </w:p>
  </w:footnote>
  <w:footnote w:id="10">
    <w:p w14:paraId="636DC368" w14:textId="76D3BEB2"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Trasmissione aziendale in Ticino, Risultati e tendenze a 10 anni dalla prima indagine ticinese (ottobre 2022), Gruppo Multi in collaborazione con Banca Stato, Camera di Commercio Cantone Ticino e Associazione imprese familiari</w:t>
      </w:r>
      <w:r>
        <w:rPr>
          <w:rFonts w:cstheme="minorHAnsi"/>
          <w:sz w:val="20"/>
          <w:lang w:val="it-CH"/>
        </w:rPr>
        <w:t>.</w:t>
      </w:r>
    </w:p>
  </w:footnote>
  <w:footnote w:id="11">
    <w:p w14:paraId="45F25E18" w14:textId="3FA6B08E" w:rsidR="00EA5096" w:rsidRPr="005813EF" w:rsidRDefault="00EA5096" w:rsidP="00737825">
      <w:pPr>
        <w:pStyle w:val="Testonotaapidipagina"/>
        <w:tabs>
          <w:tab w:val="left" w:pos="284"/>
        </w:tabs>
        <w:spacing w:after="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 xml:space="preserve">Credit Suisse, Panoramica delle imposte di successione e donazione nei Cantoni, situazione 1. gennaio 2023, in: </w:t>
      </w:r>
      <w:hyperlink r:id="rId3" w:history="1">
        <w:r w:rsidRPr="005813EF">
          <w:rPr>
            <w:rStyle w:val="Collegamentoipertestuale"/>
            <w:rFonts w:cstheme="minorHAnsi"/>
            <w:sz w:val="20"/>
            <w:lang w:val="it-CH"/>
          </w:rPr>
          <w:t>erbrecht-steuertabelle-it.pdf</w:t>
        </w:r>
      </w:hyperlink>
      <w:r w:rsidRPr="00100005">
        <w:rPr>
          <w:rStyle w:val="Collegamentoipertestuale"/>
          <w:rFonts w:cstheme="minorHAnsi"/>
          <w:color w:val="auto"/>
          <w:sz w:val="20"/>
          <w:u w:val="none"/>
          <w:lang w:val="it-CH"/>
        </w:rPr>
        <w:t>.</w:t>
      </w:r>
    </w:p>
  </w:footnote>
  <w:footnote w:id="12">
    <w:p w14:paraId="7E10A2AB" w14:textId="77777777" w:rsidR="00EA5096" w:rsidRPr="005813EF" w:rsidRDefault="00EA5096" w:rsidP="00100005">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t>Idem.</w:t>
      </w:r>
    </w:p>
  </w:footnote>
  <w:footnote w:id="13">
    <w:p w14:paraId="5F3D8629" w14:textId="77777777" w:rsidR="00EA5096" w:rsidRPr="005813EF" w:rsidRDefault="00EA5096" w:rsidP="00100005">
      <w:pPr>
        <w:pStyle w:val="Testonotaapidipagina"/>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ab/>
      </w:r>
      <w:r w:rsidRPr="005813EF">
        <w:rPr>
          <w:rFonts w:cstheme="minorHAnsi"/>
          <w:sz w:val="20"/>
          <w:u w:val="single"/>
          <w:lang w:val="it-CH"/>
        </w:rPr>
        <w:t>Non</w:t>
      </w:r>
      <w:r w:rsidRPr="005813EF">
        <w:rPr>
          <w:rFonts w:cstheme="minorHAnsi"/>
          <w:sz w:val="20"/>
          <w:lang w:val="it-CH"/>
        </w:rPr>
        <w:t xml:space="preserve"> rientrano in questa casistica i fratelli “germani” (= hanno entrambi i genitori in comune), i fratelli “consanguinei” (=hanno il padre in comune) e i “fratelli uterini” (= hanno la madre in comune). In questi casi la LT prevede l’aliquota invariata del 15.50%.</w:t>
      </w:r>
    </w:p>
  </w:footnote>
  <w:footnote w:id="14">
    <w:p w14:paraId="5650BF77" w14:textId="77777777" w:rsidR="00EA5096" w:rsidRPr="005813EF" w:rsidRDefault="00EA5096" w:rsidP="00737825">
      <w:pPr>
        <w:pStyle w:val="Testonotaapidipagina"/>
        <w:tabs>
          <w:tab w:val="left" w:pos="284"/>
        </w:tabs>
        <w:spacing w:after="0"/>
        <w:ind w:left="284" w:hanging="284"/>
        <w:rPr>
          <w:sz w:val="20"/>
          <w:lang w:val="it-CH"/>
        </w:rPr>
      </w:pPr>
      <w:r w:rsidRPr="005813EF">
        <w:rPr>
          <w:rStyle w:val="Rimandonotaapidipagina"/>
          <w:sz w:val="20"/>
        </w:rPr>
        <w:footnoteRef/>
      </w:r>
      <w:r w:rsidRPr="005813EF">
        <w:rPr>
          <w:sz w:val="20"/>
          <w:lang w:val="it-CH"/>
        </w:rPr>
        <w:tab/>
        <w:t>Attualmente sono in vigore 4 accordi di reciprocità in materia di esenzione con i Cantoni di BS, BE, ZG, VD.</w:t>
      </w:r>
    </w:p>
  </w:footnote>
  <w:footnote w:id="15">
    <w:p w14:paraId="72CE19A2" w14:textId="77777777" w:rsidR="00EA5096" w:rsidRPr="005813EF" w:rsidRDefault="00EA5096" w:rsidP="00737825">
      <w:pPr>
        <w:pStyle w:val="Testonotaapidipagina"/>
        <w:tabs>
          <w:tab w:val="left" w:pos="284"/>
        </w:tabs>
        <w:spacing w:after="0"/>
        <w:ind w:left="284" w:hanging="284"/>
        <w:rPr>
          <w:sz w:val="20"/>
          <w:lang w:val="it-CH"/>
        </w:rPr>
      </w:pPr>
      <w:r w:rsidRPr="005813EF">
        <w:rPr>
          <w:rStyle w:val="Rimandonotaapidipagina"/>
          <w:sz w:val="20"/>
        </w:rPr>
        <w:footnoteRef/>
      </w:r>
      <w:r w:rsidRPr="005813EF">
        <w:rPr>
          <w:sz w:val="20"/>
          <w:lang w:val="it-CH"/>
        </w:rPr>
        <w:t xml:space="preserve"> </w:t>
      </w:r>
      <w:r w:rsidRPr="005813EF">
        <w:rPr>
          <w:sz w:val="20"/>
          <w:lang w:val="it-CH"/>
        </w:rPr>
        <w:tab/>
        <w:t>Sentenza della CdT del 2 marzo 2018, inc. 80.2017.191 considerandi 5).</w:t>
      </w:r>
    </w:p>
  </w:footnote>
  <w:footnote w:id="16">
    <w:p w14:paraId="67BA6126" w14:textId="77777777" w:rsidR="00EA5096" w:rsidRPr="005813EF" w:rsidRDefault="00EA5096" w:rsidP="00100005">
      <w:pPr>
        <w:pStyle w:val="Testonotaapidipagina"/>
        <w:tabs>
          <w:tab w:val="left" w:pos="284"/>
        </w:tabs>
        <w:spacing w:after="120"/>
        <w:ind w:left="284" w:hanging="284"/>
        <w:rPr>
          <w:sz w:val="20"/>
          <w:lang w:val="it-CH"/>
        </w:rPr>
      </w:pPr>
      <w:r w:rsidRPr="005813EF">
        <w:rPr>
          <w:rStyle w:val="Rimandonotaapidipagina"/>
          <w:sz w:val="20"/>
        </w:rPr>
        <w:footnoteRef/>
      </w:r>
      <w:r w:rsidRPr="005813EF">
        <w:rPr>
          <w:sz w:val="20"/>
          <w:lang w:val="it-CH"/>
        </w:rPr>
        <w:t xml:space="preserve"> </w:t>
      </w:r>
      <w:r w:rsidRPr="005813EF">
        <w:rPr>
          <w:sz w:val="20"/>
          <w:lang w:val="it-CH"/>
        </w:rPr>
        <w:tab/>
        <w:t>Sentenza della CdT del 26 ottobre 2021, inc. 80.2019.38, considerandi 3.4).</w:t>
      </w:r>
    </w:p>
  </w:footnote>
  <w:footnote w:id="17">
    <w:p w14:paraId="742DCE09" w14:textId="77777777" w:rsidR="00EA5096" w:rsidRPr="005813EF" w:rsidRDefault="00EA5096" w:rsidP="00737825">
      <w:pPr>
        <w:pStyle w:val="Testonotaapidipagina"/>
        <w:tabs>
          <w:tab w:val="left" w:pos="284"/>
        </w:tabs>
        <w:spacing w:after="0"/>
        <w:ind w:left="284" w:hanging="284"/>
        <w:rPr>
          <w:sz w:val="20"/>
          <w:lang w:val="it-CH"/>
        </w:rPr>
      </w:pPr>
      <w:r w:rsidRPr="005813EF">
        <w:rPr>
          <w:rStyle w:val="Rimandonotaapidipagina"/>
          <w:sz w:val="20"/>
        </w:rPr>
        <w:footnoteRef/>
      </w:r>
      <w:r w:rsidRPr="005813EF">
        <w:rPr>
          <w:sz w:val="20"/>
          <w:lang w:val="it-CH"/>
        </w:rPr>
        <w:t xml:space="preserve"> </w:t>
      </w:r>
      <w:r w:rsidRPr="005813EF">
        <w:rPr>
          <w:sz w:val="20"/>
          <w:lang w:val="it-CH"/>
        </w:rPr>
        <w:tab/>
        <w:t>Sentenza del TF 2C_1057/2018.</w:t>
      </w:r>
    </w:p>
  </w:footnote>
  <w:footnote w:id="18">
    <w:p w14:paraId="1C462A4E" w14:textId="407F1B1C" w:rsidR="00EA5096" w:rsidRPr="005813EF" w:rsidRDefault="00EA5096" w:rsidP="00100005">
      <w:pPr>
        <w:pStyle w:val="Testonotaapidipagina"/>
        <w:tabs>
          <w:tab w:val="left" w:pos="284"/>
        </w:tabs>
        <w:spacing w:after="120"/>
        <w:ind w:left="284" w:hanging="284"/>
        <w:rPr>
          <w:sz w:val="20"/>
          <w:lang w:val="it-CH"/>
        </w:rPr>
      </w:pPr>
      <w:r w:rsidRPr="005813EF">
        <w:rPr>
          <w:rStyle w:val="Rimandonotaapidipagina"/>
          <w:sz w:val="20"/>
        </w:rPr>
        <w:footnoteRef/>
      </w:r>
      <w:r w:rsidRPr="005813EF">
        <w:rPr>
          <w:sz w:val="20"/>
          <w:lang w:val="it-CH"/>
        </w:rPr>
        <w:t xml:space="preserve"> </w:t>
      </w:r>
      <w:r w:rsidRPr="005813EF">
        <w:rPr>
          <w:sz w:val="20"/>
          <w:lang w:val="it-CH"/>
        </w:rPr>
        <w:tab/>
        <w:t>Amministrazione federale delle contribuzioni, Circolare n. 37, versione del 20 ottobre 2020, Imposizione delle partecipazioni di collaboratore.</w:t>
      </w:r>
    </w:p>
  </w:footnote>
  <w:footnote w:id="19">
    <w:p w14:paraId="4CDF398D" w14:textId="4EAF0196" w:rsidR="00EA5096" w:rsidRPr="005813EF" w:rsidRDefault="00EA5096" w:rsidP="00100005">
      <w:pPr>
        <w:pStyle w:val="Testonotaapidipagina"/>
        <w:tabs>
          <w:tab w:val="left" w:pos="284"/>
        </w:tabs>
        <w:spacing w:after="120"/>
        <w:rPr>
          <w:lang w:val="it-CH"/>
        </w:rPr>
      </w:pPr>
      <w:r w:rsidRPr="005813EF">
        <w:rPr>
          <w:rStyle w:val="Rimandonotaapidipagina"/>
        </w:rPr>
        <w:footnoteRef/>
      </w:r>
      <w:r>
        <w:rPr>
          <w:lang w:val="it-CH"/>
        </w:rPr>
        <w:tab/>
      </w:r>
      <w:r w:rsidRPr="005813EF">
        <w:rPr>
          <w:sz w:val="20"/>
          <w:lang w:val="it-CH"/>
        </w:rPr>
        <w:t>Fonte: elaborazione della Divisione delle contribuzioni.</w:t>
      </w:r>
    </w:p>
  </w:footnote>
  <w:footnote w:id="20">
    <w:p w14:paraId="347AD2CD" w14:textId="1721CC4D" w:rsidR="00EA5096" w:rsidRPr="00EA1E7E" w:rsidRDefault="00EA5096" w:rsidP="00100005">
      <w:pPr>
        <w:pStyle w:val="Testonotaapidipagina"/>
        <w:tabs>
          <w:tab w:val="left" w:pos="284"/>
        </w:tabs>
        <w:spacing w:after="120"/>
        <w:ind w:left="284" w:hanging="284"/>
        <w:rPr>
          <w:sz w:val="20"/>
          <w:lang w:val="it-CH"/>
        </w:rPr>
      </w:pPr>
      <w:r w:rsidRPr="00B35E8E">
        <w:rPr>
          <w:rStyle w:val="Rimandonotaapidipagina"/>
          <w:sz w:val="20"/>
        </w:rPr>
        <w:footnoteRef/>
      </w:r>
      <w:r>
        <w:rPr>
          <w:sz w:val="20"/>
          <w:lang w:val="it-CH"/>
        </w:rPr>
        <w:tab/>
      </w:r>
      <w:r w:rsidRPr="00B35E8E">
        <w:rPr>
          <w:rFonts w:eastAsia="Times New Roman" w:cs="Arial"/>
          <w:sz w:val="20"/>
          <w:lang w:val="it-IT" w:eastAsia="it-IT"/>
        </w:rPr>
        <w:t>Rispetto alle partenze va evidenziato che la statistica dei nuovi arrivi potrebbe essere incompleta poiché la rilevazione dipende dall’accertamento delle decisioni di tassazione che, per quanto riguarda gli anni fiscali più recenti, è ancora parziale.</w:t>
      </w:r>
    </w:p>
  </w:footnote>
  <w:footnote w:id="21">
    <w:p w14:paraId="1B6AF5EA" w14:textId="3ED7B38F" w:rsidR="00EA5096" w:rsidRPr="005813EF" w:rsidRDefault="00EA5096" w:rsidP="005B39D3">
      <w:pPr>
        <w:pStyle w:val="Testonotaapidipagina"/>
        <w:spacing w:after="120"/>
        <w:ind w:left="284"/>
        <w:rPr>
          <w:sz w:val="20"/>
          <w:lang w:val="it-CH"/>
        </w:rPr>
      </w:pPr>
      <w:r w:rsidRPr="005813EF">
        <w:rPr>
          <w:rStyle w:val="Rimandonotaapidipagina"/>
          <w:sz w:val="20"/>
        </w:rPr>
        <w:footnoteRef/>
      </w:r>
      <w:r w:rsidRPr="005813EF">
        <w:rPr>
          <w:sz w:val="20"/>
          <w:lang w:val="it-CH"/>
        </w:rPr>
        <w:t xml:space="preserve"> Cfr. Messaggio n. 7684, p. 31.</w:t>
      </w:r>
    </w:p>
  </w:footnote>
  <w:footnote w:id="22">
    <w:p w14:paraId="65835C85" w14:textId="57F5DBC4" w:rsidR="00EA5096" w:rsidRPr="00D36EB7" w:rsidRDefault="00EA5096" w:rsidP="005B39D3">
      <w:pPr>
        <w:pStyle w:val="Testonotaapidipagina"/>
        <w:tabs>
          <w:tab w:val="left" w:pos="284"/>
        </w:tabs>
        <w:spacing w:after="120"/>
        <w:rPr>
          <w:sz w:val="20"/>
          <w:lang w:val="it-CH"/>
        </w:rPr>
      </w:pPr>
      <w:r w:rsidRPr="00D36EB7">
        <w:rPr>
          <w:rStyle w:val="Rimandonotaapidipagina"/>
          <w:sz w:val="20"/>
        </w:rPr>
        <w:footnoteRef/>
      </w:r>
      <w:r>
        <w:rPr>
          <w:sz w:val="20"/>
          <w:lang w:val="it-CH"/>
        </w:rPr>
        <w:tab/>
      </w:r>
      <w:r w:rsidRPr="00D36EB7">
        <w:rPr>
          <w:sz w:val="20"/>
          <w:lang w:val="it-CH"/>
        </w:rPr>
        <w:t>Modifica di legge approvata dal popolo il 18 giugno 2023 ed entrata in vigore r</w:t>
      </w:r>
      <w:r>
        <w:rPr>
          <w:sz w:val="20"/>
          <w:lang w:val="it-CH"/>
        </w:rPr>
        <w:t xml:space="preserve">etroattivamente all’1.1.2023. </w:t>
      </w:r>
    </w:p>
  </w:footnote>
  <w:footnote w:id="23">
    <w:p w14:paraId="427553B5" w14:textId="0DB0FC31" w:rsidR="00EA5096" w:rsidRPr="00737825" w:rsidRDefault="00EA5096" w:rsidP="005B39D3">
      <w:pPr>
        <w:pStyle w:val="Testonotaapidipagina"/>
        <w:spacing w:after="120"/>
        <w:ind w:left="284" w:hanging="284"/>
        <w:rPr>
          <w:sz w:val="20"/>
          <w:lang w:val="it-CH"/>
        </w:rPr>
      </w:pPr>
      <w:r w:rsidRPr="00737825">
        <w:rPr>
          <w:rStyle w:val="Rimandonotaapidipagina"/>
          <w:sz w:val="20"/>
        </w:rPr>
        <w:footnoteRef/>
      </w:r>
      <w:r>
        <w:rPr>
          <w:sz w:val="20"/>
          <w:lang w:val="it-CH"/>
        </w:rPr>
        <w:tab/>
      </w:r>
      <w:r w:rsidRPr="00737825">
        <w:rPr>
          <w:sz w:val="20"/>
          <w:lang w:val="it-CH"/>
        </w:rPr>
        <w:t>Consiglio federale, Risposta del 2 dicembre 2005 alla mozione 05.1134, 2005.</w:t>
      </w:r>
    </w:p>
  </w:footnote>
  <w:footnote w:id="24">
    <w:p w14:paraId="4A1AFE27" w14:textId="603F2B90" w:rsidR="00EA5096" w:rsidRPr="005813EF" w:rsidRDefault="00EA5096" w:rsidP="005B39D3">
      <w:pPr>
        <w:pStyle w:val="Testonotaapidipagina"/>
        <w:tabs>
          <w:tab w:val="left" w:pos="284"/>
        </w:tabs>
        <w:spacing w:after="120"/>
        <w:ind w:left="284" w:hanging="284"/>
        <w:rPr>
          <w:rFonts w:cstheme="minorHAnsi"/>
          <w:sz w:val="20"/>
          <w:lang w:val="it-CH"/>
        </w:rPr>
      </w:pPr>
      <w:r w:rsidRPr="005813EF">
        <w:rPr>
          <w:rStyle w:val="Rimandonotaapidipagina"/>
          <w:rFonts w:cstheme="minorHAnsi"/>
          <w:sz w:val="20"/>
        </w:rPr>
        <w:footnoteRef/>
      </w:r>
      <w:r w:rsidRPr="005813EF">
        <w:rPr>
          <w:rFonts w:cstheme="minorHAnsi"/>
          <w:sz w:val="20"/>
          <w:lang w:val="it-CH"/>
        </w:rPr>
        <w:t xml:space="preserve"> </w:t>
      </w:r>
      <w:r w:rsidRPr="005813EF">
        <w:rPr>
          <w:rFonts w:cstheme="minorHAnsi"/>
          <w:sz w:val="20"/>
          <w:lang w:val="it-CH"/>
        </w:rPr>
        <w:tab/>
        <w:t>Ipotesi: ciascun coniuge ha un reddito identico.</w:t>
      </w:r>
    </w:p>
  </w:footnote>
  <w:footnote w:id="25">
    <w:p w14:paraId="62516320" w14:textId="3B9E79D9" w:rsidR="00EA5096" w:rsidRPr="00040794" w:rsidRDefault="00EA5096" w:rsidP="005B39D3">
      <w:pPr>
        <w:spacing w:after="120"/>
        <w:ind w:left="284" w:hanging="284"/>
        <w:rPr>
          <w:rFonts w:asciiTheme="minorHAnsi" w:hAnsiTheme="minorHAnsi" w:cstheme="minorHAnsi"/>
          <w:sz w:val="20"/>
          <w:szCs w:val="20"/>
        </w:rPr>
      </w:pPr>
      <w:r w:rsidRPr="005813EF">
        <w:rPr>
          <w:rStyle w:val="Rimandonotaapidipagina"/>
          <w:rFonts w:asciiTheme="minorHAnsi" w:hAnsiTheme="minorHAnsi" w:cstheme="minorHAnsi"/>
          <w:sz w:val="20"/>
          <w:szCs w:val="20"/>
        </w:rPr>
        <w:footnoteRef/>
      </w:r>
      <w:r w:rsidRPr="005813EF">
        <w:rPr>
          <w:rFonts w:asciiTheme="minorHAnsi" w:hAnsiTheme="minorHAnsi" w:cstheme="minorHAnsi"/>
          <w:sz w:val="20"/>
          <w:szCs w:val="20"/>
        </w:rPr>
        <w:t xml:space="preserve"> </w:t>
      </w:r>
      <w:r w:rsidRPr="005813EF">
        <w:rPr>
          <w:rFonts w:asciiTheme="minorHAnsi" w:hAnsiTheme="minorHAnsi" w:cstheme="minorHAnsi"/>
          <w:sz w:val="20"/>
          <w:szCs w:val="20"/>
        </w:rPr>
        <w:tab/>
        <w:t>Imposta federale, cantonale e comunale riferita al capoluogo cantonale.</w:t>
      </w:r>
      <w:r>
        <w:rPr>
          <w:rFonts w:asciiTheme="minorHAnsi" w:hAnsiTheme="minorHAnsi" w:cstheme="minorHAnsi"/>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A5096" w:rsidRPr="002747E7" w14:paraId="2F84C21A" w14:textId="77777777" w:rsidTr="008D317C">
      <w:trPr>
        <w:trHeight w:val="562"/>
      </w:trPr>
      <w:sdt>
        <w:sdtPr>
          <w:rPr>
            <w:rFonts w:ascii="Gill Alt One MT Light" w:hAnsi="Gill Alt One MT Light"/>
            <w:sz w:val="16"/>
            <w:szCs w:val="16"/>
          </w:rPr>
          <w:alias w:val="CustomElements.Fields.Dipartimenti"/>
          <w:id w:val="1567676091"/>
          <w:dataBinding w:xpath="//Text[@id='CustomElements.Fields.Dipartimenti']" w:storeItemID="{499418D8-1E9D-4BE0-80D2-C5F5EE4DC563}"/>
          <w:text w:multiLine="1"/>
        </w:sdtPr>
        <w:sdtEndPr/>
        <w:sdtContent>
          <w:tc>
            <w:tcPr>
              <w:tcW w:w="8383" w:type="dxa"/>
              <w:tcBorders>
                <w:left w:val="single" w:sz="4" w:space="0" w:color="auto"/>
                <w:bottom w:val="single" w:sz="4" w:space="0" w:color="auto"/>
              </w:tcBorders>
              <w:tcMar>
                <w:left w:w="142" w:type="dxa"/>
              </w:tcMar>
              <w:vAlign w:val="bottom"/>
            </w:tcPr>
            <w:p w14:paraId="5D86741A" w14:textId="77777777" w:rsidR="00EA5096" w:rsidRPr="00E8185F" w:rsidRDefault="00EA5096" w:rsidP="008D317C">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0A210335" w14:textId="33183FD0" w:rsidR="00EA5096" w:rsidRPr="004204CB" w:rsidRDefault="00EA5096" w:rsidP="008D317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D7065">
            <w:rPr>
              <w:noProof/>
              <w:sz w:val="24"/>
            </w:rPr>
            <w:t>41</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D7065">
            <w:rPr>
              <w:noProof/>
              <w:sz w:val="24"/>
            </w:rPr>
            <w:t>51</w:t>
          </w:r>
          <w:r w:rsidRPr="004204CB">
            <w:rPr>
              <w:noProof/>
              <w:sz w:val="24"/>
            </w:rPr>
            <w:fldChar w:fldCharType="end"/>
          </w:r>
        </w:p>
      </w:tc>
    </w:tr>
    <w:tr w:rsidR="00EA5096" w:rsidRPr="009E444B" w14:paraId="0DE69F7E" w14:textId="77777777" w:rsidTr="008D317C">
      <w:trPr>
        <w:trHeight w:val="334"/>
      </w:trPr>
      <w:sdt>
        <w:sdtPr>
          <w:rPr>
            <w:rFonts w:ascii="Gill Sans Display MT Pro BdCn" w:hAnsi="Gill Sans Display MT Pro BdCn"/>
            <w:sz w:val="18"/>
            <w:szCs w:val="18"/>
          </w:rPr>
          <w:alias w:val="CustomElements.Fields.Titolo2"/>
          <w:id w:val="48588533"/>
          <w:dataBinding w:xpath="//Text[@id='CustomElements.Fields.Titolo2']" w:storeItemID="{499418D8-1E9D-4BE0-80D2-C5F5EE4DC563}"/>
          <w:text w:multiLine="1"/>
        </w:sdtPr>
        <w:sdtEndPr/>
        <w:sdtContent>
          <w:tc>
            <w:tcPr>
              <w:tcW w:w="8383" w:type="dxa"/>
              <w:tcBorders>
                <w:left w:val="single" w:sz="4" w:space="0" w:color="auto"/>
              </w:tcBorders>
              <w:tcMar>
                <w:top w:w="0" w:type="dxa"/>
                <w:left w:w="142" w:type="dxa"/>
              </w:tcMar>
            </w:tcPr>
            <w:p w14:paraId="13171B9E" w14:textId="76F5DCB8" w:rsidR="00EA5096" w:rsidRPr="00E8185F" w:rsidRDefault="009D7065" w:rsidP="008D317C">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8303 del 12 luglio 2023</w:t>
              </w:r>
            </w:p>
          </w:tc>
        </w:sdtContent>
      </w:sdt>
      <w:tc>
        <w:tcPr>
          <w:tcW w:w="1710" w:type="dxa"/>
          <w:tcBorders>
            <w:top w:val="single" w:sz="4" w:space="0" w:color="auto"/>
          </w:tcBorders>
        </w:tcPr>
        <w:p w14:paraId="788B2A67" w14:textId="77777777" w:rsidR="00EA5096" w:rsidRPr="00E043A3" w:rsidRDefault="00EA5096" w:rsidP="008D317C">
          <w:pPr>
            <w:pStyle w:val="InvisibleLine"/>
            <w:rPr>
              <w:lang w:val="de-DE"/>
            </w:rPr>
          </w:pPr>
        </w:p>
      </w:tc>
    </w:tr>
  </w:tbl>
  <w:p w14:paraId="638151CE" w14:textId="77777777" w:rsidR="00EA5096" w:rsidRPr="00980362" w:rsidRDefault="00EA5096" w:rsidP="008D317C">
    <w:pPr>
      <w:pStyle w:val="Intestazione"/>
    </w:pPr>
    <w:r>
      <w:rPr>
        <w:noProof/>
        <w:lang w:val="it-CH" w:eastAsia="it-CH"/>
      </w:rPr>
      <mc:AlternateContent>
        <mc:Choice Requires="wps">
          <w:drawing>
            <wp:anchor distT="0" distB="0" distL="114300" distR="114300" simplePos="0" relativeHeight="251665408" behindDoc="1" locked="1" layoutInCell="1" allowOverlap="1" wp14:anchorId="63C1CF81" wp14:editId="1D426E2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99418D8-1E9D-4BE0-80D2-C5F5EE4DC563}"/>
                            <w:text w:multiLine="1"/>
                          </w:sdtPr>
                          <w:sdtEndPr/>
                          <w:sdtContent>
                            <w:p w14:paraId="09E83B72" w14:textId="77777777" w:rsidR="00EA5096" w:rsidRPr="00411371" w:rsidRDefault="00EA5096" w:rsidP="008D317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C1CF8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84320D2-0E3E-4D41-80A8-FBAB155F6AE6}"/>
                      <w:text w:multiLine="1"/>
                    </w:sdtPr>
                    <w:sdtEndPr/>
                    <w:sdtContent>
                      <w:p w14:paraId="09E83B72" w14:textId="77777777" w:rsidR="00EA5096" w:rsidRPr="00411371" w:rsidRDefault="00EA5096" w:rsidP="008D317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EA5096" w:rsidRPr="0004624C" w14:paraId="3D7338C8" w14:textId="77777777" w:rsidTr="008D317C">
      <w:trPr>
        <w:trHeight w:val="586"/>
      </w:trPr>
      <w:tc>
        <w:tcPr>
          <w:tcW w:w="2440" w:type="pct"/>
          <w:gridSpan w:val="3"/>
          <w:tcBorders>
            <w:top w:val="nil"/>
            <w:left w:val="nil"/>
            <w:bottom w:val="single" w:sz="4" w:space="0" w:color="auto"/>
          </w:tcBorders>
          <w:vAlign w:val="bottom"/>
        </w:tcPr>
        <w:p w14:paraId="376C158F" w14:textId="77777777" w:rsidR="00EA5096" w:rsidRPr="003108C0" w:rsidRDefault="00EA5096" w:rsidP="008D317C">
          <w:pPr>
            <w:pStyle w:val="InvisibleLine"/>
            <w:ind w:left="150"/>
            <w:rPr>
              <w:sz w:val="16"/>
            </w:rPr>
          </w:pPr>
        </w:p>
      </w:tc>
      <w:tc>
        <w:tcPr>
          <w:tcW w:w="373" w:type="pct"/>
          <w:tcBorders>
            <w:top w:val="nil"/>
            <w:bottom w:val="single" w:sz="4" w:space="0" w:color="auto"/>
          </w:tcBorders>
          <w:vAlign w:val="bottom"/>
        </w:tcPr>
        <w:p w14:paraId="4883EF28" w14:textId="77777777" w:rsidR="00EA5096" w:rsidRPr="003108C0" w:rsidRDefault="00EA5096" w:rsidP="008D317C">
          <w:pPr>
            <w:pStyle w:val="Level"/>
            <w:ind w:left="150"/>
            <w:rPr>
              <w:sz w:val="16"/>
            </w:rPr>
          </w:pPr>
        </w:p>
      </w:tc>
      <w:tc>
        <w:tcPr>
          <w:tcW w:w="209" w:type="pct"/>
          <w:tcBorders>
            <w:top w:val="nil"/>
            <w:bottom w:val="single" w:sz="4" w:space="0" w:color="auto"/>
          </w:tcBorders>
        </w:tcPr>
        <w:p w14:paraId="087AB411" w14:textId="77777777" w:rsidR="00EA5096" w:rsidRDefault="00EA5096" w:rsidP="008D317C">
          <w:pPr>
            <w:pStyle w:val="InvisibleLine"/>
            <w:ind w:left="150"/>
          </w:pPr>
          <w:r>
            <w:rPr>
              <w:noProof/>
              <w:lang w:val="it-CH" w:eastAsia="it-CH"/>
            </w:rPr>
            <w:drawing>
              <wp:anchor distT="0" distB="0" distL="114300" distR="114300" simplePos="0" relativeHeight="251667456" behindDoc="1" locked="1" layoutInCell="1" allowOverlap="1" wp14:anchorId="4237FB1D" wp14:editId="78A96C76">
                <wp:simplePos x="0" y="0"/>
                <wp:positionH relativeFrom="column">
                  <wp:posOffset>-92710</wp:posOffset>
                </wp:positionH>
                <wp:positionV relativeFrom="page">
                  <wp:posOffset>-119380</wp:posOffset>
                </wp:positionV>
                <wp:extent cx="276653" cy="467995"/>
                <wp:effectExtent l="0" t="0" r="0" b="8255"/>
                <wp:wrapNone/>
                <wp:docPr id="19" name="ooImg_749798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665A9E2E" w14:textId="5FA537CB" w:rsidR="00EA5096" w:rsidRPr="004204CB" w:rsidRDefault="00EA5096" w:rsidP="008D317C">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D706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D7065">
            <w:rPr>
              <w:rFonts w:asciiTheme="minorHAnsi" w:hAnsiTheme="minorHAnsi" w:cstheme="minorHAnsi"/>
              <w:noProof/>
              <w:sz w:val="24"/>
            </w:rPr>
            <w:t>51</w:t>
          </w:r>
          <w:r w:rsidRPr="004204CB">
            <w:rPr>
              <w:rFonts w:asciiTheme="minorHAnsi" w:hAnsiTheme="minorHAnsi" w:cstheme="minorHAnsi"/>
              <w:noProof/>
              <w:sz w:val="24"/>
            </w:rPr>
            <w:fldChar w:fldCharType="end"/>
          </w:r>
        </w:p>
      </w:tc>
    </w:tr>
    <w:tr w:rsidR="00EA5096" w:rsidRPr="0004624C" w14:paraId="6BAF070F" w14:textId="77777777" w:rsidTr="008D317C">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99418D8-1E9D-4BE0-80D2-C5F5EE4DC563}"/>
          <w:text w:multiLine="1"/>
        </w:sdtPr>
        <w:sdtEndPr/>
        <w:sdtContent>
          <w:tc>
            <w:tcPr>
              <w:tcW w:w="5000" w:type="pct"/>
              <w:gridSpan w:val="6"/>
              <w:tcBorders>
                <w:left w:val="nil"/>
                <w:right w:val="nil"/>
              </w:tcBorders>
              <w:noWrap/>
              <w:tcMar>
                <w:top w:w="0" w:type="dxa"/>
              </w:tcMar>
              <w:vAlign w:val="bottom"/>
            </w:tcPr>
            <w:p w14:paraId="085623FB" w14:textId="77777777" w:rsidR="00EA5096" w:rsidRPr="008C03B5" w:rsidRDefault="00EA5096" w:rsidP="008D317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EA5096" w:rsidRPr="0004624C" w14:paraId="507813C5" w14:textId="77777777" w:rsidTr="008D317C">
      <w:trPr>
        <w:trHeight w:hRule="exact" w:val="306"/>
      </w:trPr>
      <w:tc>
        <w:tcPr>
          <w:tcW w:w="670" w:type="pct"/>
          <w:tcBorders>
            <w:left w:val="nil"/>
            <w:bottom w:val="nil"/>
          </w:tcBorders>
          <w:noWrap/>
          <w:tcMar>
            <w:top w:w="57" w:type="dxa"/>
            <w:left w:w="142" w:type="dxa"/>
          </w:tcMar>
        </w:tcPr>
        <w:p w14:paraId="34AEB11A" w14:textId="77777777" w:rsidR="00EA5096" w:rsidRPr="00C7320A" w:rsidRDefault="00EA5096" w:rsidP="008D317C">
          <w:pPr>
            <w:pStyle w:val="Level"/>
            <w:spacing w:before="60"/>
            <w:rPr>
              <w:rFonts w:ascii="Gill Alt One MT Light" w:hAnsi="Gill Alt One MT Light"/>
              <w:sz w:val="16"/>
            </w:rPr>
          </w:pPr>
          <w:r w:rsidRPr="00C7320A">
            <w:rPr>
              <w:rFonts w:ascii="Gill Alt One MT Light" w:hAnsi="Gill Alt One MT Light"/>
              <w:sz w:val="16"/>
            </w:rPr>
            <w:t>numero</w:t>
          </w:r>
        </w:p>
        <w:p w14:paraId="2CCD0697" w14:textId="77777777" w:rsidR="00EA5096" w:rsidRPr="00C7320A" w:rsidRDefault="00EA5096" w:rsidP="008D317C">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5082A805" w14:textId="77777777" w:rsidR="00EA5096" w:rsidRPr="00C7320A" w:rsidRDefault="00EA5096" w:rsidP="008D317C">
          <w:pPr>
            <w:pStyle w:val="Level"/>
            <w:spacing w:before="60"/>
            <w:rPr>
              <w:rFonts w:ascii="Gill Alt One MT Light" w:hAnsi="Gill Alt One MT Light"/>
              <w:sz w:val="16"/>
            </w:rPr>
          </w:pPr>
          <w:r w:rsidRPr="00C7320A">
            <w:rPr>
              <w:rFonts w:ascii="Gill Alt One MT Light" w:hAnsi="Gill Alt One MT Light"/>
              <w:sz w:val="16"/>
            </w:rPr>
            <w:t>data</w:t>
          </w:r>
        </w:p>
        <w:p w14:paraId="3F74A780" w14:textId="77777777" w:rsidR="00EA5096" w:rsidRPr="00C7320A" w:rsidRDefault="00EA5096" w:rsidP="008D317C">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94AB19D" w14:textId="77777777" w:rsidR="00EA5096" w:rsidRPr="00C7320A" w:rsidRDefault="00EA5096" w:rsidP="008D317C">
          <w:pPr>
            <w:pStyle w:val="Level"/>
            <w:spacing w:before="60"/>
            <w:rPr>
              <w:rFonts w:ascii="Gill Alt One MT Light" w:hAnsi="Gill Alt One MT Light"/>
              <w:sz w:val="16"/>
            </w:rPr>
          </w:pPr>
          <w:r>
            <w:rPr>
              <w:rFonts w:ascii="Gill Alt One MT Light" w:hAnsi="Gill Alt One MT Light"/>
              <w:sz w:val="16"/>
            </w:rPr>
            <w:t>competenza</w:t>
          </w:r>
        </w:p>
        <w:p w14:paraId="418CC541" w14:textId="77777777" w:rsidR="00EA5096" w:rsidRPr="008C03B5" w:rsidRDefault="00EA5096" w:rsidP="008D317C">
          <w:pPr>
            <w:pStyle w:val="Level"/>
            <w:spacing w:before="60" w:line="240" w:lineRule="auto"/>
            <w:rPr>
              <w:rFonts w:ascii="Gill Alt One MT Light" w:hAnsi="Gill Alt One MT Light"/>
              <w:sz w:val="16"/>
            </w:rPr>
          </w:pPr>
        </w:p>
      </w:tc>
    </w:tr>
    <w:tr w:rsidR="00EA5096" w:rsidRPr="0004624C" w14:paraId="2DCBCF8F" w14:textId="77777777" w:rsidTr="008D317C">
      <w:trPr>
        <w:trHeight w:hRule="exact" w:val="699"/>
      </w:trPr>
      <w:tc>
        <w:tcPr>
          <w:tcW w:w="670" w:type="pct"/>
          <w:tcBorders>
            <w:top w:val="nil"/>
            <w:left w:val="nil"/>
            <w:bottom w:val="single" w:sz="4" w:space="0" w:color="auto"/>
            <w:right w:val="nil"/>
          </w:tcBorders>
          <w:noWrap/>
          <w:tcMar>
            <w:top w:w="0" w:type="dxa"/>
          </w:tcMar>
        </w:tcPr>
        <w:p w14:paraId="299B5F82" w14:textId="09174EF2" w:rsidR="00EA5096" w:rsidRPr="00BE22A2" w:rsidRDefault="00B8096C" w:rsidP="008D317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99418D8-1E9D-4BE0-80D2-C5F5EE4DC563}"/>
              <w:text w:multiLine="1"/>
            </w:sdtPr>
            <w:sdtEndPr/>
            <w:sdtContent>
              <w:r w:rsidR="009D7065">
                <w:rPr>
                  <w:rFonts w:cstheme="minorHAnsi"/>
                  <w:b/>
                  <w:sz w:val="24"/>
                  <w:szCs w:val="24"/>
                </w:rPr>
                <w:t>8303</w:t>
              </w:r>
            </w:sdtContent>
          </w:sdt>
        </w:p>
      </w:tc>
      <w:sdt>
        <w:sdtPr>
          <w:rPr>
            <w:sz w:val="24"/>
          </w:rPr>
          <w:alias w:val="DocParam.Date"/>
          <w:id w:val="-464426178"/>
          <w:dataBinding w:xpath="//DateTime[@id='DocParam.Date']" w:storeItemID="{499418D8-1E9D-4BE0-80D2-C5F5EE4DC563}"/>
          <w:date w:fullDate="2023-07-1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8ABCA21" w14:textId="00D00867" w:rsidR="00EA5096" w:rsidRPr="002A0371" w:rsidRDefault="00EA5096" w:rsidP="008D317C">
              <w:pPr>
                <w:pStyle w:val="Data"/>
              </w:pPr>
              <w:r>
                <w:rPr>
                  <w:sz w:val="24"/>
                </w:rPr>
                <w:t>12 luglio 2023</w:t>
              </w:r>
            </w:p>
          </w:tc>
        </w:sdtContent>
      </w:sdt>
      <w:tc>
        <w:tcPr>
          <w:tcW w:w="3218" w:type="pct"/>
          <w:gridSpan w:val="4"/>
          <w:tcBorders>
            <w:top w:val="nil"/>
            <w:left w:val="nil"/>
            <w:bottom w:val="nil"/>
            <w:right w:val="nil"/>
          </w:tcBorders>
        </w:tcPr>
        <w:p w14:paraId="01762DE8" w14:textId="77777777" w:rsidR="00EA5096" w:rsidRPr="00BE22A2" w:rsidRDefault="00B8096C" w:rsidP="008D317C">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99418D8-1E9D-4BE0-80D2-C5F5EE4DC563}"/>
              <w:text w:multiLine="1"/>
            </w:sdtPr>
            <w:sdtEndPr/>
            <w:sdtContent>
              <w:r w:rsidR="00EA5096">
                <w:rPr>
                  <w:smallCaps/>
                  <w:sz w:val="23"/>
                  <w:szCs w:val="23"/>
                </w:rPr>
                <w:t>Dipartimento delle finanze e dell’economia</w:t>
              </w:r>
            </w:sdtContent>
          </w:sdt>
        </w:p>
      </w:tc>
    </w:tr>
    <w:tr w:rsidR="00EA5096" w:rsidRPr="00C63927" w14:paraId="6A521C71" w14:textId="77777777" w:rsidTr="008D317C">
      <w:trPr>
        <w:trHeight w:hRule="exact" w:val="198"/>
      </w:trPr>
      <w:tc>
        <w:tcPr>
          <w:tcW w:w="5000" w:type="pct"/>
          <w:gridSpan w:val="6"/>
          <w:tcBorders>
            <w:left w:val="nil"/>
            <w:bottom w:val="nil"/>
            <w:right w:val="nil"/>
          </w:tcBorders>
          <w:noWrap/>
          <w:tcMar>
            <w:top w:w="57" w:type="dxa"/>
            <w:left w:w="85" w:type="dxa"/>
            <w:bottom w:w="170" w:type="dxa"/>
          </w:tcMar>
        </w:tcPr>
        <w:p w14:paraId="7EE67637" w14:textId="77777777" w:rsidR="00EA5096" w:rsidRPr="00C7320A" w:rsidRDefault="00EA5096" w:rsidP="008D317C">
          <w:pPr>
            <w:pStyle w:val="Level"/>
            <w:ind w:left="150"/>
            <w:rPr>
              <w:rFonts w:ascii="Gill Alt One MT Light" w:hAnsi="Gill Alt One MT Light"/>
              <w:sz w:val="16"/>
              <w:szCs w:val="16"/>
            </w:rPr>
          </w:pPr>
        </w:p>
      </w:tc>
    </w:tr>
  </w:tbl>
  <w:p w14:paraId="6B1A1867" w14:textId="77777777" w:rsidR="00EA5096" w:rsidRPr="00DA2879" w:rsidRDefault="00EA5096" w:rsidP="008D317C">
    <w:pPr>
      <w:pStyle w:val="Nessunaspaziatura"/>
      <w:spacing w:line="40" w:lineRule="exact"/>
    </w:pPr>
    <w:r>
      <w:rPr>
        <w:noProof/>
        <w:lang w:val="it-CH" w:eastAsia="it-CH"/>
      </w:rPr>
      <w:drawing>
        <wp:anchor distT="0" distB="0" distL="114300" distR="114300" simplePos="0" relativeHeight="251659264" behindDoc="1" locked="1" layoutInCell="1" allowOverlap="1" wp14:anchorId="16B2DE69" wp14:editId="670B1937">
          <wp:simplePos x="0" y="0"/>
          <wp:positionH relativeFrom="column">
            <wp:posOffset>3042920</wp:posOffset>
          </wp:positionH>
          <wp:positionV relativeFrom="page">
            <wp:posOffset>215265</wp:posOffset>
          </wp:positionV>
          <wp:extent cx="459464" cy="467995"/>
          <wp:effectExtent l="0" t="0" r="0" b="8255"/>
          <wp:wrapNone/>
          <wp:docPr id="20" name="ooImg_58020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FD3403A" wp14:editId="5653C477">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99418D8-1E9D-4BE0-80D2-C5F5EE4DC563}"/>
                            <w:text w:multiLine="1"/>
                          </w:sdtPr>
                          <w:sdtEndPr/>
                          <w:sdtContent>
                            <w:p w14:paraId="1ED58BAD" w14:textId="77777777" w:rsidR="00EA5096" w:rsidRPr="00411371" w:rsidRDefault="00EA5096" w:rsidP="008D317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D3403A"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84320D2-0E3E-4D41-80A8-FBAB155F6AE6}"/>
                      <w:text w:multiLine="1"/>
                    </w:sdtPr>
                    <w:sdtEndPr/>
                    <w:sdtContent>
                      <w:p w14:paraId="1ED58BAD" w14:textId="77777777" w:rsidR="00EA5096" w:rsidRPr="00411371" w:rsidRDefault="00EA5096" w:rsidP="008D317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4896" w:type="dxa"/>
      <w:tblInd w:w="-159" w:type="dxa"/>
      <w:tblLayout w:type="fixed"/>
      <w:tblCellMar>
        <w:left w:w="0" w:type="dxa"/>
        <w:right w:w="0" w:type="dxa"/>
      </w:tblCellMar>
      <w:tblLook w:val="04A0" w:firstRow="1" w:lastRow="0" w:firstColumn="1" w:lastColumn="0" w:noHBand="0" w:noVBand="1"/>
    </w:tblPr>
    <w:tblGrid>
      <w:gridCol w:w="8383"/>
      <w:gridCol w:w="6513"/>
    </w:tblGrid>
    <w:tr w:rsidR="00EA5096" w:rsidRPr="002747E7" w14:paraId="0010E902" w14:textId="77777777" w:rsidTr="009F0389">
      <w:trPr>
        <w:trHeight w:val="562"/>
      </w:trPr>
      <w:sdt>
        <w:sdtPr>
          <w:rPr>
            <w:rFonts w:ascii="Gill Alt One MT Light" w:hAnsi="Gill Alt One MT Light"/>
            <w:sz w:val="16"/>
            <w:szCs w:val="16"/>
          </w:rPr>
          <w:alias w:val="CustomElements.Fields.Dipartimenti"/>
          <w:id w:val="-707956657"/>
          <w:dataBinding w:xpath="//Text[@id='CustomElements.Fields.Dipartimenti']" w:storeItemID="{499418D8-1E9D-4BE0-80D2-C5F5EE4DC563}"/>
          <w:text w:multiLine="1"/>
        </w:sdtPr>
        <w:sdtEndPr/>
        <w:sdtContent>
          <w:tc>
            <w:tcPr>
              <w:tcW w:w="8383" w:type="dxa"/>
              <w:tcBorders>
                <w:left w:val="single" w:sz="4" w:space="0" w:color="auto"/>
                <w:bottom w:val="single" w:sz="4" w:space="0" w:color="auto"/>
              </w:tcBorders>
              <w:tcMar>
                <w:left w:w="142" w:type="dxa"/>
              </w:tcMar>
              <w:vAlign w:val="bottom"/>
            </w:tcPr>
            <w:p w14:paraId="61EC037C" w14:textId="5A77451C" w:rsidR="00EA5096" w:rsidRPr="00E8185F" w:rsidRDefault="00EA5096" w:rsidP="008D317C">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6513" w:type="dxa"/>
          <w:tcBorders>
            <w:bottom w:val="single" w:sz="4" w:space="0" w:color="auto"/>
          </w:tcBorders>
          <w:vAlign w:val="bottom"/>
        </w:tcPr>
        <w:p w14:paraId="364E9758" w14:textId="315D3C63" w:rsidR="00EA5096" w:rsidRPr="004204CB" w:rsidRDefault="00EA5096" w:rsidP="008D317C">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D7065">
            <w:rPr>
              <w:noProof/>
              <w:sz w:val="24"/>
            </w:rPr>
            <w:t>42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D7065">
            <w:rPr>
              <w:noProof/>
              <w:sz w:val="24"/>
            </w:rPr>
            <w:t>51</w:t>
          </w:r>
          <w:r w:rsidRPr="004204CB">
            <w:rPr>
              <w:noProof/>
              <w:sz w:val="24"/>
            </w:rPr>
            <w:fldChar w:fldCharType="end"/>
          </w:r>
        </w:p>
      </w:tc>
    </w:tr>
    <w:tr w:rsidR="00EA5096" w:rsidRPr="009E444B" w14:paraId="0C9204A3" w14:textId="77777777" w:rsidTr="009F0389">
      <w:trPr>
        <w:trHeight w:val="334"/>
      </w:trPr>
      <w:tc>
        <w:tcPr>
          <w:tcW w:w="8383" w:type="dxa"/>
          <w:tcBorders>
            <w:left w:val="single" w:sz="4" w:space="0" w:color="auto"/>
          </w:tcBorders>
          <w:tcMar>
            <w:top w:w="0" w:type="dxa"/>
            <w:left w:w="142" w:type="dxa"/>
          </w:tcMar>
        </w:tcPr>
        <w:p w14:paraId="23C7A3A1" w14:textId="57A9DA4E" w:rsidR="00EA5096" w:rsidRPr="00E8185F" w:rsidRDefault="00B8096C" w:rsidP="00760D0D">
          <w:pPr>
            <w:pStyle w:val="Information"/>
            <w:tabs>
              <w:tab w:val="center" w:pos="4120"/>
              <w:tab w:val="left" w:pos="4533"/>
            </w:tabs>
            <w:rPr>
              <w:rFonts w:ascii="Gill Sans Display MT Pro BdCn" w:hAnsi="Gill Sans Display MT Pro BdCn"/>
              <w:sz w:val="18"/>
              <w:szCs w:val="18"/>
              <w:lang w:val="de-DE"/>
            </w:rPr>
          </w:pPr>
          <w:sdt>
            <w:sdtPr>
              <w:rPr>
                <w:rFonts w:ascii="Gill Sans Display MT Pro BdCn" w:hAnsi="Gill Sans Display MT Pro BdCn"/>
                <w:sz w:val="18"/>
                <w:szCs w:val="18"/>
              </w:rPr>
              <w:alias w:val="CustomElements.Fields.Titolo2"/>
              <w:id w:val="-402458494"/>
              <w:dataBinding w:xpath="//Text[@id='CustomElements.Fields.Titolo2']" w:storeItemID="{499418D8-1E9D-4BE0-80D2-C5F5EE4DC563}"/>
              <w:text w:multiLine="1"/>
            </w:sdtPr>
            <w:sdtEndPr/>
            <w:sdtContent>
              <w:r w:rsidR="009D7065">
                <w:rPr>
                  <w:rFonts w:ascii="Gill Sans Display MT Pro BdCn" w:hAnsi="Gill Sans Display MT Pro BdCn"/>
                  <w:sz w:val="18"/>
                  <w:szCs w:val="18"/>
                </w:rPr>
                <w:t>Messaggio n. 8303 del 12 luglio 2023</w:t>
              </w:r>
            </w:sdtContent>
          </w:sdt>
          <w:r w:rsidR="00EA5096">
            <w:rPr>
              <w:rFonts w:ascii="Gill Sans Display MT Pro BdCn" w:hAnsi="Gill Sans Display MT Pro BdCn"/>
              <w:sz w:val="18"/>
              <w:szCs w:val="18"/>
            </w:rPr>
            <w:tab/>
          </w:r>
          <w:r w:rsidR="00EA5096">
            <w:rPr>
              <w:rFonts w:ascii="Gill Sans Display MT Pro BdCn" w:hAnsi="Gill Sans Display MT Pro BdCn"/>
              <w:sz w:val="18"/>
              <w:szCs w:val="18"/>
            </w:rPr>
            <w:tab/>
          </w:r>
        </w:p>
      </w:tc>
      <w:tc>
        <w:tcPr>
          <w:tcW w:w="6513" w:type="dxa"/>
          <w:tcBorders>
            <w:top w:val="single" w:sz="4" w:space="0" w:color="auto"/>
          </w:tcBorders>
        </w:tcPr>
        <w:p w14:paraId="3CDD3048" w14:textId="77777777" w:rsidR="00EA5096" w:rsidRPr="00E043A3" w:rsidRDefault="00EA5096" w:rsidP="008D317C">
          <w:pPr>
            <w:pStyle w:val="InvisibleLine"/>
            <w:rPr>
              <w:lang w:val="de-DE"/>
            </w:rPr>
          </w:pPr>
        </w:p>
      </w:tc>
    </w:tr>
  </w:tbl>
  <w:p w14:paraId="58C8A9D2" w14:textId="5A77451C" w:rsidR="00EA5096" w:rsidRPr="00980362" w:rsidRDefault="00EA5096" w:rsidP="008D317C">
    <w:pPr>
      <w:pStyle w:val="Intestazione"/>
    </w:pPr>
    <w:r>
      <w:rPr>
        <w:noProof/>
        <w:lang w:val="it-CH" w:eastAsia="it-CH"/>
      </w:rPr>
      <mc:AlternateContent>
        <mc:Choice Requires="wps">
          <w:drawing>
            <wp:anchor distT="0" distB="0" distL="114300" distR="114300" simplePos="0" relativeHeight="251672576" behindDoc="1" locked="1" layoutInCell="1" allowOverlap="1" wp14:anchorId="2527B781" wp14:editId="7FB79E03">
              <wp:simplePos x="0" y="0"/>
              <wp:positionH relativeFrom="page">
                <wp:posOffset>-590550</wp:posOffset>
              </wp:positionH>
              <wp:positionV relativeFrom="page">
                <wp:posOffset>-16171545</wp:posOffset>
              </wp:positionV>
              <wp:extent cx="8640000" cy="1800000"/>
              <wp:effectExtent l="1991360" t="0" r="2057400" b="0"/>
              <wp:wrapNone/>
              <wp:docPr id="30"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328875602"/>
                            <w:dataBinding w:xpath="//Text[@id='CustomElements.Texts.Draft']" w:storeItemID="{499418D8-1E9D-4BE0-80D2-C5F5EE4DC563}"/>
                            <w:text w:multiLine="1"/>
                          </w:sdtPr>
                          <w:sdtEndPr/>
                          <w:sdtContent>
                            <w:p w14:paraId="0D932B2D" w14:textId="77777777" w:rsidR="00EA5096" w:rsidRPr="00411371" w:rsidRDefault="00EA5096" w:rsidP="008D317C">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27B781" id="_x0000_t202" coordsize="21600,21600" o:spt="202" path="m,l,21600r21600,l21600,xe">
              <v:stroke joinstyle="miter"/>
              <v:path gradientshapeok="t" o:connecttype="rect"/>
            </v:shapetype>
            <v:shape id="_x0000_s1028" type="#_x0000_t202" alt="off" style="position:absolute;left:0;text-align:left;margin-left:-46.5pt;margin-top:-1273.35pt;width:680.3pt;height:141.75pt;rotation:-60;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uSijgIAAIkFAAAOAAAAZHJzL2Uyb0RvYy54bWysVFFP2zAQfp+0/2CZ55EWGKoqUtSBmCYx&#10;QIOJZ9exaTTH59luk+7X77OTFMT2wrQ8RGf7u893353v7LxrDNsqH2qyJZ8eTjhTVlJV26eSf3+4&#10;+jDjLERhK2HIqpLvVODni/fvzlo3V0e0JlMpz0Biw7x1JV/H6OZFEeRaNSIcklMWh5p8IyKW/qmo&#10;vGjB3pjiaDI5LVrylfMkVQjYvewP+SLza61kvNU6qMhMyRFbzH+f/6v0LxZnYv7khVvXcghD/EMU&#10;jagtLt1TXYoo2MbXf1A1tfQUSMdDSU1BWtdS5RyQzXTyKpv7tXAq5wJxgtvLFP4frbzZ3nlWVyU/&#10;hjxWNKjRwcEBdNTxK1UK9glnlQoSoiHcJFjrwhx+9w6esftEHQo/7gdsJh067RvmCXpPZ5P8ZXnA&#10;wADHVbu9+qqLTGJzdnqSgJxJnA1eibbo2RKr8yF+VtSwZJTco7yZVmyvQ+yhIyTBLV3VxuQSG8va&#10;kp8ef5xkh/0JyI1NWJWbpafBqosDY0q2TypbcWdUghv7TWnolpNJG7lj1YXxbCvQa0JKZWOWJV8B&#10;dEJpxPMWxwH/HOBbnPuUxpvJxr1zU1vyWYhXYVc/xpB1j4f8L/JOZuxWXW6Yo7HmK6p2aIVcbZQv&#10;OHlVoz7XIsQ74fGcsIkREW/x04ZQBxosztbkf/1tP+HR5TjlrMXzLHn4uRFecWa+WPQ/KONo+NFY&#10;jYbdNBeEKkxzNNmEg49mNLWn5hGTY5luwZGwEneVXEY/Li5iPyYwe6RaLjMMb9aJeG3vnUzkqSyp&#10;3x66R+Hd0JQRvXND49MV81e92WOTp6XlJpKuc+MmZXsdB8Xx3nPrD7MpDZSX64x6nqCL3wAAAP//&#10;AwBQSwMEFAAGAAgAAAAhABRyEa/jAAAADwEAAA8AAABkcnMvZG93bnJldi54bWxMj8FOwzAMhu9I&#10;vENkJG5b2tKtozSdGBJXJsYOHNPWa8sSp2qyrXt7zIkdbX/6/f3FerJGnHH0vSMF8TwCgVS7pqdW&#10;wf7rfbYC4YOmRhtHqOCKHtbl/V2h88Zd6BPPu9AKDiGfawVdCEMupa87tNrP3YDEt4MbrQ48jq1s&#10;Rn3hcGtkEkVLaXVP/KHTA751WB93J6vgw1TRdvOzOYzx95Yw644mvu6VenyYXl9ABJzCPwx/+qwO&#10;JTtV7kSNF0ZBmi4WjCqYPUWrRQKCmSx55n4V7+IsSZcgy0Le9ih/AQAA//8DAFBLAQItABQABgAI&#10;AAAAIQC2gziS/gAAAOEBAAATAAAAAAAAAAAAAAAAAAAAAABbQ29udGVudF9UeXBlc10ueG1sUEsB&#10;Ai0AFAAGAAgAAAAhADj9If/WAAAAlAEAAAsAAAAAAAAAAAAAAAAALwEAAF9yZWxzLy5yZWxzUEsB&#10;Ai0AFAAGAAgAAAAhAIAC5KKOAgAAiQUAAA4AAAAAAAAAAAAAAAAALgIAAGRycy9lMm9Eb2MueG1s&#10;UEsBAi0AFAAGAAgAAAAhABRyEa/jAAAADwEAAA8AAAAAAAAAAAAAAAAA6AQAAGRycy9kb3ducmV2&#10;LnhtbFBLBQYAAAAABAAEAPMAAAD4BQAAAAA=&#10;" filled="f" stroked="f" strokeweight=".5pt">
              <v:textbox inset="0,0,0,0">
                <w:txbxContent>
                  <w:sdt>
                    <w:sdtPr>
                      <w:rPr>
                        <w:lang w:val="it-CH"/>
                      </w:rPr>
                      <w:alias w:val="CustomElements.Texts.Draft"/>
                      <w:id w:val="328875602"/>
                      <w:dataBinding w:xpath="//Text[@id='CustomElements.Texts.Draft']" w:storeItemID="{F84320D2-0E3E-4D41-80A8-FBAB155F6AE6}"/>
                      <w:text w:multiLine="1"/>
                    </w:sdtPr>
                    <w:sdtEndPr/>
                    <w:sdtContent>
                      <w:p w14:paraId="0D932B2D" w14:textId="77777777" w:rsidR="00EA5096" w:rsidRPr="00411371" w:rsidRDefault="00EA5096" w:rsidP="008D317C">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EA5096" w:rsidRPr="002747E7" w14:paraId="4999ECF8" w14:textId="77777777" w:rsidTr="00BF3C78">
      <w:trPr>
        <w:trHeight w:val="562"/>
      </w:trPr>
      <w:sdt>
        <w:sdtPr>
          <w:rPr>
            <w:rFonts w:ascii="Gill Alt One MT Light" w:hAnsi="Gill Alt One MT Light"/>
            <w:sz w:val="16"/>
            <w:szCs w:val="16"/>
          </w:rPr>
          <w:alias w:val="CustomElements.Fields.Dipartimenti"/>
          <w:id w:val="-1910761629"/>
          <w:dataBinding w:xpath="//Text[@id='CustomElements.Fields.Dipartimenti']" w:storeItemID="{499418D8-1E9D-4BE0-80D2-C5F5EE4DC563}"/>
          <w:text w:multiLine="1"/>
        </w:sdtPr>
        <w:sdtEndPr/>
        <w:sdtContent>
          <w:tc>
            <w:tcPr>
              <w:tcW w:w="8383" w:type="dxa"/>
              <w:tcBorders>
                <w:left w:val="single" w:sz="4" w:space="0" w:color="auto"/>
                <w:bottom w:val="single" w:sz="4" w:space="0" w:color="auto"/>
              </w:tcBorders>
              <w:tcMar>
                <w:left w:w="142" w:type="dxa"/>
              </w:tcMar>
              <w:vAlign w:val="bottom"/>
            </w:tcPr>
            <w:p w14:paraId="3B7B5CCA" w14:textId="77777777" w:rsidR="00EA5096" w:rsidRPr="00E8185F" w:rsidRDefault="00EA5096" w:rsidP="00760D0D">
              <w:pPr>
                <w:pStyle w:val="Page"/>
                <w:rPr>
                  <w:rFonts w:ascii="Gill Alt One MT Light" w:hAnsi="Gill Alt One MT Light"/>
                  <w:sz w:val="16"/>
                  <w:szCs w:val="16"/>
                </w:rPr>
              </w:pPr>
              <w:r>
                <w:rPr>
                  <w:rFonts w:ascii="Gill Alt One MT Light" w:hAnsi="Gill Alt One MT Light"/>
                  <w:sz w:val="16"/>
                  <w:szCs w:val="16"/>
                </w:rPr>
                <w:t>Dipartimento delle finanze e dell’economia</w:t>
              </w:r>
            </w:p>
          </w:tc>
        </w:sdtContent>
      </w:sdt>
      <w:tc>
        <w:tcPr>
          <w:tcW w:w="1710" w:type="dxa"/>
          <w:tcBorders>
            <w:bottom w:val="single" w:sz="4" w:space="0" w:color="auto"/>
          </w:tcBorders>
          <w:vAlign w:val="bottom"/>
        </w:tcPr>
        <w:p w14:paraId="06A38109" w14:textId="0354BBCC" w:rsidR="00EA5096" w:rsidRPr="004204CB" w:rsidRDefault="00EA5096" w:rsidP="00760D0D">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8096C">
            <w:rPr>
              <w:noProof/>
              <w:sz w:val="24"/>
            </w:rPr>
            <w:t>47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8096C">
            <w:rPr>
              <w:noProof/>
              <w:sz w:val="24"/>
            </w:rPr>
            <w:t>51</w:t>
          </w:r>
          <w:r w:rsidRPr="004204CB">
            <w:rPr>
              <w:noProof/>
              <w:sz w:val="24"/>
            </w:rPr>
            <w:fldChar w:fldCharType="end"/>
          </w:r>
        </w:p>
      </w:tc>
    </w:tr>
    <w:tr w:rsidR="00EA5096" w:rsidRPr="009E444B" w14:paraId="2F0A7D0D" w14:textId="77777777" w:rsidTr="00BF3C78">
      <w:trPr>
        <w:trHeight w:val="334"/>
      </w:trPr>
      <w:sdt>
        <w:sdtPr>
          <w:rPr>
            <w:rFonts w:ascii="Gill Sans Display MT Pro BdCn" w:hAnsi="Gill Sans Display MT Pro BdCn"/>
            <w:sz w:val="18"/>
            <w:szCs w:val="18"/>
          </w:rPr>
          <w:alias w:val="CustomElements.Fields.Titolo2"/>
          <w:id w:val="1850756760"/>
          <w:dataBinding w:xpath="//Text[@id='CustomElements.Fields.Titolo2']" w:storeItemID="{499418D8-1E9D-4BE0-80D2-C5F5EE4DC563}"/>
          <w:text w:multiLine="1"/>
        </w:sdtPr>
        <w:sdtEndPr/>
        <w:sdtContent>
          <w:tc>
            <w:tcPr>
              <w:tcW w:w="8383" w:type="dxa"/>
              <w:tcBorders>
                <w:left w:val="single" w:sz="4" w:space="0" w:color="auto"/>
              </w:tcBorders>
              <w:tcMar>
                <w:top w:w="0" w:type="dxa"/>
                <w:left w:w="142" w:type="dxa"/>
              </w:tcMar>
            </w:tcPr>
            <w:p w14:paraId="3124B080" w14:textId="78745442" w:rsidR="00EA5096" w:rsidRPr="00E8185F" w:rsidRDefault="009D7065" w:rsidP="00760D0D">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8303 del 12 luglio 2023</w:t>
              </w:r>
            </w:p>
          </w:tc>
        </w:sdtContent>
      </w:sdt>
      <w:tc>
        <w:tcPr>
          <w:tcW w:w="1710" w:type="dxa"/>
          <w:tcBorders>
            <w:top w:val="single" w:sz="4" w:space="0" w:color="auto"/>
          </w:tcBorders>
        </w:tcPr>
        <w:p w14:paraId="6793E023" w14:textId="77777777" w:rsidR="00EA5096" w:rsidRPr="00E043A3" w:rsidRDefault="00EA5096" w:rsidP="00760D0D">
          <w:pPr>
            <w:pStyle w:val="InvisibleLine"/>
            <w:rPr>
              <w:lang w:val="de-DE"/>
            </w:rPr>
          </w:pPr>
        </w:p>
      </w:tc>
    </w:tr>
  </w:tbl>
  <w:p w14:paraId="406C2980" w14:textId="77777777" w:rsidR="00EA5096" w:rsidRPr="00980362" w:rsidRDefault="00EA5096" w:rsidP="00760D0D">
    <w:pPr>
      <w:pStyle w:val="Intestazione"/>
    </w:pPr>
    <w:r>
      <w:rPr>
        <w:noProof/>
        <w:lang w:val="it-CH" w:eastAsia="it-CH"/>
      </w:rPr>
      <mc:AlternateContent>
        <mc:Choice Requires="wps">
          <w:drawing>
            <wp:anchor distT="0" distB="0" distL="114300" distR="114300" simplePos="0" relativeHeight="251677696" behindDoc="1" locked="1" layoutInCell="1" allowOverlap="1" wp14:anchorId="1080DBCF" wp14:editId="3A7D528A">
              <wp:simplePos x="0" y="0"/>
              <wp:positionH relativeFrom="page">
                <wp:posOffset>-590550</wp:posOffset>
              </wp:positionH>
              <wp:positionV relativeFrom="page">
                <wp:posOffset>-16171545</wp:posOffset>
              </wp:positionV>
              <wp:extent cx="8640000" cy="1800000"/>
              <wp:effectExtent l="1991360" t="0" r="2057400" b="0"/>
              <wp:wrapNone/>
              <wp:docPr id="37"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txbx>
                      <w:txbxContent>
                        <w:sdt>
                          <w:sdtPr>
                            <w:rPr>
                              <w:lang w:val="it-CH"/>
                            </w:rPr>
                            <w:alias w:val="CustomElements.Texts.Draft"/>
                            <w:id w:val="1764957327"/>
                            <w:dataBinding w:xpath="//Text[@id='CustomElements.Texts.Draft']" w:storeItemID="{499418D8-1E9D-4BE0-80D2-C5F5EE4DC563}"/>
                            <w:text w:multiLine="1"/>
                          </w:sdtPr>
                          <w:sdtEndPr/>
                          <w:sdtContent>
                            <w:p w14:paraId="78CBBF6B" w14:textId="77777777" w:rsidR="00EA5096" w:rsidRPr="00411371" w:rsidRDefault="00EA5096" w:rsidP="00760D0D">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80DBCF" id="_x0000_t202" coordsize="21600,21600" o:spt="202" path="m,l,21600r21600,l21600,xe">
              <v:stroke joinstyle="miter"/>
              <v:path gradientshapeok="t" o:connecttype="rect"/>
            </v:shapetype>
            <v:shape id="_x0000_s1029" type="#_x0000_t202" alt="off" style="position:absolute;left:0;text-align:left;margin-left:-46.5pt;margin-top:-1273.35pt;width:680.3pt;height:141.75pt;rotation:-60;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xqQgIAAIYEAAAOAAAAZHJzL2Uyb0RvYy54bWysVMFu2zAMvQ/YPwjKeXXSdm0Q1CmyFh0G&#10;dG2BduhZkaXEgC1qElO7+/o9yXE2dDsNy0GgSOqZfI/MxWXfNuLFhFiTK+XsaCqFcZqq2m1K+e3p&#10;5sNcisjKVaohZ0r5aqK8XL5/d9H5hTmmLTWVCQIgLi46X8ots18URdRb06p4RN44BC2FVjGuYVNU&#10;QXVAb5vieDo9KzoKlQ+kTYzwXg9Bucz41hrN99ZGw6IpJWrjfIZ8rtNZLC/UYhOU39Z6X4b6hypa&#10;VTt89AB1rViJXaj/gGprHSiS5SNNbUHW1trkHtDNbPqmm8et8ib3AnKiP9AU/x+svnt5CKKuSnly&#10;LoVTLTSaTCbg0fJXqgzsUykqEzVIQ7mJsM7HBd49erzk/hP1EH70RzgTD70NrQgEvmfzaf5leoAg&#10;kA4lXg/sm56FhnN+dpoSpdCI7V8l2GJAS6g+RP5sqBXJKGWAvBlWvdxGHlLHlJTu6KZumixx40RX&#10;yrOTj9P84BABeONSrsnDMsDg1vMeMTU7NJUs7tf9wNbY8JqqV/CQW0Xt0eubGsXdqsgPKmCW4MR+&#10;8D0O2xCKoL0lxZbCj7/5Uz4kRlSKDrNZyvh9p4KRovniID4geTTCaKxHw+3aK8K4z3I12cSDwM1o&#10;2kDtM9Zmlb6CkHIa3yql5jBernjYESyeNqtVTsPAesW37tHrBD7q8dQ/q+D3ijCIu6NxbtXijTBD&#10;7iDNasdk66xaYnbgEWqnC4Y9675fzLRNv99z1q+/j+VPAAAA//8DAFBLAwQUAAYACAAAACEAFHIR&#10;r+MAAAAPAQAADwAAAGRycy9kb3ducmV2LnhtbEyPwU7DMAyG70i8Q2Qkblva0q2jNJ0YElcmxg4c&#10;09ZryxKnarKte3vMiR1tf/r9/cV6skaccfS9IwXxPAKBVLump1bB/ut9tgLhg6ZGG0eo4Ioe1uX9&#10;XaHzxl3oE8+70AoOIZ9rBV0IQy6lrzu02s/dgMS3gxutDjyOrWxGfeFwa2QSRUtpdU/8odMDvnVY&#10;H3cnq+DDVNF287M5jPH3ljDrjia+7pV6fJheX0AEnMI/DH/6rA4lO1XuRI0XRkGaLhaMKpg9RatF&#10;AoKZLHnmfhXv4ixJlyDLQt72KH8BAAD//wMAUEsBAi0AFAAGAAgAAAAhALaDOJL+AAAA4QEAABMA&#10;AAAAAAAAAAAAAAAAAAAAAFtDb250ZW50X1R5cGVzXS54bWxQSwECLQAUAAYACAAAACEAOP0h/9YA&#10;AACUAQAACwAAAAAAAAAAAAAAAAAvAQAAX3JlbHMvLnJlbHNQSwECLQAUAAYACAAAACEAVX8cakIC&#10;AACGBAAADgAAAAAAAAAAAAAAAAAuAgAAZHJzL2Uyb0RvYy54bWxQSwECLQAUAAYACAAAACEAFHIR&#10;r+MAAAAPAQAADwAAAAAAAAAAAAAAAACcBAAAZHJzL2Rvd25yZXYueG1sUEsFBgAAAAAEAAQA8wAA&#10;AKwFAAAAAA==&#10;" filled="f" stroked="f" strokeweight=".5pt">
              <v:textbox inset="0,0,0,0">
                <w:txbxContent>
                  <w:sdt>
                    <w:sdtPr>
                      <w:rPr>
                        <w:lang w:val="it-CH"/>
                      </w:rPr>
                      <w:alias w:val="CustomElements.Texts.Draft"/>
                      <w:id w:val="1764957327"/>
                      <w:dataBinding w:xpath="//Text[@id='CustomElements.Texts.Draft']" w:storeItemID="{F84320D2-0E3E-4D41-80A8-FBAB155F6AE6}"/>
                      <w:text w:multiLine="1"/>
                    </w:sdtPr>
                    <w:sdtEndPr/>
                    <w:sdtContent>
                      <w:p w14:paraId="78CBBF6B" w14:textId="77777777" w:rsidR="00EA5096" w:rsidRPr="00411371" w:rsidRDefault="00EA5096" w:rsidP="00760D0D">
                        <w:pPr>
                          <w:pStyle w:val="DraftText"/>
                          <w:rPr>
                            <w:lang w:val="it-CH"/>
                          </w:rPr>
                        </w:pPr>
                        <w:r w:rsidRPr="00411371">
                          <w:rPr>
                            <w:lang w:val="it-CH"/>
                          </w:rPr>
                          <w:t>Bozza</w:t>
                        </w:r>
                      </w:p>
                    </w:sdtContent>
                  </w:sdt>
                </w:txbxContent>
              </v:textbox>
              <w10:wrap anchorx="page" anchory="page"/>
              <w10:anchorlock/>
            </v:shape>
          </w:pict>
        </mc:Fallback>
      </mc:AlternateContent>
    </w:r>
  </w:p>
  <w:p w14:paraId="486B43E6" w14:textId="195AAF93" w:rsidR="00EA5096" w:rsidRPr="00760D0D" w:rsidRDefault="00EA5096" w:rsidP="00760D0D">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4320"/>
    <w:multiLevelType w:val="hybridMultilevel"/>
    <w:tmpl w:val="45E27AFA"/>
    <w:lvl w:ilvl="0" w:tplc="9610578E">
      <w:start w:val="1"/>
      <w:numFmt w:val="lowerLetter"/>
      <w:lvlText w:val="%1)"/>
      <w:lvlJc w:val="left"/>
      <w:pPr>
        <w:ind w:left="1080" w:hanging="360"/>
      </w:pPr>
      <w:rPr>
        <w:rFonts w:hint="default"/>
      </w:rPr>
    </w:lvl>
    <w:lvl w:ilvl="1" w:tplc="08100019">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1" w15:restartNumberingAfterBreak="0">
    <w:nsid w:val="07A62BBE"/>
    <w:multiLevelType w:val="multilevel"/>
    <w:tmpl w:val="252A0A9E"/>
    <w:lvl w:ilvl="0">
      <w:start w:val="1"/>
      <w:numFmt w:val="decimal"/>
      <w:pStyle w:val="1titolo"/>
      <w:lvlText w:val="%1."/>
      <w:lvlJc w:val="left"/>
      <w:pPr>
        <w:ind w:left="0" w:firstLine="0"/>
      </w:pPr>
      <w:rPr>
        <w:rFonts w:hint="default"/>
      </w:rPr>
    </w:lvl>
    <w:lvl w:ilvl="1">
      <w:start w:val="1"/>
      <w:numFmt w:val="decimal"/>
      <w:pStyle w:val="2titolo"/>
      <w:lvlText w:val="%1.%2."/>
      <w:lvlJc w:val="left"/>
      <w:pPr>
        <w:ind w:left="9639" w:firstLine="0"/>
      </w:pPr>
      <w:rPr>
        <w:rFonts w:hint="default"/>
      </w:rPr>
    </w:lvl>
    <w:lvl w:ilvl="2">
      <w:start w:val="1"/>
      <w:numFmt w:val="decimal"/>
      <w:pStyle w:val="3titolo"/>
      <w:lvlText w:val="%2.%1.%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 w15:restartNumberingAfterBreak="0">
    <w:nsid w:val="11F926A1"/>
    <w:multiLevelType w:val="hybridMultilevel"/>
    <w:tmpl w:val="F30495CE"/>
    <w:lvl w:ilvl="0" w:tplc="08100011">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15:restartNumberingAfterBreak="0">
    <w:nsid w:val="125B71B9"/>
    <w:multiLevelType w:val="hybridMultilevel"/>
    <w:tmpl w:val="4D82E05A"/>
    <w:lvl w:ilvl="0" w:tplc="4760ACA2">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36A0276"/>
    <w:multiLevelType w:val="hybridMultilevel"/>
    <w:tmpl w:val="8EE21F96"/>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6" w15:restartNumberingAfterBreak="0">
    <w:nsid w:val="18081428"/>
    <w:multiLevelType w:val="hybridMultilevel"/>
    <w:tmpl w:val="285E1C68"/>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7"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9" w15:restartNumberingAfterBreak="0">
    <w:nsid w:val="21E03ACC"/>
    <w:multiLevelType w:val="hybridMultilevel"/>
    <w:tmpl w:val="6486E894"/>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0" w15:restartNumberingAfterBreak="0">
    <w:nsid w:val="298C0E96"/>
    <w:multiLevelType w:val="multilevel"/>
    <w:tmpl w:val="AC58379E"/>
    <w:lvl w:ilvl="0">
      <w:start w:val="1"/>
      <w:numFmt w:val="lowerLetter"/>
      <w:lvlText w:val="%1)"/>
      <w:lvlJc w:val="left"/>
      <w:pPr>
        <w:tabs>
          <w:tab w:val="num" w:pos="720"/>
        </w:tabs>
        <w:ind w:left="720" w:hanging="360"/>
      </w:pPr>
      <w:rPr>
        <w:rFonts w:asciiTheme="minorHAnsi" w:eastAsia="Times New Roman" w:hAnsiTheme="minorHAnsi" w:cstheme="minorHAns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FAE6BAC"/>
    <w:multiLevelType w:val="hybridMultilevel"/>
    <w:tmpl w:val="DABAA892"/>
    <w:lvl w:ilvl="0" w:tplc="08100017">
      <w:start w:val="1"/>
      <w:numFmt w:val="lowerLetter"/>
      <w:lvlText w:val="%1)"/>
      <w:lvlJc w:val="left"/>
      <w:pPr>
        <w:ind w:left="720" w:hanging="360"/>
      </w:pPr>
      <w:rPr>
        <w:rFonts w:hint="default"/>
      </w:r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33EE6CC5"/>
    <w:multiLevelType w:val="hybridMultilevel"/>
    <w:tmpl w:val="3006DC8A"/>
    <w:lvl w:ilvl="0" w:tplc="E4AC5034">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94D031C"/>
    <w:multiLevelType w:val="multilevel"/>
    <w:tmpl w:val="5F162A58"/>
    <w:lvl w:ilvl="0">
      <w:start w:val="1"/>
      <w:numFmt w:val="decimal"/>
      <w:pStyle w:val="CAPITOLO1"/>
      <w:lvlText w:val="%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CAPITOLO2"/>
      <w:isLgl/>
      <w:lvlText w:val="%1.%2."/>
      <w:lvlJc w:val="left"/>
      <w:pPr>
        <w:ind w:left="1080" w:hanging="720"/>
      </w:pPr>
      <w:rPr>
        <w:rFonts w:hint="default"/>
      </w:rPr>
    </w:lvl>
    <w:lvl w:ilvl="2">
      <w:start w:val="1"/>
      <w:numFmt w:val="decimal"/>
      <w:pStyle w:val="CAPITOLO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3E2C5409"/>
    <w:multiLevelType w:val="hybridMultilevel"/>
    <w:tmpl w:val="CEE84540"/>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7" w15:restartNumberingAfterBreak="0">
    <w:nsid w:val="400365FF"/>
    <w:multiLevelType w:val="hybridMultilevel"/>
    <w:tmpl w:val="765E602A"/>
    <w:lvl w:ilvl="0" w:tplc="A27E3924">
      <w:start w:val="1"/>
      <w:numFmt w:val="decimal"/>
      <w:lvlText w:val="%1."/>
      <w:lvlJc w:val="left"/>
      <w:pPr>
        <w:ind w:left="360" w:hanging="360"/>
      </w:pPr>
      <w:rPr>
        <w:rFonts w:ascii="Arial" w:eastAsia="Times New Roman" w:hAnsi="Arial" w:cs="Times New Roman"/>
      </w:rPr>
    </w:lvl>
    <w:lvl w:ilvl="1" w:tplc="08100019">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FAD75D5"/>
    <w:multiLevelType w:val="hybridMultilevel"/>
    <w:tmpl w:val="4048958E"/>
    <w:lvl w:ilvl="0" w:tplc="247E511E">
      <w:start w:val="5"/>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5AF95B46"/>
    <w:multiLevelType w:val="hybridMultilevel"/>
    <w:tmpl w:val="F6640DE6"/>
    <w:lvl w:ilvl="0" w:tplc="A314E0E6">
      <w:start w:val="1"/>
      <w:numFmt w:val="upperRoman"/>
      <w:pStyle w:val="TITOLO"/>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69B34F3E"/>
    <w:multiLevelType w:val="hybridMultilevel"/>
    <w:tmpl w:val="F44E08DE"/>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6986987"/>
    <w:multiLevelType w:val="hybridMultilevel"/>
    <w:tmpl w:val="878438EE"/>
    <w:lvl w:ilvl="0" w:tplc="245434AE">
      <w:start w:val="1"/>
      <w:numFmt w:val="bullet"/>
      <w:lvlText w:val=""/>
      <w:lvlJc w:val="left"/>
      <w:pPr>
        <w:ind w:left="720" w:hanging="360"/>
      </w:pPr>
      <w:rPr>
        <w:rFonts w:ascii="Wingdings" w:eastAsiaTheme="minorHAnsi" w:hAnsi="Wingdings"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3" w15:restartNumberingAfterBreak="0">
    <w:nsid w:val="7AE918E4"/>
    <w:multiLevelType w:val="hybridMultilevel"/>
    <w:tmpl w:val="D3A04DE0"/>
    <w:lvl w:ilvl="0" w:tplc="610683AC">
      <w:start w:val="2"/>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4" w15:restartNumberingAfterBreak="0">
    <w:nsid w:val="7DFF729E"/>
    <w:multiLevelType w:val="hybridMultilevel"/>
    <w:tmpl w:val="45E27AFA"/>
    <w:lvl w:ilvl="0" w:tplc="9610578E">
      <w:start w:val="1"/>
      <w:numFmt w:val="lowerLetter"/>
      <w:lvlText w:val="%1)"/>
      <w:lvlJc w:val="left"/>
      <w:pPr>
        <w:ind w:left="1080" w:hanging="360"/>
      </w:pPr>
      <w:rPr>
        <w:rFonts w:hint="default"/>
      </w:rPr>
    </w:lvl>
    <w:lvl w:ilvl="1" w:tplc="08100019">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5" w15:restartNumberingAfterBreak="0">
    <w:nsid w:val="7F146DAC"/>
    <w:multiLevelType w:val="hybridMultilevel"/>
    <w:tmpl w:val="BAD2839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7"/>
  </w:num>
  <w:num w:numId="2">
    <w:abstractNumId w:val="2"/>
  </w:num>
  <w:num w:numId="3">
    <w:abstractNumId w:val="18"/>
  </w:num>
  <w:num w:numId="4">
    <w:abstractNumId w:val="14"/>
  </w:num>
  <w:num w:numId="5">
    <w:abstractNumId w:val="8"/>
  </w:num>
  <w:num w:numId="6">
    <w:abstractNumId w:val="11"/>
  </w:num>
  <w:num w:numId="7">
    <w:abstractNumId w:val="1"/>
  </w:num>
  <w:num w:numId="8">
    <w:abstractNumId w:val="4"/>
  </w:num>
  <w:num w:numId="9">
    <w:abstractNumId w:val="22"/>
  </w:num>
  <w:num w:numId="10">
    <w:abstractNumId w:val="20"/>
  </w:num>
  <w:num w:numId="11">
    <w:abstractNumId w:val="15"/>
  </w:num>
  <w:num w:numId="12">
    <w:abstractNumId w:val="15"/>
    <w:lvlOverride w:ilvl="0">
      <w:startOverride w:val="1"/>
    </w:lvlOverride>
  </w:num>
  <w:num w:numId="13">
    <w:abstractNumId w:val="15"/>
    <w:lvlOverride w:ilvl="0">
      <w:startOverride w:val="1"/>
    </w:lvlOverride>
  </w:num>
  <w:num w:numId="14">
    <w:abstractNumId w:val="19"/>
  </w:num>
  <w:num w:numId="15">
    <w:abstractNumId w:val="21"/>
  </w:num>
  <w:num w:numId="16">
    <w:abstractNumId w:val="9"/>
  </w:num>
  <w:num w:numId="17">
    <w:abstractNumId w:val="25"/>
  </w:num>
  <w:num w:numId="18">
    <w:abstractNumId w:val="5"/>
  </w:num>
  <w:num w:numId="19">
    <w:abstractNumId w:val="23"/>
  </w:num>
  <w:num w:numId="20">
    <w:abstractNumId w:val="17"/>
  </w:num>
  <w:num w:numId="21">
    <w:abstractNumId w:val="12"/>
  </w:num>
  <w:num w:numId="22">
    <w:abstractNumId w:val="3"/>
  </w:num>
  <w:num w:numId="23">
    <w:abstractNumId w:val="16"/>
  </w:num>
  <w:num w:numId="24">
    <w:abstractNumId w:val="24"/>
  </w:num>
  <w:num w:numId="25">
    <w:abstractNumId w:val="0"/>
  </w:num>
  <w:num w:numId="26">
    <w:abstractNumId w:val="15"/>
  </w:num>
  <w:num w:numId="27">
    <w:abstractNumId w:val="13"/>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0"/>
  </w:num>
  <w:num w:numId="33">
    <w:abstractNumId w:val="6"/>
  </w:num>
  <w:num w:numId="34">
    <w:abstractNumId w:val="20"/>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num>
  <w:num w:numId="37">
    <w:abstractNumId w:val="15"/>
  </w:num>
  <w:num w:numId="38">
    <w:abstractNumId w:val="15"/>
  </w:num>
  <w:num w:numId="39">
    <w:abstractNumId w:val="15"/>
  </w:num>
  <w:num w:numId="40">
    <w:abstractNumId w:val="15"/>
  </w:num>
  <w:num w:numId="41">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680"/>
  <w:hyphenationZone w:val="425"/>
  <w:characterSpacingControl w:val="doNotCompress"/>
  <w:hdrShapeDefaults>
    <o:shapedefaults v:ext="edit" spidmax="1761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09D"/>
    <w:rsid w:val="0000641E"/>
    <w:rsid w:val="00007405"/>
    <w:rsid w:val="00011DC7"/>
    <w:rsid w:val="00011FD2"/>
    <w:rsid w:val="00014400"/>
    <w:rsid w:val="00031B03"/>
    <w:rsid w:val="00032AB2"/>
    <w:rsid w:val="00040794"/>
    <w:rsid w:val="00051391"/>
    <w:rsid w:val="000540F6"/>
    <w:rsid w:val="000546EC"/>
    <w:rsid w:val="000638B9"/>
    <w:rsid w:val="000649D7"/>
    <w:rsid w:val="00074A7B"/>
    <w:rsid w:val="00082447"/>
    <w:rsid w:val="00084A04"/>
    <w:rsid w:val="0008536B"/>
    <w:rsid w:val="000856D2"/>
    <w:rsid w:val="00085795"/>
    <w:rsid w:val="00097E34"/>
    <w:rsid w:val="000A5333"/>
    <w:rsid w:val="000A627D"/>
    <w:rsid w:val="000B3732"/>
    <w:rsid w:val="000B38DC"/>
    <w:rsid w:val="000B5D3B"/>
    <w:rsid w:val="000C080A"/>
    <w:rsid w:val="000C225F"/>
    <w:rsid w:val="000C3141"/>
    <w:rsid w:val="000C3851"/>
    <w:rsid w:val="000C4B46"/>
    <w:rsid w:val="000C67E3"/>
    <w:rsid w:val="000D1253"/>
    <w:rsid w:val="000D29A8"/>
    <w:rsid w:val="000D2E6C"/>
    <w:rsid w:val="000E540E"/>
    <w:rsid w:val="000F5359"/>
    <w:rsid w:val="000F639E"/>
    <w:rsid w:val="00100005"/>
    <w:rsid w:val="001023DC"/>
    <w:rsid w:val="001158AA"/>
    <w:rsid w:val="00121E82"/>
    <w:rsid w:val="00127A5D"/>
    <w:rsid w:val="0013129E"/>
    <w:rsid w:val="001347CB"/>
    <w:rsid w:val="001355F1"/>
    <w:rsid w:val="00144EEC"/>
    <w:rsid w:val="001450E5"/>
    <w:rsid w:val="00145FC0"/>
    <w:rsid w:val="0015064D"/>
    <w:rsid w:val="0015232C"/>
    <w:rsid w:val="00156A58"/>
    <w:rsid w:val="001574D7"/>
    <w:rsid w:val="00160D9A"/>
    <w:rsid w:val="0017142E"/>
    <w:rsid w:val="00173743"/>
    <w:rsid w:val="001762DA"/>
    <w:rsid w:val="0017633C"/>
    <w:rsid w:val="0018088B"/>
    <w:rsid w:val="0018099A"/>
    <w:rsid w:val="00181A53"/>
    <w:rsid w:val="0018374F"/>
    <w:rsid w:val="00184B99"/>
    <w:rsid w:val="00192E87"/>
    <w:rsid w:val="00196489"/>
    <w:rsid w:val="001A29FB"/>
    <w:rsid w:val="001A4E4F"/>
    <w:rsid w:val="001A52F6"/>
    <w:rsid w:val="001B30B1"/>
    <w:rsid w:val="001C1583"/>
    <w:rsid w:val="001C2AA7"/>
    <w:rsid w:val="001C4B1B"/>
    <w:rsid w:val="001C6F98"/>
    <w:rsid w:val="001C7BE5"/>
    <w:rsid w:val="001D7215"/>
    <w:rsid w:val="001E47DA"/>
    <w:rsid w:val="001E6DA6"/>
    <w:rsid w:val="001E7354"/>
    <w:rsid w:val="001F51BD"/>
    <w:rsid w:val="001F74C0"/>
    <w:rsid w:val="001F7769"/>
    <w:rsid w:val="00202147"/>
    <w:rsid w:val="00202250"/>
    <w:rsid w:val="00213499"/>
    <w:rsid w:val="0021759B"/>
    <w:rsid w:val="0022106E"/>
    <w:rsid w:val="002218F9"/>
    <w:rsid w:val="002273C0"/>
    <w:rsid w:val="00246090"/>
    <w:rsid w:val="00247A7D"/>
    <w:rsid w:val="00247F61"/>
    <w:rsid w:val="002503C6"/>
    <w:rsid w:val="00255F9D"/>
    <w:rsid w:val="00257CBD"/>
    <w:rsid w:val="0026024F"/>
    <w:rsid w:val="002632A3"/>
    <w:rsid w:val="00266AB9"/>
    <w:rsid w:val="00276A3C"/>
    <w:rsid w:val="00277DF5"/>
    <w:rsid w:val="002809E8"/>
    <w:rsid w:val="002813A8"/>
    <w:rsid w:val="0028272D"/>
    <w:rsid w:val="00284534"/>
    <w:rsid w:val="00284637"/>
    <w:rsid w:val="00284937"/>
    <w:rsid w:val="00292B27"/>
    <w:rsid w:val="00292DF4"/>
    <w:rsid w:val="002A13CA"/>
    <w:rsid w:val="002A361E"/>
    <w:rsid w:val="002A410F"/>
    <w:rsid w:val="002A48B0"/>
    <w:rsid w:val="002A56C9"/>
    <w:rsid w:val="002B1B37"/>
    <w:rsid w:val="002B3153"/>
    <w:rsid w:val="002B5D9F"/>
    <w:rsid w:val="002C25EE"/>
    <w:rsid w:val="002C38A5"/>
    <w:rsid w:val="002C38B5"/>
    <w:rsid w:val="002C4B14"/>
    <w:rsid w:val="002C6330"/>
    <w:rsid w:val="002C75B9"/>
    <w:rsid w:val="002D7128"/>
    <w:rsid w:val="002E0632"/>
    <w:rsid w:val="002E1136"/>
    <w:rsid w:val="002E42F2"/>
    <w:rsid w:val="002F3B90"/>
    <w:rsid w:val="002F5A4B"/>
    <w:rsid w:val="00300E73"/>
    <w:rsid w:val="00302334"/>
    <w:rsid w:val="0030493A"/>
    <w:rsid w:val="00307326"/>
    <w:rsid w:val="00311BA5"/>
    <w:rsid w:val="00312F8E"/>
    <w:rsid w:val="00313CAF"/>
    <w:rsid w:val="003155BB"/>
    <w:rsid w:val="0032128D"/>
    <w:rsid w:val="00324F45"/>
    <w:rsid w:val="00331819"/>
    <w:rsid w:val="003333C2"/>
    <w:rsid w:val="00333A59"/>
    <w:rsid w:val="003401C9"/>
    <w:rsid w:val="003454C4"/>
    <w:rsid w:val="00352648"/>
    <w:rsid w:val="003559B9"/>
    <w:rsid w:val="00362A92"/>
    <w:rsid w:val="00363DEC"/>
    <w:rsid w:val="00366351"/>
    <w:rsid w:val="00374EAA"/>
    <w:rsid w:val="00375F15"/>
    <w:rsid w:val="00376B4D"/>
    <w:rsid w:val="003770E6"/>
    <w:rsid w:val="00384EB8"/>
    <w:rsid w:val="00387EDE"/>
    <w:rsid w:val="003914FA"/>
    <w:rsid w:val="00392EA6"/>
    <w:rsid w:val="00395EEF"/>
    <w:rsid w:val="003A0198"/>
    <w:rsid w:val="003A2BD4"/>
    <w:rsid w:val="003A378E"/>
    <w:rsid w:val="003A42C3"/>
    <w:rsid w:val="003A5E2B"/>
    <w:rsid w:val="003A6144"/>
    <w:rsid w:val="003A75B6"/>
    <w:rsid w:val="003B0838"/>
    <w:rsid w:val="003B4CBB"/>
    <w:rsid w:val="003B756D"/>
    <w:rsid w:val="003C0167"/>
    <w:rsid w:val="003C064F"/>
    <w:rsid w:val="003C48EE"/>
    <w:rsid w:val="003C6EF9"/>
    <w:rsid w:val="003C714E"/>
    <w:rsid w:val="003D7805"/>
    <w:rsid w:val="003E1F7A"/>
    <w:rsid w:val="003E6C92"/>
    <w:rsid w:val="003F0C8A"/>
    <w:rsid w:val="003F4910"/>
    <w:rsid w:val="00401461"/>
    <w:rsid w:val="00403ADB"/>
    <w:rsid w:val="00406D79"/>
    <w:rsid w:val="004078AB"/>
    <w:rsid w:val="00407D75"/>
    <w:rsid w:val="00410137"/>
    <w:rsid w:val="00410248"/>
    <w:rsid w:val="004142FE"/>
    <w:rsid w:val="004149E5"/>
    <w:rsid w:val="00417EB8"/>
    <w:rsid w:val="004212E0"/>
    <w:rsid w:val="00423047"/>
    <w:rsid w:val="0043195D"/>
    <w:rsid w:val="00431E98"/>
    <w:rsid w:val="00432989"/>
    <w:rsid w:val="00433D5C"/>
    <w:rsid w:val="004348F4"/>
    <w:rsid w:val="004349A2"/>
    <w:rsid w:val="00435FCF"/>
    <w:rsid w:val="004411A7"/>
    <w:rsid w:val="00447114"/>
    <w:rsid w:val="00447981"/>
    <w:rsid w:val="004605BA"/>
    <w:rsid w:val="00461158"/>
    <w:rsid w:val="0046597B"/>
    <w:rsid w:val="00466E98"/>
    <w:rsid w:val="00481F03"/>
    <w:rsid w:val="00482680"/>
    <w:rsid w:val="00484C2C"/>
    <w:rsid w:val="004866C7"/>
    <w:rsid w:val="00494369"/>
    <w:rsid w:val="004955C8"/>
    <w:rsid w:val="00495F01"/>
    <w:rsid w:val="00496F0A"/>
    <w:rsid w:val="004A5442"/>
    <w:rsid w:val="004A63A8"/>
    <w:rsid w:val="004C1630"/>
    <w:rsid w:val="004C2DA6"/>
    <w:rsid w:val="004D7345"/>
    <w:rsid w:val="004E2CEF"/>
    <w:rsid w:val="004E334B"/>
    <w:rsid w:val="004E5A3F"/>
    <w:rsid w:val="004F343F"/>
    <w:rsid w:val="004F667A"/>
    <w:rsid w:val="005031F5"/>
    <w:rsid w:val="00503512"/>
    <w:rsid w:val="00504776"/>
    <w:rsid w:val="00505940"/>
    <w:rsid w:val="005105A4"/>
    <w:rsid w:val="00516627"/>
    <w:rsid w:val="00526EC3"/>
    <w:rsid w:val="00532F37"/>
    <w:rsid w:val="005347E5"/>
    <w:rsid w:val="00534A28"/>
    <w:rsid w:val="00537D36"/>
    <w:rsid w:val="005471C9"/>
    <w:rsid w:val="00547B74"/>
    <w:rsid w:val="00563029"/>
    <w:rsid w:val="00566C1A"/>
    <w:rsid w:val="00572EAE"/>
    <w:rsid w:val="00572FD3"/>
    <w:rsid w:val="005813EF"/>
    <w:rsid w:val="00581D94"/>
    <w:rsid w:val="0059031B"/>
    <w:rsid w:val="005905DE"/>
    <w:rsid w:val="005906C0"/>
    <w:rsid w:val="00590809"/>
    <w:rsid w:val="00590DC3"/>
    <w:rsid w:val="00594B15"/>
    <w:rsid w:val="005A17C4"/>
    <w:rsid w:val="005A1FD2"/>
    <w:rsid w:val="005A22C3"/>
    <w:rsid w:val="005A27C9"/>
    <w:rsid w:val="005A6A1B"/>
    <w:rsid w:val="005A78B9"/>
    <w:rsid w:val="005B39D3"/>
    <w:rsid w:val="005B48CF"/>
    <w:rsid w:val="005B7E28"/>
    <w:rsid w:val="005C31DD"/>
    <w:rsid w:val="005C33BD"/>
    <w:rsid w:val="005C4B04"/>
    <w:rsid w:val="005C5C2E"/>
    <w:rsid w:val="005E156B"/>
    <w:rsid w:val="005E2655"/>
    <w:rsid w:val="005E4AE3"/>
    <w:rsid w:val="005E5B2D"/>
    <w:rsid w:val="005F2D7A"/>
    <w:rsid w:val="005F6214"/>
    <w:rsid w:val="00605017"/>
    <w:rsid w:val="0060521B"/>
    <w:rsid w:val="00607081"/>
    <w:rsid w:val="006105FD"/>
    <w:rsid w:val="0061321F"/>
    <w:rsid w:val="0061339C"/>
    <w:rsid w:val="00613C88"/>
    <w:rsid w:val="00613E97"/>
    <w:rsid w:val="00621FB1"/>
    <w:rsid w:val="00622399"/>
    <w:rsid w:val="0062313F"/>
    <w:rsid w:val="00626B83"/>
    <w:rsid w:val="006313AC"/>
    <w:rsid w:val="006340F2"/>
    <w:rsid w:val="006352D4"/>
    <w:rsid w:val="00636566"/>
    <w:rsid w:val="00636787"/>
    <w:rsid w:val="00644514"/>
    <w:rsid w:val="00644618"/>
    <w:rsid w:val="00651803"/>
    <w:rsid w:val="00654520"/>
    <w:rsid w:val="006628ED"/>
    <w:rsid w:val="00662A30"/>
    <w:rsid w:val="006643C1"/>
    <w:rsid w:val="00667FBA"/>
    <w:rsid w:val="006752A2"/>
    <w:rsid w:val="00680319"/>
    <w:rsid w:val="00681111"/>
    <w:rsid w:val="00683477"/>
    <w:rsid w:val="00691FF2"/>
    <w:rsid w:val="006928EC"/>
    <w:rsid w:val="006A2450"/>
    <w:rsid w:val="006A2CA5"/>
    <w:rsid w:val="006A30AA"/>
    <w:rsid w:val="006A4C99"/>
    <w:rsid w:val="006B1262"/>
    <w:rsid w:val="006C12E1"/>
    <w:rsid w:val="006C1322"/>
    <w:rsid w:val="006C20EA"/>
    <w:rsid w:val="006C604A"/>
    <w:rsid w:val="006C736D"/>
    <w:rsid w:val="006D2131"/>
    <w:rsid w:val="006D7595"/>
    <w:rsid w:val="006E1129"/>
    <w:rsid w:val="006E3060"/>
    <w:rsid w:val="006E4B07"/>
    <w:rsid w:val="006E57CE"/>
    <w:rsid w:val="006E7142"/>
    <w:rsid w:val="006F21D0"/>
    <w:rsid w:val="006F2CBA"/>
    <w:rsid w:val="006F3818"/>
    <w:rsid w:val="006F4484"/>
    <w:rsid w:val="006F5EBF"/>
    <w:rsid w:val="006F63E7"/>
    <w:rsid w:val="00700391"/>
    <w:rsid w:val="00700608"/>
    <w:rsid w:val="0070129A"/>
    <w:rsid w:val="00705858"/>
    <w:rsid w:val="00705C19"/>
    <w:rsid w:val="00707613"/>
    <w:rsid w:val="00707E5E"/>
    <w:rsid w:val="00710FF4"/>
    <w:rsid w:val="00713337"/>
    <w:rsid w:val="00713BC2"/>
    <w:rsid w:val="00713F42"/>
    <w:rsid w:val="007152C3"/>
    <w:rsid w:val="007201F4"/>
    <w:rsid w:val="00726584"/>
    <w:rsid w:val="0073433A"/>
    <w:rsid w:val="007376F9"/>
    <w:rsid w:val="00737825"/>
    <w:rsid w:val="0074446E"/>
    <w:rsid w:val="00745ACE"/>
    <w:rsid w:val="00747E9B"/>
    <w:rsid w:val="00747FF3"/>
    <w:rsid w:val="00751C17"/>
    <w:rsid w:val="00760D0D"/>
    <w:rsid w:val="00764D40"/>
    <w:rsid w:val="0076637D"/>
    <w:rsid w:val="0077454B"/>
    <w:rsid w:val="007753ED"/>
    <w:rsid w:val="007761BE"/>
    <w:rsid w:val="00792558"/>
    <w:rsid w:val="0079665F"/>
    <w:rsid w:val="00797F65"/>
    <w:rsid w:val="007A42EA"/>
    <w:rsid w:val="007A64FD"/>
    <w:rsid w:val="007A68BD"/>
    <w:rsid w:val="007A6B75"/>
    <w:rsid w:val="007B31D5"/>
    <w:rsid w:val="007C2D68"/>
    <w:rsid w:val="007C4CF6"/>
    <w:rsid w:val="007D14DF"/>
    <w:rsid w:val="007D6EBC"/>
    <w:rsid w:val="007E2D5B"/>
    <w:rsid w:val="007E58F7"/>
    <w:rsid w:val="007F0B10"/>
    <w:rsid w:val="00801171"/>
    <w:rsid w:val="00803D2B"/>
    <w:rsid w:val="00804BAD"/>
    <w:rsid w:val="00810783"/>
    <w:rsid w:val="00810E3C"/>
    <w:rsid w:val="00811C53"/>
    <w:rsid w:val="008224E6"/>
    <w:rsid w:val="00823361"/>
    <w:rsid w:val="00830AA0"/>
    <w:rsid w:val="00831FCB"/>
    <w:rsid w:val="0083229F"/>
    <w:rsid w:val="00834AD6"/>
    <w:rsid w:val="00837A87"/>
    <w:rsid w:val="00840DF6"/>
    <w:rsid w:val="00850FC3"/>
    <w:rsid w:val="0085343A"/>
    <w:rsid w:val="008537A5"/>
    <w:rsid w:val="008562C1"/>
    <w:rsid w:val="008576DE"/>
    <w:rsid w:val="00861D05"/>
    <w:rsid w:val="00865B56"/>
    <w:rsid w:val="00865BE0"/>
    <w:rsid w:val="008720C4"/>
    <w:rsid w:val="00877A18"/>
    <w:rsid w:val="008806D7"/>
    <w:rsid w:val="0089403B"/>
    <w:rsid w:val="00895B92"/>
    <w:rsid w:val="008A45DF"/>
    <w:rsid w:val="008A5468"/>
    <w:rsid w:val="008B1378"/>
    <w:rsid w:val="008B46F0"/>
    <w:rsid w:val="008B6F51"/>
    <w:rsid w:val="008C2E29"/>
    <w:rsid w:val="008C378D"/>
    <w:rsid w:val="008C40FB"/>
    <w:rsid w:val="008C5154"/>
    <w:rsid w:val="008C5515"/>
    <w:rsid w:val="008D0F53"/>
    <w:rsid w:val="008D317C"/>
    <w:rsid w:val="008D44F5"/>
    <w:rsid w:val="008D5155"/>
    <w:rsid w:val="008D64F7"/>
    <w:rsid w:val="008D697E"/>
    <w:rsid w:val="008D7FAD"/>
    <w:rsid w:val="008E273C"/>
    <w:rsid w:val="008E2792"/>
    <w:rsid w:val="008E2BA0"/>
    <w:rsid w:val="008E389C"/>
    <w:rsid w:val="008E70AD"/>
    <w:rsid w:val="008E76AC"/>
    <w:rsid w:val="008E77B8"/>
    <w:rsid w:val="008F4801"/>
    <w:rsid w:val="008F52AF"/>
    <w:rsid w:val="008F6139"/>
    <w:rsid w:val="008F702D"/>
    <w:rsid w:val="00900AAC"/>
    <w:rsid w:val="00901E02"/>
    <w:rsid w:val="00907A5B"/>
    <w:rsid w:val="00911A76"/>
    <w:rsid w:val="00912821"/>
    <w:rsid w:val="0091609D"/>
    <w:rsid w:val="0092218C"/>
    <w:rsid w:val="00922E20"/>
    <w:rsid w:val="00927239"/>
    <w:rsid w:val="00930CFE"/>
    <w:rsid w:val="009322BD"/>
    <w:rsid w:val="00932F5B"/>
    <w:rsid w:val="00935F84"/>
    <w:rsid w:val="00937C74"/>
    <w:rsid w:val="009422A8"/>
    <w:rsid w:val="009429EB"/>
    <w:rsid w:val="00945BAB"/>
    <w:rsid w:val="00945EA0"/>
    <w:rsid w:val="0094760A"/>
    <w:rsid w:val="00954419"/>
    <w:rsid w:val="00955971"/>
    <w:rsid w:val="00955A16"/>
    <w:rsid w:val="00970349"/>
    <w:rsid w:val="0097056B"/>
    <w:rsid w:val="00975117"/>
    <w:rsid w:val="00975E8E"/>
    <w:rsid w:val="00976509"/>
    <w:rsid w:val="009860D3"/>
    <w:rsid w:val="0098661A"/>
    <w:rsid w:val="00990152"/>
    <w:rsid w:val="009909B2"/>
    <w:rsid w:val="00990A37"/>
    <w:rsid w:val="009A17A4"/>
    <w:rsid w:val="009A431C"/>
    <w:rsid w:val="009A45C7"/>
    <w:rsid w:val="009A514A"/>
    <w:rsid w:val="009B410B"/>
    <w:rsid w:val="009C1358"/>
    <w:rsid w:val="009C1408"/>
    <w:rsid w:val="009C2293"/>
    <w:rsid w:val="009C5E5A"/>
    <w:rsid w:val="009C6B7D"/>
    <w:rsid w:val="009D0E96"/>
    <w:rsid w:val="009D289C"/>
    <w:rsid w:val="009D2C80"/>
    <w:rsid w:val="009D5565"/>
    <w:rsid w:val="009D639B"/>
    <w:rsid w:val="009D7065"/>
    <w:rsid w:val="009D76B3"/>
    <w:rsid w:val="009E0881"/>
    <w:rsid w:val="009F0389"/>
    <w:rsid w:val="009F4C28"/>
    <w:rsid w:val="009F4D51"/>
    <w:rsid w:val="009F59B5"/>
    <w:rsid w:val="009F74C9"/>
    <w:rsid w:val="009F762A"/>
    <w:rsid w:val="00A04393"/>
    <w:rsid w:val="00A0760B"/>
    <w:rsid w:val="00A13047"/>
    <w:rsid w:val="00A144A9"/>
    <w:rsid w:val="00A24B05"/>
    <w:rsid w:val="00A251C7"/>
    <w:rsid w:val="00A254E1"/>
    <w:rsid w:val="00A2795A"/>
    <w:rsid w:val="00A27FB4"/>
    <w:rsid w:val="00A31804"/>
    <w:rsid w:val="00A33009"/>
    <w:rsid w:val="00A352D3"/>
    <w:rsid w:val="00A379EF"/>
    <w:rsid w:val="00A43C07"/>
    <w:rsid w:val="00A46230"/>
    <w:rsid w:val="00A51427"/>
    <w:rsid w:val="00A517BA"/>
    <w:rsid w:val="00A555FF"/>
    <w:rsid w:val="00A56A04"/>
    <w:rsid w:val="00A57985"/>
    <w:rsid w:val="00A603E4"/>
    <w:rsid w:val="00A60506"/>
    <w:rsid w:val="00A63D11"/>
    <w:rsid w:val="00A65F5D"/>
    <w:rsid w:val="00A72707"/>
    <w:rsid w:val="00A776DC"/>
    <w:rsid w:val="00A80AC6"/>
    <w:rsid w:val="00A8188E"/>
    <w:rsid w:val="00A8478D"/>
    <w:rsid w:val="00A85424"/>
    <w:rsid w:val="00A86918"/>
    <w:rsid w:val="00A86B44"/>
    <w:rsid w:val="00A914F3"/>
    <w:rsid w:val="00A919F8"/>
    <w:rsid w:val="00AA0792"/>
    <w:rsid w:val="00AA0E3F"/>
    <w:rsid w:val="00AA7A10"/>
    <w:rsid w:val="00AB1AD0"/>
    <w:rsid w:val="00AB5388"/>
    <w:rsid w:val="00AB5F67"/>
    <w:rsid w:val="00AC3715"/>
    <w:rsid w:val="00AC5195"/>
    <w:rsid w:val="00AD5648"/>
    <w:rsid w:val="00AE3207"/>
    <w:rsid w:val="00AE44AE"/>
    <w:rsid w:val="00AE726E"/>
    <w:rsid w:val="00AF0268"/>
    <w:rsid w:val="00AF2B94"/>
    <w:rsid w:val="00AF4920"/>
    <w:rsid w:val="00AF6E3A"/>
    <w:rsid w:val="00AF7226"/>
    <w:rsid w:val="00B010B8"/>
    <w:rsid w:val="00B0484C"/>
    <w:rsid w:val="00B05C37"/>
    <w:rsid w:val="00B10521"/>
    <w:rsid w:val="00B10931"/>
    <w:rsid w:val="00B17DCA"/>
    <w:rsid w:val="00B23311"/>
    <w:rsid w:val="00B2780B"/>
    <w:rsid w:val="00B319EB"/>
    <w:rsid w:val="00B31B21"/>
    <w:rsid w:val="00B35B60"/>
    <w:rsid w:val="00B35E8E"/>
    <w:rsid w:val="00B408A1"/>
    <w:rsid w:val="00B40B4F"/>
    <w:rsid w:val="00B42D44"/>
    <w:rsid w:val="00B46B50"/>
    <w:rsid w:val="00B50B55"/>
    <w:rsid w:val="00B512FC"/>
    <w:rsid w:val="00B52EC6"/>
    <w:rsid w:val="00B54831"/>
    <w:rsid w:val="00B560A0"/>
    <w:rsid w:val="00B62D72"/>
    <w:rsid w:val="00B62FFB"/>
    <w:rsid w:val="00B8063B"/>
    <w:rsid w:val="00B8096C"/>
    <w:rsid w:val="00B839E5"/>
    <w:rsid w:val="00B847CF"/>
    <w:rsid w:val="00B8574C"/>
    <w:rsid w:val="00B93D88"/>
    <w:rsid w:val="00B95ACD"/>
    <w:rsid w:val="00BA27F2"/>
    <w:rsid w:val="00BB5E41"/>
    <w:rsid w:val="00BB62C9"/>
    <w:rsid w:val="00BB7007"/>
    <w:rsid w:val="00BC037D"/>
    <w:rsid w:val="00BC2AC6"/>
    <w:rsid w:val="00BC51BA"/>
    <w:rsid w:val="00BD4F45"/>
    <w:rsid w:val="00BD5662"/>
    <w:rsid w:val="00BD61AF"/>
    <w:rsid w:val="00BE0F69"/>
    <w:rsid w:val="00BE2EF6"/>
    <w:rsid w:val="00BE445F"/>
    <w:rsid w:val="00BF0A1F"/>
    <w:rsid w:val="00BF10C3"/>
    <w:rsid w:val="00BF3C78"/>
    <w:rsid w:val="00BF72AE"/>
    <w:rsid w:val="00C04E1F"/>
    <w:rsid w:val="00C10599"/>
    <w:rsid w:val="00C1533C"/>
    <w:rsid w:val="00C1707F"/>
    <w:rsid w:val="00C17C7B"/>
    <w:rsid w:val="00C2774A"/>
    <w:rsid w:val="00C32E31"/>
    <w:rsid w:val="00C431E8"/>
    <w:rsid w:val="00C4326C"/>
    <w:rsid w:val="00C454E5"/>
    <w:rsid w:val="00C465C4"/>
    <w:rsid w:val="00C50F1F"/>
    <w:rsid w:val="00C55F46"/>
    <w:rsid w:val="00C61E4E"/>
    <w:rsid w:val="00C671FF"/>
    <w:rsid w:val="00C74E5F"/>
    <w:rsid w:val="00C765B8"/>
    <w:rsid w:val="00C76C84"/>
    <w:rsid w:val="00C8138A"/>
    <w:rsid w:val="00C82669"/>
    <w:rsid w:val="00C84165"/>
    <w:rsid w:val="00C87E2A"/>
    <w:rsid w:val="00C9241B"/>
    <w:rsid w:val="00C953C4"/>
    <w:rsid w:val="00CA0E04"/>
    <w:rsid w:val="00CA39B5"/>
    <w:rsid w:val="00CA41BE"/>
    <w:rsid w:val="00CA577B"/>
    <w:rsid w:val="00CB0AAB"/>
    <w:rsid w:val="00CB6B07"/>
    <w:rsid w:val="00CD130C"/>
    <w:rsid w:val="00CD2845"/>
    <w:rsid w:val="00CD5ACE"/>
    <w:rsid w:val="00CF2311"/>
    <w:rsid w:val="00D00266"/>
    <w:rsid w:val="00D04901"/>
    <w:rsid w:val="00D06109"/>
    <w:rsid w:val="00D06D95"/>
    <w:rsid w:val="00D1229E"/>
    <w:rsid w:val="00D12F1B"/>
    <w:rsid w:val="00D14746"/>
    <w:rsid w:val="00D17694"/>
    <w:rsid w:val="00D22167"/>
    <w:rsid w:val="00D33940"/>
    <w:rsid w:val="00D33CC6"/>
    <w:rsid w:val="00D36EB7"/>
    <w:rsid w:val="00D37643"/>
    <w:rsid w:val="00D405C3"/>
    <w:rsid w:val="00D46AD4"/>
    <w:rsid w:val="00D51D3A"/>
    <w:rsid w:val="00D52417"/>
    <w:rsid w:val="00D5751F"/>
    <w:rsid w:val="00D600FD"/>
    <w:rsid w:val="00D649A8"/>
    <w:rsid w:val="00D650A6"/>
    <w:rsid w:val="00D67111"/>
    <w:rsid w:val="00D70333"/>
    <w:rsid w:val="00D734D6"/>
    <w:rsid w:val="00D73C86"/>
    <w:rsid w:val="00D77B67"/>
    <w:rsid w:val="00D80AC3"/>
    <w:rsid w:val="00D84D7C"/>
    <w:rsid w:val="00D91EF2"/>
    <w:rsid w:val="00D930C0"/>
    <w:rsid w:val="00D933E8"/>
    <w:rsid w:val="00D9729A"/>
    <w:rsid w:val="00D97A92"/>
    <w:rsid w:val="00DA5F4C"/>
    <w:rsid w:val="00DB3CFB"/>
    <w:rsid w:val="00DB51CB"/>
    <w:rsid w:val="00DB5F0A"/>
    <w:rsid w:val="00DB7DB4"/>
    <w:rsid w:val="00DC38B2"/>
    <w:rsid w:val="00DC393B"/>
    <w:rsid w:val="00DC4BBB"/>
    <w:rsid w:val="00DD412C"/>
    <w:rsid w:val="00DD52D1"/>
    <w:rsid w:val="00DE049D"/>
    <w:rsid w:val="00DE0624"/>
    <w:rsid w:val="00DE1F05"/>
    <w:rsid w:val="00DF3CA6"/>
    <w:rsid w:val="00DF5FEE"/>
    <w:rsid w:val="00DF74F1"/>
    <w:rsid w:val="00E02E83"/>
    <w:rsid w:val="00E1446E"/>
    <w:rsid w:val="00E15A65"/>
    <w:rsid w:val="00E171A0"/>
    <w:rsid w:val="00E25D43"/>
    <w:rsid w:val="00E262FD"/>
    <w:rsid w:val="00E312BF"/>
    <w:rsid w:val="00E32AA1"/>
    <w:rsid w:val="00E35FC0"/>
    <w:rsid w:val="00E3668B"/>
    <w:rsid w:val="00E54F2A"/>
    <w:rsid w:val="00E55094"/>
    <w:rsid w:val="00E666D2"/>
    <w:rsid w:val="00E751F3"/>
    <w:rsid w:val="00E76215"/>
    <w:rsid w:val="00E763B4"/>
    <w:rsid w:val="00E76975"/>
    <w:rsid w:val="00E822F3"/>
    <w:rsid w:val="00E8547E"/>
    <w:rsid w:val="00E87C12"/>
    <w:rsid w:val="00EA1E7E"/>
    <w:rsid w:val="00EA1F09"/>
    <w:rsid w:val="00EA2B9F"/>
    <w:rsid w:val="00EA498E"/>
    <w:rsid w:val="00EA5096"/>
    <w:rsid w:val="00EA5C89"/>
    <w:rsid w:val="00EB088A"/>
    <w:rsid w:val="00EC005D"/>
    <w:rsid w:val="00EC2AE5"/>
    <w:rsid w:val="00EC2D67"/>
    <w:rsid w:val="00EC4827"/>
    <w:rsid w:val="00EC50B1"/>
    <w:rsid w:val="00ED32BC"/>
    <w:rsid w:val="00EE2595"/>
    <w:rsid w:val="00EE5538"/>
    <w:rsid w:val="00EE5573"/>
    <w:rsid w:val="00EE6C45"/>
    <w:rsid w:val="00EE732F"/>
    <w:rsid w:val="00EF6B42"/>
    <w:rsid w:val="00EF70D3"/>
    <w:rsid w:val="00F03B2D"/>
    <w:rsid w:val="00F047E9"/>
    <w:rsid w:val="00F0700E"/>
    <w:rsid w:val="00F14A7C"/>
    <w:rsid w:val="00F17086"/>
    <w:rsid w:val="00F33FE4"/>
    <w:rsid w:val="00F43267"/>
    <w:rsid w:val="00F4328C"/>
    <w:rsid w:val="00F43B97"/>
    <w:rsid w:val="00F50645"/>
    <w:rsid w:val="00F51FA1"/>
    <w:rsid w:val="00F5290E"/>
    <w:rsid w:val="00F55992"/>
    <w:rsid w:val="00F64977"/>
    <w:rsid w:val="00F657BF"/>
    <w:rsid w:val="00F66A07"/>
    <w:rsid w:val="00F70A77"/>
    <w:rsid w:val="00F72564"/>
    <w:rsid w:val="00F74AE7"/>
    <w:rsid w:val="00F77541"/>
    <w:rsid w:val="00F77C53"/>
    <w:rsid w:val="00F827E2"/>
    <w:rsid w:val="00F83409"/>
    <w:rsid w:val="00F86C7D"/>
    <w:rsid w:val="00FA37BB"/>
    <w:rsid w:val="00FA42A3"/>
    <w:rsid w:val="00FB009C"/>
    <w:rsid w:val="00FB3004"/>
    <w:rsid w:val="00FB4CFF"/>
    <w:rsid w:val="00FB5ED5"/>
    <w:rsid w:val="00FB6BDD"/>
    <w:rsid w:val="00FB7869"/>
    <w:rsid w:val="00FC2B1F"/>
    <w:rsid w:val="00FC3647"/>
    <w:rsid w:val="00FC7EDB"/>
    <w:rsid w:val="00FD2B15"/>
    <w:rsid w:val="00FD2D7B"/>
    <w:rsid w:val="00FD74BB"/>
    <w:rsid w:val="00FD7542"/>
    <w:rsid w:val="00FE36E2"/>
    <w:rsid w:val="00FF23F6"/>
    <w:rsid w:val="00FF2E69"/>
    <w:rsid w:val="00FF4783"/>
    <w:rsid w:val="00FF492A"/>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31A2C3F6"/>
  <w15:docId w15:val="{8BBB5B15-9E03-4CB2-9604-26A451DD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lsdException w:name="heading 1" w:uiPriority="0"/>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rsid w:val="00190C3F"/>
    <w:rPr>
      <w:rFonts w:ascii="Arial" w:hAnsi="Arial"/>
      <w:lang w:val="it-CH"/>
    </w:rPr>
  </w:style>
  <w:style w:type="paragraph" w:styleId="Titolo1">
    <w:name w:val="heading 1"/>
    <w:basedOn w:val="Normale"/>
    <w:next w:val="Normale"/>
    <w:link w:val="Titolo1Carattere"/>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rsid w:val="006F0D42"/>
    <w:pPr>
      <w:numPr>
        <w:ilvl w:val="1"/>
      </w:numPr>
      <w:spacing w:before="120" w:after="60"/>
      <w:outlineLvl w:val="1"/>
    </w:pPr>
  </w:style>
  <w:style w:type="paragraph" w:styleId="Titolo3">
    <w:name w:val="heading 3"/>
    <w:basedOn w:val="Titolo1"/>
    <w:next w:val="Normale"/>
    <w:link w:val="Titolo3Carattere"/>
    <w:uiPriority w:val="9"/>
    <w:unhideWhenUsed/>
    <w:rsid w:val="006F0D42"/>
    <w:pPr>
      <w:numPr>
        <w:ilvl w:val="2"/>
      </w:numPr>
      <w:spacing w:before="120" w:after="60"/>
      <w:outlineLvl w:val="2"/>
    </w:pPr>
  </w:style>
  <w:style w:type="paragraph" w:styleId="Titolo4">
    <w:name w:val="heading 4"/>
    <w:basedOn w:val="Titolo1"/>
    <w:next w:val="Normale"/>
    <w:link w:val="Titolo4Carattere"/>
    <w:uiPriority w:val="9"/>
    <w:unhideWhenUsed/>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0">
    <w:name w:val="Title"/>
    <w:aliases w:val="NotYetCustomized2178"/>
    <w:basedOn w:val="Normale"/>
    <w:next w:val="Normale"/>
    <w:link w:val="TitoloCarattere"/>
    <w:uiPriority w:val="10"/>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0"/>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link w:val="ListNumericCaratter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9D639B"/>
    <w:pPr>
      <w:tabs>
        <w:tab w:val="left" w:pos="567"/>
        <w:tab w:val="left" w:pos="624"/>
        <w:tab w:val="right" w:leader="dot" w:pos="9072"/>
      </w:tabs>
      <w:spacing w:before="120" w:after="120"/>
      <w:ind w:left="680" w:hanging="680"/>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EE732F"/>
    <w:pPr>
      <w:spacing w:after="40"/>
      <w:ind w:right="794"/>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0"/>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rsid w:val="00F44995"/>
    <w:rPr>
      <w:sz w:val="20"/>
      <w:szCs w:val="20"/>
    </w:rPr>
  </w:style>
  <w:style w:type="character" w:styleId="Enfasicorsivo">
    <w:name w:val="Emphasis"/>
    <w:aliases w:val="NotYetCustomized0913"/>
    <w:basedOn w:val="Carpredefinitoparagrafo"/>
    <w:uiPriority w:val="20"/>
    <w:qFormat/>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rsid w:val="00B33B5E"/>
    <w:pPr>
      <w:ind w:left="153"/>
    </w:pPr>
    <w:rPr>
      <w:u w:val="single"/>
    </w:rPr>
  </w:style>
  <w:style w:type="paragraph" w:customStyle="1" w:styleId="EnclosuresBox1">
    <w:name w:val="EnclosuresBox1"/>
    <w:basedOn w:val="EnclosuresBox"/>
    <w:rsid w:val="00BE1F4B"/>
    <w:pPr>
      <w:tabs>
        <w:tab w:val="clear" w:pos="284"/>
        <w:tab w:val="left" w:pos="437"/>
      </w:tabs>
      <w:ind w:left="153"/>
    </w:pPr>
  </w:style>
  <w:style w:type="paragraph" w:customStyle="1" w:styleId="DatumBig">
    <w:name w:val="DatumBig"/>
    <w:basedOn w:val="EnclosuresBox1"/>
    <w:rsid w:val="00B33B5E"/>
    <w:rPr>
      <w:lang w:val="it-CH"/>
    </w:rPr>
  </w:style>
  <w:style w:type="paragraph" w:customStyle="1" w:styleId="SubjectRisoluzione">
    <w:name w:val="SubjectRisoluzione"/>
    <w:basedOn w:val="SubjectDecisione"/>
    <w:rsid w:val="00BC7C6B"/>
    <w:pPr>
      <w:spacing w:after="240"/>
    </w:pPr>
  </w:style>
  <w:style w:type="paragraph" w:customStyle="1" w:styleId="EnclosuresBoxRisoluzione">
    <w:name w:val="EnclosuresBoxRisoluzione"/>
    <w:basedOn w:val="EnclosuresBoxDecisione"/>
    <w:rsid w:val="00792E54"/>
    <w:pPr>
      <w:spacing w:before="0"/>
    </w:pPr>
  </w:style>
  <w:style w:type="paragraph" w:customStyle="1" w:styleId="ProgettoStandard">
    <w:name w:val="ProgettoStandard"/>
    <w:basedOn w:val="Normale"/>
    <w:rsid w:val="00771337"/>
    <w:pPr>
      <w:jc w:val="left"/>
    </w:pPr>
  </w:style>
  <w:style w:type="paragraph" w:customStyle="1" w:styleId="StandardRisoluzionedelConsigliodiStato">
    <w:name w:val="StandardRisoluzionedelConsigliodiStato"/>
    <w:basedOn w:val="Normale"/>
    <w:link w:val="StandardRisoluzionedelConsigliodiStatoCarattere"/>
    <w:rsid w:val="00FA1872"/>
    <w:rPr>
      <w:sz w:val="24"/>
    </w:rPr>
  </w:style>
  <w:style w:type="paragraph" w:customStyle="1" w:styleId="DatumRisoluzionedelConsigliodiStato">
    <w:name w:val="DatumRisoluzionedelConsigliodiStato"/>
    <w:basedOn w:val="StandardRisoluzionedelConsigliodiStato"/>
    <w:rsid w:val="00075E78"/>
    <w:pPr>
      <w:spacing w:before="60"/>
      <w:jc w:val="left"/>
    </w:pPr>
  </w:style>
  <w:style w:type="paragraph" w:customStyle="1" w:styleId="EnclosuresBoxRisoluzionedelConsigliodiStato">
    <w:name w:val="EnclosuresBoxRisoluzionedelConsigliodiStato"/>
    <w:basedOn w:val="EnclosuresBox"/>
    <w:rsid w:val="003C60F0"/>
    <w:rPr>
      <w:sz w:val="24"/>
      <w:lang w:val="it-CH"/>
    </w:rPr>
  </w:style>
  <w:style w:type="paragraph" w:customStyle="1" w:styleId="Page">
    <w:name w:val="Page"/>
    <w:basedOn w:val="Data"/>
    <w:rsid w:val="0029312B"/>
    <w:pPr>
      <w:spacing w:after="60"/>
    </w:pPr>
  </w:style>
  <w:style w:type="paragraph" w:customStyle="1" w:styleId="Information">
    <w:name w:val="Information"/>
    <w:basedOn w:val="Data"/>
    <w:rsid w:val="00955039"/>
    <w:pPr>
      <w:spacing w:before="60"/>
    </w:pPr>
  </w:style>
  <w:style w:type="paragraph" w:customStyle="1" w:styleId="PageRisoluzioneConsigliodiStato">
    <w:name w:val="PageRisoluzioneConsigliodiStato"/>
    <w:basedOn w:val="Page"/>
    <w:rsid w:val="00075E78"/>
    <w:rPr>
      <w:sz w:val="24"/>
    </w:rPr>
  </w:style>
  <w:style w:type="paragraph" w:customStyle="1" w:styleId="ListAlphabetic12">
    <w:name w:val="ListAlphabetic12"/>
    <w:basedOn w:val="ListAlphabetic"/>
    <w:rsid w:val="0040086C"/>
    <w:pPr>
      <w:numPr>
        <w:numId w:val="2"/>
      </w:numPr>
    </w:pPr>
    <w:rPr>
      <w:sz w:val="24"/>
      <w:szCs w:val="24"/>
    </w:rPr>
  </w:style>
  <w:style w:type="paragraph" w:customStyle="1" w:styleId="ListNumeric12">
    <w:name w:val="ListNumeric12"/>
    <w:basedOn w:val="ListNumeric"/>
    <w:link w:val="ListNumeric12Carattere"/>
    <w:rsid w:val="0040086C"/>
    <w:rPr>
      <w:sz w:val="24"/>
      <w:szCs w:val="24"/>
    </w:rPr>
  </w:style>
  <w:style w:type="paragraph" w:customStyle="1" w:styleId="ListBullet12">
    <w:name w:val="ListBullet12"/>
    <w:basedOn w:val="ListBullet"/>
    <w:rsid w:val="0040086C"/>
    <w:rPr>
      <w:sz w:val="24"/>
      <w:szCs w:val="24"/>
    </w:rPr>
  </w:style>
  <w:style w:type="paragraph" w:customStyle="1" w:styleId="ListLine12">
    <w:name w:val="ListLine12"/>
    <w:basedOn w:val="ListLine"/>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rsid w:val="00A75031"/>
    <w:rPr>
      <w:rFonts w:ascii="Gill Sans Display MT Pro BdCn" w:hAnsi="Gill Sans Display MT Pro BdCn"/>
      <w:sz w:val="18"/>
    </w:rPr>
  </w:style>
  <w:style w:type="paragraph" w:customStyle="1" w:styleId="1titolo">
    <w:name w:val="1 titolo"/>
    <w:basedOn w:val="Normale"/>
    <w:rsid w:val="002503C6"/>
    <w:pPr>
      <w:numPr>
        <w:numId w:val="7"/>
      </w:numPr>
      <w:spacing w:before="120"/>
    </w:pPr>
    <w:rPr>
      <w:rFonts w:eastAsia="Times New Roman" w:cs="Arial"/>
      <w:b/>
      <w:sz w:val="24"/>
      <w:u w:val="single"/>
      <w:lang w:val="it-IT" w:eastAsia="it-IT"/>
    </w:rPr>
  </w:style>
  <w:style w:type="paragraph" w:customStyle="1" w:styleId="2titolo">
    <w:name w:val="2 titolo"/>
    <w:basedOn w:val="Normale"/>
    <w:link w:val="2titoloCarattere"/>
    <w:rsid w:val="002503C6"/>
    <w:pPr>
      <w:numPr>
        <w:ilvl w:val="1"/>
        <w:numId w:val="7"/>
      </w:numPr>
      <w:spacing w:before="120"/>
      <w:ind w:left="0"/>
    </w:pPr>
    <w:rPr>
      <w:rFonts w:eastAsia="Times New Roman" w:cs="Arial"/>
      <w:b/>
      <w:sz w:val="24"/>
      <w:szCs w:val="24"/>
      <w:lang w:eastAsia="it-IT"/>
    </w:rPr>
  </w:style>
  <w:style w:type="paragraph" w:customStyle="1" w:styleId="3titolo">
    <w:name w:val="3 titolo"/>
    <w:basedOn w:val="Normale"/>
    <w:rsid w:val="002503C6"/>
    <w:pPr>
      <w:numPr>
        <w:ilvl w:val="2"/>
        <w:numId w:val="7"/>
      </w:numPr>
    </w:pPr>
    <w:rPr>
      <w:rFonts w:eastAsia="Times New Roman" w:cs="Arial"/>
      <w:b/>
      <w:i/>
      <w:sz w:val="24"/>
      <w:szCs w:val="24"/>
      <w:lang w:eastAsia="it-IT"/>
    </w:rPr>
  </w:style>
  <w:style w:type="character" w:customStyle="1" w:styleId="2titoloCarattere">
    <w:name w:val="2 titolo Carattere"/>
    <w:basedOn w:val="Carpredefinitoparagrafo"/>
    <w:link w:val="2titolo"/>
    <w:rsid w:val="002503C6"/>
    <w:rPr>
      <w:rFonts w:ascii="Arial" w:eastAsia="Times New Roman" w:hAnsi="Arial" w:cs="Arial"/>
      <w:b/>
      <w:sz w:val="24"/>
      <w:szCs w:val="24"/>
      <w:lang w:val="it-CH" w:eastAsia="it-IT"/>
    </w:rPr>
  </w:style>
  <w:style w:type="character" w:styleId="Collegamentoipertestuale">
    <w:name w:val="Hyperlink"/>
    <w:basedOn w:val="Carpredefinitoparagrafo"/>
    <w:uiPriority w:val="99"/>
    <w:unhideWhenUsed/>
    <w:rsid w:val="00D70333"/>
    <w:rPr>
      <w:color w:val="0000FF" w:themeColor="hyperlink"/>
      <w:u w:val="single"/>
    </w:rPr>
  </w:style>
  <w:style w:type="table" w:styleId="Grigliatabella">
    <w:name w:val="Table Grid"/>
    <w:basedOn w:val="Tabellanormale"/>
    <w:uiPriority w:val="59"/>
    <w:rsid w:val="006B12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6B1262"/>
    <w:pPr>
      <w:spacing w:before="100" w:beforeAutospacing="1" w:after="100" w:afterAutospacing="1"/>
      <w:jc w:val="left"/>
    </w:pPr>
    <w:rPr>
      <w:rFonts w:ascii="Times New Roman" w:eastAsia="Times New Roman" w:hAnsi="Times New Roman" w:cs="Times New Roman"/>
      <w:sz w:val="24"/>
      <w:szCs w:val="24"/>
      <w:lang w:eastAsia="it-CH"/>
    </w:rPr>
  </w:style>
  <w:style w:type="character" w:styleId="Collegamentovisitato">
    <w:name w:val="FollowedHyperlink"/>
    <w:basedOn w:val="Carpredefinitoparagrafo"/>
    <w:uiPriority w:val="99"/>
    <w:semiHidden/>
    <w:unhideWhenUsed/>
    <w:rsid w:val="009D0E96"/>
    <w:rPr>
      <w:color w:val="800080" w:themeColor="followedHyperlink"/>
      <w:u w:val="single"/>
    </w:rPr>
  </w:style>
  <w:style w:type="paragraph" w:styleId="Testofumetto">
    <w:name w:val="Balloon Text"/>
    <w:basedOn w:val="Normale"/>
    <w:link w:val="TestofumettoCarattere"/>
    <w:uiPriority w:val="99"/>
    <w:semiHidden/>
    <w:unhideWhenUsed/>
    <w:rsid w:val="009D0E9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9D0E96"/>
    <w:rPr>
      <w:rFonts w:ascii="Segoe UI" w:hAnsi="Segoe UI" w:cs="Segoe UI"/>
      <w:sz w:val="18"/>
      <w:szCs w:val="18"/>
      <w:lang w:val="it-CH"/>
    </w:rPr>
  </w:style>
  <w:style w:type="paragraph" w:styleId="Indice1">
    <w:name w:val="index 1"/>
    <w:basedOn w:val="Normale"/>
    <w:next w:val="Normale"/>
    <w:autoRedefine/>
    <w:uiPriority w:val="99"/>
    <w:unhideWhenUsed/>
    <w:rsid w:val="00912821"/>
    <w:pPr>
      <w:ind w:left="220" w:hanging="220"/>
      <w:jc w:val="left"/>
    </w:pPr>
    <w:rPr>
      <w:rFonts w:asciiTheme="minorHAnsi" w:hAnsiTheme="minorHAnsi" w:cstheme="minorHAnsi"/>
      <w:sz w:val="18"/>
      <w:szCs w:val="18"/>
    </w:rPr>
  </w:style>
  <w:style w:type="paragraph" w:styleId="Indice2">
    <w:name w:val="index 2"/>
    <w:basedOn w:val="Normale"/>
    <w:next w:val="Normale"/>
    <w:autoRedefine/>
    <w:uiPriority w:val="99"/>
    <w:unhideWhenUsed/>
    <w:rsid w:val="00912821"/>
    <w:pPr>
      <w:ind w:left="440" w:hanging="220"/>
      <w:jc w:val="left"/>
    </w:pPr>
    <w:rPr>
      <w:rFonts w:asciiTheme="minorHAnsi" w:hAnsiTheme="minorHAnsi" w:cstheme="minorHAnsi"/>
      <w:sz w:val="18"/>
      <w:szCs w:val="18"/>
    </w:rPr>
  </w:style>
  <w:style w:type="paragraph" w:styleId="Indice3">
    <w:name w:val="index 3"/>
    <w:basedOn w:val="Normale"/>
    <w:next w:val="Normale"/>
    <w:autoRedefine/>
    <w:uiPriority w:val="99"/>
    <w:unhideWhenUsed/>
    <w:rsid w:val="00912821"/>
    <w:pPr>
      <w:ind w:left="660" w:hanging="220"/>
      <w:jc w:val="left"/>
    </w:pPr>
    <w:rPr>
      <w:rFonts w:asciiTheme="minorHAnsi" w:hAnsiTheme="minorHAnsi" w:cstheme="minorHAnsi"/>
      <w:sz w:val="18"/>
      <w:szCs w:val="18"/>
    </w:rPr>
  </w:style>
  <w:style w:type="paragraph" w:styleId="Indice4">
    <w:name w:val="index 4"/>
    <w:basedOn w:val="Normale"/>
    <w:next w:val="Normale"/>
    <w:autoRedefine/>
    <w:uiPriority w:val="99"/>
    <w:unhideWhenUsed/>
    <w:rsid w:val="00912821"/>
    <w:pPr>
      <w:ind w:left="880" w:hanging="220"/>
      <w:jc w:val="left"/>
    </w:pPr>
    <w:rPr>
      <w:rFonts w:asciiTheme="minorHAnsi" w:hAnsiTheme="minorHAnsi" w:cstheme="minorHAnsi"/>
      <w:sz w:val="18"/>
      <w:szCs w:val="18"/>
    </w:rPr>
  </w:style>
  <w:style w:type="paragraph" w:styleId="Indice5">
    <w:name w:val="index 5"/>
    <w:basedOn w:val="Normale"/>
    <w:next w:val="Normale"/>
    <w:autoRedefine/>
    <w:uiPriority w:val="99"/>
    <w:unhideWhenUsed/>
    <w:rsid w:val="00912821"/>
    <w:pPr>
      <w:ind w:left="1100" w:hanging="220"/>
      <w:jc w:val="left"/>
    </w:pPr>
    <w:rPr>
      <w:rFonts w:asciiTheme="minorHAnsi" w:hAnsiTheme="minorHAnsi" w:cstheme="minorHAnsi"/>
      <w:sz w:val="18"/>
      <w:szCs w:val="18"/>
    </w:rPr>
  </w:style>
  <w:style w:type="paragraph" w:styleId="Indice6">
    <w:name w:val="index 6"/>
    <w:basedOn w:val="Normale"/>
    <w:next w:val="Normale"/>
    <w:autoRedefine/>
    <w:uiPriority w:val="99"/>
    <w:unhideWhenUsed/>
    <w:rsid w:val="00912821"/>
    <w:pPr>
      <w:ind w:left="1320" w:hanging="220"/>
      <w:jc w:val="left"/>
    </w:pPr>
    <w:rPr>
      <w:rFonts w:asciiTheme="minorHAnsi" w:hAnsiTheme="minorHAnsi" w:cstheme="minorHAnsi"/>
      <w:sz w:val="18"/>
      <w:szCs w:val="18"/>
    </w:rPr>
  </w:style>
  <w:style w:type="paragraph" w:styleId="Indice7">
    <w:name w:val="index 7"/>
    <w:basedOn w:val="Normale"/>
    <w:next w:val="Normale"/>
    <w:autoRedefine/>
    <w:uiPriority w:val="99"/>
    <w:unhideWhenUsed/>
    <w:rsid w:val="00912821"/>
    <w:pPr>
      <w:ind w:left="1540" w:hanging="220"/>
      <w:jc w:val="left"/>
    </w:pPr>
    <w:rPr>
      <w:rFonts w:asciiTheme="minorHAnsi" w:hAnsiTheme="minorHAnsi" w:cstheme="minorHAnsi"/>
      <w:sz w:val="18"/>
      <w:szCs w:val="18"/>
    </w:rPr>
  </w:style>
  <w:style w:type="paragraph" w:styleId="Indice8">
    <w:name w:val="index 8"/>
    <w:basedOn w:val="Normale"/>
    <w:next w:val="Normale"/>
    <w:autoRedefine/>
    <w:uiPriority w:val="99"/>
    <w:unhideWhenUsed/>
    <w:rsid w:val="00912821"/>
    <w:pPr>
      <w:ind w:left="1760" w:hanging="220"/>
      <w:jc w:val="left"/>
    </w:pPr>
    <w:rPr>
      <w:rFonts w:asciiTheme="minorHAnsi" w:hAnsiTheme="minorHAnsi" w:cstheme="minorHAnsi"/>
      <w:sz w:val="18"/>
      <w:szCs w:val="18"/>
    </w:rPr>
  </w:style>
  <w:style w:type="paragraph" w:styleId="Indice9">
    <w:name w:val="index 9"/>
    <w:basedOn w:val="Normale"/>
    <w:next w:val="Normale"/>
    <w:autoRedefine/>
    <w:uiPriority w:val="99"/>
    <w:unhideWhenUsed/>
    <w:rsid w:val="00912821"/>
    <w:pPr>
      <w:ind w:left="1980" w:hanging="220"/>
      <w:jc w:val="left"/>
    </w:pPr>
    <w:rPr>
      <w:rFonts w:asciiTheme="minorHAnsi" w:hAnsiTheme="minorHAnsi" w:cstheme="minorHAnsi"/>
      <w:sz w:val="18"/>
      <w:szCs w:val="18"/>
    </w:rPr>
  </w:style>
  <w:style w:type="paragraph" w:styleId="Titoloindice">
    <w:name w:val="index heading"/>
    <w:basedOn w:val="Normale"/>
    <w:next w:val="Indice1"/>
    <w:uiPriority w:val="99"/>
    <w:unhideWhenUsed/>
    <w:rsid w:val="00912821"/>
    <w:pPr>
      <w:spacing w:before="240" w:after="120"/>
      <w:jc w:val="center"/>
    </w:pPr>
    <w:rPr>
      <w:rFonts w:asciiTheme="minorHAnsi" w:hAnsiTheme="minorHAnsi" w:cstheme="minorHAnsi"/>
      <w:b/>
      <w:bCs/>
      <w:sz w:val="26"/>
      <w:szCs w:val="26"/>
    </w:rPr>
  </w:style>
  <w:style w:type="paragraph" w:customStyle="1" w:styleId="TITOLO">
    <w:name w:val="TITOLO"/>
    <w:basedOn w:val="Paragrafoelenco"/>
    <w:link w:val="TITOLOCarattere0"/>
    <w:qFormat/>
    <w:rsid w:val="00CA41BE"/>
    <w:pPr>
      <w:numPr>
        <w:numId w:val="10"/>
      </w:numPr>
      <w:ind w:left="851" w:hanging="851"/>
    </w:pPr>
    <w:rPr>
      <w:b/>
      <w:sz w:val="24"/>
      <w:szCs w:val="24"/>
    </w:rPr>
  </w:style>
  <w:style w:type="paragraph" w:customStyle="1" w:styleId="CAPITOLO1">
    <w:name w:val="CAPITOLO 1"/>
    <w:basedOn w:val="ListNumeric12"/>
    <w:link w:val="CAPITOLO1Carattere"/>
    <w:qFormat/>
    <w:rsid w:val="00100005"/>
    <w:pPr>
      <w:numPr>
        <w:numId w:val="11"/>
      </w:numPr>
      <w:spacing w:before="120"/>
      <w:ind w:left="851" w:hanging="851"/>
    </w:pPr>
    <w:rPr>
      <w:b/>
    </w:rPr>
  </w:style>
  <w:style w:type="character" w:customStyle="1" w:styleId="ParagrafoelencoCarattere">
    <w:name w:val="Paragrafo elenco Carattere"/>
    <w:basedOn w:val="Carpredefinitoparagrafo"/>
    <w:link w:val="Paragrafoelenco"/>
    <w:uiPriority w:val="34"/>
    <w:rsid w:val="003C6EF9"/>
    <w:rPr>
      <w:rFonts w:ascii="Arial" w:hAnsi="Arial"/>
      <w:lang w:val="it-CH"/>
    </w:rPr>
  </w:style>
  <w:style w:type="character" w:customStyle="1" w:styleId="TITOLOCarattere0">
    <w:name w:val="TITOLO Carattere"/>
    <w:basedOn w:val="ParagrafoelencoCarattere"/>
    <w:link w:val="TITOLO"/>
    <w:rsid w:val="00CA41BE"/>
    <w:rPr>
      <w:rFonts w:ascii="Arial" w:hAnsi="Arial"/>
      <w:b/>
      <w:sz w:val="24"/>
      <w:szCs w:val="24"/>
      <w:lang w:val="it-CH"/>
    </w:rPr>
  </w:style>
  <w:style w:type="paragraph" w:customStyle="1" w:styleId="CAPITOLO2">
    <w:name w:val="CAPITOLO 2"/>
    <w:basedOn w:val="ListNumeric12"/>
    <w:link w:val="CAPITOLO2Carattere"/>
    <w:qFormat/>
    <w:rsid w:val="00100005"/>
    <w:pPr>
      <w:numPr>
        <w:ilvl w:val="1"/>
        <w:numId w:val="11"/>
      </w:numPr>
      <w:ind w:left="851" w:hanging="851"/>
    </w:pPr>
    <w:rPr>
      <w:b/>
    </w:rPr>
  </w:style>
  <w:style w:type="character" w:customStyle="1" w:styleId="ListNumericCarattere">
    <w:name w:val="ListNumeric Carattere"/>
    <w:basedOn w:val="Carpredefinitoparagrafo"/>
    <w:link w:val="ListNumeric"/>
    <w:rsid w:val="00BF10C3"/>
    <w:rPr>
      <w:rFonts w:ascii="Arial" w:hAnsi="Arial"/>
      <w:lang w:val="it-CH"/>
    </w:rPr>
  </w:style>
  <w:style w:type="character" w:customStyle="1" w:styleId="ListNumeric12Carattere">
    <w:name w:val="ListNumeric12 Carattere"/>
    <w:basedOn w:val="ListNumericCarattere"/>
    <w:link w:val="ListNumeric12"/>
    <w:rsid w:val="00BF10C3"/>
    <w:rPr>
      <w:rFonts w:ascii="Arial" w:hAnsi="Arial"/>
      <w:sz w:val="24"/>
      <w:szCs w:val="24"/>
      <w:lang w:val="it-CH"/>
    </w:rPr>
  </w:style>
  <w:style w:type="character" w:customStyle="1" w:styleId="CAPITOLO1Carattere">
    <w:name w:val="CAPITOLO 1 Carattere"/>
    <w:basedOn w:val="ListNumeric12Carattere"/>
    <w:link w:val="CAPITOLO1"/>
    <w:rsid w:val="00100005"/>
    <w:rPr>
      <w:rFonts w:ascii="Arial" w:hAnsi="Arial"/>
      <w:b/>
      <w:sz w:val="24"/>
      <w:szCs w:val="24"/>
      <w:lang w:val="it-CH"/>
    </w:rPr>
  </w:style>
  <w:style w:type="character" w:customStyle="1" w:styleId="CAPITOLO2Carattere">
    <w:name w:val="CAPITOLO 2 Carattere"/>
    <w:basedOn w:val="ListNumeric12Carattere"/>
    <w:link w:val="CAPITOLO2"/>
    <w:rsid w:val="00100005"/>
    <w:rPr>
      <w:rFonts w:ascii="Arial" w:hAnsi="Arial"/>
      <w:b/>
      <w:sz w:val="24"/>
      <w:szCs w:val="24"/>
      <w:lang w:val="it-CH"/>
    </w:rPr>
  </w:style>
  <w:style w:type="character" w:styleId="Rimandocommento">
    <w:name w:val="annotation reference"/>
    <w:basedOn w:val="Carpredefinitoparagrafo"/>
    <w:uiPriority w:val="99"/>
    <w:semiHidden/>
    <w:unhideWhenUsed/>
    <w:rsid w:val="00811C53"/>
    <w:rPr>
      <w:sz w:val="16"/>
      <w:szCs w:val="16"/>
    </w:rPr>
  </w:style>
  <w:style w:type="paragraph" w:styleId="Testocommento">
    <w:name w:val="annotation text"/>
    <w:basedOn w:val="Normale"/>
    <w:link w:val="TestocommentoCarattere"/>
    <w:uiPriority w:val="99"/>
    <w:semiHidden/>
    <w:unhideWhenUsed/>
    <w:rsid w:val="00811C53"/>
    <w:rPr>
      <w:sz w:val="20"/>
      <w:szCs w:val="20"/>
    </w:rPr>
  </w:style>
  <w:style w:type="character" w:customStyle="1" w:styleId="TestocommentoCarattere">
    <w:name w:val="Testo commento Carattere"/>
    <w:basedOn w:val="Carpredefinitoparagrafo"/>
    <w:link w:val="Testocommento"/>
    <w:uiPriority w:val="99"/>
    <w:semiHidden/>
    <w:rsid w:val="00811C53"/>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811C53"/>
    <w:rPr>
      <w:b/>
      <w:bCs/>
    </w:rPr>
  </w:style>
  <w:style w:type="character" w:customStyle="1" w:styleId="SoggettocommentoCarattere">
    <w:name w:val="Soggetto commento Carattere"/>
    <w:basedOn w:val="TestocommentoCarattere"/>
    <w:link w:val="Soggettocommento"/>
    <w:uiPriority w:val="99"/>
    <w:semiHidden/>
    <w:rsid w:val="00811C53"/>
    <w:rPr>
      <w:rFonts w:ascii="Arial" w:hAnsi="Arial"/>
      <w:b/>
      <w:bCs/>
      <w:sz w:val="20"/>
      <w:szCs w:val="20"/>
      <w:lang w:val="it-CH"/>
    </w:rPr>
  </w:style>
  <w:style w:type="paragraph" w:customStyle="1" w:styleId="Default">
    <w:name w:val="Default"/>
    <w:rsid w:val="00040794"/>
    <w:pPr>
      <w:autoSpaceDE w:val="0"/>
      <w:autoSpaceDN w:val="0"/>
      <w:adjustRightInd w:val="0"/>
      <w:jc w:val="left"/>
    </w:pPr>
    <w:rPr>
      <w:rFonts w:ascii="Arial" w:eastAsia="Times New Roman" w:hAnsi="Arial" w:cs="Arial"/>
      <w:color w:val="000000"/>
      <w:sz w:val="24"/>
      <w:szCs w:val="24"/>
      <w:lang w:val="it-CH" w:eastAsia="it-CH"/>
    </w:rPr>
  </w:style>
  <w:style w:type="paragraph" w:customStyle="1" w:styleId="CAPITOLO3">
    <w:name w:val="CAPITOLO 3"/>
    <w:basedOn w:val="CAPITOLO2"/>
    <w:link w:val="CAPITOLO3Carattere"/>
    <w:qFormat/>
    <w:rsid w:val="00100005"/>
    <w:pPr>
      <w:numPr>
        <w:ilvl w:val="2"/>
      </w:numPr>
      <w:ind w:left="851" w:hanging="851"/>
    </w:pPr>
  </w:style>
  <w:style w:type="paragraph" w:customStyle="1" w:styleId="ALLEGATI">
    <w:name w:val="ALLEGATI"/>
    <w:basedOn w:val="Normale"/>
    <w:link w:val="ALLEGATICarattere"/>
    <w:qFormat/>
    <w:rsid w:val="00DB5F0A"/>
    <w:rPr>
      <w:b/>
      <w:sz w:val="24"/>
      <w:szCs w:val="24"/>
    </w:rPr>
  </w:style>
  <w:style w:type="character" w:customStyle="1" w:styleId="CAPITOLO3Carattere">
    <w:name w:val="CAPITOLO 3 Carattere"/>
    <w:basedOn w:val="CAPITOLO2Carattere"/>
    <w:link w:val="CAPITOLO3"/>
    <w:rsid w:val="00100005"/>
    <w:rPr>
      <w:rFonts w:ascii="Arial" w:hAnsi="Arial"/>
      <w:b/>
      <w:sz w:val="24"/>
      <w:szCs w:val="24"/>
      <w:lang w:val="it-CH"/>
    </w:rPr>
  </w:style>
  <w:style w:type="paragraph" w:customStyle="1" w:styleId="TABELLE">
    <w:name w:val="TABELLE"/>
    <w:basedOn w:val="StandardRisoluzionedelConsigliodiStato"/>
    <w:link w:val="TABELLECarattere"/>
    <w:qFormat/>
    <w:rsid w:val="006D2131"/>
    <w:pPr>
      <w:ind w:right="-1"/>
    </w:pPr>
    <w:rPr>
      <w:b/>
      <w:i/>
    </w:rPr>
  </w:style>
  <w:style w:type="character" w:customStyle="1" w:styleId="ALLEGATICarattere">
    <w:name w:val="ALLEGATI Carattere"/>
    <w:basedOn w:val="Carpredefinitoparagrafo"/>
    <w:link w:val="ALLEGATI"/>
    <w:rsid w:val="00DB5F0A"/>
    <w:rPr>
      <w:rFonts w:ascii="Arial" w:hAnsi="Arial"/>
      <w:b/>
      <w:sz w:val="24"/>
      <w:szCs w:val="24"/>
      <w:lang w:val="it-CH"/>
    </w:rPr>
  </w:style>
  <w:style w:type="paragraph" w:styleId="Sommario5">
    <w:name w:val="toc 5"/>
    <w:basedOn w:val="Normale"/>
    <w:next w:val="Normale"/>
    <w:autoRedefine/>
    <w:uiPriority w:val="39"/>
    <w:unhideWhenUsed/>
    <w:rsid w:val="00644618"/>
    <w:pPr>
      <w:tabs>
        <w:tab w:val="right" w:leader="dot" w:pos="9072"/>
      </w:tabs>
      <w:spacing w:after="100"/>
      <w:ind w:right="413"/>
    </w:pPr>
  </w:style>
  <w:style w:type="character" w:customStyle="1" w:styleId="StandardRisoluzionedelConsigliodiStatoCarattere">
    <w:name w:val="StandardRisoluzionedelConsigliodiStato Carattere"/>
    <w:basedOn w:val="Carpredefinitoparagrafo"/>
    <w:link w:val="StandardRisoluzionedelConsigliodiStato"/>
    <w:rsid w:val="006D2131"/>
    <w:rPr>
      <w:rFonts w:ascii="Arial" w:hAnsi="Arial"/>
      <w:sz w:val="24"/>
      <w:lang w:val="it-CH"/>
    </w:rPr>
  </w:style>
  <w:style w:type="character" w:customStyle="1" w:styleId="TABELLECarattere">
    <w:name w:val="TABELLE Carattere"/>
    <w:basedOn w:val="StandardRisoluzionedelConsigliodiStatoCarattere"/>
    <w:link w:val="TABELLE"/>
    <w:rsid w:val="006D2131"/>
    <w:rPr>
      <w:rFonts w:ascii="Arial" w:hAnsi="Arial"/>
      <w:b/>
      <w:i/>
      <w:sz w:val="24"/>
      <w:lang w:val="it-CH"/>
    </w:rPr>
  </w:style>
  <w:style w:type="paragraph" w:styleId="Sommario6">
    <w:name w:val="toc 6"/>
    <w:basedOn w:val="Normale"/>
    <w:next w:val="Normale"/>
    <w:autoRedefine/>
    <w:uiPriority w:val="39"/>
    <w:unhideWhenUsed/>
    <w:rsid w:val="00EE732F"/>
    <w:pPr>
      <w:tabs>
        <w:tab w:val="right" w:leader="dot" w:pos="9072"/>
      </w:tabs>
      <w:spacing w:beforeLines="20" w:before="48" w:afterLines="20" w:after="48"/>
      <w:ind w:right="850"/>
      <w:jc w:val="left"/>
    </w:pPr>
  </w:style>
  <w:style w:type="paragraph" w:styleId="Revisione">
    <w:name w:val="Revision"/>
    <w:hidden/>
    <w:uiPriority w:val="99"/>
    <w:semiHidden/>
    <w:rsid w:val="00A555FF"/>
    <w:pPr>
      <w:jc w:val="left"/>
    </w:pPr>
    <w:rPr>
      <w:rFonts w:ascii="Arial" w:hAnsi="Arial"/>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84479">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79125992">
      <w:bodyDiv w:val="1"/>
      <w:marLeft w:val="0"/>
      <w:marRight w:val="0"/>
      <w:marTop w:val="0"/>
      <w:marBottom w:val="0"/>
      <w:divBdr>
        <w:top w:val="none" w:sz="0" w:space="0" w:color="auto"/>
        <w:left w:val="none" w:sz="0" w:space="0" w:color="auto"/>
        <w:bottom w:val="none" w:sz="0" w:space="0" w:color="auto"/>
        <w:right w:val="none" w:sz="0" w:space="0" w:color="auto"/>
      </w:divBdr>
    </w:div>
    <w:div w:id="234054143">
      <w:bodyDiv w:val="1"/>
      <w:marLeft w:val="0"/>
      <w:marRight w:val="0"/>
      <w:marTop w:val="0"/>
      <w:marBottom w:val="0"/>
      <w:divBdr>
        <w:top w:val="none" w:sz="0" w:space="0" w:color="auto"/>
        <w:left w:val="none" w:sz="0" w:space="0" w:color="auto"/>
        <w:bottom w:val="none" w:sz="0" w:space="0" w:color="auto"/>
        <w:right w:val="none" w:sz="0" w:space="0" w:color="auto"/>
      </w:divBdr>
    </w:div>
    <w:div w:id="355543192">
      <w:bodyDiv w:val="1"/>
      <w:marLeft w:val="0"/>
      <w:marRight w:val="0"/>
      <w:marTop w:val="0"/>
      <w:marBottom w:val="0"/>
      <w:divBdr>
        <w:top w:val="none" w:sz="0" w:space="0" w:color="auto"/>
        <w:left w:val="none" w:sz="0" w:space="0" w:color="auto"/>
        <w:bottom w:val="none" w:sz="0" w:space="0" w:color="auto"/>
        <w:right w:val="none" w:sz="0" w:space="0" w:color="auto"/>
      </w:divBdr>
    </w:div>
    <w:div w:id="376973379">
      <w:bodyDiv w:val="1"/>
      <w:marLeft w:val="0"/>
      <w:marRight w:val="0"/>
      <w:marTop w:val="0"/>
      <w:marBottom w:val="0"/>
      <w:divBdr>
        <w:top w:val="none" w:sz="0" w:space="0" w:color="auto"/>
        <w:left w:val="none" w:sz="0" w:space="0" w:color="auto"/>
        <w:bottom w:val="none" w:sz="0" w:space="0" w:color="auto"/>
        <w:right w:val="none" w:sz="0" w:space="0" w:color="auto"/>
      </w:divBdr>
    </w:div>
    <w:div w:id="380174382">
      <w:bodyDiv w:val="1"/>
      <w:marLeft w:val="0"/>
      <w:marRight w:val="0"/>
      <w:marTop w:val="0"/>
      <w:marBottom w:val="0"/>
      <w:divBdr>
        <w:top w:val="none" w:sz="0" w:space="0" w:color="auto"/>
        <w:left w:val="none" w:sz="0" w:space="0" w:color="auto"/>
        <w:bottom w:val="none" w:sz="0" w:space="0" w:color="auto"/>
        <w:right w:val="none" w:sz="0" w:space="0" w:color="auto"/>
      </w:divBdr>
    </w:div>
    <w:div w:id="544952985">
      <w:bodyDiv w:val="1"/>
      <w:marLeft w:val="0"/>
      <w:marRight w:val="0"/>
      <w:marTop w:val="0"/>
      <w:marBottom w:val="0"/>
      <w:divBdr>
        <w:top w:val="none" w:sz="0" w:space="0" w:color="auto"/>
        <w:left w:val="none" w:sz="0" w:space="0" w:color="auto"/>
        <w:bottom w:val="none" w:sz="0" w:space="0" w:color="auto"/>
        <w:right w:val="none" w:sz="0" w:space="0" w:color="auto"/>
      </w:divBdr>
    </w:div>
    <w:div w:id="688605876">
      <w:bodyDiv w:val="1"/>
      <w:marLeft w:val="0"/>
      <w:marRight w:val="0"/>
      <w:marTop w:val="0"/>
      <w:marBottom w:val="0"/>
      <w:divBdr>
        <w:top w:val="none" w:sz="0" w:space="0" w:color="auto"/>
        <w:left w:val="none" w:sz="0" w:space="0" w:color="auto"/>
        <w:bottom w:val="none" w:sz="0" w:space="0" w:color="auto"/>
        <w:right w:val="none" w:sz="0" w:space="0" w:color="auto"/>
      </w:divBdr>
    </w:div>
    <w:div w:id="729840824">
      <w:bodyDiv w:val="1"/>
      <w:marLeft w:val="0"/>
      <w:marRight w:val="0"/>
      <w:marTop w:val="0"/>
      <w:marBottom w:val="0"/>
      <w:divBdr>
        <w:top w:val="none" w:sz="0" w:space="0" w:color="auto"/>
        <w:left w:val="none" w:sz="0" w:space="0" w:color="auto"/>
        <w:bottom w:val="none" w:sz="0" w:space="0" w:color="auto"/>
        <w:right w:val="none" w:sz="0" w:space="0" w:color="auto"/>
      </w:divBdr>
    </w:div>
    <w:div w:id="735786122">
      <w:bodyDiv w:val="1"/>
      <w:marLeft w:val="0"/>
      <w:marRight w:val="0"/>
      <w:marTop w:val="0"/>
      <w:marBottom w:val="0"/>
      <w:divBdr>
        <w:top w:val="none" w:sz="0" w:space="0" w:color="auto"/>
        <w:left w:val="none" w:sz="0" w:space="0" w:color="auto"/>
        <w:bottom w:val="none" w:sz="0" w:space="0" w:color="auto"/>
        <w:right w:val="none" w:sz="0" w:space="0" w:color="auto"/>
      </w:divBdr>
    </w:div>
    <w:div w:id="770080639">
      <w:bodyDiv w:val="1"/>
      <w:marLeft w:val="0"/>
      <w:marRight w:val="0"/>
      <w:marTop w:val="0"/>
      <w:marBottom w:val="0"/>
      <w:divBdr>
        <w:top w:val="none" w:sz="0" w:space="0" w:color="auto"/>
        <w:left w:val="none" w:sz="0" w:space="0" w:color="auto"/>
        <w:bottom w:val="none" w:sz="0" w:space="0" w:color="auto"/>
        <w:right w:val="none" w:sz="0" w:space="0" w:color="auto"/>
      </w:divBdr>
    </w:div>
    <w:div w:id="859003257">
      <w:bodyDiv w:val="1"/>
      <w:marLeft w:val="0"/>
      <w:marRight w:val="0"/>
      <w:marTop w:val="0"/>
      <w:marBottom w:val="0"/>
      <w:divBdr>
        <w:top w:val="none" w:sz="0" w:space="0" w:color="auto"/>
        <w:left w:val="none" w:sz="0" w:space="0" w:color="auto"/>
        <w:bottom w:val="none" w:sz="0" w:space="0" w:color="auto"/>
        <w:right w:val="none" w:sz="0" w:space="0" w:color="auto"/>
      </w:divBdr>
    </w:div>
    <w:div w:id="872965064">
      <w:bodyDiv w:val="1"/>
      <w:marLeft w:val="0"/>
      <w:marRight w:val="0"/>
      <w:marTop w:val="0"/>
      <w:marBottom w:val="0"/>
      <w:divBdr>
        <w:top w:val="none" w:sz="0" w:space="0" w:color="auto"/>
        <w:left w:val="none" w:sz="0" w:space="0" w:color="auto"/>
        <w:bottom w:val="none" w:sz="0" w:space="0" w:color="auto"/>
        <w:right w:val="none" w:sz="0" w:space="0" w:color="auto"/>
      </w:divBdr>
    </w:div>
    <w:div w:id="940457040">
      <w:bodyDiv w:val="1"/>
      <w:marLeft w:val="0"/>
      <w:marRight w:val="0"/>
      <w:marTop w:val="0"/>
      <w:marBottom w:val="0"/>
      <w:divBdr>
        <w:top w:val="none" w:sz="0" w:space="0" w:color="auto"/>
        <w:left w:val="none" w:sz="0" w:space="0" w:color="auto"/>
        <w:bottom w:val="none" w:sz="0" w:space="0" w:color="auto"/>
        <w:right w:val="none" w:sz="0" w:space="0" w:color="auto"/>
      </w:divBdr>
    </w:div>
    <w:div w:id="977614670">
      <w:bodyDiv w:val="1"/>
      <w:marLeft w:val="0"/>
      <w:marRight w:val="0"/>
      <w:marTop w:val="0"/>
      <w:marBottom w:val="0"/>
      <w:divBdr>
        <w:top w:val="none" w:sz="0" w:space="0" w:color="auto"/>
        <w:left w:val="none" w:sz="0" w:space="0" w:color="auto"/>
        <w:bottom w:val="none" w:sz="0" w:space="0" w:color="auto"/>
        <w:right w:val="none" w:sz="0" w:space="0" w:color="auto"/>
      </w:divBdr>
    </w:div>
    <w:div w:id="979766137">
      <w:bodyDiv w:val="1"/>
      <w:marLeft w:val="0"/>
      <w:marRight w:val="0"/>
      <w:marTop w:val="0"/>
      <w:marBottom w:val="0"/>
      <w:divBdr>
        <w:top w:val="none" w:sz="0" w:space="0" w:color="auto"/>
        <w:left w:val="none" w:sz="0" w:space="0" w:color="auto"/>
        <w:bottom w:val="none" w:sz="0" w:space="0" w:color="auto"/>
        <w:right w:val="none" w:sz="0" w:space="0" w:color="auto"/>
      </w:divBdr>
    </w:div>
    <w:div w:id="1027679250">
      <w:bodyDiv w:val="1"/>
      <w:marLeft w:val="0"/>
      <w:marRight w:val="0"/>
      <w:marTop w:val="0"/>
      <w:marBottom w:val="0"/>
      <w:divBdr>
        <w:top w:val="none" w:sz="0" w:space="0" w:color="auto"/>
        <w:left w:val="none" w:sz="0" w:space="0" w:color="auto"/>
        <w:bottom w:val="none" w:sz="0" w:space="0" w:color="auto"/>
        <w:right w:val="none" w:sz="0" w:space="0" w:color="auto"/>
      </w:divBdr>
    </w:div>
    <w:div w:id="1232160178">
      <w:bodyDiv w:val="1"/>
      <w:marLeft w:val="0"/>
      <w:marRight w:val="0"/>
      <w:marTop w:val="0"/>
      <w:marBottom w:val="0"/>
      <w:divBdr>
        <w:top w:val="none" w:sz="0" w:space="0" w:color="auto"/>
        <w:left w:val="none" w:sz="0" w:space="0" w:color="auto"/>
        <w:bottom w:val="none" w:sz="0" w:space="0" w:color="auto"/>
        <w:right w:val="none" w:sz="0" w:space="0" w:color="auto"/>
      </w:divBdr>
    </w:div>
    <w:div w:id="1369256138">
      <w:bodyDiv w:val="1"/>
      <w:marLeft w:val="0"/>
      <w:marRight w:val="0"/>
      <w:marTop w:val="0"/>
      <w:marBottom w:val="0"/>
      <w:divBdr>
        <w:top w:val="none" w:sz="0" w:space="0" w:color="auto"/>
        <w:left w:val="none" w:sz="0" w:space="0" w:color="auto"/>
        <w:bottom w:val="none" w:sz="0" w:space="0" w:color="auto"/>
        <w:right w:val="none" w:sz="0" w:space="0" w:color="auto"/>
      </w:divBdr>
    </w:div>
    <w:div w:id="1578859822">
      <w:bodyDiv w:val="1"/>
      <w:marLeft w:val="0"/>
      <w:marRight w:val="0"/>
      <w:marTop w:val="0"/>
      <w:marBottom w:val="0"/>
      <w:divBdr>
        <w:top w:val="none" w:sz="0" w:space="0" w:color="auto"/>
        <w:left w:val="none" w:sz="0" w:space="0" w:color="auto"/>
        <w:bottom w:val="none" w:sz="0" w:space="0" w:color="auto"/>
        <w:right w:val="none" w:sz="0" w:space="0" w:color="auto"/>
      </w:divBdr>
    </w:div>
    <w:div w:id="1708604974">
      <w:bodyDiv w:val="1"/>
      <w:marLeft w:val="0"/>
      <w:marRight w:val="0"/>
      <w:marTop w:val="0"/>
      <w:marBottom w:val="0"/>
      <w:divBdr>
        <w:top w:val="none" w:sz="0" w:space="0" w:color="auto"/>
        <w:left w:val="none" w:sz="0" w:space="0" w:color="auto"/>
        <w:bottom w:val="none" w:sz="0" w:space="0" w:color="auto"/>
        <w:right w:val="none" w:sz="0" w:space="0" w:color="auto"/>
      </w:divBdr>
    </w:div>
    <w:div w:id="1752778888">
      <w:bodyDiv w:val="1"/>
      <w:marLeft w:val="0"/>
      <w:marRight w:val="0"/>
      <w:marTop w:val="0"/>
      <w:marBottom w:val="0"/>
      <w:divBdr>
        <w:top w:val="none" w:sz="0" w:space="0" w:color="auto"/>
        <w:left w:val="none" w:sz="0" w:space="0" w:color="auto"/>
        <w:bottom w:val="none" w:sz="0" w:space="0" w:color="auto"/>
        <w:right w:val="none" w:sz="0" w:space="0" w:color="auto"/>
      </w:divBdr>
    </w:div>
    <w:div w:id="1774478326">
      <w:bodyDiv w:val="1"/>
      <w:marLeft w:val="0"/>
      <w:marRight w:val="0"/>
      <w:marTop w:val="0"/>
      <w:marBottom w:val="0"/>
      <w:divBdr>
        <w:top w:val="none" w:sz="0" w:space="0" w:color="auto"/>
        <w:left w:val="none" w:sz="0" w:space="0" w:color="auto"/>
        <w:bottom w:val="none" w:sz="0" w:space="0" w:color="auto"/>
        <w:right w:val="none" w:sz="0" w:space="0" w:color="auto"/>
      </w:divBdr>
    </w:div>
    <w:div w:id="1830634343">
      <w:bodyDiv w:val="1"/>
      <w:marLeft w:val="0"/>
      <w:marRight w:val="0"/>
      <w:marTop w:val="0"/>
      <w:marBottom w:val="0"/>
      <w:divBdr>
        <w:top w:val="none" w:sz="0" w:space="0" w:color="auto"/>
        <w:left w:val="none" w:sz="0" w:space="0" w:color="auto"/>
        <w:bottom w:val="none" w:sz="0" w:space="0" w:color="auto"/>
        <w:right w:val="none" w:sz="0" w:space="0" w:color="auto"/>
      </w:divBdr>
    </w:div>
    <w:div w:id="1840075034">
      <w:bodyDiv w:val="1"/>
      <w:marLeft w:val="0"/>
      <w:marRight w:val="0"/>
      <w:marTop w:val="0"/>
      <w:marBottom w:val="0"/>
      <w:divBdr>
        <w:top w:val="none" w:sz="0" w:space="0" w:color="auto"/>
        <w:left w:val="none" w:sz="0" w:space="0" w:color="auto"/>
        <w:bottom w:val="none" w:sz="0" w:space="0" w:color="auto"/>
        <w:right w:val="none" w:sz="0" w:space="0" w:color="auto"/>
      </w:divBdr>
    </w:div>
    <w:div w:id="1918251001">
      <w:bodyDiv w:val="1"/>
      <w:marLeft w:val="0"/>
      <w:marRight w:val="0"/>
      <w:marTop w:val="0"/>
      <w:marBottom w:val="0"/>
      <w:divBdr>
        <w:top w:val="none" w:sz="0" w:space="0" w:color="auto"/>
        <w:left w:val="none" w:sz="0" w:space="0" w:color="auto"/>
        <w:bottom w:val="none" w:sz="0" w:space="0" w:color="auto"/>
        <w:right w:val="none" w:sz="0" w:space="0" w:color="auto"/>
      </w:divBdr>
    </w:div>
    <w:div w:id="1928810291">
      <w:bodyDiv w:val="1"/>
      <w:marLeft w:val="0"/>
      <w:marRight w:val="0"/>
      <w:marTop w:val="0"/>
      <w:marBottom w:val="0"/>
      <w:divBdr>
        <w:top w:val="none" w:sz="0" w:space="0" w:color="auto"/>
        <w:left w:val="none" w:sz="0" w:space="0" w:color="auto"/>
        <w:bottom w:val="none" w:sz="0" w:space="0" w:color="auto"/>
        <w:right w:val="none" w:sz="0" w:space="0" w:color="auto"/>
      </w:divBdr>
    </w:div>
    <w:div w:id="2067951253">
      <w:bodyDiv w:val="1"/>
      <w:marLeft w:val="0"/>
      <w:marRight w:val="0"/>
      <w:marTop w:val="0"/>
      <w:marBottom w:val="0"/>
      <w:divBdr>
        <w:top w:val="none" w:sz="0" w:space="0" w:color="auto"/>
        <w:left w:val="none" w:sz="0" w:space="0" w:color="auto"/>
        <w:bottom w:val="none" w:sz="0" w:space="0" w:color="auto"/>
        <w:right w:val="none" w:sz="0" w:space="0" w:color="auto"/>
      </w:divBdr>
    </w:div>
    <w:div w:id="2101364707">
      <w:bodyDiv w:val="1"/>
      <w:marLeft w:val="0"/>
      <w:marRight w:val="0"/>
      <w:marTop w:val="0"/>
      <w:marBottom w:val="0"/>
      <w:divBdr>
        <w:top w:val="none" w:sz="0" w:space="0" w:color="auto"/>
        <w:left w:val="none" w:sz="0" w:space="0" w:color="auto"/>
        <w:bottom w:val="none" w:sz="0" w:space="0" w:color="auto"/>
        <w:right w:val="none" w:sz="0" w:space="0" w:color="auto"/>
      </w:divBdr>
    </w:div>
    <w:div w:id="2117752496">
      <w:bodyDiv w:val="1"/>
      <w:marLeft w:val="0"/>
      <w:marRight w:val="0"/>
      <w:marTop w:val="0"/>
      <w:marBottom w:val="0"/>
      <w:divBdr>
        <w:top w:val="none" w:sz="0" w:space="0" w:color="auto"/>
        <w:left w:val="none" w:sz="0" w:space="0" w:color="auto"/>
        <w:bottom w:val="none" w:sz="0" w:space="0" w:color="auto"/>
        <w:right w:val="none" w:sz="0" w:space="0" w:color="auto"/>
      </w:divBdr>
    </w:div>
    <w:div w:id="213760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chart" Target="charts/chart2.xml"/><Relationship Id="rId26" Type="http://schemas.openxmlformats.org/officeDocument/2006/relationships/image" Target="media/image8.emf"/><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estv.admin.ch/estv/fr/accueil/afc/systeme-fiscal-suisse/brochures-fiscales.html" TargetMode="Externa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2.png"/><Relationship Id="rId29" Type="http://schemas.openxmlformats.org/officeDocument/2006/relationships/hyperlink" Target="https://www.estv.admin.ch/estv/fr/accueil/afc/systeme-fiscal-suisse/brochures-fiscale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2.xml"/><Relationship Id="rId32"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chart" Target="charts/chart1.xml"/><Relationship Id="rId23" Type="http://schemas.openxmlformats.org/officeDocument/2006/relationships/footer" Target="footer1.xml"/><Relationship Id="rId28" Type="http://schemas.openxmlformats.org/officeDocument/2006/relationships/footer" Target="footer3.xml"/><Relationship Id="rId10" Type="http://schemas.openxmlformats.org/officeDocument/2006/relationships/styles" Target="styles.xml"/><Relationship Id="rId19" Type="http://schemas.openxmlformats.org/officeDocument/2006/relationships/chart" Target="charts/chart3.xml"/><Relationship Id="rId31"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eader" Target="header1.xml"/><Relationship Id="rId27" Type="http://schemas.openxmlformats.org/officeDocument/2006/relationships/header" Target="header3.xml"/><Relationship Id="rId30" Type="http://schemas.openxmlformats.org/officeDocument/2006/relationships/hyperlink" Target="https://swisstaxcalculator.estv.admin.ch/"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file:///C:\Users\T137082\Downloads\erbrecht-steuertabelle-it.pdf" TargetMode="External"/><Relationship Id="rId2" Type="http://schemas.openxmlformats.org/officeDocument/2006/relationships/hyperlink" Target="https://www.admin.ch/gov/it/pagina-iniziale/documentazione/comunicati-stampa.msg-id-89219.html" TargetMode="External"/><Relationship Id="rId1" Type="http://schemas.openxmlformats.org/officeDocument/2006/relationships/hyperlink" Target="https://www.bj.admin.ch/ejpd/it/home/attualita/news/2018/2018-08-29.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din001\AppData\Local\Temp\OneOffixx\generated\3ddee08d-e507-45cd-a05c-463873e57170.dotx"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FSBELL04.ac.ti.ch\datiresi\ddc\dir\6-Finanze%20e%20contabilita\Rena%202023\Riforma%20generale%20LT\Esempi%20x%20Vitta%20_4%25%20MIN%203K%20MAX%205K.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Foglio_di_lavoro_di_Microsoft_Excel.xlsx"/></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grafico!$B$2</c:f>
              <c:strCache>
                <c:ptCount val="1"/>
                <c:pt idx="0">
                  <c:v>Deduzione attuale</c:v>
                </c:pt>
              </c:strCache>
            </c:strRef>
          </c:tx>
          <c:spPr>
            <a:ln w="28575" cap="rnd">
              <a:solidFill>
                <a:schemeClr val="accent1"/>
              </a:solidFill>
              <a:round/>
            </a:ln>
            <a:effectLst/>
          </c:spPr>
          <c:marker>
            <c:symbol val="none"/>
          </c:marker>
          <c:cat>
            <c:numRef>
              <c:f>grafico!$A$3:$A$29</c:f>
              <c:numCache>
                <c:formatCode>_ * #,##0_ ;_ * \-#,##0_ ;_ * "-"??_ ;_ @_ </c:formatCode>
                <c:ptCount val="27"/>
                <c:pt idx="0">
                  <c:v>20000</c:v>
                </c:pt>
                <c:pt idx="1">
                  <c:v>25000</c:v>
                </c:pt>
                <c:pt idx="2">
                  <c:v>30000</c:v>
                </c:pt>
                <c:pt idx="3">
                  <c:v>35000</c:v>
                </c:pt>
                <c:pt idx="4">
                  <c:v>40000</c:v>
                </c:pt>
                <c:pt idx="5">
                  <c:v>45000</c:v>
                </c:pt>
                <c:pt idx="6">
                  <c:v>50000</c:v>
                </c:pt>
                <c:pt idx="7">
                  <c:v>55000</c:v>
                </c:pt>
                <c:pt idx="8">
                  <c:v>60000</c:v>
                </c:pt>
                <c:pt idx="9">
                  <c:v>65000</c:v>
                </c:pt>
                <c:pt idx="10">
                  <c:v>70000</c:v>
                </c:pt>
                <c:pt idx="11">
                  <c:v>75000</c:v>
                </c:pt>
                <c:pt idx="12">
                  <c:v>80000</c:v>
                </c:pt>
                <c:pt idx="13">
                  <c:v>85000</c:v>
                </c:pt>
                <c:pt idx="14">
                  <c:v>90000</c:v>
                </c:pt>
                <c:pt idx="15">
                  <c:v>95000</c:v>
                </c:pt>
                <c:pt idx="16">
                  <c:v>100000</c:v>
                </c:pt>
                <c:pt idx="17">
                  <c:v>105000</c:v>
                </c:pt>
                <c:pt idx="18">
                  <c:v>110000</c:v>
                </c:pt>
                <c:pt idx="19">
                  <c:v>115000</c:v>
                </c:pt>
                <c:pt idx="20">
                  <c:v>120000</c:v>
                </c:pt>
                <c:pt idx="21">
                  <c:v>125000</c:v>
                </c:pt>
                <c:pt idx="22">
                  <c:v>130000</c:v>
                </c:pt>
                <c:pt idx="23">
                  <c:v>135000</c:v>
                </c:pt>
                <c:pt idx="24">
                  <c:v>140000</c:v>
                </c:pt>
                <c:pt idx="25">
                  <c:v>145000</c:v>
                </c:pt>
                <c:pt idx="26">
                  <c:v>150000</c:v>
                </c:pt>
              </c:numCache>
            </c:numRef>
          </c:cat>
          <c:val>
            <c:numRef>
              <c:f>grafico!$B$3:$B$29</c:f>
              <c:numCache>
                <c:formatCode>_ * #,##0_ ;_ * \-#,##0_ ;_ * "-"??_ ;_ @_ </c:formatCode>
                <c:ptCount val="27"/>
                <c:pt idx="0">
                  <c:v>2500</c:v>
                </c:pt>
                <c:pt idx="1">
                  <c:v>2500</c:v>
                </c:pt>
                <c:pt idx="2">
                  <c:v>2500</c:v>
                </c:pt>
                <c:pt idx="3">
                  <c:v>2500</c:v>
                </c:pt>
                <c:pt idx="4">
                  <c:v>2500</c:v>
                </c:pt>
                <c:pt idx="5">
                  <c:v>2500</c:v>
                </c:pt>
                <c:pt idx="6">
                  <c:v>2500</c:v>
                </c:pt>
                <c:pt idx="7">
                  <c:v>2500</c:v>
                </c:pt>
                <c:pt idx="8">
                  <c:v>2500</c:v>
                </c:pt>
                <c:pt idx="9">
                  <c:v>2500</c:v>
                </c:pt>
                <c:pt idx="10">
                  <c:v>2500</c:v>
                </c:pt>
                <c:pt idx="11">
                  <c:v>2500</c:v>
                </c:pt>
                <c:pt idx="12">
                  <c:v>2500</c:v>
                </c:pt>
                <c:pt idx="13">
                  <c:v>2500</c:v>
                </c:pt>
                <c:pt idx="14">
                  <c:v>2500</c:v>
                </c:pt>
                <c:pt idx="15">
                  <c:v>2500</c:v>
                </c:pt>
                <c:pt idx="16">
                  <c:v>2500</c:v>
                </c:pt>
                <c:pt idx="17">
                  <c:v>2500</c:v>
                </c:pt>
                <c:pt idx="18">
                  <c:v>2500</c:v>
                </c:pt>
                <c:pt idx="19">
                  <c:v>2500</c:v>
                </c:pt>
                <c:pt idx="20">
                  <c:v>2500</c:v>
                </c:pt>
                <c:pt idx="21">
                  <c:v>2500</c:v>
                </c:pt>
                <c:pt idx="22">
                  <c:v>2500</c:v>
                </c:pt>
                <c:pt idx="23">
                  <c:v>2500</c:v>
                </c:pt>
                <c:pt idx="24">
                  <c:v>2500</c:v>
                </c:pt>
                <c:pt idx="25">
                  <c:v>2500</c:v>
                </c:pt>
                <c:pt idx="26">
                  <c:v>2500</c:v>
                </c:pt>
              </c:numCache>
            </c:numRef>
          </c:val>
          <c:smooth val="0"/>
          <c:extLst>
            <c:ext xmlns:c16="http://schemas.microsoft.com/office/drawing/2014/chart" uri="{C3380CC4-5D6E-409C-BE32-E72D297353CC}">
              <c16:uniqueId val="{00000000-8B00-43AD-9579-A4AC54510318}"/>
            </c:ext>
          </c:extLst>
        </c:ser>
        <c:ser>
          <c:idx val="1"/>
          <c:order val="1"/>
          <c:tx>
            <c:strRef>
              <c:f>grafico!$C$2</c:f>
              <c:strCache>
                <c:ptCount val="1"/>
                <c:pt idx="0">
                  <c:v>Ricalcolo 5%</c:v>
                </c:pt>
              </c:strCache>
            </c:strRef>
          </c:tx>
          <c:spPr>
            <a:ln w="28575" cap="rnd">
              <a:solidFill>
                <a:schemeClr val="accent2"/>
              </a:solidFill>
              <a:round/>
            </a:ln>
            <a:effectLst/>
          </c:spPr>
          <c:marker>
            <c:symbol val="none"/>
          </c:marker>
          <c:cat>
            <c:numRef>
              <c:f>grafico!$A$3:$A$29</c:f>
              <c:numCache>
                <c:formatCode>_ * #,##0_ ;_ * \-#,##0_ ;_ * "-"??_ ;_ @_ </c:formatCode>
                <c:ptCount val="27"/>
                <c:pt idx="0">
                  <c:v>20000</c:v>
                </c:pt>
                <c:pt idx="1">
                  <c:v>25000</c:v>
                </c:pt>
                <c:pt idx="2">
                  <c:v>30000</c:v>
                </c:pt>
                <c:pt idx="3">
                  <c:v>35000</c:v>
                </c:pt>
                <c:pt idx="4">
                  <c:v>40000</c:v>
                </c:pt>
                <c:pt idx="5">
                  <c:v>45000</c:v>
                </c:pt>
                <c:pt idx="6">
                  <c:v>50000</c:v>
                </c:pt>
                <c:pt idx="7">
                  <c:v>55000</c:v>
                </c:pt>
                <c:pt idx="8">
                  <c:v>60000</c:v>
                </c:pt>
                <c:pt idx="9">
                  <c:v>65000</c:v>
                </c:pt>
                <c:pt idx="10">
                  <c:v>70000</c:v>
                </c:pt>
                <c:pt idx="11">
                  <c:v>75000</c:v>
                </c:pt>
                <c:pt idx="12">
                  <c:v>80000</c:v>
                </c:pt>
                <c:pt idx="13">
                  <c:v>85000</c:v>
                </c:pt>
                <c:pt idx="14">
                  <c:v>90000</c:v>
                </c:pt>
                <c:pt idx="15">
                  <c:v>95000</c:v>
                </c:pt>
                <c:pt idx="16">
                  <c:v>100000</c:v>
                </c:pt>
                <c:pt idx="17">
                  <c:v>105000</c:v>
                </c:pt>
                <c:pt idx="18">
                  <c:v>110000</c:v>
                </c:pt>
                <c:pt idx="19">
                  <c:v>115000</c:v>
                </c:pt>
                <c:pt idx="20">
                  <c:v>120000</c:v>
                </c:pt>
                <c:pt idx="21">
                  <c:v>125000</c:v>
                </c:pt>
                <c:pt idx="22">
                  <c:v>130000</c:v>
                </c:pt>
                <c:pt idx="23">
                  <c:v>135000</c:v>
                </c:pt>
                <c:pt idx="24">
                  <c:v>140000</c:v>
                </c:pt>
                <c:pt idx="25">
                  <c:v>145000</c:v>
                </c:pt>
                <c:pt idx="26">
                  <c:v>150000</c:v>
                </c:pt>
              </c:numCache>
            </c:numRef>
          </c:cat>
          <c:val>
            <c:numRef>
              <c:f>grafico!$C$3:$C$29</c:f>
            </c:numRef>
          </c:val>
          <c:smooth val="0"/>
          <c:extLst>
            <c:ext xmlns:c16="http://schemas.microsoft.com/office/drawing/2014/chart" uri="{C3380CC4-5D6E-409C-BE32-E72D297353CC}">
              <c16:uniqueId val="{00000001-8B00-43AD-9579-A4AC54510318}"/>
            </c:ext>
          </c:extLst>
        </c:ser>
        <c:ser>
          <c:idx val="2"/>
          <c:order val="2"/>
          <c:tx>
            <c:strRef>
              <c:f>grafico!$D$2</c:f>
              <c:strCache>
                <c:ptCount val="1"/>
                <c:pt idx="0">
                  <c:v>Deduzione futura</c:v>
                </c:pt>
              </c:strCache>
            </c:strRef>
          </c:tx>
          <c:spPr>
            <a:ln w="28575" cap="rnd">
              <a:solidFill>
                <a:srgbClr val="FF0000"/>
              </a:solidFill>
              <a:round/>
            </a:ln>
            <a:effectLst/>
          </c:spPr>
          <c:marker>
            <c:symbol val="none"/>
          </c:marker>
          <c:cat>
            <c:numRef>
              <c:f>grafico!$A$3:$A$29</c:f>
              <c:numCache>
                <c:formatCode>_ * #,##0_ ;_ * \-#,##0_ ;_ * "-"??_ ;_ @_ </c:formatCode>
                <c:ptCount val="27"/>
                <c:pt idx="0">
                  <c:v>20000</c:v>
                </c:pt>
                <c:pt idx="1">
                  <c:v>25000</c:v>
                </c:pt>
                <c:pt idx="2">
                  <c:v>30000</c:v>
                </c:pt>
                <c:pt idx="3">
                  <c:v>35000</c:v>
                </c:pt>
                <c:pt idx="4">
                  <c:v>40000</c:v>
                </c:pt>
                <c:pt idx="5">
                  <c:v>45000</c:v>
                </c:pt>
                <c:pt idx="6">
                  <c:v>50000</c:v>
                </c:pt>
                <c:pt idx="7">
                  <c:v>55000</c:v>
                </c:pt>
                <c:pt idx="8">
                  <c:v>60000</c:v>
                </c:pt>
                <c:pt idx="9">
                  <c:v>65000</c:v>
                </c:pt>
                <c:pt idx="10">
                  <c:v>70000</c:v>
                </c:pt>
                <c:pt idx="11">
                  <c:v>75000</c:v>
                </c:pt>
                <c:pt idx="12">
                  <c:v>80000</c:v>
                </c:pt>
                <c:pt idx="13">
                  <c:v>85000</c:v>
                </c:pt>
                <c:pt idx="14">
                  <c:v>90000</c:v>
                </c:pt>
                <c:pt idx="15">
                  <c:v>95000</c:v>
                </c:pt>
                <c:pt idx="16">
                  <c:v>100000</c:v>
                </c:pt>
                <c:pt idx="17">
                  <c:v>105000</c:v>
                </c:pt>
                <c:pt idx="18">
                  <c:v>110000</c:v>
                </c:pt>
                <c:pt idx="19">
                  <c:v>115000</c:v>
                </c:pt>
                <c:pt idx="20">
                  <c:v>120000</c:v>
                </c:pt>
                <c:pt idx="21">
                  <c:v>125000</c:v>
                </c:pt>
                <c:pt idx="22">
                  <c:v>130000</c:v>
                </c:pt>
                <c:pt idx="23">
                  <c:v>135000</c:v>
                </c:pt>
                <c:pt idx="24">
                  <c:v>140000</c:v>
                </c:pt>
                <c:pt idx="25">
                  <c:v>145000</c:v>
                </c:pt>
                <c:pt idx="26">
                  <c:v>150000</c:v>
                </c:pt>
              </c:numCache>
            </c:numRef>
          </c:cat>
          <c:val>
            <c:numRef>
              <c:f>grafico!$D$3:$D$29</c:f>
              <c:numCache>
                <c:formatCode>_ * #,##0_ ;_ * \-#,##0_ ;_ * "-"??_ ;_ @_ </c:formatCode>
                <c:ptCount val="27"/>
                <c:pt idx="0">
                  <c:v>3000</c:v>
                </c:pt>
                <c:pt idx="1">
                  <c:v>3000</c:v>
                </c:pt>
                <c:pt idx="2">
                  <c:v>3000</c:v>
                </c:pt>
                <c:pt idx="3">
                  <c:v>3000</c:v>
                </c:pt>
                <c:pt idx="4">
                  <c:v>3000</c:v>
                </c:pt>
                <c:pt idx="5">
                  <c:v>3000</c:v>
                </c:pt>
                <c:pt idx="6">
                  <c:v>3000</c:v>
                </c:pt>
                <c:pt idx="7">
                  <c:v>3000</c:v>
                </c:pt>
                <c:pt idx="8">
                  <c:v>3000</c:v>
                </c:pt>
                <c:pt idx="9">
                  <c:v>3000</c:v>
                </c:pt>
                <c:pt idx="10">
                  <c:v>3000</c:v>
                </c:pt>
                <c:pt idx="11">
                  <c:v>3000</c:v>
                </c:pt>
                <c:pt idx="12">
                  <c:v>3200</c:v>
                </c:pt>
                <c:pt idx="13">
                  <c:v>3400</c:v>
                </c:pt>
                <c:pt idx="14">
                  <c:v>3600</c:v>
                </c:pt>
                <c:pt idx="15">
                  <c:v>3800</c:v>
                </c:pt>
                <c:pt idx="16">
                  <c:v>4000</c:v>
                </c:pt>
                <c:pt idx="17">
                  <c:v>4200</c:v>
                </c:pt>
                <c:pt idx="18">
                  <c:v>4400</c:v>
                </c:pt>
                <c:pt idx="19">
                  <c:v>4600</c:v>
                </c:pt>
                <c:pt idx="20">
                  <c:v>4800</c:v>
                </c:pt>
                <c:pt idx="21">
                  <c:v>5000</c:v>
                </c:pt>
                <c:pt idx="22">
                  <c:v>5000</c:v>
                </c:pt>
                <c:pt idx="23">
                  <c:v>5000</c:v>
                </c:pt>
                <c:pt idx="24">
                  <c:v>5000</c:v>
                </c:pt>
                <c:pt idx="25">
                  <c:v>5000</c:v>
                </c:pt>
                <c:pt idx="26">
                  <c:v>5000</c:v>
                </c:pt>
              </c:numCache>
            </c:numRef>
          </c:val>
          <c:smooth val="0"/>
          <c:extLst>
            <c:ext xmlns:c16="http://schemas.microsoft.com/office/drawing/2014/chart" uri="{C3380CC4-5D6E-409C-BE32-E72D297353CC}">
              <c16:uniqueId val="{00000002-8B00-43AD-9579-A4AC54510318}"/>
            </c:ext>
          </c:extLst>
        </c:ser>
        <c:dLbls>
          <c:showLegendKey val="0"/>
          <c:showVal val="0"/>
          <c:showCatName val="0"/>
          <c:showSerName val="0"/>
          <c:showPercent val="0"/>
          <c:showBubbleSize val="0"/>
        </c:dLbls>
        <c:smooth val="0"/>
        <c:axId val="630854080"/>
        <c:axId val="630858016"/>
      </c:lineChart>
      <c:catAx>
        <c:axId val="630854080"/>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it-CH" b="1"/>
                  <a:t>Stipendio netto in fr.</a:t>
                </a:r>
              </a:p>
            </c:rich>
          </c:tx>
          <c:layout/>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it-CH"/>
            </a:p>
          </c:txPr>
        </c:title>
        <c:numFmt formatCode="_ * #,##0_ ;_ * \-#,##0_ ;_ * &quot;-&quot;??_ ;_ @_ "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630858016"/>
        <c:crosses val="autoZero"/>
        <c:auto val="1"/>
        <c:lblAlgn val="ctr"/>
        <c:lblOffset val="100"/>
        <c:noMultiLvlLbl val="0"/>
      </c:catAx>
      <c:valAx>
        <c:axId val="630858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it-CH" sz="1000" b="1"/>
                  <a:t>Importo deducibile</a:t>
                </a:r>
              </a:p>
            </c:rich>
          </c:tx>
          <c:layout/>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it-CH"/>
            </a:p>
          </c:txPr>
        </c:title>
        <c:numFmt formatCode="_ * #,##0_ ;_ * \-#,##0_ ;_ * &quot;-&quot;??_ ;_ @_ "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it-CH"/>
          </a:p>
        </c:txPr>
        <c:crossAx val="630854080"/>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'confronto intercantonale'!$B$6</c:f>
              <c:strCache>
                <c:ptCount val="1"/>
                <c:pt idx="0">
                  <c:v>Persone Sole</c:v>
                </c:pt>
              </c:strCache>
            </c:strRef>
          </c:tx>
          <c:spPr>
            <a:ln w="38100">
              <a:solidFill>
                <a:srgbClr val="008000"/>
              </a:solidFill>
              <a:prstDash val="solid"/>
            </a:ln>
          </c:spPr>
          <c:marker>
            <c:symbol val="diamond"/>
            <c:size val="7"/>
            <c:spPr>
              <a:solidFill>
                <a:srgbClr val="339966"/>
              </a:solidFill>
              <a:ln>
                <a:solidFill>
                  <a:srgbClr val="339966"/>
                </a:solidFill>
                <a:prstDash val="solid"/>
              </a:ln>
            </c:spPr>
          </c:marker>
          <c:cat>
            <c:numRef>
              <c:f>'confronto intercantonale'!$A$7:$A$22</c:f>
              <c:numCache>
                <c:formatCode>#,##0</c:formatCode>
                <c:ptCount val="16"/>
                <c:pt idx="0">
                  <c:v>20000</c:v>
                </c:pt>
                <c:pt idx="1">
                  <c:v>30000</c:v>
                </c:pt>
                <c:pt idx="2">
                  <c:v>40000</c:v>
                </c:pt>
                <c:pt idx="3">
                  <c:v>50000</c:v>
                </c:pt>
                <c:pt idx="4">
                  <c:v>60000</c:v>
                </c:pt>
                <c:pt idx="5">
                  <c:v>70000</c:v>
                </c:pt>
                <c:pt idx="6">
                  <c:v>80000</c:v>
                </c:pt>
                <c:pt idx="7">
                  <c:v>90000</c:v>
                </c:pt>
                <c:pt idx="8">
                  <c:v>100000</c:v>
                </c:pt>
                <c:pt idx="9">
                  <c:v>150000</c:v>
                </c:pt>
                <c:pt idx="10">
                  <c:v>200000</c:v>
                </c:pt>
                <c:pt idx="11">
                  <c:v>300000</c:v>
                </c:pt>
                <c:pt idx="12">
                  <c:v>400000</c:v>
                </c:pt>
                <c:pt idx="13">
                  <c:v>500000</c:v>
                </c:pt>
                <c:pt idx="14">
                  <c:v>750000</c:v>
                </c:pt>
                <c:pt idx="15">
                  <c:v>1000000</c:v>
                </c:pt>
              </c:numCache>
            </c:numRef>
          </c:cat>
          <c:val>
            <c:numRef>
              <c:f>'confronto intercantonale'!$B$7:$B$22</c:f>
              <c:numCache>
                <c:formatCode>General</c:formatCode>
                <c:ptCount val="16"/>
                <c:pt idx="0">
                  <c:v>1</c:v>
                </c:pt>
                <c:pt idx="1">
                  <c:v>8</c:v>
                </c:pt>
                <c:pt idx="2">
                  <c:v>4</c:v>
                </c:pt>
                <c:pt idx="3">
                  <c:v>7</c:v>
                </c:pt>
                <c:pt idx="4">
                  <c:v>12</c:v>
                </c:pt>
                <c:pt idx="5">
                  <c:v>13</c:v>
                </c:pt>
                <c:pt idx="6">
                  <c:v>14</c:v>
                </c:pt>
                <c:pt idx="7">
                  <c:v>14</c:v>
                </c:pt>
                <c:pt idx="8">
                  <c:v>15</c:v>
                </c:pt>
                <c:pt idx="9">
                  <c:v>16</c:v>
                </c:pt>
                <c:pt idx="10">
                  <c:v>18</c:v>
                </c:pt>
                <c:pt idx="11">
                  <c:v>18</c:v>
                </c:pt>
                <c:pt idx="12">
                  <c:v>19</c:v>
                </c:pt>
                <c:pt idx="13">
                  <c:v>19</c:v>
                </c:pt>
                <c:pt idx="14">
                  <c:v>20</c:v>
                </c:pt>
                <c:pt idx="15">
                  <c:v>21</c:v>
                </c:pt>
              </c:numCache>
            </c:numRef>
          </c:val>
          <c:smooth val="1"/>
          <c:extLst>
            <c:ext xmlns:c16="http://schemas.microsoft.com/office/drawing/2014/chart" uri="{C3380CC4-5D6E-409C-BE32-E72D297353CC}">
              <c16:uniqueId val="{00000000-4825-4883-B959-3D7BE665AF15}"/>
            </c:ext>
          </c:extLst>
        </c:ser>
        <c:ser>
          <c:idx val="1"/>
          <c:order val="1"/>
          <c:tx>
            <c:strRef>
              <c:f>'confronto intercantonale'!$C$6</c:f>
              <c:strCache>
                <c:ptCount val="1"/>
                <c:pt idx="0">
                  <c:v>Sposati senza figli</c:v>
                </c:pt>
              </c:strCache>
            </c:strRef>
          </c:tx>
          <c:spPr>
            <a:ln w="38100">
              <a:solidFill>
                <a:srgbClr val="800080"/>
              </a:solidFill>
              <a:prstDash val="solid"/>
            </a:ln>
          </c:spPr>
          <c:marker>
            <c:symbol val="triangle"/>
            <c:size val="7"/>
            <c:spPr>
              <a:solidFill>
                <a:srgbClr val="800080"/>
              </a:solidFill>
              <a:ln>
                <a:solidFill>
                  <a:srgbClr val="800080"/>
                </a:solidFill>
                <a:prstDash val="solid"/>
              </a:ln>
            </c:spPr>
          </c:marker>
          <c:cat>
            <c:numRef>
              <c:f>'confronto intercantonale'!$A$7:$A$22</c:f>
              <c:numCache>
                <c:formatCode>#,##0</c:formatCode>
                <c:ptCount val="16"/>
                <c:pt idx="0">
                  <c:v>20000</c:v>
                </c:pt>
                <c:pt idx="1">
                  <c:v>30000</c:v>
                </c:pt>
                <c:pt idx="2">
                  <c:v>40000</c:v>
                </c:pt>
                <c:pt idx="3">
                  <c:v>50000</c:v>
                </c:pt>
                <c:pt idx="4">
                  <c:v>60000</c:v>
                </c:pt>
                <c:pt idx="5">
                  <c:v>70000</c:v>
                </c:pt>
                <c:pt idx="6">
                  <c:v>80000</c:v>
                </c:pt>
                <c:pt idx="7">
                  <c:v>90000</c:v>
                </c:pt>
                <c:pt idx="8">
                  <c:v>100000</c:v>
                </c:pt>
                <c:pt idx="9">
                  <c:v>150000</c:v>
                </c:pt>
                <c:pt idx="10">
                  <c:v>200000</c:v>
                </c:pt>
                <c:pt idx="11">
                  <c:v>300000</c:v>
                </c:pt>
                <c:pt idx="12">
                  <c:v>400000</c:v>
                </c:pt>
                <c:pt idx="13">
                  <c:v>500000</c:v>
                </c:pt>
                <c:pt idx="14">
                  <c:v>750000</c:v>
                </c:pt>
                <c:pt idx="15">
                  <c:v>1000000</c:v>
                </c:pt>
              </c:numCache>
            </c:numRef>
          </c:cat>
          <c:val>
            <c:numRef>
              <c:f>'confronto intercantonale'!$C$7:$C$22</c:f>
              <c:numCache>
                <c:formatCode>General</c:formatCode>
                <c:ptCount val="16"/>
                <c:pt idx="0">
                  <c:v>1</c:v>
                </c:pt>
                <c:pt idx="1">
                  <c:v>1</c:v>
                </c:pt>
                <c:pt idx="2">
                  <c:v>10</c:v>
                </c:pt>
                <c:pt idx="3">
                  <c:v>7</c:v>
                </c:pt>
                <c:pt idx="4">
                  <c:v>5</c:v>
                </c:pt>
                <c:pt idx="5">
                  <c:v>5</c:v>
                </c:pt>
                <c:pt idx="6">
                  <c:v>6</c:v>
                </c:pt>
                <c:pt idx="7">
                  <c:v>9</c:v>
                </c:pt>
                <c:pt idx="8">
                  <c:v>10</c:v>
                </c:pt>
                <c:pt idx="9">
                  <c:v>16</c:v>
                </c:pt>
                <c:pt idx="10">
                  <c:v>18</c:v>
                </c:pt>
                <c:pt idx="11">
                  <c:v>21</c:v>
                </c:pt>
                <c:pt idx="12">
                  <c:v>21</c:v>
                </c:pt>
                <c:pt idx="13">
                  <c:v>21</c:v>
                </c:pt>
                <c:pt idx="14">
                  <c:v>21</c:v>
                </c:pt>
                <c:pt idx="15">
                  <c:v>22</c:v>
                </c:pt>
              </c:numCache>
            </c:numRef>
          </c:val>
          <c:smooth val="1"/>
          <c:extLst>
            <c:ext xmlns:c16="http://schemas.microsoft.com/office/drawing/2014/chart" uri="{C3380CC4-5D6E-409C-BE32-E72D297353CC}">
              <c16:uniqueId val="{00000001-4825-4883-B959-3D7BE665AF15}"/>
            </c:ext>
          </c:extLst>
        </c:ser>
        <c:ser>
          <c:idx val="2"/>
          <c:order val="2"/>
          <c:tx>
            <c:strRef>
              <c:f>'confronto intercantonale'!$D$6</c:f>
              <c:strCache>
                <c:ptCount val="1"/>
                <c:pt idx="0">
                  <c:v>Sposati con 2 figli</c:v>
                </c:pt>
              </c:strCache>
            </c:strRef>
          </c:tx>
          <c:spPr>
            <a:ln w="38100">
              <a:solidFill>
                <a:srgbClr val="FF0000"/>
              </a:solidFill>
              <a:prstDash val="solid"/>
            </a:ln>
          </c:spPr>
          <c:marker>
            <c:symbol val="square"/>
            <c:size val="7"/>
            <c:spPr>
              <a:solidFill>
                <a:srgbClr val="FF0000"/>
              </a:solidFill>
              <a:ln>
                <a:solidFill>
                  <a:srgbClr val="FF0000"/>
                </a:solidFill>
                <a:prstDash val="solid"/>
              </a:ln>
            </c:spPr>
          </c:marker>
          <c:cat>
            <c:numRef>
              <c:f>'confronto intercantonale'!$A$7:$A$22</c:f>
              <c:numCache>
                <c:formatCode>#,##0</c:formatCode>
                <c:ptCount val="16"/>
                <c:pt idx="0">
                  <c:v>20000</c:v>
                </c:pt>
                <c:pt idx="1">
                  <c:v>30000</c:v>
                </c:pt>
                <c:pt idx="2">
                  <c:v>40000</c:v>
                </c:pt>
                <c:pt idx="3">
                  <c:v>50000</c:v>
                </c:pt>
                <c:pt idx="4">
                  <c:v>60000</c:v>
                </c:pt>
                <c:pt idx="5">
                  <c:v>70000</c:v>
                </c:pt>
                <c:pt idx="6">
                  <c:v>80000</c:v>
                </c:pt>
                <c:pt idx="7">
                  <c:v>90000</c:v>
                </c:pt>
                <c:pt idx="8">
                  <c:v>100000</c:v>
                </c:pt>
                <c:pt idx="9">
                  <c:v>150000</c:v>
                </c:pt>
                <c:pt idx="10">
                  <c:v>200000</c:v>
                </c:pt>
                <c:pt idx="11">
                  <c:v>300000</c:v>
                </c:pt>
                <c:pt idx="12">
                  <c:v>400000</c:v>
                </c:pt>
                <c:pt idx="13">
                  <c:v>500000</c:v>
                </c:pt>
                <c:pt idx="14">
                  <c:v>750000</c:v>
                </c:pt>
                <c:pt idx="15">
                  <c:v>1000000</c:v>
                </c:pt>
              </c:numCache>
            </c:numRef>
          </c:cat>
          <c:val>
            <c:numRef>
              <c:f>'confronto intercantonale'!$D$7:$D$22</c:f>
              <c:numCache>
                <c:formatCode>General</c:formatCode>
                <c:ptCount val="16"/>
                <c:pt idx="0">
                  <c:v>1</c:v>
                </c:pt>
                <c:pt idx="1">
                  <c:v>1</c:v>
                </c:pt>
                <c:pt idx="2">
                  <c:v>1</c:v>
                </c:pt>
                <c:pt idx="3">
                  <c:v>1</c:v>
                </c:pt>
                <c:pt idx="4">
                  <c:v>1</c:v>
                </c:pt>
                <c:pt idx="5">
                  <c:v>7</c:v>
                </c:pt>
                <c:pt idx="6">
                  <c:v>5</c:v>
                </c:pt>
                <c:pt idx="7">
                  <c:v>4</c:v>
                </c:pt>
                <c:pt idx="8">
                  <c:v>4</c:v>
                </c:pt>
                <c:pt idx="9">
                  <c:v>15</c:v>
                </c:pt>
                <c:pt idx="10">
                  <c:v>15</c:v>
                </c:pt>
                <c:pt idx="11">
                  <c:v>18</c:v>
                </c:pt>
                <c:pt idx="12">
                  <c:v>19</c:v>
                </c:pt>
                <c:pt idx="13">
                  <c:v>19</c:v>
                </c:pt>
                <c:pt idx="14">
                  <c:v>21</c:v>
                </c:pt>
                <c:pt idx="15">
                  <c:v>22</c:v>
                </c:pt>
              </c:numCache>
            </c:numRef>
          </c:val>
          <c:smooth val="1"/>
          <c:extLst>
            <c:ext xmlns:c16="http://schemas.microsoft.com/office/drawing/2014/chart" uri="{C3380CC4-5D6E-409C-BE32-E72D297353CC}">
              <c16:uniqueId val="{00000002-4825-4883-B959-3D7BE665AF15}"/>
            </c:ext>
          </c:extLst>
        </c:ser>
        <c:dLbls>
          <c:showLegendKey val="0"/>
          <c:showVal val="0"/>
          <c:showCatName val="0"/>
          <c:showSerName val="0"/>
          <c:showPercent val="0"/>
          <c:showBubbleSize val="0"/>
        </c:dLbls>
        <c:marker val="1"/>
        <c:smooth val="0"/>
        <c:axId val="331400208"/>
        <c:axId val="1"/>
      </c:lineChart>
      <c:catAx>
        <c:axId val="331400208"/>
        <c:scaling>
          <c:orientation val="minMax"/>
        </c:scaling>
        <c:delete val="0"/>
        <c:axPos val="b"/>
        <c:title>
          <c:tx>
            <c:rich>
              <a:bodyPr/>
              <a:lstStyle/>
              <a:p>
                <a:pPr>
                  <a:defRPr sz="1050" b="1" i="0" u="none" strike="noStrike" baseline="0">
                    <a:solidFill>
                      <a:srgbClr val="000000"/>
                    </a:solidFill>
                    <a:latin typeface="Arial"/>
                    <a:ea typeface="Arial"/>
                    <a:cs typeface="Arial"/>
                  </a:defRPr>
                </a:pPr>
                <a:r>
                  <a:rPr lang="it-CH" sz="1050"/>
                  <a:t>Reddito lordo</a:t>
                </a:r>
              </a:p>
            </c:rich>
          </c:tx>
          <c:overlay val="0"/>
        </c:title>
        <c:numFmt formatCode="#,##0" sourceLinked="1"/>
        <c:majorTickMark val="none"/>
        <c:minorTickMark val="none"/>
        <c:tickLblPos val="nextTo"/>
        <c:spPr>
          <a:ln w="3175">
            <a:solidFill>
              <a:srgbClr val="000000"/>
            </a:solidFill>
            <a:prstDash val="solid"/>
          </a:ln>
        </c:spPr>
        <c:txPr>
          <a:bodyPr rot="-2700000" vert="horz"/>
          <a:lstStyle/>
          <a:p>
            <a:pPr>
              <a:defRPr sz="1000" b="0" i="0" u="none" strike="noStrike" baseline="0">
                <a:solidFill>
                  <a:srgbClr val="000000"/>
                </a:solidFill>
                <a:latin typeface="Calibri"/>
                <a:ea typeface="Calibri"/>
                <a:cs typeface="Calibri"/>
              </a:defRPr>
            </a:pPr>
            <a:endParaRPr lang="it-CH"/>
          </a:p>
        </c:txPr>
        <c:crossAx val="1"/>
        <c:crosses val="autoZero"/>
        <c:auto val="1"/>
        <c:lblAlgn val="ctr"/>
        <c:lblOffset val="100"/>
        <c:tickLblSkip val="1"/>
        <c:tickMarkSkip val="1"/>
        <c:noMultiLvlLbl val="0"/>
      </c:catAx>
      <c:valAx>
        <c:axId val="1"/>
        <c:scaling>
          <c:orientation val="minMax"/>
          <c:max val="26"/>
          <c:min val="1"/>
        </c:scaling>
        <c:delete val="0"/>
        <c:axPos val="l"/>
        <c:majorGridlines>
          <c:spPr>
            <a:ln w="317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ysDash"/>
            </a:ln>
          </c:spPr>
        </c:majorGridlines>
        <c:title>
          <c:tx>
            <c:rich>
              <a:bodyPr/>
              <a:lstStyle/>
              <a:p>
                <a:pPr>
                  <a:defRPr sz="1000" b="1" i="0" u="none" strike="noStrike" baseline="0">
                    <a:solidFill>
                      <a:srgbClr val="000000"/>
                    </a:solidFill>
                    <a:latin typeface="Calibri"/>
                    <a:ea typeface="Calibri"/>
                    <a:cs typeface="Calibri"/>
                  </a:defRPr>
                </a:pPr>
                <a:r>
                  <a:rPr lang="it-CH" sz="1000"/>
                  <a:t>Rango del Canton Ticino</a:t>
                </a:r>
              </a:p>
            </c:rich>
          </c:tx>
          <c:overlay val="0"/>
          <c:spPr>
            <a:noFill/>
            <a:ln w="25400">
              <a:noFill/>
            </a:ln>
          </c:spPr>
        </c:title>
        <c:numFmt formatCode="General" sourceLinked="1"/>
        <c:majorTickMark val="none"/>
        <c:minorTickMark val="none"/>
        <c:tickLblPos val="nextTo"/>
        <c:spPr>
          <a:ln w="3175">
            <a:solidFill>
              <a:srgbClr val="000000"/>
            </a:solidFill>
            <a:prstDash val="solid"/>
          </a:ln>
        </c:spPr>
        <c:txPr>
          <a:bodyPr rot="0" vert="horz"/>
          <a:lstStyle/>
          <a:p>
            <a:pPr>
              <a:defRPr sz="1100" b="0" i="0" u="none" strike="noStrike" baseline="0">
                <a:solidFill>
                  <a:srgbClr val="000000"/>
                </a:solidFill>
                <a:latin typeface="Calibri"/>
                <a:ea typeface="Calibri"/>
                <a:cs typeface="Calibri"/>
              </a:defRPr>
            </a:pPr>
            <a:endParaRPr lang="it-CH"/>
          </a:p>
        </c:txPr>
        <c:crossAx val="331400208"/>
        <c:crosses val="autoZero"/>
        <c:crossBetween val="between"/>
      </c:valAx>
      <c:spPr>
        <a:noFill/>
        <a:ln w="317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ln>
      </c:spPr>
    </c:plotArea>
    <c:legend>
      <c:legendPos val="t"/>
      <c:overlay val="0"/>
      <c:spPr>
        <a:solidFill>
          <a:srgbClr val="FFFFFF"/>
        </a:solidFill>
        <a:ln w="3175">
          <a:solidFill>
            <a:srgbClr val="000000"/>
          </a:solidFill>
          <a:prstDash val="solid"/>
        </a:ln>
      </c:spPr>
      <c:txPr>
        <a:bodyPr/>
        <a:lstStyle/>
        <a:p>
          <a:pPr>
            <a:defRPr sz="1000" b="0" i="0" u="none" strike="noStrike" baseline="0">
              <a:solidFill>
                <a:srgbClr val="000000"/>
              </a:solidFill>
              <a:latin typeface="Calibri"/>
              <a:ea typeface="Calibri"/>
              <a:cs typeface="Calibri"/>
            </a:defRPr>
          </a:pPr>
          <a:endParaRPr lang="it-CH"/>
        </a:p>
      </c:txPr>
    </c:legend>
    <c:plotVisOnly val="1"/>
    <c:dispBlanksAs val="gap"/>
    <c:showDLblsOverMax val="0"/>
  </c:chart>
  <c:spPr>
    <a:solidFill>
      <a:srgbClr val="FFFFFF"/>
    </a:solidFill>
    <a:ln w="3175">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ln>
  </c:spPr>
  <c:txPr>
    <a:bodyPr/>
    <a:lstStyle/>
    <a:p>
      <a:pPr>
        <a:defRPr sz="2175" b="0" i="0" u="none" strike="noStrike" baseline="0">
          <a:solidFill>
            <a:srgbClr val="000000"/>
          </a:solidFill>
          <a:latin typeface="Arial"/>
          <a:ea typeface="Arial"/>
          <a:cs typeface="Arial"/>
        </a:defRPr>
      </a:pPr>
      <a:endParaRPr lang="it-CH"/>
    </a:p>
  </c:txPr>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'[Grafico in Microsoft Word]classifica onere massimo'!$C$2</c:f>
              <c:strCache>
                <c:ptCount val="1"/>
                <c:pt idx="0">
                  <c:v>Capoluogo</c:v>
                </c:pt>
              </c:strCache>
            </c:strRef>
          </c:tx>
          <c:spPr>
            <a:solidFill>
              <a:schemeClr val="accent1"/>
            </a:solidFill>
            <a:ln w="63500" cmpd="sng">
              <a:solidFill>
                <a:schemeClr val="accent1"/>
              </a:solidFill>
            </a:ln>
            <a:effectLst/>
          </c:spPr>
          <c:invertIfNegative val="0"/>
          <c:dPt>
            <c:idx val="15"/>
            <c:invertIfNegative val="0"/>
            <c:bubble3D val="0"/>
            <c:spPr>
              <a:solidFill>
                <a:schemeClr val="accent2"/>
              </a:solidFill>
              <a:ln w="63500" cmpd="sng">
                <a:solidFill>
                  <a:srgbClr val="FFC000"/>
                </a:solidFill>
              </a:ln>
              <a:effectLst/>
            </c:spPr>
            <c:extLst>
              <c:ext xmlns:c16="http://schemas.microsoft.com/office/drawing/2014/chart" uri="{C3380CC4-5D6E-409C-BE32-E72D297353CC}">
                <c16:uniqueId val="{00000001-322D-4D80-A857-6E22182C588F}"/>
              </c:ext>
            </c:extLst>
          </c:dPt>
          <c:dPt>
            <c:idx val="21"/>
            <c:invertIfNegative val="0"/>
            <c:bubble3D val="0"/>
            <c:spPr>
              <a:solidFill>
                <a:schemeClr val="accent2"/>
              </a:solidFill>
              <a:ln w="63500" cmpd="sng">
                <a:solidFill>
                  <a:srgbClr val="FFC000"/>
                </a:solidFill>
              </a:ln>
              <a:effectLst/>
            </c:spPr>
            <c:extLst>
              <c:ext xmlns:c16="http://schemas.microsoft.com/office/drawing/2014/chart" uri="{C3380CC4-5D6E-409C-BE32-E72D297353CC}">
                <c16:uniqueId val="{00000003-322D-4D80-A857-6E22182C588F}"/>
              </c:ext>
            </c:extLst>
          </c:dPt>
          <c:dLbls>
            <c:spPr>
              <a:noFill/>
              <a:ln>
                <a:noFill/>
              </a:ln>
              <a:effectLst/>
            </c:spPr>
            <c:txPr>
              <a:bodyPr rot="-5400000" spcFirstLastPara="1" vertOverflow="ellipsis"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it-CH"/>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'[Grafico in Microsoft Word]classifica onere massimo'!$B$3:$B$29</c:f>
              <c:strCache>
                <c:ptCount val="27"/>
                <c:pt idx="0">
                  <c:v>ZG</c:v>
                </c:pt>
                <c:pt idx="1">
                  <c:v>AI</c:v>
                </c:pt>
                <c:pt idx="2">
                  <c:v>OW</c:v>
                </c:pt>
                <c:pt idx="3">
                  <c:v>NW</c:v>
                </c:pt>
                <c:pt idx="4">
                  <c:v>SZ</c:v>
                </c:pt>
                <c:pt idx="5">
                  <c:v>UR</c:v>
                </c:pt>
                <c:pt idx="6">
                  <c:v>SH</c:v>
                </c:pt>
                <c:pt idx="7">
                  <c:v>LU</c:v>
                </c:pt>
                <c:pt idx="8">
                  <c:v>AR</c:v>
                </c:pt>
                <c:pt idx="9">
                  <c:v>GL</c:v>
                </c:pt>
                <c:pt idx="10">
                  <c:v>TG</c:v>
                </c:pt>
                <c:pt idx="11">
                  <c:v>GR</c:v>
                </c:pt>
                <c:pt idx="12">
                  <c:v>SG</c:v>
                </c:pt>
                <c:pt idx="13">
                  <c:v>SO</c:v>
                </c:pt>
                <c:pt idx="14">
                  <c:v>AG</c:v>
                </c:pt>
                <c:pt idx="15">
                  <c:v>TI-25</c:v>
                </c:pt>
                <c:pt idx="16">
                  <c:v>FR</c:v>
                </c:pt>
                <c:pt idx="17">
                  <c:v>VS</c:v>
                </c:pt>
                <c:pt idx="18">
                  <c:v>NE</c:v>
                </c:pt>
                <c:pt idx="19">
                  <c:v>JU</c:v>
                </c:pt>
                <c:pt idx="20">
                  <c:v>ZH</c:v>
                </c:pt>
                <c:pt idx="21">
                  <c:v>TI-23</c:v>
                </c:pt>
                <c:pt idx="22">
                  <c:v>BS</c:v>
                </c:pt>
                <c:pt idx="23">
                  <c:v>BE</c:v>
                </c:pt>
                <c:pt idx="24">
                  <c:v>VD</c:v>
                </c:pt>
                <c:pt idx="25">
                  <c:v>BL</c:v>
                </c:pt>
                <c:pt idx="26">
                  <c:v>GE</c:v>
                </c:pt>
              </c:strCache>
            </c:strRef>
          </c:cat>
          <c:val>
            <c:numRef>
              <c:f>'[Grafico in Microsoft Word]classifica onere massimo'!$C$3:$C$29</c:f>
              <c:numCache>
                <c:formatCode>General</c:formatCode>
                <c:ptCount val="27"/>
                <c:pt idx="0">
                  <c:v>22.2</c:v>
                </c:pt>
                <c:pt idx="1">
                  <c:v>23.8</c:v>
                </c:pt>
                <c:pt idx="2">
                  <c:v>24.3</c:v>
                </c:pt>
                <c:pt idx="3">
                  <c:v>25.3</c:v>
                </c:pt>
                <c:pt idx="4">
                  <c:v>25.3</c:v>
                </c:pt>
                <c:pt idx="5">
                  <c:v>25.4</c:v>
                </c:pt>
                <c:pt idx="6">
                  <c:v>29.8</c:v>
                </c:pt>
                <c:pt idx="7">
                  <c:v>30.6</c:v>
                </c:pt>
                <c:pt idx="8">
                  <c:v>30.7</c:v>
                </c:pt>
                <c:pt idx="9">
                  <c:v>31.1</c:v>
                </c:pt>
                <c:pt idx="10">
                  <c:v>31.6</c:v>
                </c:pt>
                <c:pt idx="11">
                  <c:v>32.200000000000003</c:v>
                </c:pt>
                <c:pt idx="12">
                  <c:v>32.799999999999997</c:v>
                </c:pt>
                <c:pt idx="13">
                  <c:v>33.700000000000003</c:v>
                </c:pt>
                <c:pt idx="14">
                  <c:v>34.5</c:v>
                </c:pt>
                <c:pt idx="15">
                  <c:v>34.700000000000003</c:v>
                </c:pt>
                <c:pt idx="16">
                  <c:v>35.299999999999997</c:v>
                </c:pt>
                <c:pt idx="17">
                  <c:v>36.5</c:v>
                </c:pt>
                <c:pt idx="18">
                  <c:v>38.1</c:v>
                </c:pt>
                <c:pt idx="19">
                  <c:v>39</c:v>
                </c:pt>
                <c:pt idx="20">
                  <c:v>39.799999999999997</c:v>
                </c:pt>
                <c:pt idx="21">
                  <c:v>40.1</c:v>
                </c:pt>
                <c:pt idx="22">
                  <c:v>40.5</c:v>
                </c:pt>
                <c:pt idx="23">
                  <c:v>41.2</c:v>
                </c:pt>
                <c:pt idx="24">
                  <c:v>41.5</c:v>
                </c:pt>
                <c:pt idx="25">
                  <c:v>42.2</c:v>
                </c:pt>
                <c:pt idx="26">
                  <c:v>45</c:v>
                </c:pt>
              </c:numCache>
            </c:numRef>
          </c:val>
          <c:extLst>
            <c:ext xmlns:c16="http://schemas.microsoft.com/office/drawing/2014/chart" uri="{C3380CC4-5D6E-409C-BE32-E72D297353CC}">
              <c16:uniqueId val="{00000004-322D-4D80-A857-6E22182C588F}"/>
            </c:ext>
          </c:extLst>
        </c:ser>
        <c:dLbls>
          <c:showLegendKey val="0"/>
          <c:showVal val="0"/>
          <c:showCatName val="0"/>
          <c:showSerName val="0"/>
          <c:showPercent val="0"/>
          <c:showBubbleSize val="0"/>
        </c:dLbls>
        <c:gapWidth val="300"/>
        <c:axId val="604951184"/>
        <c:axId val="604951512"/>
      </c:barChart>
      <c:catAx>
        <c:axId val="604951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04951512"/>
        <c:crosses val="autoZero"/>
        <c:auto val="1"/>
        <c:lblAlgn val="ctr"/>
        <c:lblOffset val="100"/>
        <c:noMultiLvlLbl val="0"/>
      </c:catAx>
      <c:valAx>
        <c:axId val="60495151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noFill/>
              <a:round/>
            </a:ln>
            <a:effectLst/>
          </c:spPr>
        </c:minorGridlines>
        <c:title>
          <c:tx>
            <c:rich>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r>
                  <a:rPr lang="it-CH" sz="800" b="1"/>
                  <a:t>Onere fiscale massimo in % del reddito</a:t>
                </a:r>
              </a:p>
            </c:rich>
          </c:tx>
          <c:overlay val="0"/>
          <c:spPr>
            <a:noFill/>
            <a:ln>
              <a:noFill/>
            </a:ln>
            <a:effectLst/>
          </c:spPr>
          <c:txPr>
            <a:bodyPr rot="-5400000" spcFirstLastPara="1" vertOverflow="ellipsis" vert="horz" wrap="square" anchor="ctr" anchorCtr="1"/>
            <a:lstStyle/>
            <a:p>
              <a:pPr>
                <a:defRPr sz="800" b="1" i="0" u="none" strike="noStrike" kern="1200" baseline="0">
                  <a:solidFill>
                    <a:schemeClr val="tx1">
                      <a:lumMod val="65000"/>
                      <a:lumOff val="35000"/>
                    </a:schemeClr>
                  </a:solidFill>
                  <a:latin typeface="+mn-lt"/>
                  <a:ea typeface="+mn-ea"/>
                  <a:cs typeface="+mn-cs"/>
                </a:defRPr>
              </a:pPr>
              <a:endParaRPr lang="it-CH"/>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6049511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0.11182</cdr:x>
      <cdr:y>0.27082</cdr:y>
    </cdr:from>
    <cdr:to>
      <cdr:x>0.15242</cdr:x>
      <cdr:y>0.3206</cdr:y>
    </cdr:to>
    <cdr:sp macro="" textlink="">
      <cdr:nvSpPr>
        <cdr:cNvPr id="19457" name="Text Box 1"/>
        <cdr:cNvSpPr txBox="1">
          <a:spLocks xmlns:a="http://schemas.openxmlformats.org/drawingml/2006/main" noChangeArrowheads="1"/>
        </cdr:cNvSpPr>
      </cdr:nvSpPr>
      <cdr:spPr bwMode="auto">
        <a:xfrm xmlns:a="http://schemas.openxmlformats.org/drawingml/2006/main">
          <a:off x="1095959" y="1811425"/>
          <a:ext cx="396774" cy="332379"/>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65"/>
              </a:solidFill>
            </a14:hiddenFill>
          </a:ext>
          <a:ext uri="{91240B29-F687-4F45-9708-019B960494DF}">
            <a14:hiddenLine xmlns:a14="http://schemas.microsoft.com/office/drawing/2010/main" w="9525" algn="ctr">
              <a:solidFill>
                <a:srgbClr xmlns:mc="http://schemas.openxmlformats.org/markup-compatibility/2006" val="000000" mc:Ignorable="a14" a14:legacySpreadsheetColorIndex="64"/>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a:lstStyle xmlns:a="http://schemas.openxmlformats.org/drawingml/2006/main"/>
        <a:p xmlns:a="http://schemas.openxmlformats.org/drawingml/2006/main">
          <a:endParaRPr lang="it-CH"/>
        </a:p>
      </cdr:txBody>
    </cdr:sp>
  </cdr:relSizeAnchor>
  <cdr:relSizeAnchor xmlns:cdr="http://schemas.openxmlformats.org/drawingml/2006/chartDrawing">
    <cdr:from>
      <cdr:x>0.00487</cdr:x>
      <cdr:y>0.9076</cdr:y>
    </cdr:from>
    <cdr:to>
      <cdr:x>0.31185</cdr:x>
      <cdr:y>0.97981</cdr:y>
    </cdr:to>
    <cdr:sp macro="" textlink="">
      <cdr:nvSpPr>
        <cdr:cNvPr id="19458" name="Text Box 2"/>
        <cdr:cNvSpPr txBox="1">
          <a:spLocks xmlns:a="http://schemas.openxmlformats.org/drawingml/2006/main" noChangeArrowheads="1"/>
        </cdr:cNvSpPr>
      </cdr:nvSpPr>
      <cdr:spPr bwMode="auto">
        <a:xfrm xmlns:a="http://schemas.openxmlformats.org/drawingml/2006/main">
          <a:off x="50800" y="6063251"/>
          <a:ext cx="2999994" cy="482115"/>
        </a:xfrm>
        <a:prstGeom xmlns:a="http://schemas.openxmlformats.org/drawingml/2006/main" prst="rect">
          <a:avLst/>
        </a:prstGeom>
        <a:noFill xmlns:a="http://schemas.openxmlformats.org/drawingml/2006/main"/>
        <a:ln xmlns:a="http://schemas.openxmlformats.org/drawingml/2006/main">
          <a:noFill/>
        </a:ln>
        <a:effectLst xmlns:a="http://schemas.openxmlformats.org/drawingml/2006/mai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65"/>
              </a:solidFill>
            </a14:hiddenFill>
          </a:ext>
          <a:ext uri="{91240B29-F687-4F45-9708-019B960494DF}">
            <a14:hiddenLine xmlns:a14="http://schemas.microsoft.com/office/drawing/2010/main" w="9525" algn="ctr">
              <a:solidFill>
                <a:srgbClr xmlns:mc="http://schemas.openxmlformats.org/markup-compatibility/2006" val="000000" mc:Ignorable="a14" a14:legacySpreadsheetColorIndex="64"/>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cdr:spPr>
      <cdr:txBody>
        <a:bodyPr xmlns:a="http://schemas.openxmlformats.org/drawingml/2006/main"/>
        <a:lstStyle xmlns:a="http://schemas.openxmlformats.org/drawingml/2006/main"/>
        <a:p xmlns:a="http://schemas.openxmlformats.org/drawingml/2006/main">
          <a:endParaRPr lang="it-CH"/>
        </a:p>
      </cdr:txBody>
    </cdr:sp>
  </cdr:relSizeAnchor>
</c:userShape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749798957</Id>
      <Width>0</Width>
      <Height>0</Height>
      <XPath>//Image[@id='Profile.Org.WappenSW']</XPath>
      <ImageHash>02f1c0cdac6aeac316213b2e7cb733a0</ImageHash>
    </ImageSizeDefinition>
    <ImageSizeDefinition>
      <Id>58020918</Id>
      <Width>0</Width>
      <Height>0</Height>
      <XPath>//Image[@id='Profile.Org.Logo']</XPath>
      <ImageHash>c45d7cd7b68e3e6ca57220766e88079c</ImageHash>
    </ImageSizeDefinition>
  </ImageDefinitions>
</OneOffixxImageDefinitionPart>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89904D7F-F10E-47B9-B954-0A6130D7529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AF6796FE-3082-40B6-8AB5-412A48715921}">
  <ds:schemaRefs>
    <ds:schemaRef ds:uri="http://www.w3.org/2001/XMLSchema"/>
    <ds:schemaRef ds:uri="http://schema.oneoffixx.com/OneOffixxFormattingPart/1"/>
    <ds:schemaRef ds:uri=""/>
  </ds:schemaRefs>
</ds:datastoreItem>
</file>

<file path=customXml/itemProps5.xml><?xml version="1.0" encoding="utf-8"?>
<ds:datastoreItem xmlns:ds="http://schemas.openxmlformats.org/officeDocument/2006/customXml" ds:itemID="{987D6641-F912-48E5-AA10-475DA5627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CB61ECE1-A916-40FB-81F1-FD19106B8550}">
  <ds:schemaRefs>
    <ds:schemaRef ds:uri="http://schemas.microsoft.com/sharepoint/v3/contenttype/forms"/>
  </ds:schemaRefs>
</ds:datastoreItem>
</file>

<file path=customXml/itemProps7.xml><?xml version="1.0" encoding="utf-8"?>
<ds:datastoreItem xmlns:ds="http://schemas.openxmlformats.org/officeDocument/2006/customXml" ds:itemID="{499418D8-1E9D-4BE0-80D2-C5F5EE4DC563}">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E75E0C08-196E-402D-A353-868E7A7AA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3ddee08d-e507-45cd-a05c-463873e57170.dotx</Template>
  <TotalTime>7</TotalTime>
  <Pages>51</Pages>
  <Words>19679</Words>
  <Characters>112567</Characters>
  <Application>Microsoft Office Word</Application>
  <DocSecurity>0</DocSecurity>
  <Lines>3752</Lines>
  <Paragraphs>2361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Locatelli Patrizia / idin001</dc:creator>
  <cp:lastModifiedBy>Reali Francesca</cp:lastModifiedBy>
  <cp:revision>6</cp:revision>
  <cp:lastPrinted>2023-07-11T16:18:00Z</cp:lastPrinted>
  <dcterms:created xsi:type="dcterms:W3CDTF">2023-07-12T08:26:00Z</dcterms:created>
  <dcterms:modified xsi:type="dcterms:W3CDTF">2023-07-12T08:55:00Z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