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93C" w:rsidRDefault="0057593C" w:rsidP="0057593C">
      <w:r>
        <w:rPr>
          <w:rFonts w:ascii="Gill Sans MT" w:hAnsi="Gill Sans MT"/>
          <w:b/>
          <w:sz w:val="56"/>
          <w:szCs w:val="56"/>
        </w:rPr>
        <w:t>Messaggio</w:t>
      </w:r>
    </w:p>
    <w:p w:rsidR="00DF434B" w:rsidRDefault="00DF434B">
      <w:bookmarkStart w:id="0" w:name="_GoBack"/>
      <w:bookmarkEnd w:id="0"/>
    </w:p>
    <w:p w:rsidR="00BF3FC3" w:rsidRDefault="00BF3FC3"/>
    <w:p w:rsidR="00BF3FC3" w:rsidRDefault="00B558D8">
      <w:pPr>
        <w:tabs>
          <w:tab w:val="left" w:pos="2098"/>
          <w:tab w:val="left" w:pos="4933"/>
        </w:tabs>
      </w:pPr>
      <w:r w:rsidRPr="00B558D8">
        <w:rPr>
          <w:b/>
          <w:sz w:val="32"/>
        </w:rPr>
        <w:t>7959</w:t>
      </w:r>
      <w:r w:rsidR="00BF3FC3" w:rsidRPr="00B558D8">
        <w:rPr>
          <w:sz w:val="28"/>
        </w:rPr>
        <w:tab/>
      </w:r>
      <w:r w:rsidRPr="00B558D8">
        <w:rPr>
          <w:sz w:val="28"/>
        </w:rPr>
        <w:t>10 febbraio 2021</w:t>
      </w:r>
      <w:r w:rsidR="00BF3FC3" w:rsidRPr="00B558D8">
        <w:rPr>
          <w:sz w:val="28"/>
        </w:rPr>
        <w:tab/>
      </w:r>
      <w:r w:rsidRPr="00B558D8">
        <w:rPr>
          <w:sz w:val="28"/>
        </w:rPr>
        <w:t>ISTITUZIONI</w:t>
      </w:r>
    </w:p>
    <w:p w:rsidR="00BF3FC3" w:rsidRDefault="00BF3FC3"/>
    <w:p w:rsidR="00FD5A47" w:rsidRDefault="00FD5A47"/>
    <w:p w:rsidR="00BF3FC3" w:rsidRDefault="00BF3FC3"/>
    <w:p w:rsidR="00B558D8" w:rsidRPr="00B558D8" w:rsidRDefault="00B558D8" w:rsidP="00B558D8">
      <w:pPr>
        <w:rPr>
          <w:b/>
          <w:sz w:val="28"/>
          <w:szCs w:val="28"/>
        </w:rPr>
      </w:pPr>
      <w:r w:rsidRPr="00B558D8">
        <w:rPr>
          <w:b/>
          <w:sz w:val="28"/>
          <w:szCs w:val="28"/>
        </w:rPr>
        <w:t xml:space="preserve">Abbandono del </w:t>
      </w:r>
      <w:r>
        <w:rPr>
          <w:b/>
          <w:sz w:val="28"/>
          <w:szCs w:val="28"/>
        </w:rPr>
        <w:t>progetto di aggregazione tra i C</w:t>
      </w:r>
      <w:r w:rsidRPr="00B558D8">
        <w:rPr>
          <w:b/>
          <w:sz w:val="28"/>
          <w:szCs w:val="28"/>
        </w:rPr>
        <w:t xml:space="preserve">omuni di Bedano e </w:t>
      </w:r>
      <w:proofErr w:type="spellStart"/>
      <w:r w:rsidRPr="00B558D8">
        <w:rPr>
          <w:b/>
          <w:sz w:val="28"/>
          <w:szCs w:val="28"/>
        </w:rPr>
        <w:t>Gravesano</w:t>
      </w:r>
      <w:proofErr w:type="spellEnd"/>
    </w:p>
    <w:p w:rsidR="0089464E" w:rsidRPr="00577B4B" w:rsidRDefault="0089464E" w:rsidP="004E176C">
      <w:pPr>
        <w:rPr>
          <w:rFonts w:cs="Arial"/>
          <w:b/>
          <w:szCs w:val="24"/>
        </w:rPr>
      </w:pPr>
    </w:p>
    <w:p w:rsidR="00BF3FC3" w:rsidRDefault="00BF3FC3"/>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B558D8" w:rsidRPr="008636F0" w:rsidRDefault="00B558D8" w:rsidP="00B558D8">
      <w:r w:rsidRPr="008636F0">
        <w:t xml:space="preserve">con il presente messaggio vi proponiamo l’abbandono del progetto di aggregazione tra i comuni di Bedano e </w:t>
      </w:r>
      <w:proofErr w:type="spellStart"/>
      <w:r w:rsidRPr="008636F0">
        <w:t>Gravesano</w:t>
      </w:r>
      <w:proofErr w:type="spellEnd"/>
      <w:r w:rsidRPr="008636F0">
        <w:t>.</w:t>
      </w:r>
    </w:p>
    <w:p w:rsidR="00B558D8" w:rsidRPr="008636F0" w:rsidRDefault="00B558D8" w:rsidP="00B558D8"/>
    <w:p w:rsidR="00B558D8" w:rsidRPr="008636F0" w:rsidRDefault="00B558D8" w:rsidP="00B558D8"/>
    <w:p w:rsidR="00B558D8" w:rsidRPr="008636F0" w:rsidRDefault="00B558D8" w:rsidP="00B558D8"/>
    <w:p w:rsidR="00B558D8" w:rsidRPr="008636F0" w:rsidRDefault="00B558D8" w:rsidP="00B558D8">
      <w:pPr>
        <w:pStyle w:val="Titolo2"/>
      </w:pPr>
      <w:r>
        <w:t>1</w:t>
      </w:r>
      <w:r w:rsidRPr="008636F0">
        <w:t>.</w:t>
      </w:r>
      <w:r w:rsidRPr="008636F0">
        <w:tab/>
      </w:r>
      <w:r w:rsidRPr="00B558D8">
        <w:rPr>
          <w:rStyle w:val="Titolo1Carattere"/>
          <w:b/>
        </w:rPr>
        <w:t>LE TAPPE CHE HANNO CONDOTTO ALLA VOTAZIONE CONSULTIVA</w:t>
      </w:r>
    </w:p>
    <w:p w:rsidR="00B558D8" w:rsidRPr="008636F0" w:rsidRDefault="00B558D8" w:rsidP="00B558D8">
      <w:pPr>
        <w:rPr>
          <w:rFonts w:cs="Arial"/>
        </w:rPr>
      </w:pPr>
      <w:r w:rsidRPr="008636F0">
        <w:rPr>
          <w:rFonts w:cs="Arial"/>
        </w:rPr>
        <w:t xml:space="preserve">L’iter formale di questo progetto ha preso inizio il 13 novembre 2018 quando i municipi di Bedano e </w:t>
      </w:r>
      <w:proofErr w:type="spellStart"/>
      <w:r w:rsidRPr="008636F0">
        <w:rPr>
          <w:rFonts w:cs="Arial"/>
        </w:rPr>
        <w:t>Gravesano</w:t>
      </w:r>
      <w:proofErr w:type="spellEnd"/>
      <w:r w:rsidRPr="008636F0">
        <w:rPr>
          <w:rFonts w:cs="Arial"/>
        </w:rPr>
        <w:t xml:space="preserve"> hanno trasmesso istanza di aggregazione al Consiglio di Stato.</w:t>
      </w:r>
      <w:r>
        <w:rPr>
          <w:rFonts w:cs="Arial"/>
        </w:rPr>
        <w:br/>
      </w:r>
      <w:r w:rsidRPr="008636F0">
        <w:rPr>
          <w:rFonts w:cs="Arial"/>
        </w:rPr>
        <w:t>In precedenza gli stessi municipi avevano preso contatto con i comuni limitrofi per verificare l’eventuale interesse ad approfondire un’ipotesi aggregativa in un comprensorio più esteso, senza tuttavia raccogliere concrete adesioni all’avvio di una procedura, quantomeno nell’immediato.</w:t>
      </w:r>
    </w:p>
    <w:p w:rsidR="00B558D8" w:rsidRPr="008636F0" w:rsidRDefault="00B558D8" w:rsidP="00B558D8">
      <w:pPr>
        <w:spacing w:before="120"/>
        <w:rPr>
          <w:rFonts w:cs="Arial"/>
          <w:lang w:val="it-CH"/>
        </w:rPr>
      </w:pPr>
      <w:r w:rsidRPr="008636F0">
        <w:rPr>
          <w:rFonts w:cs="Arial"/>
          <w:lang w:val="it-CH"/>
        </w:rPr>
        <w:t xml:space="preserve">I comuni di Bedano e </w:t>
      </w:r>
      <w:proofErr w:type="spellStart"/>
      <w:r w:rsidRPr="008636F0">
        <w:rPr>
          <w:rFonts w:cs="Arial"/>
          <w:lang w:val="it-CH"/>
        </w:rPr>
        <w:t>Gravesano</w:t>
      </w:r>
      <w:proofErr w:type="spellEnd"/>
      <w:r w:rsidRPr="008636F0">
        <w:rPr>
          <w:rFonts w:cs="Arial"/>
          <w:lang w:val="it-CH"/>
        </w:rPr>
        <w:t xml:space="preserve"> appartengono allo scenario aggregativo “Malcantone Est” proposto dal Piano cantonale delle aggregazioni (PCA) con messaggio governativo</w:t>
      </w:r>
      <w:r>
        <w:rPr>
          <w:rFonts w:cs="Arial"/>
          <w:lang w:val="it-CH"/>
        </w:rPr>
        <w:br/>
      </w:r>
      <w:r w:rsidRPr="008636F0">
        <w:rPr>
          <w:rFonts w:cs="Arial"/>
          <w:lang w:val="it-CH"/>
        </w:rPr>
        <w:t xml:space="preserve">n. 7606 del 5 dicembre 2018, tuttora al vaglio del Gran Consiglio. Lo stesso PCA prevede la possibilità di aggregazioni a tappe successive all’interno del medesimo </w:t>
      </w:r>
      <w:r>
        <w:rPr>
          <w:rFonts w:cs="Arial"/>
          <w:lang w:val="it-CH"/>
        </w:rPr>
        <w:t>scenario</w:t>
      </w:r>
      <w:r w:rsidRPr="008636F0">
        <w:rPr>
          <w:rFonts w:cs="Arial"/>
          <w:lang w:val="it-CH"/>
        </w:rPr>
        <w:t>, ragione per cui il 16 gennaio 2019 il Consiglio di Stato ha accolto l’istanza e istituito l’apposita Commissione di studio incaricata di presentare un progetto di nuovo Comune aggregato. La Commissione, composta dai due sindaci e quattro municipali con il supporto tecnico dei segretari comunali, ha proceduto all’allestimento dello studio con l’accompagnamento di un consulente esterno e, per il tramite della Sezione degli enti locali, ha costantemente mantenuto i con</w:t>
      </w:r>
      <w:r>
        <w:rPr>
          <w:rFonts w:cs="Arial"/>
          <w:lang w:val="it-CH"/>
        </w:rPr>
        <w:t>tatti con l’a</w:t>
      </w:r>
      <w:r w:rsidRPr="008636F0">
        <w:rPr>
          <w:rFonts w:cs="Arial"/>
          <w:lang w:val="it-CH"/>
        </w:rPr>
        <w:t>utorità cantonale.</w:t>
      </w:r>
    </w:p>
    <w:p w:rsidR="00B558D8" w:rsidRPr="008636F0" w:rsidRDefault="00B558D8" w:rsidP="00B558D8">
      <w:pPr>
        <w:spacing w:before="120"/>
        <w:rPr>
          <w:rFonts w:cs="Arial"/>
          <w:lang w:val="it-CH"/>
        </w:rPr>
      </w:pPr>
      <w:r w:rsidRPr="008636F0">
        <w:rPr>
          <w:rFonts w:cs="Arial"/>
          <w:lang w:val="it-CH"/>
        </w:rPr>
        <w:t>Nel corso dello studio, la Commissione ha organizzato dei momenti informativi per presentare la bozza di rapporto e raccogliere opinioni e suggerimenti: il 3 giugno 2019</w:t>
      </w:r>
      <w:r>
        <w:rPr>
          <w:rFonts w:cs="Arial"/>
          <w:lang w:val="it-CH"/>
        </w:rPr>
        <w:br/>
      </w:r>
      <w:r w:rsidRPr="008636F0">
        <w:rPr>
          <w:rFonts w:cs="Arial"/>
          <w:lang w:val="it-CH"/>
        </w:rPr>
        <w:t xml:space="preserve">il documento è </w:t>
      </w:r>
      <w:r>
        <w:rPr>
          <w:rFonts w:cs="Arial"/>
          <w:lang w:val="it-CH"/>
        </w:rPr>
        <w:t xml:space="preserve">stato </w:t>
      </w:r>
      <w:r w:rsidRPr="008636F0">
        <w:rPr>
          <w:rFonts w:cs="Arial"/>
          <w:lang w:val="it-CH"/>
        </w:rPr>
        <w:t>presentato ai due municipi, il 16 settembre 2019 ai consigli comunali, e in ottobre (21 e 22) alla popolazione dei comuni in occasione di due serate pubbliche.</w:t>
      </w:r>
    </w:p>
    <w:p w:rsidR="00B558D8" w:rsidRPr="008636F0" w:rsidRDefault="00B558D8" w:rsidP="00B558D8">
      <w:pPr>
        <w:spacing w:before="120" w:after="120"/>
        <w:rPr>
          <w:rFonts w:cs="Arial"/>
          <w:lang w:val="it-CH"/>
        </w:rPr>
      </w:pPr>
      <w:r w:rsidRPr="008636F0">
        <w:rPr>
          <w:rFonts w:cs="Arial"/>
          <w:lang w:val="it-CH"/>
        </w:rPr>
        <w:t>La Commissione ha sottoscritto il rapporto finale il 10 gennaio 2020, trasmettendolo ai comuni per i preavvisi dei consigli comunali e dei municipi</w:t>
      </w:r>
      <w:r>
        <w:rPr>
          <w:rFonts w:cs="Arial"/>
          <w:lang w:val="it-CH"/>
        </w:rPr>
        <w:t xml:space="preserve">, che hanno tutti </w:t>
      </w:r>
      <w:r w:rsidRPr="008636F0">
        <w:rPr>
          <w:rFonts w:cs="Arial"/>
          <w:lang w:val="it-CH"/>
        </w:rPr>
        <w:t>espresso parere favorevole allo studio aggregativo.</w:t>
      </w:r>
      <w:r>
        <w:rPr>
          <w:rFonts w:cs="Arial"/>
          <w:lang w:val="it-CH"/>
        </w:rPr>
        <w:t xml:space="preserve"> </w:t>
      </w:r>
      <w:r w:rsidRPr="008636F0">
        <w:rPr>
          <w:rFonts w:cs="Arial"/>
          <w:lang w:val="it-CH"/>
        </w:rPr>
        <w:t>Dapprima, la sera del 16 giugno 2020 i due consigli comunali hanno preso posizione con il seguente risultato:</w:t>
      </w:r>
    </w:p>
    <w:p w:rsidR="00B558D8" w:rsidRPr="008636F0" w:rsidRDefault="00B558D8" w:rsidP="00B558D8">
      <w:pPr>
        <w:tabs>
          <w:tab w:val="left" w:pos="1560"/>
          <w:tab w:val="left" w:pos="3261"/>
          <w:tab w:val="left" w:pos="4678"/>
        </w:tabs>
        <w:rPr>
          <w:rFonts w:cs="Arial"/>
          <w:lang w:val="it-CH"/>
        </w:rPr>
      </w:pPr>
      <w:r w:rsidRPr="008636F0">
        <w:rPr>
          <w:rFonts w:cs="Arial"/>
          <w:lang w:val="it-CH"/>
        </w:rPr>
        <w:t>Bedano:</w:t>
      </w:r>
      <w:r w:rsidRPr="008636F0">
        <w:rPr>
          <w:rFonts w:cs="Arial"/>
          <w:lang w:val="it-CH"/>
        </w:rPr>
        <w:tab/>
        <w:t>19 favorevoli</w:t>
      </w:r>
      <w:r w:rsidRPr="008636F0">
        <w:rPr>
          <w:rFonts w:cs="Arial"/>
          <w:lang w:val="it-CH"/>
        </w:rPr>
        <w:tab/>
        <w:t>0 contrari</w:t>
      </w:r>
      <w:r w:rsidRPr="008636F0">
        <w:rPr>
          <w:rFonts w:cs="Arial"/>
          <w:lang w:val="it-CH"/>
        </w:rPr>
        <w:tab/>
        <w:t>1 astenuto</w:t>
      </w:r>
    </w:p>
    <w:p w:rsidR="00B558D8" w:rsidRPr="008636F0" w:rsidRDefault="00B558D8" w:rsidP="00B558D8">
      <w:pPr>
        <w:tabs>
          <w:tab w:val="left" w:pos="1560"/>
          <w:tab w:val="left" w:pos="3261"/>
          <w:tab w:val="left" w:pos="4678"/>
        </w:tabs>
        <w:rPr>
          <w:rFonts w:cs="Arial"/>
          <w:lang w:val="it-CH"/>
        </w:rPr>
      </w:pPr>
      <w:proofErr w:type="spellStart"/>
      <w:r w:rsidRPr="008636F0">
        <w:rPr>
          <w:rFonts w:cs="Arial"/>
          <w:lang w:val="it-CH"/>
        </w:rPr>
        <w:t>Gravesano</w:t>
      </w:r>
      <w:proofErr w:type="spellEnd"/>
      <w:r w:rsidRPr="008636F0">
        <w:rPr>
          <w:rFonts w:cs="Arial"/>
          <w:lang w:val="it-CH"/>
        </w:rPr>
        <w:tab/>
        <w:t>11 favorevoli</w:t>
      </w:r>
      <w:r w:rsidRPr="008636F0">
        <w:rPr>
          <w:rFonts w:cs="Arial"/>
          <w:lang w:val="it-CH"/>
        </w:rPr>
        <w:tab/>
        <w:t>7 contrari</w:t>
      </w:r>
      <w:r w:rsidRPr="008636F0">
        <w:rPr>
          <w:rFonts w:cs="Arial"/>
          <w:lang w:val="it-CH"/>
        </w:rPr>
        <w:tab/>
        <w:t>1 astenuto</w:t>
      </w:r>
    </w:p>
    <w:p w:rsidR="00B558D8" w:rsidRPr="008636F0" w:rsidRDefault="00B558D8" w:rsidP="00B558D8">
      <w:pPr>
        <w:rPr>
          <w:rFonts w:cs="Arial"/>
          <w:lang w:val="it-CH"/>
        </w:rPr>
      </w:pPr>
      <w:r w:rsidRPr="008636F0">
        <w:rPr>
          <w:rFonts w:cs="Arial"/>
          <w:lang w:val="it-CH"/>
        </w:rPr>
        <w:lastRenderedPageBreak/>
        <w:t>Con successive risoluzioni municipali del 23 giugno (Bedano), rispettivamente del</w:t>
      </w:r>
      <w:r>
        <w:rPr>
          <w:rFonts w:cs="Arial"/>
          <w:lang w:val="it-CH"/>
        </w:rPr>
        <w:br/>
      </w:r>
      <w:r w:rsidRPr="008636F0">
        <w:rPr>
          <w:rFonts w:cs="Arial"/>
          <w:lang w:val="it-CH"/>
        </w:rPr>
        <w:t>22 giugno (</w:t>
      </w:r>
      <w:proofErr w:type="spellStart"/>
      <w:r w:rsidRPr="008636F0">
        <w:rPr>
          <w:rFonts w:cs="Arial"/>
          <w:lang w:val="it-CH"/>
        </w:rPr>
        <w:t>Gravesano</w:t>
      </w:r>
      <w:proofErr w:type="spellEnd"/>
      <w:r w:rsidRPr="008636F0">
        <w:rPr>
          <w:rFonts w:cs="Arial"/>
          <w:lang w:val="it-CH"/>
        </w:rPr>
        <w:t>), i due municipi hanno pure preavvisato favorevolmente lo studio di aggregazione; il primo all’unanimità, il secondo con 3 voti favorevoli e 2 contrari.</w:t>
      </w:r>
    </w:p>
    <w:p w:rsidR="00B558D8" w:rsidRPr="00797111" w:rsidRDefault="00B558D8" w:rsidP="00B558D8">
      <w:pPr>
        <w:spacing w:before="120"/>
        <w:rPr>
          <w:rFonts w:cs="Arial"/>
        </w:rPr>
      </w:pPr>
      <w:r w:rsidRPr="008636F0">
        <w:rPr>
          <w:rFonts w:cs="Arial"/>
        </w:rPr>
        <w:t xml:space="preserve">Più in generale, anche in seguito durante la fase che ha condotto al voto, il dibattito sulla proposta di aggregazione è stato più acceso a </w:t>
      </w:r>
      <w:proofErr w:type="spellStart"/>
      <w:r w:rsidRPr="008636F0">
        <w:rPr>
          <w:rFonts w:cs="Arial"/>
        </w:rPr>
        <w:t>Gravesano</w:t>
      </w:r>
      <w:proofErr w:type="spellEnd"/>
      <w:r w:rsidRPr="008636F0">
        <w:rPr>
          <w:rFonts w:cs="Arial"/>
        </w:rPr>
        <w:t xml:space="preserve">, mentre a Bedano il clima è risultato più disteso e il tema meno controverso. Le tematiche che più hanno suscitato discussione sono in particolare da ricondurre agli ambiti della logistica scolastica e a quello finanziario. </w:t>
      </w:r>
      <w:r w:rsidRPr="008636F0">
        <w:rPr>
          <w:rFonts w:cs="Arial"/>
          <w:lang w:val="it-CH"/>
        </w:rPr>
        <w:t xml:space="preserve">In parte è anche stata sollevata la questione del comprensorio aggregativo, che talvolta è </w:t>
      </w:r>
      <w:r>
        <w:rPr>
          <w:rFonts w:cs="Arial"/>
          <w:lang w:val="it-CH"/>
        </w:rPr>
        <w:t>stato ritenuto troppo limitato.</w:t>
      </w:r>
    </w:p>
    <w:p w:rsidR="00B558D8" w:rsidRPr="008636F0" w:rsidRDefault="00B558D8" w:rsidP="00B558D8">
      <w:pPr>
        <w:spacing w:before="120"/>
        <w:rPr>
          <w:rFonts w:cs="Arial"/>
          <w:lang w:val="it-CH"/>
        </w:rPr>
      </w:pPr>
      <w:r w:rsidRPr="008636F0">
        <w:rPr>
          <w:rFonts w:cs="Arial"/>
          <w:lang w:val="it-CH"/>
        </w:rPr>
        <w:t>Il 25 giugno 2020 la Commissione ha trasmesso al Consiglio di Stato lo studio di aggregazione corredato dai relativi preavvisi, che il Governo ha approvato con risoluzione dell’8 luglio 2020, fissando nel contempo la data della votazione consultiva per il successivo 18 ottobre.</w:t>
      </w:r>
    </w:p>
    <w:p w:rsidR="00B558D8" w:rsidRPr="008636F0" w:rsidRDefault="00B558D8" w:rsidP="00B558D8">
      <w:pPr>
        <w:spacing w:before="120"/>
      </w:pPr>
      <w:r w:rsidRPr="008636F0">
        <w:rPr>
          <w:rFonts w:cs="Arial"/>
          <w:lang w:val="it-CH"/>
        </w:rPr>
        <w:t>Nei mesi che hanno preceduto la consultazione si è svolta l’informazione alla cittadinanza, che, tenuto conto della situazione sanitaria, si è tenuta anche con formule adattate volte al rispetto delle misure di prevenzione. Sono in particolare stati organizzati dei momenti informativi, il 22 agosto con una passeggiata tr</w:t>
      </w:r>
      <w:r>
        <w:rPr>
          <w:rFonts w:cs="Arial"/>
          <w:lang w:val="it-CH"/>
        </w:rPr>
        <w:t>a</w:t>
      </w:r>
      <w:r w:rsidRPr="008636F0">
        <w:rPr>
          <w:rFonts w:cs="Arial"/>
          <w:lang w:val="it-CH"/>
        </w:rPr>
        <w:t xml:space="preserve"> le due case comunali, dove i sindaci </w:t>
      </w:r>
      <w:r>
        <w:rPr>
          <w:rFonts w:cs="Arial"/>
          <w:lang w:val="it-CH"/>
        </w:rPr>
        <w:t xml:space="preserve">e i membri della Commissione </w:t>
      </w:r>
      <w:r w:rsidRPr="008636F0">
        <w:rPr>
          <w:rFonts w:cs="Arial"/>
          <w:lang w:val="it-CH"/>
        </w:rPr>
        <w:t xml:space="preserve">sono rimasti a disposizione </w:t>
      </w:r>
      <w:r>
        <w:rPr>
          <w:rFonts w:cs="Arial"/>
          <w:lang w:val="it-CH"/>
        </w:rPr>
        <w:t xml:space="preserve">della cittadinanza </w:t>
      </w:r>
      <w:r w:rsidRPr="008636F0">
        <w:rPr>
          <w:rFonts w:cs="Arial"/>
          <w:lang w:val="it-CH"/>
        </w:rPr>
        <w:t>per discutere e rispondere</w:t>
      </w:r>
      <w:r>
        <w:rPr>
          <w:rFonts w:cs="Arial"/>
          <w:lang w:val="it-CH"/>
        </w:rPr>
        <w:t xml:space="preserve"> alle domande</w:t>
      </w:r>
      <w:r w:rsidRPr="008636F0">
        <w:rPr>
          <w:rFonts w:cs="Arial"/>
          <w:lang w:val="it-CH"/>
        </w:rPr>
        <w:t xml:space="preserve">, </w:t>
      </w:r>
      <w:r>
        <w:rPr>
          <w:rFonts w:cs="Arial"/>
          <w:lang w:val="it-CH"/>
        </w:rPr>
        <w:t xml:space="preserve">sono stati allestiti </w:t>
      </w:r>
      <w:r w:rsidRPr="008636F0">
        <w:rPr>
          <w:rFonts w:cs="Arial"/>
          <w:lang w:val="it-CH"/>
        </w:rPr>
        <w:t xml:space="preserve">dei pannelli esplicativi lungo il percorso </w:t>
      </w:r>
      <w:r>
        <w:rPr>
          <w:rFonts w:cs="Arial"/>
          <w:lang w:val="it-CH"/>
        </w:rPr>
        <w:t xml:space="preserve">ed è </w:t>
      </w:r>
      <w:r w:rsidRPr="008636F0">
        <w:rPr>
          <w:rFonts w:cs="Arial"/>
          <w:lang w:val="it-CH"/>
        </w:rPr>
        <w:t xml:space="preserve">seguita una cena all’aperto, rispettivamente il 2 ottobre con una serata pubblica </w:t>
      </w:r>
      <w:r>
        <w:rPr>
          <w:rFonts w:cs="Arial"/>
          <w:lang w:val="it-CH"/>
        </w:rPr>
        <w:t xml:space="preserve">nella palestra delle scuole di </w:t>
      </w:r>
      <w:proofErr w:type="spellStart"/>
      <w:r>
        <w:rPr>
          <w:rFonts w:cs="Arial"/>
          <w:lang w:val="it-CH"/>
        </w:rPr>
        <w:t>Gravesano</w:t>
      </w:r>
      <w:proofErr w:type="spellEnd"/>
      <w:r>
        <w:rPr>
          <w:rFonts w:cs="Arial"/>
          <w:lang w:val="it-CH"/>
        </w:rPr>
        <w:t xml:space="preserve"> </w:t>
      </w:r>
      <w:r w:rsidRPr="008636F0">
        <w:rPr>
          <w:rFonts w:cs="Arial"/>
          <w:lang w:val="it-CH"/>
        </w:rPr>
        <w:t xml:space="preserve">cui ha partecipato anche il Direttore del Dipartimento delle istituzioni. </w:t>
      </w:r>
      <w:r w:rsidRPr="008636F0">
        <w:rPr>
          <w:rFonts w:cs="Arial"/>
        </w:rPr>
        <w:t xml:space="preserve">Come per ogni votazione consultiva, il Consiglio di Stato ha distribuito il proprio Rapporto alla cittadinanza (v. allegato), cui si rimanda per una descrizione riassuntiva </w:t>
      </w:r>
      <w:r>
        <w:rPr>
          <w:rFonts w:cs="Arial"/>
        </w:rPr>
        <w:t>del progetto</w:t>
      </w:r>
      <w:r w:rsidRPr="008636F0">
        <w:rPr>
          <w:rFonts w:cs="Arial"/>
        </w:rPr>
        <w:t>.</w:t>
      </w:r>
    </w:p>
    <w:p w:rsidR="00B558D8" w:rsidRPr="008636F0" w:rsidRDefault="00B558D8" w:rsidP="00B558D8"/>
    <w:p w:rsidR="00B558D8" w:rsidRDefault="00B558D8" w:rsidP="00B558D8"/>
    <w:p w:rsidR="00B558D8" w:rsidRPr="008636F0" w:rsidRDefault="00B558D8" w:rsidP="00B558D8"/>
    <w:p w:rsidR="00B558D8" w:rsidRPr="00B558D8" w:rsidRDefault="00B558D8" w:rsidP="00B558D8">
      <w:pPr>
        <w:pStyle w:val="Titolo1"/>
      </w:pPr>
      <w:r w:rsidRPr="00B558D8">
        <w:t>2.</w:t>
      </w:r>
      <w:r w:rsidRPr="00B558D8">
        <w:tab/>
        <w:t>ESITO DELLA VOTAZIONE CONSULTIVA E PROPOSTA DI ABBANDONO</w:t>
      </w:r>
    </w:p>
    <w:p w:rsidR="00B558D8" w:rsidRPr="008636F0" w:rsidRDefault="00B558D8" w:rsidP="00B558D8">
      <w:pPr>
        <w:rPr>
          <w:rFonts w:cs="Arial"/>
        </w:rPr>
      </w:pPr>
      <w:r w:rsidRPr="008636F0">
        <w:rPr>
          <w:rFonts w:cs="Arial"/>
        </w:rPr>
        <w:t>La votazione consultiva si è svolta il 18 ottobre 2020 e ha dato il seguente risultato:</w:t>
      </w:r>
    </w:p>
    <w:p w:rsidR="00B558D8" w:rsidRPr="008636F0" w:rsidRDefault="00B558D8" w:rsidP="00B558D8">
      <w:pPr>
        <w:rPr>
          <w:rFonts w:cs="Arial"/>
        </w:rPr>
      </w:pPr>
    </w:p>
    <w:tbl>
      <w:tblPr>
        <w:tblW w:w="0" w:type="auto"/>
        <w:tblInd w:w="2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440"/>
        <w:gridCol w:w="900"/>
        <w:gridCol w:w="741"/>
        <w:gridCol w:w="850"/>
        <w:gridCol w:w="642"/>
        <w:gridCol w:w="567"/>
        <w:gridCol w:w="776"/>
        <w:gridCol w:w="850"/>
        <w:gridCol w:w="851"/>
        <w:gridCol w:w="850"/>
        <w:gridCol w:w="851"/>
      </w:tblGrid>
      <w:tr w:rsidR="00B558D8" w:rsidRPr="008636F0" w:rsidTr="00935DCF">
        <w:tc>
          <w:tcPr>
            <w:tcW w:w="1440" w:type="dxa"/>
            <w:shd w:val="clear" w:color="auto" w:fill="auto"/>
          </w:tcPr>
          <w:p w:rsidR="00B558D8" w:rsidRPr="008636F0" w:rsidRDefault="00B558D8" w:rsidP="00935DCF">
            <w:pPr>
              <w:jc w:val="right"/>
              <w:rPr>
                <w:rFonts w:ascii="Arial Narrow" w:hAnsi="Arial Narrow" w:cs="Arial"/>
                <w:b/>
                <w:sz w:val="20"/>
              </w:rPr>
            </w:pPr>
          </w:p>
        </w:tc>
        <w:tc>
          <w:tcPr>
            <w:tcW w:w="900" w:type="dxa"/>
            <w:shd w:val="clear" w:color="auto" w:fill="auto"/>
          </w:tcPr>
          <w:p w:rsidR="00B558D8" w:rsidRPr="008636F0" w:rsidRDefault="00B558D8" w:rsidP="00935DCF">
            <w:pPr>
              <w:jc w:val="right"/>
              <w:rPr>
                <w:rFonts w:ascii="Arial Narrow" w:hAnsi="Arial Narrow" w:cs="Arial"/>
                <w:sz w:val="20"/>
              </w:rPr>
            </w:pPr>
            <w:r w:rsidRPr="008636F0">
              <w:rPr>
                <w:rFonts w:ascii="Arial Narrow" w:hAnsi="Arial Narrow" w:cs="Arial"/>
                <w:sz w:val="20"/>
              </w:rPr>
              <w:t>iscritti in catalogo</w:t>
            </w:r>
          </w:p>
        </w:tc>
        <w:tc>
          <w:tcPr>
            <w:tcW w:w="741" w:type="dxa"/>
            <w:shd w:val="clear" w:color="auto" w:fill="auto"/>
          </w:tcPr>
          <w:p w:rsidR="00B558D8" w:rsidRPr="008636F0" w:rsidRDefault="00B558D8" w:rsidP="00935DCF">
            <w:pPr>
              <w:jc w:val="right"/>
              <w:rPr>
                <w:rFonts w:ascii="Arial Narrow" w:hAnsi="Arial Narrow" w:cs="Arial"/>
                <w:sz w:val="20"/>
              </w:rPr>
            </w:pPr>
            <w:r w:rsidRPr="008636F0">
              <w:rPr>
                <w:rFonts w:ascii="Arial Narrow" w:hAnsi="Arial Narrow" w:cs="Arial"/>
                <w:sz w:val="20"/>
              </w:rPr>
              <w:t>totale votanti</w:t>
            </w:r>
          </w:p>
        </w:tc>
        <w:tc>
          <w:tcPr>
            <w:tcW w:w="850" w:type="dxa"/>
            <w:shd w:val="clear" w:color="auto" w:fill="auto"/>
          </w:tcPr>
          <w:p w:rsidR="00B558D8" w:rsidRPr="008636F0" w:rsidRDefault="00B558D8" w:rsidP="00935DCF">
            <w:pPr>
              <w:jc w:val="right"/>
              <w:rPr>
                <w:rFonts w:ascii="Arial Narrow" w:hAnsi="Arial Narrow" w:cs="Arial"/>
                <w:sz w:val="20"/>
              </w:rPr>
            </w:pPr>
            <w:r w:rsidRPr="008636F0">
              <w:rPr>
                <w:rFonts w:ascii="Arial Narrow" w:hAnsi="Arial Narrow" w:cs="Arial"/>
                <w:sz w:val="20"/>
              </w:rPr>
              <w:t>parteci-</w:t>
            </w:r>
            <w:proofErr w:type="spellStart"/>
            <w:r w:rsidRPr="008636F0">
              <w:rPr>
                <w:rFonts w:ascii="Arial Narrow" w:hAnsi="Arial Narrow" w:cs="Arial"/>
                <w:sz w:val="20"/>
              </w:rPr>
              <w:t>pazione</w:t>
            </w:r>
            <w:proofErr w:type="spellEnd"/>
          </w:p>
        </w:tc>
        <w:tc>
          <w:tcPr>
            <w:tcW w:w="642" w:type="dxa"/>
            <w:shd w:val="clear" w:color="auto" w:fill="auto"/>
          </w:tcPr>
          <w:p w:rsidR="00B558D8" w:rsidRPr="008636F0" w:rsidRDefault="00B558D8" w:rsidP="00935DCF">
            <w:pPr>
              <w:jc w:val="right"/>
              <w:rPr>
                <w:rFonts w:ascii="Arial Narrow" w:hAnsi="Arial Narrow" w:cs="Arial"/>
                <w:sz w:val="20"/>
              </w:rPr>
            </w:pPr>
            <w:proofErr w:type="spellStart"/>
            <w:r w:rsidRPr="008636F0">
              <w:rPr>
                <w:rFonts w:ascii="Arial Narrow" w:hAnsi="Arial Narrow" w:cs="Arial"/>
                <w:sz w:val="20"/>
              </w:rPr>
              <w:t>bian</w:t>
            </w:r>
            <w:proofErr w:type="spellEnd"/>
            <w:r w:rsidRPr="008636F0">
              <w:rPr>
                <w:rFonts w:ascii="Arial Narrow" w:hAnsi="Arial Narrow" w:cs="Arial"/>
                <w:sz w:val="20"/>
              </w:rPr>
              <w:t>-che</w:t>
            </w:r>
          </w:p>
        </w:tc>
        <w:tc>
          <w:tcPr>
            <w:tcW w:w="567" w:type="dxa"/>
            <w:shd w:val="clear" w:color="auto" w:fill="auto"/>
          </w:tcPr>
          <w:p w:rsidR="00B558D8" w:rsidRPr="008636F0" w:rsidRDefault="00B558D8" w:rsidP="00935DCF">
            <w:pPr>
              <w:jc w:val="right"/>
              <w:rPr>
                <w:rFonts w:ascii="Arial Narrow" w:hAnsi="Arial Narrow" w:cs="Arial"/>
                <w:sz w:val="20"/>
              </w:rPr>
            </w:pPr>
            <w:r w:rsidRPr="008636F0">
              <w:rPr>
                <w:rFonts w:ascii="Arial Narrow" w:hAnsi="Arial Narrow" w:cs="Arial"/>
                <w:sz w:val="20"/>
              </w:rPr>
              <w:t>nulle</w:t>
            </w:r>
          </w:p>
        </w:tc>
        <w:tc>
          <w:tcPr>
            <w:tcW w:w="776" w:type="dxa"/>
            <w:shd w:val="clear" w:color="auto" w:fill="auto"/>
          </w:tcPr>
          <w:p w:rsidR="00B558D8" w:rsidRPr="008636F0" w:rsidRDefault="00B558D8" w:rsidP="00935DCF">
            <w:pPr>
              <w:jc w:val="right"/>
              <w:rPr>
                <w:rFonts w:ascii="Arial Narrow" w:hAnsi="Arial Narrow" w:cs="Arial"/>
                <w:sz w:val="20"/>
              </w:rPr>
            </w:pPr>
            <w:r w:rsidRPr="008636F0">
              <w:rPr>
                <w:rFonts w:ascii="Arial Narrow" w:hAnsi="Arial Narrow" w:cs="Arial"/>
                <w:sz w:val="20"/>
              </w:rPr>
              <w:t xml:space="preserve">schede </w:t>
            </w:r>
            <w:proofErr w:type="spellStart"/>
            <w:r w:rsidRPr="008636F0">
              <w:rPr>
                <w:rFonts w:ascii="Arial Narrow" w:hAnsi="Arial Narrow" w:cs="Arial"/>
                <w:sz w:val="20"/>
              </w:rPr>
              <w:t>compu-tabili</w:t>
            </w:r>
            <w:proofErr w:type="spellEnd"/>
          </w:p>
        </w:tc>
        <w:tc>
          <w:tcPr>
            <w:tcW w:w="850" w:type="dxa"/>
            <w:shd w:val="clear" w:color="auto" w:fill="auto"/>
            <w:vAlign w:val="center"/>
          </w:tcPr>
          <w:p w:rsidR="00B558D8" w:rsidRPr="008636F0" w:rsidRDefault="00B558D8" w:rsidP="00935DCF">
            <w:pPr>
              <w:jc w:val="right"/>
              <w:rPr>
                <w:rFonts w:ascii="Arial Narrow" w:hAnsi="Arial Narrow" w:cs="Arial"/>
                <w:b/>
                <w:sz w:val="20"/>
              </w:rPr>
            </w:pPr>
            <w:r w:rsidRPr="008636F0">
              <w:rPr>
                <w:rFonts w:ascii="Arial Narrow" w:hAnsi="Arial Narrow" w:cs="Arial"/>
                <w:b/>
                <w:sz w:val="20"/>
              </w:rPr>
              <w:t>SI</w:t>
            </w:r>
          </w:p>
        </w:tc>
        <w:tc>
          <w:tcPr>
            <w:tcW w:w="851" w:type="dxa"/>
            <w:tcBorders>
              <w:bottom w:val="single" w:sz="18" w:space="0" w:color="auto"/>
            </w:tcBorders>
            <w:shd w:val="clear" w:color="auto" w:fill="D9D9D9" w:themeFill="background1" w:themeFillShade="D9"/>
            <w:vAlign w:val="center"/>
          </w:tcPr>
          <w:p w:rsidR="00B558D8" w:rsidRPr="008636F0" w:rsidRDefault="00B558D8" w:rsidP="00935DCF">
            <w:pPr>
              <w:jc w:val="right"/>
              <w:rPr>
                <w:rFonts w:ascii="Arial Narrow" w:hAnsi="Arial Narrow" w:cs="Arial"/>
                <w:b/>
                <w:sz w:val="20"/>
              </w:rPr>
            </w:pPr>
            <w:r w:rsidRPr="008636F0">
              <w:rPr>
                <w:rFonts w:ascii="Arial Narrow" w:hAnsi="Arial Narrow" w:cs="Arial"/>
                <w:b/>
                <w:sz w:val="20"/>
              </w:rPr>
              <w:t>% sì</w:t>
            </w:r>
          </w:p>
        </w:tc>
        <w:tc>
          <w:tcPr>
            <w:tcW w:w="850" w:type="dxa"/>
            <w:shd w:val="clear" w:color="auto" w:fill="auto"/>
            <w:vAlign w:val="center"/>
          </w:tcPr>
          <w:p w:rsidR="00B558D8" w:rsidRPr="008636F0" w:rsidRDefault="00B558D8" w:rsidP="00935DCF">
            <w:pPr>
              <w:jc w:val="right"/>
              <w:rPr>
                <w:rFonts w:ascii="Arial Narrow" w:hAnsi="Arial Narrow" w:cs="Arial"/>
                <w:b/>
                <w:sz w:val="20"/>
              </w:rPr>
            </w:pPr>
            <w:r w:rsidRPr="008636F0">
              <w:rPr>
                <w:rFonts w:ascii="Arial Narrow" w:hAnsi="Arial Narrow" w:cs="Arial"/>
                <w:b/>
                <w:sz w:val="20"/>
              </w:rPr>
              <w:t>NO</w:t>
            </w:r>
          </w:p>
        </w:tc>
        <w:tc>
          <w:tcPr>
            <w:tcW w:w="851" w:type="dxa"/>
            <w:shd w:val="clear" w:color="auto" w:fill="D9D9D9" w:themeFill="background1" w:themeFillShade="D9"/>
            <w:vAlign w:val="center"/>
          </w:tcPr>
          <w:p w:rsidR="00B558D8" w:rsidRPr="008636F0" w:rsidRDefault="00B558D8" w:rsidP="00935DCF">
            <w:pPr>
              <w:jc w:val="right"/>
              <w:rPr>
                <w:rFonts w:ascii="Arial Narrow" w:hAnsi="Arial Narrow" w:cs="Arial"/>
                <w:b/>
                <w:sz w:val="20"/>
              </w:rPr>
            </w:pPr>
            <w:r w:rsidRPr="008636F0">
              <w:rPr>
                <w:rFonts w:ascii="Arial Narrow" w:hAnsi="Arial Narrow" w:cs="Arial"/>
                <w:b/>
                <w:sz w:val="20"/>
              </w:rPr>
              <w:t>% no</w:t>
            </w:r>
          </w:p>
        </w:tc>
      </w:tr>
      <w:tr w:rsidR="00B558D8" w:rsidRPr="008636F0" w:rsidTr="00935DCF">
        <w:tc>
          <w:tcPr>
            <w:tcW w:w="1440" w:type="dxa"/>
            <w:shd w:val="clear" w:color="auto" w:fill="auto"/>
          </w:tcPr>
          <w:p w:rsidR="00B558D8" w:rsidRPr="008636F0" w:rsidRDefault="00B558D8" w:rsidP="00935DCF">
            <w:pPr>
              <w:spacing w:before="40" w:after="20"/>
              <w:rPr>
                <w:rFonts w:ascii="Arial Narrow" w:hAnsi="Arial Narrow" w:cs="Arial"/>
                <w:sz w:val="20"/>
              </w:rPr>
            </w:pPr>
            <w:r w:rsidRPr="008636F0">
              <w:rPr>
                <w:rFonts w:ascii="Arial Narrow" w:hAnsi="Arial Narrow" w:cs="Arial"/>
                <w:sz w:val="20"/>
              </w:rPr>
              <w:t>Bedano</w:t>
            </w:r>
          </w:p>
        </w:tc>
        <w:tc>
          <w:tcPr>
            <w:tcW w:w="900" w:type="dxa"/>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1’043</w:t>
            </w:r>
          </w:p>
        </w:tc>
        <w:tc>
          <w:tcPr>
            <w:tcW w:w="741" w:type="dxa"/>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679</w:t>
            </w:r>
          </w:p>
        </w:tc>
        <w:tc>
          <w:tcPr>
            <w:tcW w:w="850" w:type="dxa"/>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65%</w:t>
            </w:r>
          </w:p>
        </w:tc>
        <w:tc>
          <w:tcPr>
            <w:tcW w:w="642" w:type="dxa"/>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10</w:t>
            </w:r>
          </w:p>
        </w:tc>
        <w:tc>
          <w:tcPr>
            <w:tcW w:w="567" w:type="dxa"/>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4</w:t>
            </w:r>
          </w:p>
        </w:tc>
        <w:tc>
          <w:tcPr>
            <w:tcW w:w="776" w:type="dxa"/>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665</w:t>
            </w:r>
          </w:p>
        </w:tc>
        <w:tc>
          <w:tcPr>
            <w:tcW w:w="850" w:type="dxa"/>
            <w:tcBorders>
              <w:right w:val="single" w:sz="18" w:space="0" w:color="auto"/>
            </w:tcBorders>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532</w:t>
            </w:r>
          </w:p>
        </w:tc>
        <w:tc>
          <w:tcPr>
            <w:tcW w:w="851" w:type="dxa"/>
            <w:tcBorders>
              <w:top w:val="single" w:sz="18" w:space="0" w:color="auto"/>
              <w:left w:val="single" w:sz="18" w:space="0" w:color="auto"/>
              <w:bottom w:val="single" w:sz="18" w:space="0" w:color="auto"/>
              <w:right w:val="single" w:sz="18" w:space="0" w:color="auto"/>
            </w:tcBorders>
            <w:shd w:val="clear" w:color="auto" w:fill="auto"/>
          </w:tcPr>
          <w:p w:rsidR="00B558D8" w:rsidRPr="008636F0" w:rsidRDefault="00B558D8" w:rsidP="00935DCF">
            <w:pPr>
              <w:spacing w:before="40" w:after="20"/>
              <w:jc w:val="right"/>
              <w:rPr>
                <w:rFonts w:ascii="Arial Narrow" w:hAnsi="Arial Narrow" w:cs="Arial"/>
                <w:b/>
                <w:sz w:val="20"/>
              </w:rPr>
            </w:pPr>
            <w:r w:rsidRPr="008636F0">
              <w:rPr>
                <w:rFonts w:ascii="Arial Narrow" w:hAnsi="Arial Narrow" w:cs="Arial"/>
                <w:b/>
                <w:sz w:val="20"/>
              </w:rPr>
              <w:t>80.0</w:t>
            </w:r>
          </w:p>
        </w:tc>
        <w:tc>
          <w:tcPr>
            <w:tcW w:w="850" w:type="dxa"/>
            <w:tcBorders>
              <w:left w:val="single" w:sz="18" w:space="0" w:color="auto"/>
            </w:tcBorders>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133</w:t>
            </w:r>
          </w:p>
        </w:tc>
        <w:tc>
          <w:tcPr>
            <w:tcW w:w="851" w:type="dxa"/>
            <w:tcBorders>
              <w:bottom w:val="single" w:sz="18" w:space="0" w:color="auto"/>
            </w:tcBorders>
            <w:shd w:val="clear" w:color="auto" w:fill="auto"/>
          </w:tcPr>
          <w:p w:rsidR="00B558D8" w:rsidRPr="008636F0" w:rsidRDefault="00B558D8" w:rsidP="00935DCF">
            <w:pPr>
              <w:spacing w:before="40" w:after="20"/>
              <w:jc w:val="right"/>
              <w:rPr>
                <w:rFonts w:ascii="Arial Narrow" w:hAnsi="Arial Narrow" w:cs="Arial"/>
                <w:b/>
                <w:sz w:val="20"/>
              </w:rPr>
            </w:pPr>
            <w:r w:rsidRPr="008636F0">
              <w:rPr>
                <w:rFonts w:ascii="Arial Narrow" w:hAnsi="Arial Narrow" w:cs="Arial"/>
                <w:b/>
                <w:sz w:val="20"/>
              </w:rPr>
              <w:t>20.0</w:t>
            </w:r>
          </w:p>
        </w:tc>
      </w:tr>
      <w:tr w:rsidR="00B558D8" w:rsidRPr="008636F0" w:rsidTr="00935DCF">
        <w:tc>
          <w:tcPr>
            <w:tcW w:w="1440" w:type="dxa"/>
            <w:tcBorders>
              <w:bottom w:val="single" w:sz="12" w:space="0" w:color="auto"/>
            </w:tcBorders>
            <w:shd w:val="clear" w:color="auto" w:fill="auto"/>
          </w:tcPr>
          <w:p w:rsidR="00B558D8" w:rsidRPr="008636F0" w:rsidRDefault="00B558D8" w:rsidP="00935DCF">
            <w:pPr>
              <w:spacing w:before="40" w:after="20"/>
              <w:rPr>
                <w:rFonts w:ascii="Arial Narrow" w:hAnsi="Arial Narrow" w:cs="Arial"/>
                <w:sz w:val="20"/>
              </w:rPr>
            </w:pPr>
            <w:proofErr w:type="spellStart"/>
            <w:r w:rsidRPr="008636F0">
              <w:rPr>
                <w:rFonts w:ascii="Arial Narrow" w:hAnsi="Arial Narrow" w:cs="Arial"/>
                <w:sz w:val="20"/>
              </w:rPr>
              <w:t>Gravesano</w:t>
            </w:r>
            <w:proofErr w:type="spellEnd"/>
          </w:p>
        </w:tc>
        <w:tc>
          <w:tcPr>
            <w:tcW w:w="900" w:type="dxa"/>
            <w:tcBorders>
              <w:bottom w:val="single" w:sz="12" w:space="0" w:color="auto"/>
            </w:tcBorders>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906</w:t>
            </w:r>
          </w:p>
        </w:tc>
        <w:tc>
          <w:tcPr>
            <w:tcW w:w="741" w:type="dxa"/>
            <w:tcBorders>
              <w:bottom w:val="single" w:sz="12" w:space="0" w:color="auto"/>
            </w:tcBorders>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567</w:t>
            </w:r>
          </w:p>
        </w:tc>
        <w:tc>
          <w:tcPr>
            <w:tcW w:w="850" w:type="dxa"/>
            <w:tcBorders>
              <w:bottom w:val="single" w:sz="12" w:space="0" w:color="auto"/>
            </w:tcBorders>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63%</w:t>
            </w:r>
          </w:p>
        </w:tc>
        <w:tc>
          <w:tcPr>
            <w:tcW w:w="642" w:type="dxa"/>
            <w:tcBorders>
              <w:bottom w:val="single" w:sz="12" w:space="0" w:color="auto"/>
            </w:tcBorders>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7</w:t>
            </w:r>
          </w:p>
        </w:tc>
        <w:tc>
          <w:tcPr>
            <w:tcW w:w="567" w:type="dxa"/>
            <w:tcBorders>
              <w:bottom w:val="single" w:sz="12" w:space="0" w:color="auto"/>
            </w:tcBorders>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0</w:t>
            </w:r>
          </w:p>
        </w:tc>
        <w:tc>
          <w:tcPr>
            <w:tcW w:w="776" w:type="dxa"/>
            <w:tcBorders>
              <w:bottom w:val="single" w:sz="12" w:space="0" w:color="auto"/>
            </w:tcBorders>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560</w:t>
            </w:r>
          </w:p>
        </w:tc>
        <w:tc>
          <w:tcPr>
            <w:tcW w:w="850" w:type="dxa"/>
            <w:tcBorders>
              <w:bottom w:val="single" w:sz="12" w:space="0" w:color="auto"/>
            </w:tcBorders>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249</w:t>
            </w:r>
          </w:p>
        </w:tc>
        <w:tc>
          <w:tcPr>
            <w:tcW w:w="851" w:type="dxa"/>
            <w:tcBorders>
              <w:top w:val="single" w:sz="18" w:space="0" w:color="auto"/>
              <w:bottom w:val="single" w:sz="12" w:space="0" w:color="auto"/>
            </w:tcBorders>
            <w:shd w:val="clear" w:color="auto" w:fill="auto"/>
          </w:tcPr>
          <w:p w:rsidR="00B558D8" w:rsidRPr="008636F0" w:rsidRDefault="00B558D8" w:rsidP="00935DCF">
            <w:pPr>
              <w:spacing w:before="40" w:after="20"/>
              <w:jc w:val="right"/>
              <w:rPr>
                <w:rFonts w:ascii="Arial Narrow" w:hAnsi="Arial Narrow" w:cs="Arial"/>
                <w:b/>
                <w:sz w:val="20"/>
              </w:rPr>
            </w:pPr>
            <w:r w:rsidRPr="008636F0">
              <w:rPr>
                <w:rFonts w:ascii="Arial Narrow" w:hAnsi="Arial Narrow" w:cs="Arial"/>
                <w:b/>
                <w:sz w:val="20"/>
              </w:rPr>
              <w:t>44.5</w:t>
            </w:r>
          </w:p>
        </w:tc>
        <w:tc>
          <w:tcPr>
            <w:tcW w:w="850" w:type="dxa"/>
            <w:tcBorders>
              <w:bottom w:val="single" w:sz="12" w:space="0" w:color="auto"/>
              <w:right w:val="single" w:sz="18" w:space="0" w:color="auto"/>
            </w:tcBorders>
            <w:shd w:val="clear" w:color="auto" w:fill="auto"/>
          </w:tcPr>
          <w:p w:rsidR="00B558D8" w:rsidRPr="008636F0" w:rsidRDefault="00B558D8" w:rsidP="00935DCF">
            <w:pPr>
              <w:spacing w:before="40" w:after="20"/>
              <w:jc w:val="right"/>
              <w:rPr>
                <w:rFonts w:ascii="Arial Narrow" w:hAnsi="Arial Narrow" w:cs="Arial"/>
                <w:sz w:val="20"/>
              </w:rPr>
            </w:pPr>
            <w:r w:rsidRPr="008636F0">
              <w:rPr>
                <w:rFonts w:ascii="Arial Narrow" w:hAnsi="Arial Narrow" w:cs="Arial"/>
                <w:sz w:val="20"/>
              </w:rPr>
              <w:t>311</w:t>
            </w:r>
          </w:p>
        </w:tc>
        <w:tc>
          <w:tcPr>
            <w:tcW w:w="851" w:type="dxa"/>
            <w:tcBorders>
              <w:top w:val="single" w:sz="18" w:space="0" w:color="auto"/>
              <w:left w:val="single" w:sz="18" w:space="0" w:color="auto"/>
              <w:bottom w:val="single" w:sz="18" w:space="0" w:color="auto"/>
              <w:right w:val="single" w:sz="18" w:space="0" w:color="auto"/>
            </w:tcBorders>
            <w:shd w:val="clear" w:color="auto" w:fill="auto"/>
          </w:tcPr>
          <w:p w:rsidR="00B558D8" w:rsidRPr="008636F0" w:rsidRDefault="00B558D8" w:rsidP="00935DCF">
            <w:pPr>
              <w:spacing w:before="40" w:after="20"/>
              <w:jc w:val="right"/>
              <w:rPr>
                <w:rFonts w:ascii="Arial Narrow" w:hAnsi="Arial Narrow" w:cs="Arial"/>
                <w:b/>
                <w:sz w:val="20"/>
              </w:rPr>
            </w:pPr>
            <w:r w:rsidRPr="008636F0">
              <w:rPr>
                <w:rFonts w:ascii="Arial Narrow" w:hAnsi="Arial Narrow" w:cs="Arial"/>
                <w:b/>
                <w:sz w:val="20"/>
              </w:rPr>
              <w:t>55.6</w:t>
            </w:r>
          </w:p>
        </w:tc>
      </w:tr>
      <w:tr w:rsidR="00B558D8" w:rsidRPr="008636F0" w:rsidTr="00935DCF">
        <w:tc>
          <w:tcPr>
            <w:tcW w:w="1440" w:type="dxa"/>
            <w:tcBorders>
              <w:top w:val="single" w:sz="12" w:space="0" w:color="auto"/>
              <w:left w:val="single" w:sz="4" w:space="0" w:color="auto"/>
              <w:bottom w:val="single" w:sz="4" w:space="0" w:color="auto"/>
              <w:right w:val="single" w:sz="4" w:space="0" w:color="auto"/>
            </w:tcBorders>
            <w:shd w:val="clear" w:color="auto" w:fill="auto"/>
          </w:tcPr>
          <w:p w:rsidR="00B558D8" w:rsidRPr="008636F0" w:rsidRDefault="00B558D8" w:rsidP="00935DCF">
            <w:pPr>
              <w:spacing w:before="120"/>
              <w:rPr>
                <w:rFonts w:ascii="Arial Narrow" w:hAnsi="Arial Narrow" w:cs="Arial"/>
                <w:b/>
                <w:sz w:val="20"/>
              </w:rPr>
            </w:pPr>
            <w:r w:rsidRPr="008636F0">
              <w:rPr>
                <w:rFonts w:ascii="Arial Narrow" w:hAnsi="Arial Narrow" w:cs="Arial"/>
                <w:b/>
                <w:sz w:val="20"/>
              </w:rPr>
              <w:t>TOTALI</w:t>
            </w:r>
          </w:p>
        </w:tc>
        <w:tc>
          <w:tcPr>
            <w:tcW w:w="900" w:type="dxa"/>
            <w:tcBorders>
              <w:top w:val="single" w:sz="12" w:space="0" w:color="auto"/>
              <w:left w:val="single" w:sz="4" w:space="0" w:color="auto"/>
              <w:bottom w:val="single" w:sz="4" w:space="0" w:color="auto"/>
              <w:right w:val="single" w:sz="4" w:space="0" w:color="auto"/>
            </w:tcBorders>
            <w:shd w:val="clear" w:color="auto" w:fill="auto"/>
          </w:tcPr>
          <w:p w:rsidR="00B558D8" w:rsidRPr="008636F0" w:rsidRDefault="00B558D8" w:rsidP="00935DCF">
            <w:pPr>
              <w:spacing w:before="120"/>
              <w:jc w:val="right"/>
              <w:rPr>
                <w:rFonts w:ascii="Arial Narrow" w:hAnsi="Arial Narrow" w:cs="Arial"/>
                <w:sz w:val="20"/>
              </w:rPr>
            </w:pPr>
            <w:r w:rsidRPr="008636F0">
              <w:rPr>
                <w:rFonts w:ascii="Arial Narrow" w:hAnsi="Arial Narrow" w:cs="Arial"/>
                <w:sz w:val="20"/>
              </w:rPr>
              <w:t>1’949</w:t>
            </w:r>
          </w:p>
        </w:tc>
        <w:tc>
          <w:tcPr>
            <w:tcW w:w="741" w:type="dxa"/>
            <w:tcBorders>
              <w:top w:val="single" w:sz="12" w:space="0" w:color="auto"/>
              <w:left w:val="single" w:sz="4" w:space="0" w:color="auto"/>
              <w:bottom w:val="single" w:sz="4" w:space="0" w:color="auto"/>
              <w:right w:val="single" w:sz="4" w:space="0" w:color="auto"/>
            </w:tcBorders>
            <w:shd w:val="clear" w:color="auto" w:fill="auto"/>
          </w:tcPr>
          <w:p w:rsidR="00B558D8" w:rsidRPr="008636F0" w:rsidRDefault="00B558D8" w:rsidP="00935DCF">
            <w:pPr>
              <w:spacing w:before="120"/>
              <w:jc w:val="right"/>
              <w:rPr>
                <w:rFonts w:ascii="Arial Narrow" w:hAnsi="Arial Narrow" w:cs="Arial"/>
                <w:sz w:val="20"/>
              </w:rPr>
            </w:pPr>
            <w:r w:rsidRPr="008636F0">
              <w:rPr>
                <w:rFonts w:ascii="Arial Narrow" w:hAnsi="Arial Narrow" w:cs="Arial"/>
                <w:sz w:val="20"/>
              </w:rPr>
              <w:t>1’246</w:t>
            </w:r>
          </w:p>
        </w:tc>
        <w:tc>
          <w:tcPr>
            <w:tcW w:w="850" w:type="dxa"/>
            <w:tcBorders>
              <w:top w:val="single" w:sz="12" w:space="0" w:color="auto"/>
              <w:left w:val="single" w:sz="4" w:space="0" w:color="auto"/>
              <w:bottom w:val="single" w:sz="4" w:space="0" w:color="auto"/>
              <w:right w:val="single" w:sz="4" w:space="0" w:color="auto"/>
            </w:tcBorders>
            <w:shd w:val="clear" w:color="auto" w:fill="auto"/>
          </w:tcPr>
          <w:p w:rsidR="00B558D8" w:rsidRPr="008636F0" w:rsidRDefault="00B558D8" w:rsidP="00935DCF">
            <w:pPr>
              <w:spacing w:before="120"/>
              <w:jc w:val="right"/>
              <w:rPr>
                <w:rFonts w:ascii="Arial Narrow" w:hAnsi="Arial Narrow" w:cs="Arial"/>
                <w:sz w:val="20"/>
              </w:rPr>
            </w:pPr>
            <w:r w:rsidRPr="008636F0">
              <w:rPr>
                <w:rFonts w:ascii="Arial Narrow" w:hAnsi="Arial Narrow" w:cs="Arial"/>
                <w:sz w:val="20"/>
              </w:rPr>
              <w:t>64%</w:t>
            </w:r>
          </w:p>
        </w:tc>
        <w:tc>
          <w:tcPr>
            <w:tcW w:w="642" w:type="dxa"/>
            <w:tcBorders>
              <w:top w:val="single" w:sz="12" w:space="0" w:color="auto"/>
              <w:left w:val="single" w:sz="4" w:space="0" w:color="auto"/>
              <w:bottom w:val="single" w:sz="4" w:space="0" w:color="auto"/>
              <w:right w:val="single" w:sz="4" w:space="0" w:color="auto"/>
            </w:tcBorders>
            <w:shd w:val="clear" w:color="auto" w:fill="auto"/>
          </w:tcPr>
          <w:p w:rsidR="00B558D8" w:rsidRPr="008636F0" w:rsidRDefault="00B558D8" w:rsidP="00935DCF">
            <w:pPr>
              <w:spacing w:before="120"/>
              <w:jc w:val="right"/>
              <w:rPr>
                <w:rFonts w:ascii="Arial Narrow" w:hAnsi="Arial Narrow" w:cs="Arial"/>
                <w:sz w:val="20"/>
              </w:rPr>
            </w:pPr>
            <w:r w:rsidRPr="008636F0">
              <w:rPr>
                <w:rFonts w:ascii="Arial Narrow" w:hAnsi="Arial Narrow" w:cs="Arial"/>
                <w:sz w:val="20"/>
              </w:rPr>
              <w:t>17</w:t>
            </w:r>
          </w:p>
        </w:tc>
        <w:tc>
          <w:tcPr>
            <w:tcW w:w="567" w:type="dxa"/>
            <w:tcBorders>
              <w:top w:val="single" w:sz="12" w:space="0" w:color="auto"/>
              <w:left w:val="single" w:sz="4" w:space="0" w:color="auto"/>
              <w:bottom w:val="single" w:sz="4" w:space="0" w:color="auto"/>
              <w:right w:val="single" w:sz="4" w:space="0" w:color="auto"/>
            </w:tcBorders>
            <w:shd w:val="clear" w:color="auto" w:fill="auto"/>
          </w:tcPr>
          <w:p w:rsidR="00B558D8" w:rsidRPr="008636F0" w:rsidRDefault="00B558D8" w:rsidP="00935DCF">
            <w:pPr>
              <w:spacing w:before="120"/>
              <w:jc w:val="right"/>
              <w:rPr>
                <w:rFonts w:ascii="Arial Narrow" w:hAnsi="Arial Narrow" w:cs="Arial"/>
                <w:sz w:val="20"/>
              </w:rPr>
            </w:pPr>
            <w:r w:rsidRPr="008636F0">
              <w:rPr>
                <w:rFonts w:ascii="Arial Narrow" w:hAnsi="Arial Narrow" w:cs="Arial"/>
                <w:sz w:val="20"/>
              </w:rPr>
              <w:t>4</w:t>
            </w:r>
          </w:p>
        </w:tc>
        <w:tc>
          <w:tcPr>
            <w:tcW w:w="776" w:type="dxa"/>
            <w:tcBorders>
              <w:top w:val="single" w:sz="12" w:space="0" w:color="auto"/>
              <w:left w:val="single" w:sz="4" w:space="0" w:color="auto"/>
              <w:bottom w:val="single" w:sz="4" w:space="0" w:color="auto"/>
              <w:right w:val="single" w:sz="4" w:space="0" w:color="auto"/>
            </w:tcBorders>
            <w:shd w:val="clear" w:color="auto" w:fill="auto"/>
          </w:tcPr>
          <w:p w:rsidR="00B558D8" w:rsidRPr="008636F0" w:rsidRDefault="00B558D8" w:rsidP="00935DCF">
            <w:pPr>
              <w:spacing w:before="120"/>
              <w:jc w:val="right"/>
              <w:rPr>
                <w:rFonts w:ascii="Arial Narrow" w:hAnsi="Arial Narrow" w:cs="Arial"/>
                <w:sz w:val="20"/>
              </w:rPr>
            </w:pPr>
            <w:r w:rsidRPr="008636F0">
              <w:rPr>
                <w:rFonts w:ascii="Arial Narrow" w:hAnsi="Arial Narrow" w:cs="Arial"/>
                <w:sz w:val="20"/>
              </w:rPr>
              <w:t>1’225</w:t>
            </w:r>
          </w:p>
        </w:tc>
        <w:tc>
          <w:tcPr>
            <w:tcW w:w="850" w:type="dxa"/>
            <w:tcBorders>
              <w:top w:val="single" w:sz="12" w:space="0" w:color="auto"/>
              <w:left w:val="single" w:sz="4" w:space="0" w:color="auto"/>
              <w:bottom w:val="single" w:sz="4" w:space="0" w:color="auto"/>
              <w:right w:val="single" w:sz="4" w:space="0" w:color="auto"/>
            </w:tcBorders>
            <w:shd w:val="clear" w:color="auto" w:fill="auto"/>
          </w:tcPr>
          <w:p w:rsidR="00B558D8" w:rsidRPr="008636F0" w:rsidRDefault="00B558D8" w:rsidP="00935DCF">
            <w:pPr>
              <w:spacing w:before="120"/>
              <w:jc w:val="right"/>
              <w:rPr>
                <w:rFonts w:ascii="Arial Narrow" w:hAnsi="Arial Narrow" w:cs="Arial"/>
                <w:b/>
                <w:sz w:val="20"/>
              </w:rPr>
            </w:pPr>
            <w:r w:rsidRPr="008636F0">
              <w:rPr>
                <w:rFonts w:ascii="Arial Narrow" w:hAnsi="Arial Narrow" w:cs="Arial"/>
                <w:b/>
                <w:sz w:val="20"/>
              </w:rPr>
              <w:t>781</w:t>
            </w:r>
          </w:p>
        </w:tc>
        <w:tc>
          <w:tcPr>
            <w:tcW w:w="851" w:type="dxa"/>
            <w:tcBorders>
              <w:top w:val="single" w:sz="12" w:space="0" w:color="auto"/>
              <w:left w:val="single" w:sz="4" w:space="0" w:color="auto"/>
              <w:bottom w:val="single" w:sz="4" w:space="0" w:color="auto"/>
              <w:right w:val="single" w:sz="4" w:space="0" w:color="auto"/>
            </w:tcBorders>
            <w:shd w:val="clear" w:color="auto" w:fill="auto"/>
          </w:tcPr>
          <w:p w:rsidR="00B558D8" w:rsidRPr="008636F0" w:rsidRDefault="00B558D8" w:rsidP="00935DCF">
            <w:pPr>
              <w:spacing w:before="120"/>
              <w:jc w:val="right"/>
              <w:rPr>
                <w:rFonts w:ascii="Arial Narrow" w:hAnsi="Arial Narrow" w:cs="Arial"/>
                <w:b/>
                <w:sz w:val="20"/>
              </w:rPr>
            </w:pPr>
            <w:r w:rsidRPr="008636F0">
              <w:rPr>
                <w:rFonts w:ascii="Arial Narrow" w:hAnsi="Arial Narrow" w:cs="Arial"/>
                <w:b/>
                <w:sz w:val="20"/>
              </w:rPr>
              <w:t>63.8</w:t>
            </w:r>
          </w:p>
        </w:tc>
        <w:tc>
          <w:tcPr>
            <w:tcW w:w="850" w:type="dxa"/>
            <w:tcBorders>
              <w:top w:val="single" w:sz="12" w:space="0" w:color="auto"/>
              <w:left w:val="single" w:sz="4" w:space="0" w:color="auto"/>
              <w:bottom w:val="single" w:sz="4" w:space="0" w:color="auto"/>
              <w:right w:val="single" w:sz="4" w:space="0" w:color="auto"/>
            </w:tcBorders>
            <w:shd w:val="clear" w:color="auto" w:fill="auto"/>
          </w:tcPr>
          <w:p w:rsidR="00B558D8" w:rsidRPr="008636F0" w:rsidRDefault="00B558D8" w:rsidP="00935DCF">
            <w:pPr>
              <w:spacing w:before="120"/>
              <w:jc w:val="right"/>
              <w:rPr>
                <w:rFonts w:ascii="Arial Narrow" w:hAnsi="Arial Narrow" w:cs="Arial"/>
                <w:b/>
                <w:sz w:val="20"/>
              </w:rPr>
            </w:pPr>
            <w:r w:rsidRPr="008636F0">
              <w:rPr>
                <w:rFonts w:ascii="Arial Narrow" w:hAnsi="Arial Narrow" w:cs="Arial"/>
                <w:b/>
                <w:sz w:val="20"/>
              </w:rPr>
              <w:t>444</w:t>
            </w:r>
          </w:p>
        </w:tc>
        <w:tc>
          <w:tcPr>
            <w:tcW w:w="851" w:type="dxa"/>
            <w:tcBorders>
              <w:top w:val="single" w:sz="18" w:space="0" w:color="auto"/>
              <w:left w:val="single" w:sz="4" w:space="0" w:color="auto"/>
              <w:bottom w:val="single" w:sz="4" w:space="0" w:color="auto"/>
              <w:right w:val="single" w:sz="4" w:space="0" w:color="auto"/>
            </w:tcBorders>
            <w:shd w:val="clear" w:color="auto" w:fill="auto"/>
          </w:tcPr>
          <w:p w:rsidR="00B558D8" w:rsidRPr="008636F0" w:rsidRDefault="00B558D8" w:rsidP="00935DCF">
            <w:pPr>
              <w:spacing w:before="120"/>
              <w:jc w:val="right"/>
              <w:rPr>
                <w:rFonts w:ascii="Arial Narrow" w:hAnsi="Arial Narrow" w:cs="Arial"/>
                <w:b/>
                <w:sz w:val="20"/>
              </w:rPr>
            </w:pPr>
            <w:r w:rsidRPr="008636F0">
              <w:rPr>
                <w:rFonts w:ascii="Arial Narrow" w:hAnsi="Arial Narrow" w:cs="Arial"/>
                <w:b/>
                <w:sz w:val="20"/>
              </w:rPr>
              <w:t>36.2</w:t>
            </w:r>
          </w:p>
        </w:tc>
      </w:tr>
    </w:tbl>
    <w:p w:rsidR="00B558D8" w:rsidRPr="008636F0" w:rsidRDefault="00B558D8" w:rsidP="00B558D8">
      <w:pPr>
        <w:rPr>
          <w:rFonts w:cs="Arial"/>
        </w:rPr>
      </w:pPr>
    </w:p>
    <w:p w:rsidR="00B558D8" w:rsidRPr="008636F0" w:rsidRDefault="00B558D8" w:rsidP="00B558D8">
      <w:pPr>
        <w:rPr>
          <w:rFonts w:cs="Arial"/>
        </w:rPr>
      </w:pPr>
      <w:r>
        <w:rPr>
          <w:rFonts w:cs="Arial"/>
        </w:rPr>
        <w:t>L’</w:t>
      </w:r>
      <w:r w:rsidRPr="008636F0">
        <w:rPr>
          <w:rFonts w:cs="Arial"/>
        </w:rPr>
        <w:t>aggregazione è stat</w:t>
      </w:r>
      <w:r>
        <w:rPr>
          <w:rFonts w:cs="Arial"/>
        </w:rPr>
        <w:t>a</w:t>
      </w:r>
      <w:r w:rsidRPr="008636F0">
        <w:rPr>
          <w:rFonts w:cs="Arial"/>
        </w:rPr>
        <w:t xml:space="preserve"> accolt</w:t>
      </w:r>
      <w:r>
        <w:rPr>
          <w:rFonts w:cs="Arial"/>
        </w:rPr>
        <w:t>a</w:t>
      </w:r>
      <w:r w:rsidRPr="008636F0">
        <w:rPr>
          <w:rFonts w:cs="Arial"/>
        </w:rPr>
        <w:t xml:space="preserve"> da una molto ampia maggioranz</w:t>
      </w:r>
      <w:r>
        <w:rPr>
          <w:rFonts w:cs="Arial"/>
        </w:rPr>
        <w:t>a (quattro quinti dei votanti) de</w:t>
      </w:r>
      <w:r w:rsidRPr="008636F0">
        <w:rPr>
          <w:rFonts w:cs="Arial"/>
        </w:rPr>
        <w:t>lla cittadinanza di Bedano, mentre q</w:t>
      </w:r>
      <w:r>
        <w:rPr>
          <w:rFonts w:cs="Arial"/>
        </w:rPr>
        <w:t xml:space="preserve">uella di </w:t>
      </w:r>
      <w:proofErr w:type="spellStart"/>
      <w:r>
        <w:rPr>
          <w:rFonts w:cs="Arial"/>
        </w:rPr>
        <w:t>Gravesano</w:t>
      </w:r>
      <w:proofErr w:type="spellEnd"/>
      <w:r>
        <w:rPr>
          <w:rFonts w:cs="Arial"/>
        </w:rPr>
        <w:t xml:space="preserve"> l’ha respinta</w:t>
      </w:r>
      <w:r w:rsidRPr="008636F0">
        <w:rPr>
          <w:rFonts w:cs="Arial"/>
        </w:rPr>
        <w:t xml:space="preserve"> con una prevalenza di voti negativi pari al 55.54%. Nell’insieme del comprensorio l’esito è stato chiaramente favorevole, conseguenza però della sola vasta adesione registrata a Bedano.</w:t>
      </w:r>
    </w:p>
    <w:p w:rsidR="00B558D8" w:rsidRPr="00E778D6" w:rsidRDefault="00B558D8" w:rsidP="00B558D8">
      <w:pPr>
        <w:pStyle w:val="Corpotesto"/>
        <w:spacing w:before="120"/>
        <w:rPr>
          <w:rFonts w:cs="Arial"/>
          <w:szCs w:val="24"/>
        </w:rPr>
      </w:pPr>
      <w:r w:rsidRPr="008636F0">
        <w:rPr>
          <w:rFonts w:cs="Arial"/>
          <w:szCs w:val="24"/>
        </w:rPr>
        <w:t xml:space="preserve">L’aggregazione del Medio </w:t>
      </w:r>
      <w:proofErr w:type="spellStart"/>
      <w:r w:rsidRPr="008636F0">
        <w:rPr>
          <w:rFonts w:cs="Arial"/>
          <w:szCs w:val="24"/>
        </w:rPr>
        <w:t>Vedeggio</w:t>
      </w:r>
      <w:proofErr w:type="spellEnd"/>
      <w:r w:rsidRPr="008636F0">
        <w:rPr>
          <w:rFonts w:cs="Arial"/>
          <w:szCs w:val="24"/>
        </w:rPr>
        <w:t xml:space="preserve"> è stata sin dall’inizio progettata e presentata come un’unione di opportunità, in quanto nessuno dei due comuni si trova in situazione di necessitarla. </w:t>
      </w:r>
      <w:r w:rsidRPr="008636F0">
        <w:rPr>
          <w:rFonts w:cs="Arial"/>
        </w:rPr>
        <w:t>Si tratta piuttosto di un’aggregazione di ottimizzazione tra due comuni molto simili, ad esempio per popolazione, per situazione finanziaria, per vocazione territoriale e ruolo nell’agglomerato urbano e per condivisione di strutture e servizi, intesa a rafforzare e ampliare i margini di progettualità del comprensorio.</w:t>
      </w:r>
    </w:p>
    <w:p w:rsidR="00B558D8" w:rsidRPr="00E778D6" w:rsidRDefault="00B558D8" w:rsidP="00B558D8">
      <w:pPr>
        <w:pStyle w:val="Corpotesto"/>
        <w:spacing w:before="120"/>
        <w:rPr>
          <w:rFonts w:cs="Arial"/>
          <w:szCs w:val="24"/>
        </w:rPr>
      </w:pPr>
      <w:r w:rsidRPr="00E778D6">
        <w:rPr>
          <w:rFonts w:cs="Arial"/>
          <w:szCs w:val="24"/>
        </w:rPr>
        <w:t xml:space="preserve">Ad ogni modo, sia Bedano che </w:t>
      </w:r>
      <w:proofErr w:type="spellStart"/>
      <w:r w:rsidRPr="00E778D6">
        <w:rPr>
          <w:rFonts w:cs="Arial"/>
          <w:szCs w:val="24"/>
        </w:rPr>
        <w:t>Gravesano</w:t>
      </w:r>
      <w:proofErr w:type="spellEnd"/>
      <w:r w:rsidRPr="00E778D6">
        <w:rPr>
          <w:rFonts w:cs="Arial"/>
          <w:szCs w:val="24"/>
        </w:rPr>
        <w:t xml:space="preserve"> erano e rimangono finanziariamente e amministrativamente autonomi e in grado di assolvere i propri compiti istituzionali.</w:t>
      </w:r>
    </w:p>
    <w:p w:rsidR="00B558D8" w:rsidRPr="00E778D6" w:rsidRDefault="00B558D8" w:rsidP="00B558D8">
      <w:pPr>
        <w:spacing w:before="120"/>
        <w:rPr>
          <w:rFonts w:cs="Arial"/>
        </w:rPr>
      </w:pPr>
      <w:r w:rsidRPr="00E778D6">
        <w:rPr>
          <w:rFonts w:cs="Arial"/>
        </w:rPr>
        <w:t>Coerentemente con la politica sinora adottata e in linea con l’impostazione del PCA, si propone quindi l’abbandono di questa aggregazione.</w:t>
      </w:r>
    </w:p>
    <w:p w:rsidR="00B558D8" w:rsidRPr="00E778D6" w:rsidRDefault="00B558D8" w:rsidP="00B558D8">
      <w:pPr>
        <w:spacing w:before="120"/>
        <w:rPr>
          <w:rFonts w:cs="Arial"/>
        </w:rPr>
      </w:pPr>
      <w:r w:rsidRPr="00E778D6">
        <w:rPr>
          <w:rFonts w:cs="Arial"/>
        </w:rPr>
        <w:t>Questa è pure l’opinione dei due municipi interessati, promotori dell’aggregazione, che con lettera del 15 dicembre 2020 hanno trasmesso al Consiglio di Stato le loro conclusioni alla luce dell’esito della consultazione, richiedendo che il progetto venga abbandonato.</w:t>
      </w:r>
    </w:p>
    <w:p w:rsidR="00B558D8" w:rsidRPr="00675F5F" w:rsidRDefault="00B558D8" w:rsidP="00B558D8"/>
    <w:p w:rsidR="00B558D8" w:rsidRDefault="00B558D8" w:rsidP="00B558D8"/>
    <w:p w:rsidR="00B558D8" w:rsidRPr="00675F5F" w:rsidRDefault="00B558D8" w:rsidP="00B558D8"/>
    <w:p w:rsidR="00B558D8" w:rsidRPr="00675F5F" w:rsidRDefault="00B558D8" w:rsidP="00B558D8">
      <w:pPr>
        <w:pStyle w:val="Titolo2"/>
      </w:pPr>
      <w:r>
        <w:t>3</w:t>
      </w:r>
      <w:r w:rsidRPr="00675F5F">
        <w:t>.</w:t>
      </w:r>
      <w:r w:rsidRPr="00675F5F">
        <w:tab/>
      </w:r>
      <w:r>
        <w:t>PROSPETTIVE</w:t>
      </w:r>
    </w:p>
    <w:p w:rsidR="00B558D8" w:rsidRDefault="00B558D8" w:rsidP="00B558D8">
      <w:pPr>
        <w:rPr>
          <w:rFonts w:cs="Arial"/>
        </w:rPr>
      </w:pPr>
      <w:r w:rsidRPr="00675F5F">
        <w:rPr>
          <w:rFonts w:cs="Arial"/>
        </w:rPr>
        <w:t xml:space="preserve">Come ricordato in ingresso, i due comuni coinvolti in questa procedura fanno parte dello scenario aggregativo “Malcantone Est” </w:t>
      </w:r>
      <w:r>
        <w:rPr>
          <w:rFonts w:cs="Arial"/>
        </w:rPr>
        <w:t xml:space="preserve">del PCA, scenario che riunisce un più vasto comprensorio di undici comuni che si snoda nella valle del </w:t>
      </w:r>
      <w:proofErr w:type="spellStart"/>
      <w:r>
        <w:rPr>
          <w:rFonts w:cs="Arial"/>
        </w:rPr>
        <w:t>Vedeggio</w:t>
      </w:r>
      <w:proofErr w:type="spellEnd"/>
      <w:r>
        <w:rPr>
          <w:rFonts w:cs="Arial"/>
        </w:rPr>
        <w:t xml:space="preserve"> da Torricella-Taverne ad Agno e copre il</w:t>
      </w:r>
      <w:r w:rsidRPr="00675F5F">
        <w:rPr>
          <w:rFonts w:cs="Arial"/>
        </w:rPr>
        <w:t xml:space="preserve"> </w:t>
      </w:r>
      <w:r>
        <w:rPr>
          <w:rFonts w:cs="Arial"/>
        </w:rPr>
        <w:t>retrostante comparto malcantonese.</w:t>
      </w:r>
    </w:p>
    <w:p w:rsidR="00B558D8" w:rsidRDefault="00B558D8" w:rsidP="00B558D8">
      <w:pPr>
        <w:spacing w:before="120"/>
        <w:rPr>
          <w:rFonts w:cs="Arial"/>
        </w:rPr>
      </w:pPr>
      <w:r>
        <w:rPr>
          <w:rFonts w:cs="Arial"/>
        </w:rPr>
        <w:t xml:space="preserve">Se concretizzata, l’iniziativa di Bedano e </w:t>
      </w:r>
      <w:proofErr w:type="spellStart"/>
      <w:r>
        <w:rPr>
          <w:rFonts w:cs="Arial"/>
        </w:rPr>
        <w:t>Gravesano</w:t>
      </w:r>
      <w:proofErr w:type="spellEnd"/>
      <w:r>
        <w:rPr>
          <w:rFonts w:cs="Arial"/>
        </w:rPr>
        <w:t xml:space="preserve"> avrebbe potuto costituire un passo nell’ottica di un futuro riassetto istituzionale più ampio nella piana del </w:t>
      </w:r>
      <w:proofErr w:type="spellStart"/>
      <w:r>
        <w:rPr>
          <w:rFonts w:cs="Arial"/>
        </w:rPr>
        <w:t>Vedeggio</w:t>
      </w:r>
      <w:proofErr w:type="spellEnd"/>
      <w:r>
        <w:rPr>
          <w:rFonts w:cs="Arial"/>
        </w:rPr>
        <w:t>, principale polo d’attività complementare al polo urbano di Lugano, caratterizzato da elevate potenzialità economiche e finanziarie ma anche da una certa frammentazione istituzionale. Nel corso del progetto vi è stato chi riteneva che si sarebbe dovuto procedere in un comprensorio più esteso nella regione, cosa che peraltro i comuni promotori hanno - come detto - inizialmente verificato, senza raccogliere adesioni in quel momento. Se i comuni della zona lo riterranno, il discorso potrà essere rilanciato nel prossimo futuro.</w:t>
      </w:r>
    </w:p>
    <w:p w:rsidR="00B558D8" w:rsidRDefault="00B558D8" w:rsidP="00B558D8"/>
    <w:p w:rsidR="00B558D8" w:rsidRDefault="00B558D8" w:rsidP="00B558D8"/>
    <w:p w:rsidR="00B558D8" w:rsidRDefault="00B558D8" w:rsidP="00B558D8"/>
    <w:p w:rsidR="00B558D8" w:rsidRPr="00341E0F" w:rsidRDefault="00B558D8" w:rsidP="00B558D8">
      <w:pPr>
        <w:pStyle w:val="Titolo2"/>
      </w:pPr>
      <w:r>
        <w:t>4</w:t>
      </w:r>
      <w:r w:rsidRPr="00341E0F">
        <w:t>.</w:t>
      </w:r>
      <w:r w:rsidRPr="00341E0F">
        <w:tab/>
      </w:r>
      <w:r>
        <w:t>CONCLUSIONI</w:t>
      </w:r>
    </w:p>
    <w:p w:rsidR="00B558D8" w:rsidRPr="00E469EB" w:rsidRDefault="00B558D8" w:rsidP="00B558D8">
      <w:pPr>
        <w:rPr>
          <w:rFonts w:cs="Arial"/>
        </w:rPr>
      </w:pPr>
      <w:r w:rsidRPr="00E469EB">
        <w:rPr>
          <w:rFonts w:cs="Arial"/>
        </w:rPr>
        <w:t xml:space="preserve">Dal profilo formale la procedura iniziata con l’inoltro dell’istanza di aggregazione va conclusa con una decisione parlamentare. L’art. 7 </w:t>
      </w:r>
      <w:proofErr w:type="spellStart"/>
      <w:r w:rsidRPr="00E469EB">
        <w:rPr>
          <w:rFonts w:cs="Arial"/>
        </w:rPr>
        <w:t>LAggr</w:t>
      </w:r>
      <w:proofErr w:type="spellEnd"/>
      <w:r w:rsidRPr="00E469EB">
        <w:rPr>
          <w:rFonts w:cs="Arial"/>
        </w:rPr>
        <w:t xml:space="preserve"> indica che il Consiglio di Stato sottopone la propria proposta </w:t>
      </w:r>
      <w:r>
        <w:rPr>
          <w:rFonts w:cs="Arial"/>
        </w:rPr>
        <w:t>di aggregazione o di abbandono al Gran Consiglio e</w:t>
      </w:r>
      <w:r w:rsidR="00750D9D">
        <w:rPr>
          <w:rFonts w:cs="Arial"/>
        </w:rPr>
        <w:t xml:space="preserve"> </w:t>
      </w:r>
      <w:r w:rsidRPr="00E469EB">
        <w:rPr>
          <w:rFonts w:cs="Arial"/>
        </w:rPr>
        <w:t xml:space="preserve">l’art. 8 </w:t>
      </w:r>
      <w:proofErr w:type="spellStart"/>
      <w:r w:rsidRPr="00E469EB">
        <w:rPr>
          <w:rFonts w:cs="Arial"/>
        </w:rPr>
        <w:t>LAggr</w:t>
      </w:r>
      <w:proofErr w:type="spellEnd"/>
      <w:r w:rsidRPr="00E469EB">
        <w:rPr>
          <w:rFonts w:cs="Arial"/>
        </w:rPr>
        <w:t xml:space="preserve"> prevede che quest’ultimo decida in merito secondo l’interesse generale. </w:t>
      </w:r>
    </w:p>
    <w:p w:rsidR="00B558D8" w:rsidRPr="00E469EB" w:rsidRDefault="00B558D8" w:rsidP="00B558D8">
      <w:pPr>
        <w:spacing w:before="120"/>
        <w:rPr>
          <w:rFonts w:cs="Arial"/>
        </w:rPr>
      </w:pPr>
      <w:r>
        <w:rPr>
          <w:rFonts w:cs="Arial"/>
        </w:rPr>
        <w:t xml:space="preserve">Come specificato nell’art. 7 cpv. 1 </w:t>
      </w:r>
      <w:proofErr w:type="spellStart"/>
      <w:r>
        <w:rPr>
          <w:rFonts w:cs="Arial"/>
        </w:rPr>
        <w:t>LAggr</w:t>
      </w:r>
      <w:proofErr w:type="spellEnd"/>
      <w:r>
        <w:rPr>
          <w:rFonts w:cs="Arial"/>
        </w:rPr>
        <w:t xml:space="preserve">, anche l’abbandono di un progetto aggregativo, che si propone nel </w:t>
      </w:r>
      <w:r w:rsidRPr="00D77FB6">
        <w:rPr>
          <w:rFonts w:cs="Arial"/>
        </w:rPr>
        <w:t xml:space="preserve">presente caso, va </w:t>
      </w:r>
      <w:r>
        <w:rPr>
          <w:rFonts w:cs="Arial"/>
        </w:rPr>
        <w:t xml:space="preserve">pertanto </w:t>
      </w:r>
      <w:r w:rsidRPr="00D77FB6">
        <w:rPr>
          <w:rFonts w:cs="Arial"/>
        </w:rPr>
        <w:t>sancito con decisione del Legislativo median</w:t>
      </w:r>
      <w:r>
        <w:rPr>
          <w:rFonts w:cs="Arial"/>
        </w:rPr>
        <w:t xml:space="preserve">te apposito decreto legislativo. Quest’ultimo </w:t>
      </w:r>
      <w:r w:rsidRPr="00D77FB6">
        <w:rPr>
          <w:rFonts w:cs="Arial"/>
        </w:rPr>
        <w:t>non soggiace a referendum</w:t>
      </w:r>
      <w:r>
        <w:rPr>
          <w:rFonts w:cs="Arial"/>
        </w:rPr>
        <w:t>, non trattandosi di una proposta di aggregazione</w:t>
      </w:r>
      <w:r w:rsidRPr="00D77FB6">
        <w:rPr>
          <w:rFonts w:cs="Arial"/>
        </w:rPr>
        <w:t>.</w:t>
      </w:r>
      <w:r w:rsidRPr="00E469EB">
        <w:rPr>
          <w:rFonts w:cs="Arial"/>
        </w:rPr>
        <w:t xml:space="preserve"> </w:t>
      </w:r>
    </w:p>
    <w:p w:rsidR="00B558D8" w:rsidRDefault="00B558D8" w:rsidP="00B558D8">
      <w:pPr>
        <w:tabs>
          <w:tab w:val="left" w:pos="284"/>
          <w:tab w:val="left" w:pos="426"/>
          <w:tab w:val="left" w:pos="4962"/>
        </w:tabs>
      </w:pPr>
    </w:p>
    <w:p w:rsidR="00B558D8" w:rsidRDefault="00B558D8" w:rsidP="00B558D8"/>
    <w:p w:rsidR="00B558D8" w:rsidRDefault="00B558D8" w:rsidP="00B558D8">
      <w:r>
        <w:t>Vogliate gradire, signor Presidente, signore e signori deputati, l’espressione della nostra massima stima.</w:t>
      </w:r>
    </w:p>
    <w:p w:rsidR="00B558D8" w:rsidRDefault="00B558D8" w:rsidP="00B558D8"/>
    <w:p w:rsidR="00B558D8" w:rsidRDefault="00B558D8" w:rsidP="00B558D8"/>
    <w:p w:rsidR="00564B38" w:rsidRDefault="00564B38" w:rsidP="00577B4B">
      <w:pPr>
        <w:contextualSpacing/>
        <w:rPr>
          <w:rFonts w:cs="Arial"/>
          <w:szCs w:val="24"/>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4E176C" w:rsidP="004E176C">
      <w:pPr>
        <w:spacing w:line="23" w:lineRule="atLeast"/>
        <w:rPr>
          <w:rFonts w:cs="Arial"/>
        </w:rPr>
      </w:pPr>
      <w:r w:rsidRPr="00B4412F">
        <w:rPr>
          <w:rFonts w:cs="Arial"/>
        </w:rPr>
        <w:t>Il Presidente, Norman Gobbi</w:t>
      </w:r>
    </w:p>
    <w:p w:rsidR="004E176C" w:rsidRPr="00B4412F" w:rsidRDefault="004E176C" w:rsidP="004E176C">
      <w:pPr>
        <w:spacing w:line="23" w:lineRule="atLeast"/>
        <w:rPr>
          <w:rFonts w:cs="Arial"/>
        </w:rPr>
      </w:pPr>
      <w:r w:rsidRPr="00B4412F">
        <w:rPr>
          <w:rFonts w:cs="Arial"/>
        </w:rPr>
        <w:t>Il Cancelliere, Arnoldo Coduri</w:t>
      </w:r>
    </w:p>
    <w:p w:rsidR="004E176C" w:rsidRPr="00B4412F" w:rsidRDefault="004E176C" w:rsidP="004E176C">
      <w:pPr>
        <w:spacing w:line="23" w:lineRule="atLeast"/>
        <w:rPr>
          <w:rFonts w:cs="Arial"/>
        </w:rPr>
      </w:pPr>
    </w:p>
    <w:p w:rsidR="004E176C" w:rsidRPr="00B4412F" w:rsidRDefault="004E176C" w:rsidP="004E176C"/>
    <w:p w:rsidR="00B558D8" w:rsidRDefault="00B558D8" w:rsidP="00B558D8"/>
    <w:p w:rsidR="00C11C0D" w:rsidRDefault="00C11C0D" w:rsidP="00B558D8"/>
    <w:p w:rsidR="00B558D8" w:rsidRPr="00114A21" w:rsidRDefault="00B558D8" w:rsidP="00B558D8"/>
    <w:p w:rsidR="00B558D8" w:rsidRPr="00C77E9C" w:rsidRDefault="00B558D8" w:rsidP="00497639">
      <w:pPr>
        <w:kinsoku w:val="0"/>
        <w:overflowPunct w:val="0"/>
        <w:autoSpaceDE w:val="0"/>
        <w:autoSpaceDN w:val="0"/>
        <w:adjustRightInd w:val="0"/>
        <w:spacing w:after="60"/>
        <w:ind w:left="17"/>
        <w:rPr>
          <w:sz w:val="22"/>
          <w:szCs w:val="22"/>
        </w:rPr>
      </w:pPr>
      <w:r w:rsidRPr="00C77E9C">
        <w:rPr>
          <w:sz w:val="22"/>
          <w:szCs w:val="22"/>
        </w:rPr>
        <w:t>Il</w:t>
      </w:r>
      <w:r w:rsidRPr="00C77E9C">
        <w:rPr>
          <w:spacing w:val="17"/>
          <w:sz w:val="22"/>
          <w:szCs w:val="22"/>
        </w:rPr>
        <w:t xml:space="preserve"> </w:t>
      </w:r>
      <w:r w:rsidRPr="00C77E9C">
        <w:rPr>
          <w:sz w:val="22"/>
          <w:szCs w:val="22"/>
        </w:rPr>
        <w:t>"Rapporto</w:t>
      </w:r>
      <w:r w:rsidRPr="00C77E9C">
        <w:rPr>
          <w:spacing w:val="17"/>
          <w:sz w:val="22"/>
          <w:szCs w:val="22"/>
        </w:rPr>
        <w:t xml:space="preserve"> </w:t>
      </w:r>
      <w:r w:rsidRPr="00C77E9C">
        <w:rPr>
          <w:sz w:val="22"/>
          <w:szCs w:val="22"/>
        </w:rPr>
        <w:t>del</w:t>
      </w:r>
      <w:r w:rsidRPr="00C77E9C">
        <w:rPr>
          <w:spacing w:val="17"/>
          <w:sz w:val="22"/>
          <w:szCs w:val="22"/>
        </w:rPr>
        <w:t xml:space="preserve"> </w:t>
      </w:r>
      <w:r w:rsidRPr="00C77E9C">
        <w:rPr>
          <w:sz w:val="22"/>
          <w:szCs w:val="22"/>
        </w:rPr>
        <w:t>Consiglio</w:t>
      </w:r>
      <w:r w:rsidRPr="00C77E9C">
        <w:rPr>
          <w:spacing w:val="23"/>
          <w:sz w:val="22"/>
          <w:szCs w:val="22"/>
        </w:rPr>
        <w:t xml:space="preserve"> </w:t>
      </w:r>
      <w:r w:rsidRPr="00C77E9C">
        <w:rPr>
          <w:spacing w:val="-1"/>
          <w:sz w:val="22"/>
          <w:szCs w:val="22"/>
        </w:rPr>
        <w:t>di</w:t>
      </w:r>
      <w:r w:rsidRPr="00C77E9C">
        <w:rPr>
          <w:spacing w:val="18"/>
          <w:sz w:val="22"/>
          <w:szCs w:val="22"/>
        </w:rPr>
        <w:t xml:space="preserve"> </w:t>
      </w:r>
      <w:r w:rsidRPr="00C77E9C">
        <w:rPr>
          <w:sz w:val="22"/>
          <w:szCs w:val="22"/>
        </w:rPr>
        <w:t>Stato</w:t>
      </w:r>
      <w:r w:rsidRPr="00C77E9C">
        <w:rPr>
          <w:spacing w:val="17"/>
          <w:sz w:val="22"/>
          <w:szCs w:val="22"/>
        </w:rPr>
        <w:t xml:space="preserve"> </w:t>
      </w:r>
      <w:r w:rsidRPr="00C77E9C">
        <w:rPr>
          <w:sz w:val="22"/>
          <w:szCs w:val="22"/>
        </w:rPr>
        <w:t>alla</w:t>
      </w:r>
      <w:r w:rsidRPr="00C77E9C">
        <w:rPr>
          <w:spacing w:val="17"/>
          <w:sz w:val="22"/>
          <w:szCs w:val="22"/>
        </w:rPr>
        <w:t xml:space="preserve"> </w:t>
      </w:r>
      <w:r w:rsidRPr="00C77E9C">
        <w:rPr>
          <w:sz w:val="22"/>
          <w:szCs w:val="22"/>
        </w:rPr>
        <w:t>cittadinanza,</w:t>
      </w:r>
      <w:r w:rsidRPr="00C77E9C">
        <w:rPr>
          <w:spacing w:val="21"/>
          <w:sz w:val="22"/>
          <w:szCs w:val="22"/>
        </w:rPr>
        <w:t xml:space="preserve"> </w:t>
      </w:r>
      <w:r w:rsidRPr="00C77E9C">
        <w:rPr>
          <w:sz w:val="22"/>
          <w:szCs w:val="22"/>
        </w:rPr>
        <w:t>agosto</w:t>
      </w:r>
      <w:r w:rsidRPr="00C77E9C">
        <w:rPr>
          <w:spacing w:val="17"/>
          <w:sz w:val="22"/>
          <w:szCs w:val="22"/>
        </w:rPr>
        <w:t xml:space="preserve"> </w:t>
      </w:r>
      <w:r w:rsidRPr="00C77E9C">
        <w:rPr>
          <w:sz w:val="22"/>
          <w:szCs w:val="22"/>
        </w:rPr>
        <w:t>2020"</w:t>
      </w:r>
      <w:r w:rsidRPr="00C77E9C">
        <w:rPr>
          <w:spacing w:val="18"/>
          <w:sz w:val="22"/>
          <w:szCs w:val="22"/>
        </w:rPr>
        <w:t xml:space="preserve"> </w:t>
      </w:r>
      <w:r w:rsidRPr="00C77E9C">
        <w:rPr>
          <w:sz w:val="22"/>
          <w:szCs w:val="22"/>
        </w:rPr>
        <w:t>è</w:t>
      </w:r>
      <w:r w:rsidRPr="00C77E9C">
        <w:rPr>
          <w:spacing w:val="18"/>
          <w:sz w:val="22"/>
          <w:szCs w:val="22"/>
        </w:rPr>
        <w:t xml:space="preserve"> </w:t>
      </w:r>
      <w:r w:rsidRPr="00C77E9C">
        <w:rPr>
          <w:sz w:val="22"/>
          <w:szCs w:val="22"/>
        </w:rPr>
        <w:t>consultabile</w:t>
      </w:r>
      <w:r w:rsidRPr="00C77E9C">
        <w:rPr>
          <w:spacing w:val="17"/>
          <w:sz w:val="22"/>
          <w:szCs w:val="22"/>
        </w:rPr>
        <w:t xml:space="preserve"> </w:t>
      </w:r>
      <w:r w:rsidRPr="00C77E9C">
        <w:rPr>
          <w:spacing w:val="1"/>
          <w:sz w:val="22"/>
          <w:szCs w:val="22"/>
        </w:rPr>
        <w:t>sul</w:t>
      </w:r>
      <w:r w:rsidRPr="00C77E9C">
        <w:rPr>
          <w:spacing w:val="17"/>
          <w:sz w:val="22"/>
          <w:szCs w:val="22"/>
        </w:rPr>
        <w:t xml:space="preserve"> </w:t>
      </w:r>
      <w:r w:rsidRPr="00C77E9C">
        <w:rPr>
          <w:sz w:val="22"/>
          <w:szCs w:val="22"/>
        </w:rPr>
        <w:t>sito:</w:t>
      </w:r>
    </w:p>
    <w:p w:rsidR="00B558D8" w:rsidRDefault="0057593C" w:rsidP="00750D9D">
      <w:hyperlink r:id="rId7" w:history="1">
        <w:r w:rsidR="00B558D8" w:rsidRPr="00114A21">
          <w:rPr>
            <w:rStyle w:val="Collegamentoipertestuale"/>
            <w:sz w:val="17"/>
            <w:szCs w:val="17"/>
          </w:rPr>
          <w:t>https://www4.ti.ch/fileadmin/DI/DI_DI/SEL/RIFORMA/aggregazioni/inCorso/Bedano_Gravesano/RappCitt__MedioVedeggio.pdf</w:t>
        </w:r>
      </w:hyperlink>
      <w:r w:rsidR="00B558D8">
        <w:br w:type="page"/>
      </w:r>
      <w:r w:rsidR="00B558D8" w:rsidRPr="00B917F2">
        <w:t>Disegno di</w:t>
      </w:r>
    </w:p>
    <w:p w:rsidR="00750D9D" w:rsidRPr="00B917F2" w:rsidRDefault="00750D9D" w:rsidP="00750D9D"/>
    <w:p w:rsidR="00B558D8" w:rsidRDefault="00C77E9C" w:rsidP="00360423">
      <w:pPr>
        <w:spacing w:after="100"/>
        <w:rPr>
          <w:b/>
        </w:rPr>
      </w:pPr>
      <w:r>
        <w:rPr>
          <w:b/>
        </w:rPr>
        <w:t>DECRETO LEGISLATIVO</w:t>
      </w:r>
    </w:p>
    <w:p w:rsidR="00B558D8" w:rsidRDefault="00B558D8" w:rsidP="00B558D8">
      <w:pPr>
        <w:rPr>
          <w:b/>
        </w:rPr>
      </w:pPr>
      <w:r>
        <w:rPr>
          <w:b/>
        </w:rPr>
        <w:t>concernente l’abbandono de</w:t>
      </w:r>
      <w:r w:rsidRPr="001E3F3A">
        <w:rPr>
          <w:b/>
        </w:rPr>
        <w:t>l</w:t>
      </w:r>
      <w:r>
        <w:rPr>
          <w:b/>
        </w:rPr>
        <w:t xml:space="preserve"> progetto di aggregazione tra i </w:t>
      </w:r>
      <w:r w:rsidR="00C77E9C">
        <w:rPr>
          <w:b/>
        </w:rPr>
        <w:t>C</w:t>
      </w:r>
      <w:r>
        <w:rPr>
          <w:b/>
        </w:rPr>
        <w:t xml:space="preserve">omuni di Bedano e </w:t>
      </w:r>
      <w:proofErr w:type="spellStart"/>
      <w:r>
        <w:rPr>
          <w:b/>
        </w:rPr>
        <w:t>Gravesano</w:t>
      </w:r>
      <w:proofErr w:type="spellEnd"/>
    </w:p>
    <w:p w:rsidR="00B558D8" w:rsidRPr="00AC512B" w:rsidRDefault="00B558D8" w:rsidP="00B558D8"/>
    <w:p w:rsidR="00B558D8" w:rsidRPr="00AC512B" w:rsidRDefault="00B558D8" w:rsidP="00B558D8"/>
    <w:p w:rsidR="00B558D8" w:rsidRDefault="00B558D8" w:rsidP="00B558D8">
      <w:r>
        <w:t>IL</w:t>
      </w:r>
      <w:r w:rsidRPr="00B917F2">
        <w:t xml:space="preserve"> </w:t>
      </w:r>
      <w:r>
        <w:t>GRAN CONSIGLIO</w:t>
      </w:r>
    </w:p>
    <w:p w:rsidR="00B558D8" w:rsidRPr="00B917F2" w:rsidRDefault="00B558D8" w:rsidP="00B558D8">
      <w:r>
        <w:t>DELLA REPUBBLICA E CANTONE TICINO</w:t>
      </w:r>
    </w:p>
    <w:p w:rsidR="00B558D8" w:rsidRPr="00B917F2" w:rsidRDefault="00B558D8" w:rsidP="00B558D8"/>
    <w:p w:rsidR="00B558D8" w:rsidRPr="00B917F2" w:rsidRDefault="00B558D8" w:rsidP="00B558D8">
      <w:r w:rsidRPr="00B917F2">
        <w:t>visto il messaggio</w:t>
      </w:r>
      <w:r>
        <w:t xml:space="preserve"> </w:t>
      </w:r>
      <w:r w:rsidR="00C77E9C">
        <w:t xml:space="preserve">10 febbraio 2021 n. 7959 </w:t>
      </w:r>
      <w:r>
        <w:t>del Consiglio di Stato,</w:t>
      </w:r>
    </w:p>
    <w:p w:rsidR="00B558D8" w:rsidRDefault="00B558D8" w:rsidP="00B558D8"/>
    <w:p w:rsidR="00B558D8" w:rsidRPr="00803CC8" w:rsidRDefault="00B558D8" w:rsidP="00B558D8"/>
    <w:p w:rsidR="00B558D8" w:rsidRPr="00B558D8" w:rsidRDefault="00B558D8" w:rsidP="00B558D8">
      <w:pPr>
        <w:rPr>
          <w:b/>
        </w:rPr>
      </w:pPr>
      <w:r w:rsidRPr="00B558D8">
        <w:rPr>
          <w:b/>
        </w:rPr>
        <w:t>d</w:t>
      </w:r>
      <w:r>
        <w:rPr>
          <w:b/>
        </w:rPr>
        <w:t xml:space="preserve"> </w:t>
      </w:r>
      <w:r w:rsidRPr="00B558D8">
        <w:rPr>
          <w:b/>
        </w:rPr>
        <w:t>e</w:t>
      </w:r>
      <w:r>
        <w:rPr>
          <w:b/>
        </w:rPr>
        <w:t xml:space="preserve"> </w:t>
      </w:r>
      <w:r w:rsidRPr="00B558D8">
        <w:rPr>
          <w:b/>
        </w:rPr>
        <w:t>c</w:t>
      </w:r>
      <w:r>
        <w:rPr>
          <w:b/>
        </w:rPr>
        <w:t xml:space="preserve"> </w:t>
      </w:r>
      <w:r w:rsidRPr="00B558D8">
        <w:rPr>
          <w:b/>
        </w:rPr>
        <w:t>r</w:t>
      </w:r>
      <w:r>
        <w:rPr>
          <w:b/>
        </w:rPr>
        <w:t xml:space="preserve"> </w:t>
      </w:r>
      <w:r w:rsidRPr="00B558D8">
        <w:rPr>
          <w:b/>
        </w:rPr>
        <w:t>e</w:t>
      </w:r>
      <w:r>
        <w:rPr>
          <w:b/>
        </w:rPr>
        <w:t xml:space="preserve"> </w:t>
      </w:r>
      <w:r w:rsidRPr="00B558D8">
        <w:rPr>
          <w:b/>
        </w:rPr>
        <w:t>t</w:t>
      </w:r>
      <w:r>
        <w:rPr>
          <w:b/>
        </w:rPr>
        <w:t xml:space="preserve"> </w:t>
      </w:r>
      <w:proofErr w:type="gramStart"/>
      <w:r w:rsidRPr="00B558D8">
        <w:rPr>
          <w:b/>
        </w:rPr>
        <w:t>a</w:t>
      </w:r>
      <w:r>
        <w:rPr>
          <w:b/>
        </w:rPr>
        <w:t xml:space="preserve"> </w:t>
      </w:r>
      <w:r w:rsidRPr="00B558D8">
        <w:rPr>
          <w:b/>
        </w:rPr>
        <w:t>:</w:t>
      </w:r>
      <w:proofErr w:type="gramEnd"/>
    </w:p>
    <w:p w:rsidR="00B558D8" w:rsidRDefault="00B558D8" w:rsidP="00B558D8"/>
    <w:p w:rsidR="00B558D8" w:rsidRDefault="00B558D8" w:rsidP="00B558D8"/>
    <w:p w:rsidR="00750D9D" w:rsidRPr="00C77E9C" w:rsidRDefault="00750D9D" w:rsidP="00750D9D">
      <w:pPr>
        <w:tabs>
          <w:tab w:val="left" w:pos="426"/>
        </w:tabs>
        <w:spacing w:after="240"/>
        <w:rPr>
          <w:b/>
          <w:bCs/>
          <w:u w:val="single"/>
          <w:lang w:val="it-CH"/>
        </w:rPr>
      </w:pPr>
      <w:r w:rsidRPr="00C77E9C">
        <w:rPr>
          <w:b/>
          <w:bCs/>
          <w:u w:val="single"/>
          <w:lang w:val="it-CH"/>
        </w:rPr>
        <w:t>Articolo 1</w:t>
      </w:r>
    </w:p>
    <w:p w:rsidR="00750D9D" w:rsidRPr="00B67647" w:rsidRDefault="00750D9D" w:rsidP="00935DCF">
      <w:r>
        <w:t xml:space="preserve">La </w:t>
      </w:r>
      <w:r w:rsidRPr="00B67647">
        <w:t>proced</w:t>
      </w:r>
      <w:r>
        <w:t>ura volta all’aggregazione dei C</w:t>
      </w:r>
      <w:r w:rsidRPr="00B67647">
        <w:t xml:space="preserve">omuni di </w:t>
      </w:r>
      <w:r>
        <w:t xml:space="preserve">Bedano e </w:t>
      </w:r>
      <w:proofErr w:type="spellStart"/>
      <w:r>
        <w:t>Gravesano</w:t>
      </w:r>
      <w:proofErr w:type="spellEnd"/>
      <w:r>
        <w:t xml:space="preserve"> è da ritenersi conclusa,</w:t>
      </w:r>
      <w:r w:rsidRPr="00B67647">
        <w:t xml:space="preserve"> nel senso che non viene decretata l’aggrega</w:t>
      </w:r>
      <w:r>
        <w:t>zione degli stessi in un unico c</w:t>
      </w:r>
      <w:r w:rsidRPr="00B67647">
        <w:t xml:space="preserve">omune denominato </w:t>
      </w:r>
      <w:r>
        <w:t xml:space="preserve">Medio </w:t>
      </w:r>
      <w:proofErr w:type="spellStart"/>
      <w:r>
        <w:t>Vedeggio</w:t>
      </w:r>
      <w:proofErr w:type="spellEnd"/>
      <w:r w:rsidRPr="00B67647">
        <w:t>.</w:t>
      </w:r>
    </w:p>
    <w:p w:rsidR="00750D9D" w:rsidRDefault="00750D9D" w:rsidP="00935DCF">
      <w:pPr>
        <w:rPr>
          <w:lang w:val="it-CH"/>
        </w:rPr>
      </w:pPr>
    </w:p>
    <w:p w:rsidR="00750D9D" w:rsidRPr="00BB60A0" w:rsidRDefault="00750D9D" w:rsidP="00935DCF">
      <w:pPr>
        <w:rPr>
          <w:lang w:val="it-CH"/>
        </w:rPr>
      </w:pPr>
    </w:p>
    <w:p w:rsidR="00750D9D" w:rsidRPr="00C77E9C" w:rsidRDefault="00750D9D" w:rsidP="00750D9D">
      <w:pPr>
        <w:tabs>
          <w:tab w:val="left" w:pos="426"/>
        </w:tabs>
        <w:spacing w:after="240"/>
        <w:rPr>
          <w:b/>
          <w:bCs/>
          <w:u w:val="single"/>
          <w:lang w:val="it-CH"/>
        </w:rPr>
      </w:pPr>
      <w:r w:rsidRPr="00C77E9C">
        <w:rPr>
          <w:b/>
          <w:bCs/>
          <w:u w:val="single"/>
          <w:lang w:val="it-CH"/>
        </w:rPr>
        <w:t>Articolo 2</w:t>
      </w:r>
    </w:p>
    <w:p w:rsidR="00750D9D" w:rsidRPr="00BB60A0" w:rsidRDefault="00750D9D" w:rsidP="00935DCF">
      <w:pPr>
        <w:rPr>
          <w:lang w:val="it-CH"/>
        </w:rPr>
      </w:pPr>
      <w:r w:rsidRPr="0085311C">
        <w:t xml:space="preserve">Il presente decreto </w:t>
      </w:r>
      <w:r>
        <w:t xml:space="preserve">legislativo </w:t>
      </w:r>
      <w:r w:rsidRPr="0085311C">
        <w:t xml:space="preserve">è pubblicato nel Bollettino </w:t>
      </w:r>
      <w:r>
        <w:t>u</w:t>
      </w:r>
      <w:r w:rsidRPr="0085311C">
        <w:t>fficiale delle leggi ed entra in vigore</w:t>
      </w:r>
      <w:r>
        <w:t xml:space="preserve"> immediatamente</w:t>
      </w:r>
      <w:r>
        <w:rPr>
          <w:lang w:val="it-CH"/>
        </w:rPr>
        <w:t>.</w:t>
      </w:r>
    </w:p>
    <w:p w:rsidR="00577B4B" w:rsidRPr="0062210D" w:rsidRDefault="00577B4B" w:rsidP="004E176C">
      <w:pPr>
        <w:rPr>
          <w:rFonts w:cs="Arial"/>
          <w:sz w:val="22"/>
          <w:szCs w:val="22"/>
          <w:highlight w:val="yellow"/>
          <w:u w:val="single"/>
        </w:rPr>
      </w:pPr>
    </w:p>
    <w:sectPr w:rsidR="00577B4B" w:rsidRPr="0062210D"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58D8" w:rsidRDefault="00B558D8">
      <w:r>
        <w:separator/>
      </w:r>
    </w:p>
  </w:endnote>
  <w:endnote w:type="continuationSeparator" w:id="0">
    <w:p w:rsidR="00B558D8" w:rsidRDefault="00B55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57593C">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58D8" w:rsidRDefault="00B558D8">
      <w:r>
        <w:separator/>
      </w:r>
    </w:p>
  </w:footnote>
  <w:footnote w:type="continuationSeparator" w:id="0">
    <w:p w:rsidR="00B558D8" w:rsidRDefault="00B558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5"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6"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num>
  <w:num w:numId="5">
    <w:abstractNumId w:val="9"/>
  </w:num>
  <w:num w:numId="6">
    <w:abstractNumId w:val="4"/>
  </w:num>
  <w:num w:numId="7">
    <w:abstractNumId w:val="16"/>
  </w:num>
  <w:num w:numId="8">
    <w:abstractNumId w:val="22"/>
  </w:num>
  <w:num w:numId="9">
    <w:abstractNumId w:val="15"/>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0"/>
  </w:num>
  <w:num w:numId="13">
    <w:abstractNumId w:val="11"/>
  </w:num>
  <w:num w:numId="14">
    <w:abstractNumId w:val="7"/>
  </w:num>
  <w:num w:numId="15">
    <w:abstractNumId w:val="24"/>
  </w:num>
  <w:num w:numId="16">
    <w:abstractNumId w:val="18"/>
  </w:num>
  <w:num w:numId="17">
    <w:abstractNumId w:val="3"/>
  </w:num>
  <w:num w:numId="18">
    <w:abstractNumId w:val="1"/>
  </w:num>
  <w:num w:numId="19">
    <w:abstractNumId w:val="0"/>
  </w:num>
  <w:num w:numId="20">
    <w:abstractNumId w:val="21"/>
  </w:num>
  <w:num w:numId="21">
    <w:abstractNumId w:val="6"/>
  </w:num>
  <w:num w:numId="22">
    <w:abstractNumId w:val="25"/>
  </w:num>
  <w:num w:numId="23">
    <w:abstractNumId w:val="14"/>
  </w:num>
  <w:num w:numId="24">
    <w:abstractNumId w:val="8"/>
  </w:num>
  <w:num w:numId="25">
    <w:abstractNumId w:val="19"/>
  </w:num>
  <w:num w:numId="26">
    <w:abstractNumId w:val="17"/>
  </w:num>
  <w:num w:numId="27">
    <w:abstractNumId w:val="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8D8"/>
    <w:rsid w:val="00056425"/>
    <w:rsid w:val="00062C16"/>
    <w:rsid w:val="00073FD4"/>
    <w:rsid w:val="00082EB0"/>
    <w:rsid w:val="0009445D"/>
    <w:rsid w:val="000D6EDD"/>
    <w:rsid w:val="00107C86"/>
    <w:rsid w:val="00114781"/>
    <w:rsid w:val="00152187"/>
    <w:rsid w:val="0017107D"/>
    <w:rsid w:val="0017133E"/>
    <w:rsid w:val="00180F3B"/>
    <w:rsid w:val="00283216"/>
    <w:rsid w:val="00296F84"/>
    <w:rsid w:val="002B3873"/>
    <w:rsid w:val="002B698B"/>
    <w:rsid w:val="002C0D3F"/>
    <w:rsid w:val="002F4A1C"/>
    <w:rsid w:val="0030432D"/>
    <w:rsid w:val="0032692E"/>
    <w:rsid w:val="003362B4"/>
    <w:rsid w:val="00341CED"/>
    <w:rsid w:val="003453D1"/>
    <w:rsid w:val="00346B6F"/>
    <w:rsid w:val="00346C2D"/>
    <w:rsid w:val="00360423"/>
    <w:rsid w:val="0036544B"/>
    <w:rsid w:val="00381A93"/>
    <w:rsid w:val="0039601B"/>
    <w:rsid w:val="003A53C6"/>
    <w:rsid w:val="003B4DEE"/>
    <w:rsid w:val="003C16EA"/>
    <w:rsid w:val="003F3768"/>
    <w:rsid w:val="00432073"/>
    <w:rsid w:val="00435BA3"/>
    <w:rsid w:val="00452A7E"/>
    <w:rsid w:val="00483B1C"/>
    <w:rsid w:val="00497639"/>
    <w:rsid w:val="004B6B6F"/>
    <w:rsid w:val="004C5003"/>
    <w:rsid w:val="004E176C"/>
    <w:rsid w:val="00522EC0"/>
    <w:rsid w:val="0053660F"/>
    <w:rsid w:val="00564B38"/>
    <w:rsid w:val="005720BE"/>
    <w:rsid w:val="0057593C"/>
    <w:rsid w:val="00577B4B"/>
    <w:rsid w:val="005824C4"/>
    <w:rsid w:val="0059602E"/>
    <w:rsid w:val="005B03BF"/>
    <w:rsid w:val="005F0022"/>
    <w:rsid w:val="0062210D"/>
    <w:rsid w:val="006470C0"/>
    <w:rsid w:val="00674450"/>
    <w:rsid w:val="006B149D"/>
    <w:rsid w:val="006E1E7D"/>
    <w:rsid w:val="00723E71"/>
    <w:rsid w:val="0073572C"/>
    <w:rsid w:val="00747C39"/>
    <w:rsid w:val="00750D9D"/>
    <w:rsid w:val="007957FF"/>
    <w:rsid w:val="0079646F"/>
    <w:rsid w:val="007C34F8"/>
    <w:rsid w:val="0082115E"/>
    <w:rsid w:val="0089464E"/>
    <w:rsid w:val="008B2EE9"/>
    <w:rsid w:val="008B4BE0"/>
    <w:rsid w:val="008F31DF"/>
    <w:rsid w:val="00900737"/>
    <w:rsid w:val="009129CD"/>
    <w:rsid w:val="00942AAE"/>
    <w:rsid w:val="0096184C"/>
    <w:rsid w:val="00963F36"/>
    <w:rsid w:val="009832AD"/>
    <w:rsid w:val="00983B5B"/>
    <w:rsid w:val="00995265"/>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364FB"/>
    <w:rsid w:val="00B378FB"/>
    <w:rsid w:val="00B558D8"/>
    <w:rsid w:val="00B56C78"/>
    <w:rsid w:val="00B61658"/>
    <w:rsid w:val="00B93BA2"/>
    <w:rsid w:val="00BA3A62"/>
    <w:rsid w:val="00BB3B75"/>
    <w:rsid w:val="00BF3FC3"/>
    <w:rsid w:val="00C106C2"/>
    <w:rsid w:val="00C11C0D"/>
    <w:rsid w:val="00C35AC3"/>
    <w:rsid w:val="00C37B12"/>
    <w:rsid w:val="00C77E9C"/>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92D32"/>
  <w15:docId w15:val="{A7C927D5-DFC2-455E-85A9-49678A061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26"/>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935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4.ti.ch/fileadmin/DI/DI_DI/SEL/RIFORMA/aggregazioni/inCorso/Bedano_Gravesano/RappCitt__MedioVedeggi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1310</Words>
  <Characters>7758</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Morandi Marisa</cp:lastModifiedBy>
  <cp:revision>2</cp:revision>
  <cp:lastPrinted>2021-02-11T13:44:00Z</cp:lastPrinted>
  <dcterms:created xsi:type="dcterms:W3CDTF">2021-02-11T13:45:00Z</dcterms:created>
  <dcterms:modified xsi:type="dcterms:W3CDTF">2021-02-11T13:45:00Z</dcterms:modified>
</cp:coreProperties>
</file>