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72F8" w:rsidRDefault="005372F8" w:rsidP="005372F8">
      <w:pPr>
        <w:pBdr>
          <w:top w:val="nil"/>
          <w:left w:val="nil"/>
          <w:bottom w:val="nil"/>
          <w:right w:val="nil"/>
          <w:between w:val="nil"/>
          <w:bar w:val="nil"/>
        </w:pBdr>
        <w:tabs>
          <w:tab w:val="left" w:pos="540"/>
        </w:tabs>
        <w:rPr>
          <w:rFonts w:eastAsia="Arial Unicode MS" w:cs="Arial"/>
          <w:b/>
          <w:bCs/>
          <w:color w:val="000000"/>
          <w:sz w:val="28"/>
          <w:szCs w:val="28"/>
          <w:u w:color="000000"/>
          <w:bdr w:val="nil"/>
          <w:lang w:val="it-IT" w:eastAsia="it-CH"/>
        </w:rPr>
      </w:pPr>
      <w:r>
        <w:rPr>
          <w:rFonts w:eastAsia="Arial Unicode MS" w:cs="Arial"/>
          <w:b/>
          <w:bCs/>
          <w:color w:val="000000"/>
          <w:sz w:val="28"/>
          <w:szCs w:val="28"/>
          <w:u w:color="000000"/>
          <w:bdr w:val="nil"/>
          <w:lang w:val="it-IT" w:eastAsia="it-CH"/>
        </w:rPr>
        <w:t>della Commissione giustizia e diritti</w:t>
      </w:r>
    </w:p>
    <w:p w:rsidR="005372F8" w:rsidRPr="005372F8" w:rsidRDefault="005372F8" w:rsidP="005372F8">
      <w:pPr>
        <w:pBdr>
          <w:top w:val="nil"/>
          <w:left w:val="nil"/>
          <w:bottom w:val="nil"/>
          <w:right w:val="nil"/>
          <w:between w:val="nil"/>
          <w:bar w:val="nil"/>
        </w:pBdr>
        <w:tabs>
          <w:tab w:val="left" w:pos="540"/>
        </w:tabs>
        <w:rPr>
          <w:rFonts w:eastAsia="Arial" w:cs="Arial"/>
          <w:b/>
          <w:bCs/>
          <w:color w:val="000000"/>
          <w:sz w:val="28"/>
          <w:szCs w:val="28"/>
          <w:u w:color="000000"/>
          <w:bdr w:val="nil"/>
          <w:lang w:val="it-IT" w:eastAsia="it-CH"/>
        </w:rPr>
      </w:pPr>
      <w:r>
        <w:rPr>
          <w:rFonts w:eastAsia="Arial Unicode MS" w:cs="Arial"/>
          <w:b/>
          <w:bCs/>
          <w:color w:val="000000"/>
          <w:sz w:val="28"/>
          <w:szCs w:val="28"/>
          <w:u w:color="000000"/>
          <w:bdr w:val="nil"/>
          <w:lang w:val="it-IT" w:eastAsia="it-CH"/>
        </w:rPr>
        <w:t>sull’i</w:t>
      </w:r>
      <w:r w:rsidRPr="005372F8">
        <w:rPr>
          <w:rFonts w:eastAsia="Arial Unicode MS" w:cs="Arial"/>
          <w:b/>
          <w:bCs/>
          <w:color w:val="000000"/>
          <w:sz w:val="28"/>
          <w:szCs w:val="28"/>
          <w:u w:color="000000"/>
          <w:bdr w:val="nil"/>
          <w:lang w:val="it-IT" w:eastAsia="it-CH"/>
        </w:rPr>
        <w:t xml:space="preserve">niziativa parlamentare 4 maggio 2021 presentata </w:t>
      </w:r>
      <w:r>
        <w:rPr>
          <w:rFonts w:eastAsia="Arial Unicode MS" w:cs="Arial"/>
          <w:b/>
          <w:bCs/>
          <w:color w:val="000000"/>
          <w:sz w:val="28"/>
          <w:szCs w:val="28"/>
          <w:u w:color="000000"/>
          <w:bdr w:val="nil"/>
          <w:lang w:val="it-IT" w:eastAsia="it-CH"/>
        </w:rPr>
        <w:t xml:space="preserve">nella forma elaborata </w:t>
      </w:r>
      <w:r w:rsidRPr="005372F8">
        <w:rPr>
          <w:rFonts w:eastAsia="Arial Unicode MS" w:cs="Arial"/>
          <w:b/>
          <w:bCs/>
          <w:color w:val="000000"/>
          <w:sz w:val="28"/>
          <w:szCs w:val="28"/>
          <w:u w:color="000000"/>
          <w:bdr w:val="nil"/>
          <w:lang w:val="it-IT" w:eastAsia="it-CH"/>
        </w:rPr>
        <w:t>da Lara Filippini e Sabrina Aldi (ripresa da Lara Filippini) per la modifica dell'art. 29 della Legge di procedura per le cause davanti al Tribunale cantonale delle assicurazioni (Lptca) del 23 giugno 2008 (Implementazione della revisione LPGA alle spese giudiziarie dinanzi al Tribunale cantonale delle assicurazioni)</w:t>
      </w:r>
    </w:p>
    <w:p w:rsidR="005372F8" w:rsidRPr="005372F8" w:rsidRDefault="005372F8" w:rsidP="005372F8">
      <w:pPr>
        <w:pBdr>
          <w:top w:val="nil"/>
          <w:left w:val="nil"/>
          <w:bottom w:val="nil"/>
          <w:right w:val="nil"/>
          <w:between w:val="nil"/>
          <w:bar w:val="nil"/>
        </w:pBdr>
        <w:tabs>
          <w:tab w:val="left" w:pos="540"/>
        </w:tabs>
        <w:spacing w:before="120"/>
        <w:rPr>
          <w:rFonts w:eastAsia="Arial" w:cs="Arial"/>
          <w:b/>
          <w:color w:val="000000"/>
          <w:sz w:val="26"/>
          <w:szCs w:val="26"/>
          <w:u w:color="000000"/>
          <w:bdr w:val="nil"/>
          <w:lang w:val="it-IT" w:eastAsia="it-CH"/>
        </w:rPr>
      </w:pPr>
      <w:r w:rsidRPr="005372F8">
        <w:rPr>
          <w:rFonts w:eastAsia="Arial" w:cs="Arial"/>
          <w:b/>
          <w:color w:val="000000"/>
          <w:sz w:val="26"/>
          <w:szCs w:val="26"/>
          <w:u w:color="000000"/>
          <w:bdr w:val="nil"/>
          <w:lang w:val="it-IT" w:eastAsia="it-CH"/>
        </w:rPr>
        <w:t>(v. messaggio 21 agosto 2024 n. 8480)</w:t>
      </w:r>
    </w:p>
    <w:p w:rsidR="005372F8" w:rsidRDefault="005372F8" w:rsidP="005372F8">
      <w:pPr>
        <w:pBdr>
          <w:top w:val="nil"/>
          <w:left w:val="nil"/>
          <w:bottom w:val="nil"/>
          <w:right w:val="nil"/>
          <w:between w:val="nil"/>
          <w:bar w:val="nil"/>
        </w:pBdr>
        <w:tabs>
          <w:tab w:val="left" w:pos="540"/>
        </w:tabs>
        <w:spacing w:line="360" w:lineRule="auto"/>
        <w:rPr>
          <w:rFonts w:eastAsia="Arial" w:cs="Arial"/>
          <w:color w:val="000000"/>
          <w:u w:color="000000"/>
          <w:bdr w:val="nil"/>
          <w:lang w:val="it-IT" w:eastAsia="it-CH"/>
        </w:rPr>
      </w:pPr>
    </w:p>
    <w:p w:rsidR="005372F8" w:rsidRPr="005372F8" w:rsidRDefault="005372F8" w:rsidP="005372F8">
      <w:pPr>
        <w:pBdr>
          <w:top w:val="nil"/>
          <w:left w:val="nil"/>
          <w:bottom w:val="nil"/>
          <w:right w:val="nil"/>
          <w:between w:val="nil"/>
          <w:bar w:val="nil"/>
        </w:pBdr>
        <w:tabs>
          <w:tab w:val="left" w:pos="540"/>
        </w:tabs>
        <w:spacing w:line="360" w:lineRule="auto"/>
        <w:rPr>
          <w:rFonts w:eastAsia="Arial" w:cs="Arial"/>
          <w:color w:val="000000"/>
          <w:u w:color="000000"/>
          <w:bdr w:val="nil"/>
          <w:lang w:val="it-IT" w:eastAsia="it-CH"/>
        </w:rPr>
      </w:pPr>
    </w:p>
    <w:p w:rsidR="005372F8" w:rsidRPr="005372F8" w:rsidRDefault="005372F8" w:rsidP="005372F8">
      <w:pPr>
        <w:pStyle w:val="Titolo1"/>
        <w:tabs>
          <w:tab w:val="left" w:pos="567"/>
        </w:tabs>
        <w:spacing w:before="0"/>
        <w:ind w:left="567" w:hanging="567"/>
        <w:jc w:val="both"/>
        <w:rPr>
          <w:rFonts w:eastAsia="Calibri" w:cs="Times New Roman"/>
          <w:caps/>
          <w:sz w:val="24"/>
          <w:szCs w:val="24"/>
          <w:lang w:val="it-IT" w:eastAsia="it-IT"/>
        </w:rPr>
      </w:pPr>
      <w:r w:rsidRPr="005372F8">
        <w:rPr>
          <w:rFonts w:eastAsia="Calibri" w:cs="Times New Roman"/>
          <w:caps/>
          <w:sz w:val="24"/>
          <w:szCs w:val="24"/>
          <w:lang w:val="it-IT" w:eastAsia="it-IT"/>
        </w:rPr>
        <w:t>1.</w:t>
      </w:r>
      <w:r w:rsidRPr="005372F8">
        <w:rPr>
          <w:rFonts w:eastAsia="Calibri" w:cs="Times New Roman"/>
          <w:caps/>
          <w:sz w:val="24"/>
          <w:szCs w:val="24"/>
          <w:lang w:val="it-IT" w:eastAsia="it-IT"/>
        </w:rPr>
        <w:tab/>
        <w:t>Oggetto dell’iniziativa</w:t>
      </w:r>
      <w:bookmarkStart w:id="0" w:name="_GoBack"/>
      <w:bookmarkEnd w:id="0"/>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r w:rsidRPr="005372F8">
        <w:rPr>
          <w:rFonts w:asciiTheme="minorHAnsi" w:eastAsia="Arial Unicode MS" w:hAnsiTheme="minorHAnsi" w:cstheme="minorHAnsi"/>
          <w:color w:val="000000"/>
          <w:sz w:val="24"/>
          <w:szCs w:val="24"/>
          <w:u w:color="000000"/>
          <w:bdr w:val="nil"/>
          <w:lang w:eastAsia="it-CH"/>
        </w:rPr>
        <w:t xml:space="preserve">L’iniziativa </w:t>
      </w:r>
      <w:r w:rsidRPr="005372F8">
        <w:rPr>
          <w:rFonts w:asciiTheme="minorHAnsi" w:eastAsia="Arial Unicode MS" w:hAnsiTheme="minorHAnsi" w:cstheme="minorHAnsi"/>
          <w:color w:val="000000"/>
          <w:sz w:val="24"/>
          <w:szCs w:val="24"/>
          <w:u w:color="000000"/>
          <w:bdr w:val="nil"/>
          <w:lang w:val="it-IT" w:eastAsia="it-CH"/>
        </w:rPr>
        <w:t>chie</w:t>
      </w:r>
      <w:r w:rsidRPr="005372F8">
        <w:rPr>
          <w:rFonts w:asciiTheme="minorHAnsi" w:eastAsia="Arial Unicode MS" w:hAnsiTheme="minorHAnsi" w:cstheme="minorHAnsi"/>
          <w:color w:val="000000"/>
          <w:sz w:val="24"/>
          <w:szCs w:val="24"/>
          <w:u w:color="000000"/>
          <w:bdr w:val="nil"/>
          <w:lang w:eastAsia="it-CH"/>
        </w:rPr>
        <w:t>de</w:t>
      </w:r>
      <w:r w:rsidRPr="005372F8">
        <w:rPr>
          <w:rFonts w:asciiTheme="minorHAnsi" w:eastAsia="Arial Unicode MS" w:hAnsiTheme="minorHAnsi" w:cstheme="minorHAnsi"/>
          <w:color w:val="000000"/>
          <w:sz w:val="24"/>
          <w:szCs w:val="24"/>
          <w:u w:color="000000"/>
          <w:bdr w:val="nil"/>
          <w:lang w:val="it-IT" w:eastAsia="it-CH"/>
        </w:rPr>
        <w:t xml:space="preserve"> il mantenimento della gratuità della procedura solo nei casi regolati dal diritto federale o in casi simili (ad esempio: le prestazioni assistenziali) e l’introduzione di un sistema a pagamento per le procedure non legate a prestazioni o relative alla restituzione di contributi percepiti illegalmente. </w:t>
      </w: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tabs>
          <w:tab w:val="left" w:pos="540"/>
        </w:tabs>
        <w:rPr>
          <w:rFonts w:asciiTheme="minorHAnsi" w:eastAsia="Arial Unicode MS" w:hAnsiTheme="minorHAnsi" w:cstheme="minorHAnsi"/>
          <w:color w:val="000000"/>
          <w:sz w:val="24"/>
          <w:szCs w:val="24"/>
          <w:u w:color="000000"/>
          <w:bdr w:val="nil"/>
          <w:lang w:val="it-IT" w:eastAsia="it-CH"/>
        </w:rPr>
      </w:pPr>
      <w:r w:rsidRPr="005372F8">
        <w:rPr>
          <w:rFonts w:asciiTheme="minorHAnsi" w:eastAsia="Arial Unicode MS" w:hAnsiTheme="minorHAnsi" w:cstheme="minorHAnsi"/>
          <w:color w:val="000000"/>
          <w:sz w:val="24"/>
          <w:szCs w:val="24"/>
          <w:u w:color="000000"/>
          <w:bdr w:val="nil"/>
          <w:lang w:val="it-IT" w:eastAsia="it-CH"/>
        </w:rPr>
        <w:t>A mente delle deputate le procedure di cui all’art. 52 della Legge federale sull’assicurazione per la vecchiaia e per i superstiti del 20 dicembre 1946, dovute a irregolarità degli amministratori nel pagamento dei contributi sociali, dovrebbero essere a pagamento secondo il valore litigioso. L’ammontare delle spese è quello previsto nella Legge sulla procedura amministrativa</w:t>
      </w:r>
      <w:r w:rsidRPr="005372F8">
        <w:rPr>
          <w:rFonts w:asciiTheme="minorHAnsi" w:eastAsia="Arial Unicode MS" w:hAnsiTheme="minorHAnsi" w:cstheme="minorHAnsi"/>
          <w:color w:val="000000"/>
          <w:sz w:val="24"/>
          <w:szCs w:val="24"/>
          <w:u w:color="000000"/>
          <w:bdr w:val="nil"/>
          <w:lang w:eastAsia="it-CH"/>
        </w:rPr>
        <w:t xml:space="preserve"> </w:t>
      </w:r>
      <w:r w:rsidRPr="005372F8">
        <w:rPr>
          <w:rFonts w:asciiTheme="minorHAnsi" w:eastAsia="Arial Unicode MS" w:hAnsiTheme="minorHAnsi" w:cstheme="minorHAnsi"/>
          <w:color w:val="000000"/>
          <w:sz w:val="24"/>
          <w:szCs w:val="24"/>
          <w:u w:color="000000"/>
          <w:bdr w:val="nil"/>
          <w:lang w:val="it-IT" w:eastAsia="it-CH"/>
        </w:rPr>
        <w:t>del 24 settembre 2013. Inoltre le deputate auspicano che nelle procedure onerose il Tribunale cantonale delle assicurazioni informi le parti in merito alla tariffa applicabile.</w:t>
      </w:r>
    </w:p>
    <w:p w:rsidR="005372F8" w:rsidRPr="005372F8" w:rsidRDefault="005372F8" w:rsidP="005372F8">
      <w:pPr>
        <w:pBdr>
          <w:top w:val="nil"/>
          <w:left w:val="nil"/>
          <w:bottom w:val="nil"/>
          <w:right w:val="nil"/>
          <w:between w:val="nil"/>
          <w:bar w:val="nil"/>
        </w:pBdr>
        <w:tabs>
          <w:tab w:val="left" w:pos="540"/>
        </w:tabs>
        <w:rPr>
          <w:rFonts w:asciiTheme="minorHAnsi" w:eastAsia="Arial Unicode MS"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tabs>
          <w:tab w:val="left" w:pos="540"/>
        </w:tabs>
        <w:rPr>
          <w:rFonts w:asciiTheme="minorHAnsi" w:eastAsia="Times New Roman" w:hAnsiTheme="minorHAnsi" w:cstheme="minorHAnsi"/>
          <w:i/>
          <w:iCs/>
          <w:color w:val="000000"/>
          <w:sz w:val="24"/>
          <w:szCs w:val="24"/>
          <w:u w:color="000000"/>
          <w:bdr w:val="nil"/>
          <w:lang w:val="it-IT" w:eastAsia="it-CH"/>
        </w:rPr>
      </w:pPr>
    </w:p>
    <w:p w:rsidR="005372F8" w:rsidRPr="005372F8" w:rsidRDefault="005372F8" w:rsidP="005372F8">
      <w:pPr>
        <w:pStyle w:val="Titolo1"/>
        <w:tabs>
          <w:tab w:val="left" w:pos="567"/>
        </w:tabs>
        <w:spacing w:before="0"/>
        <w:ind w:left="567" w:hanging="567"/>
        <w:jc w:val="both"/>
        <w:rPr>
          <w:rFonts w:eastAsia="Calibri" w:cs="Times New Roman"/>
          <w:caps/>
          <w:sz w:val="24"/>
          <w:szCs w:val="24"/>
          <w:lang w:val="it-IT" w:eastAsia="it-IT"/>
        </w:rPr>
      </w:pPr>
      <w:r w:rsidRPr="005372F8">
        <w:rPr>
          <w:rFonts w:eastAsia="Calibri" w:cs="Times New Roman"/>
          <w:caps/>
          <w:sz w:val="24"/>
          <w:szCs w:val="24"/>
          <w:lang w:val="it-IT" w:eastAsia="it-IT"/>
        </w:rPr>
        <w:t>2.</w:t>
      </w:r>
      <w:r w:rsidRPr="005372F8">
        <w:rPr>
          <w:rFonts w:eastAsia="Calibri" w:cs="Times New Roman"/>
          <w:caps/>
          <w:sz w:val="24"/>
          <w:szCs w:val="24"/>
          <w:lang w:val="it-IT" w:eastAsia="it-IT"/>
        </w:rPr>
        <w:tab/>
        <w:t>Legislazione vigente</w:t>
      </w:r>
    </w:p>
    <w:p w:rsidR="005372F8" w:rsidRPr="005372F8" w:rsidRDefault="005372F8" w:rsidP="005372F8">
      <w:pPr>
        <w:pStyle w:val="Titolo2"/>
        <w:numPr>
          <w:ilvl w:val="0"/>
          <w:numId w:val="0"/>
        </w:numPr>
        <w:tabs>
          <w:tab w:val="left" w:pos="567"/>
        </w:tabs>
        <w:spacing w:before="0" w:after="120"/>
        <w:jc w:val="both"/>
        <w:rPr>
          <w:rFonts w:eastAsia="Calibri" w:cs="Times New Roman"/>
          <w:sz w:val="24"/>
          <w:lang w:val="it-IT" w:eastAsia="it-IT"/>
        </w:rPr>
      </w:pPr>
      <w:r w:rsidRPr="005372F8">
        <w:rPr>
          <w:rFonts w:eastAsia="Calibri" w:cs="Times New Roman"/>
          <w:sz w:val="24"/>
          <w:lang w:val="it-IT" w:eastAsia="it-IT"/>
        </w:rPr>
        <w:t>2.1</w:t>
      </w:r>
      <w:r w:rsidRPr="005372F8">
        <w:rPr>
          <w:rFonts w:eastAsia="Calibri" w:cs="Times New Roman"/>
          <w:sz w:val="24"/>
          <w:lang w:val="it-IT" w:eastAsia="it-IT"/>
        </w:rPr>
        <w:tab/>
        <w:t>La modifica della LPGA</w:t>
      </w:r>
    </w:p>
    <w:p w:rsidR="005372F8" w:rsidRPr="005372F8" w:rsidRDefault="005372F8" w:rsidP="005372F8">
      <w:pPr>
        <w:pBdr>
          <w:top w:val="nil"/>
          <w:left w:val="nil"/>
          <w:bottom w:val="nil"/>
          <w:right w:val="nil"/>
          <w:between w:val="nil"/>
          <w:bar w:val="nil"/>
        </w:pBdr>
        <w:rPr>
          <w:rFonts w:asciiTheme="minorHAnsi" w:eastAsia="Arial" w:hAnsiTheme="minorHAnsi" w:cstheme="minorHAnsi"/>
          <w:color w:val="000000"/>
          <w:sz w:val="24"/>
          <w:szCs w:val="24"/>
          <w:u w:color="000000"/>
          <w:bdr w:val="nil"/>
          <w:lang w:val="it-IT" w:eastAsia="it-CH"/>
        </w:rPr>
      </w:pPr>
      <w:r w:rsidRPr="005372F8">
        <w:rPr>
          <w:rFonts w:asciiTheme="minorHAnsi" w:eastAsia="Arial" w:hAnsiTheme="minorHAnsi" w:cstheme="minorHAnsi"/>
          <w:color w:val="000000"/>
          <w:sz w:val="24"/>
          <w:szCs w:val="24"/>
          <w:u w:color="000000"/>
          <w:bdr w:val="nil"/>
          <w:lang w:val="it-IT" w:eastAsia="it-CH"/>
        </w:rPr>
        <w:t xml:space="preserve">La LPGA </w:t>
      </w:r>
      <w:r w:rsidRPr="005372F8">
        <w:rPr>
          <w:rFonts w:asciiTheme="minorHAnsi" w:eastAsia="Arial" w:hAnsiTheme="minorHAnsi" w:cstheme="minorHAnsi"/>
          <w:i/>
          <w:iCs/>
          <w:color w:val="000000"/>
          <w:sz w:val="24"/>
          <w:szCs w:val="24"/>
          <w:u w:color="000000"/>
          <w:bdr w:val="nil"/>
          <w:lang w:val="it-IT" w:eastAsia="it-CH"/>
        </w:rPr>
        <w:t>ad</w:t>
      </w:r>
      <w:r w:rsidRPr="005372F8">
        <w:rPr>
          <w:rFonts w:asciiTheme="minorHAnsi" w:eastAsia="Arial" w:hAnsiTheme="minorHAnsi" w:cstheme="minorHAnsi"/>
          <w:color w:val="000000"/>
          <w:sz w:val="24"/>
          <w:szCs w:val="24"/>
          <w:u w:color="000000"/>
          <w:bdr w:val="nil"/>
          <w:lang w:val="it-IT" w:eastAsia="it-CH"/>
        </w:rPr>
        <w:t xml:space="preserve"> art. 61 cpv. 1 lett. a, nel suo tenore in vigore fino al 31 dicembre 2020, prevedeva il principio della gratuità delle procedure dinanzi al Tribunale cantonale delle assicurazioni, con la possibilità per l’autorità giudicante di addossare la tassa di giudizio e le spese di procedura in caso di comportamento temerario o sconsiderato. La procedura era invece onerosa nei casi concernenti le prestazioni della Legge federale sull’assicurazione per l’invalidità (LAI</w:t>
      </w:r>
      <w:r w:rsidRPr="005372F8">
        <w:rPr>
          <w:rFonts w:asciiTheme="minorHAnsi" w:eastAsia="Arial" w:hAnsiTheme="minorHAnsi" w:cstheme="minorHAnsi"/>
          <w:i/>
          <w:iCs/>
          <w:color w:val="000000"/>
          <w:sz w:val="24"/>
          <w:szCs w:val="24"/>
          <w:u w:color="000000"/>
          <w:bdr w:val="nil"/>
          <w:lang w:val="it-IT" w:eastAsia="it-CH"/>
        </w:rPr>
        <w:t xml:space="preserve">, </w:t>
      </w:r>
      <w:r w:rsidRPr="005372F8">
        <w:rPr>
          <w:rFonts w:asciiTheme="minorHAnsi" w:eastAsia="Arial" w:hAnsiTheme="minorHAnsi" w:cstheme="minorHAnsi"/>
          <w:color w:val="000000"/>
          <w:sz w:val="24"/>
          <w:szCs w:val="24"/>
          <w:u w:color="000000"/>
          <w:bdr w:val="nil"/>
          <w:lang w:val="it-IT" w:eastAsia="it-CH"/>
        </w:rPr>
        <w:t>RS 831.20</w:t>
      </w:r>
      <w:r w:rsidRPr="005372F8">
        <w:rPr>
          <w:rFonts w:asciiTheme="minorHAnsi" w:eastAsia="Arial" w:hAnsiTheme="minorHAnsi" w:cstheme="minorHAnsi"/>
          <w:i/>
          <w:iCs/>
          <w:color w:val="000000"/>
          <w:sz w:val="24"/>
          <w:szCs w:val="24"/>
          <w:u w:color="000000"/>
          <w:bdr w:val="nil"/>
          <w:lang w:val="it-IT" w:eastAsia="it-CH"/>
        </w:rPr>
        <w:t xml:space="preserve"> ad </w:t>
      </w:r>
      <w:r w:rsidRPr="005372F8">
        <w:rPr>
          <w:rFonts w:asciiTheme="minorHAnsi" w:eastAsia="Arial" w:hAnsiTheme="minorHAnsi" w:cstheme="minorHAnsi"/>
          <w:color w:val="000000"/>
          <w:sz w:val="24"/>
          <w:szCs w:val="24"/>
          <w:u w:color="000000"/>
          <w:bdr w:val="nil"/>
          <w:lang w:val="it-IT" w:eastAsia="it-CH"/>
        </w:rPr>
        <w:t>art. 69 cpv. 1</w:t>
      </w:r>
      <w:r w:rsidRPr="005372F8">
        <w:rPr>
          <w:rFonts w:asciiTheme="minorHAnsi" w:eastAsia="Arial" w:hAnsiTheme="minorHAnsi" w:cstheme="minorHAnsi"/>
          <w:color w:val="000000"/>
          <w:sz w:val="24"/>
          <w:szCs w:val="24"/>
          <w:u w:color="000000"/>
          <w:bdr w:val="nil"/>
          <w:vertAlign w:val="superscript"/>
          <w:lang w:val="it-IT" w:eastAsia="it-CH"/>
        </w:rPr>
        <w:t>bis</w:t>
      </w:r>
      <w:r w:rsidRPr="005372F8">
        <w:rPr>
          <w:rFonts w:asciiTheme="minorHAnsi" w:eastAsia="Arial" w:hAnsiTheme="minorHAnsi" w:cstheme="minorHAnsi"/>
          <w:color w:val="000000"/>
          <w:sz w:val="24"/>
          <w:szCs w:val="24"/>
          <w:u w:color="000000"/>
          <w:bdr w:val="nil"/>
          <w:lang w:val="it-IT" w:eastAsia="it-CH"/>
        </w:rPr>
        <w:t xml:space="preserve">). </w:t>
      </w:r>
    </w:p>
    <w:p w:rsidR="005372F8" w:rsidRPr="005372F8" w:rsidRDefault="005372F8" w:rsidP="005372F8">
      <w:pPr>
        <w:pBdr>
          <w:top w:val="nil"/>
          <w:left w:val="nil"/>
          <w:bottom w:val="nil"/>
          <w:right w:val="nil"/>
          <w:between w:val="nil"/>
          <w:bar w:val="nil"/>
        </w:pBdr>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rPr>
          <w:rFonts w:asciiTheme="minorHAnsi" w:eastAsia="Arial" w:hAnsiTheme="minorHAnsi" w:cstheme="minorHAnsi"/>
          <w:color w:val="000000"/>
          <w:sz w:val="24"/>
          <w:szCs w:val="24"/>
          <w:u w:color="000000"/>
          <w:bdr w:val="nil"/>
          <w:lang w:val="it-IT" w:eastAsia="it-CH"/>
        </w:rPr>
      </w:pPr>
      <w:r w:rsidRPr="005372F8">
        <w:rPr>
          <w:rFonts w:asciiTheme="minorHAnsi" w:eastAsia="Arial" w:hAnsiTheme="minorHAnsi" w:cstheme="minorHAnsi"/>
          <w:color w:val="000000"/>
          <w:sz w:val="24"/>
          <w:szCs w:val="24"/>
          <w:u w:color="000000"/>
          <w:bdr w:val="nil"/>
          <w:lang w:val="it-IT" w:eastAsia="it-CH"/>
        </w:rPr>
        <w:t xml:space="preserve">Nell’aprile 2009 è stata depositata al Consiglio nazionale una mozione del gruppo dell’Unione democratica di Centro (di seguito: UDC) che postulava la modifica dell'art. 61 lett. a LPGA, abolendo il principio della gratuità (cfr. Mozione n. 09.3406). Il Consiglio federale ha proposto nel luglio 2009 di accogliere la mozione, successivamente adottata dalle due Camere il 12 aprile 2011 e il 21 febbraio 2012, decidendo quindi di rimettere in </w:t>
      </w:r>
      <w:r w:rsidRPr="005372F8">
        <w:rPr>
          <w:rFonts w:asciiTheme="minorHAnsi" w:eastAsia="Arial" w:hAnsiTheme="minorHAnsi" w:cstheme="minorHAnsi"/>
          <w:color w:val="000000"/>
          <w:sz w:val="24"/>
          <w:szCs w:val="24"/>
          <w:u w:color="000000"/>
          <w:bdr w:val="nil"/>
          <w:lang w:val="it-IT" w:eastAsia="it-CH"/>
        </w:rPr>
        <w:lastRenderedPageBreak/>
        <w:t>discussione il principio della gratuità della procedura nell’ambito delle assicurazioni sociali, stabilito con l’entrata in vigore della LPGA.</w:t>
      </w:r>
    </w:p>
    <w:p w:rsidR="005372F8" w:rsidRPr="005372F8" w:rsidRDefault="005372F8" w:rsidP="005372F8">
      <w:pPr>
        <w:pBdr>
          <w:top w:val="nil"/>
          <w:left w:val="nil"/>
          <w:bottom w:val="nil"/>
          <w:right w:val="nil"/>
          <w:between w:val="nil"/>
          <w:bar w:val="nil"/>
        </w:pBdr>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rPr>
          <w:rFonts w:asciiTheme="minorHAnsi" w:eastAsia="Arial" w:hAnsiTheme="minorHAnsi" w:cstheme="minorHAnsi"/>
          <w:color w:val="000000"/>
          <w:sz w:val="24"/>
          <w:szCs w:val="24"/>
          <w:u w:color="000000"/>
          <w:bdr w:val="nil"/>
          <w:lang w:val="it-IT" w:eastAsia="it-CH"/>
        </w:rPr>
      </w:pPr>
      <w:r w:rsidRPr="005372F8">
        <w:rPr>
          <w:rFonts w:asciiTheme="minorHAnsi" w:eastAsia="Arial" w:hAnsiTheme="minorHAnsi" w:cstheme="minorHAnsi"/>
          <w:color w:val="000000"/>
          <w:sz w:val="24"/>
          <w:szCs w:val="24"/>
          <w:u w:color="000000"/>
          <w:bdr w:val="nil"/>
          <w:lang w:val="it-IT" w:eastAsia="it-CH"/>
        </w:rPr>
        <w:t xml:space="preserve">Dal 29 febbraio al 29 maggio 2017 si è svolta la procedura di consultazione, la quale verteva su due varianti di modifica della LPGA presentate dal Consiglio federale concernenti l’addebito spese per controversie relative a prestazioni. </w:t>
      </w:r>
    </w:p>
    <w:p w:rsidR="005372F8" w:rsidRPr="005372F8" w:rsidRDefault="005372F8" w:rsidP="005372F8">
      <w:pPr>
        <w:pBdr>
          <w:top w:val="nil"/>
          <w:left w:val="nil"/>
          <w:bottom w:val="nil"/>
          <w:right w:val="nil"/>
          <w:between w:val="nil"/>
          <w:bar w:val="nil"/>
        </w:pBdr>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rPr>
          <w:rFonts w:asciiTheme="minorHAnsi" w:eastAsia="Arial" w:hAnsiTheme="minorHAnsi" w:cstheme="minorHAnsi"/>
          <w:color w:val="000000"/>
          <w:sz w:val="24"/>
          <w:szCs w:val="24"/>
          <w:u w:color="000000"/>
          <w:bdr w:val="nil"/>
          <w:lang w:val="it-IT" w:eastAsia="it-CH"/>
        </w:rPr>
      </w:pPr>
      <w:r w:rsidRPr="005372F8">
        <w:rPr>
          <w:rFonts w:asciiTheme="minorHAnsi" w:eastAsia="Arial" w:hAnsiTheme="minorHAnsi" w:cstheme="minorHAnsi"/>
          <w:color w:val="000000"/>
          <w:sz w:val="24"/>
          <w:szCs w:val="24"/>
          <w:u w:color="000000"/>
          <w:bdr w:val="nil"/>
          <w:lang w:val="it-IT" w:eastAsia="it-CH"/>
        </w:rPr>
        <w:t xml:space="preserve">Sulla base di quanto emerso e dei pareri degli interpellati, il Consiglio federale ha deciso di proporre la prima variante rielaborata e di stralciare la disposizione che prevedeva che non fossero addossate spese agli assicuratori. Il Consiglio federale ha pure deciso di respingere la proposta formulata da alcuni Cantoni volta all’introduzione del principio dell’addebito di spese anche in ambito di previdenza professionale, sottolineando che gli istituti di previdenza non possono emanare decisioni (o preavvisi). </w:t>
      </w:r>
      <w:r w:rsidRPr="005372F8">
        <w:rPr>
          <w:rFonts w:asciiTheme="minorHAnsi" w:eastAsia="Arial" w:hAnsiTheme="minorHAnsi" w:cstheme="minorHAnsi"/>
          <w:color w:val="000000"/>
          <w:sz w:val="24"/>
          <w:szCs w:val="24"/>
          <w:u w:color="000000"/>
          <w:bdr w:val="nil"/>
          <w:lang w:eastAsia="it-CH"/>
        </w:rPr>
        <w:t>L</w:t>
      </w:r>
      <w:r w:rsidRPr="005372F8">
        <w:rPr>
          <w:rFonts w:asciiTheme="minorHAnsi" w:eastAsia="Arial" w:hAnsiTheme="minorHAnsi" w:cstheme="minorHAnsi"/>
          <w:color w:val="000000"/>
          <w:sz w:val="24"/>
          <w:szCs w:val="24"/>
          <w:u w:color="000000"/>
          <w:bdr w:val="nil"/>
          <w:lang w:val="it-IT" w:eastAsia="it-CH"/>
        </w:rPr>
        <w:t>e due Camere hanno deciso l’adozione della modifica dell’art. 61 LPGA e la revisione della LPGA è stata messa in vigore il 1° gennaio 2021.</w:t>
      </w:r>
    </w:p>
    <w:p w:rsidR="005372F8" w:rsidRP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r w:rsidRPr="005372F8">
        <w:rPr>
          <w:rFonts w:asciiTheme="minorHAnsi" w:eastAsia="Arial" w:hAnsiTheme="minorHAnsi" w:cstheme="minorHAnsi"/>
          <w:color w:val="000000"/>
          <w:sz w:val="24"/>
          <w:szCs w:val="24"/>
          <w:u w:color="000000"/>
          <w:bdr w:val="nil"/>
          <w:lang w:val="it-IT" w:eastAsia="it-CH"/>
        </w:rPr>
        <w:t>La revisione ha soppresso l’indicazione secondo cui la procedura è gratuita (art. 61 lett. a LPGA). Sono così applicabili le disposizioni del diritto cantonale relative alle spese di procedura. Per quanto riguarda invece le controversie relative a prestazioni, l’art. 61 lett. f</w:t>
      </w:r>
      <w:r w:rsidRPr="005372F8">
        <w:rPr>
          <w:rFonts w:asciiTheme="minorHAnsi" w:eastAsia="Arial" w:hAnsiTheme="minorHAnsi" w:cstheme="minorHAnsi"/>
          <w:color w:val="000000"/>
          <w:sz w:val="24"/>
          <w:szCs w:val="24"/>
          <w:u w:color="000000"/>
          <w:bdr w:val="nil"/>
          <w:vertAlign w:val="superscript"/>
          <w:lang w:val="it-IT" w:eastAsia="it-CH"/>
        </w:rPr>
        <w:t>bis</w:t>
      </w:r>
      <w:r w:rsidRPr="005372F8">
        <w:rPr>
          <w:rFonts w:asciiTheme="minorHAnsi" w:eastAsia="Arial" w:hAnsiTheme="minorHAnsi" w:cstheme="minorHAnsi"/>
          <w:color w:val="000000"/>
          <w:sz w:val="24"/>
          <w:szCs w:val="24"/>
          <w:u w:color="000000"/>
          <w:bdr w:val="nil"/>
          <w:lang w:val="it-IT" w:eastAsia="it-CH"/>
        </w:rPr>
        <w:t xml:space="preserve"> LPGA contempla l’addebito di spese soltanto nel caso in cui la singola legge lo preveda e, anche quando ciò non è il caso, il tribunale potrà imporre spese giudiziarie alla parte che abbia un comportamento temerario o sconsiderato</w:t>
      </w:r>
    </w:p>
    <w:p w:rsid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Style w:val="Titolo2"/>
        <w:numPr>
          <w:ilvl w:val="0"/>
          <w:numId w:val="0"/>
        </w:numPr>
        <w:tabs>
          <w:tab w:val="left" w:pos="567"/>
        </w:tabs>
        <w:spacing w:before="0" w:after="120"/>
        <w:jc w:val="both"/>
        <w:rPr>
          <w:rFonts w:eastAsia="Calibri" w:cs="Times New Roman"/>
          <w:sz w:val="24"/>
          <w:lang w:val="it-IT" w:eastAsia="it-IT"/>
        </w:rPr>
      </w:pPr>
      <w:r w:rsidRPr="005372F8">
        <w:rPr>
          <w:rFonts w:eastAsia="Calibri" w:cs="Times New Roman"/>
          <w:sz w:val="24"/>
          <w:lang w:val="it-IT" w:eastAsia="it-IT"/>
        </w:rPr>
        <w:t>2.2</w:t>
      </w:r>
      <w:r w:rsidRPr="005372F8">
        <w:rPr>
          <w:rFonts w:eastAsia="Calibri" w:cs="Times New Roman"/>
          <w:sz w:val="24"/>
          <w:lang w:val="it-IT" w:eastAsia="it-IT"/>
        </w:rPr>
        <w:tab/>
        <w:t>La giurisprudenza del Tribunale federale</w:t>
      </w:r>
    </w:p>
    <w:p w:rsidR="005372F8" w:rsidRP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r w:rsidRPr="005372F8">
        <w:rPr>
          <w:rFonts w:asciiTheme="minorHAnsi" w:eastAsia="Arial" w:hAnsiTheme="minorHAnsi" w:cstheme="minorHAnsi"/>
          <w:color w:val="000000"/>
          <w:sz w:val="24"/>
          <w:szCs w:val="24"/>
          <w:u w:color="000000"/>
          <w:bdr w:val="nil"/>
          <w:lang w:val="it-IT" w:eastAsia="it-CH"/>
        </w:rPr>
        <w:t xml:space="preserve">Il Tribunale federale ha avuto occasione di esprimersi con sentenza del 21 luglio 2021 in merito alla pratica ticinese relativa alle spese a seguito della modifica legislativa di cui si è detto. A tal proposito l’Alta Corte ha statuito che la legislazione ticinese non permette di prelevare spese al Tribunale cantonale delle assicurazioni, decidendo, nel caso concreto, che il Tribunale cantonale delle assicurazioni avesse violato il diritto federale sottoponendo a spese una procedura di ricorso nell’ambito della Legge federale sull’assicurazione contro gli infortuni a spese del 20 marzo 1981 (TF 8C_265/2021 del 21 luglio 2021, consid. 4.4.3). </w:t>
      </w:r>
    </w:p>
    <w:p w:rsidR="005372F8" w:rsidRP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r w:rsidRPr="005372F8">
        <w:rPr>
          <w:rFonts w:asciiTheme="minorHAnsi" w:eastAsia="Arial" w:hAnsiTheme="minorHAnsi" w:cstheme="minorHAnsi"/>
          <w:color w:val="000000"/>
          <w:sz w:val="24"/>
          <w:szCs w:val="24"/>
          <w:u w:color="000000"/>
          <w:bdr w:val="nil"/>
          <w:lang w:val="it-IT" w:eastAsia="it-CH"/>
        </w:rPr>
        <w:t>Secondo il Tribunale federale, il Tribunale cantonale delle assicurazioni ha interpretato erroneamente il nuovo art. 61 lett. f</w:t>
      </w:r>
      <w:r w:rsidRPr="005372F8">
        <w:rPr>
          <w:rFonts w:asciiTheme="minorHAnsi" w:eastAsia="Arial" w:hAnsiTheme="minorHAnsi" w:cstheme="minorHAnsi"/>
          <w:color w:val="000000"/>
          <w:sz w:val="24"/>
          <w:szCs w:val="24"/>
          <w:u w:color="000000"/>
          <w:bdr w:val="nil"/>
          <w:vertAlign w:val="superscript"/>
          <w:lang w:val="it-IT" w:eastAsia="it-CH"/>
        </w:rPr>
        <w:t>bis</w:t>
      </w:r>
      <w:r w:rsidRPr="005372F8">
        <w:rPr>
          <w:rFonts w:asciiTheme="minorHAnsi" w:eastAsia="Arial" w:hAnsiTheme="minorHAnsi" w:cstheme="minorHAnsi"/>
          <w:color w:val="000000"/>
          <w:sz w:val="24"/>
          <w:szCs w:val="24"/>
          <w:u w:color="000000"/>
          <w:bdr w:val="nil"/>
          <w:lang w:val="it-IT" w:eastAsia="it-CH"/>
        </w:rPr>
        <w:t xml:space="preserve"> LPGA ritenendo che tutti gli ambiti esclusi da tale disposizione dovessero essere assoggettati a spese (cfr. </w:t>
      </w:r>
      <w:r w:rsidRPr="005372F8">
        <w:rPr>
          <w:rFonts w:asciiTheme="minorHAnsi" w:eastAsia="Arial" w:hAnsiTheme="minorHAnsi" w:cstheme="minorHAnsi"/>
          <w:i/>
          <w:iCs/>
          <w:color w:val="000000"/>
          <w:sz w:val="24"/>
          <w:szCs w:val="24"/>
          <w:u w:color="000000"/>
          <w:bdr w:val="nil"/>
          <w:lang w:val="it-IT" w:eastAsia="it-CH"/>
        </w:rPr>
        <w:t>ibidem</w:t>
      </w:r>
      <w:r w:rsidRPr="005372F8">
        <w:rPr>
          <w:rFonts w:asciiTheme="minorHAnsi" w:eastAsia="Arial" w:hAnsiTheme="minorHAnsi" w:cstheme="minorHAnsi"/>
          <w:color w:val="000000"/>
          <w:sz w:val="24"/>
          <w:szCs w:val="24"/>
          <w:u w:color="000000"/>
          <w:bdr w:val="nil"/>
          <w:lang w:val="it-IT" w:eastAsia="it-CH"/>
        </w:rPr>
        <w:t>). In realtà</w:t>
      </w:r>
      <w:r w:rsidRPr="005372F8">
        <w:rPr>
          <w:rFonts w:asciiTheme="minorHAnsi" w:eastAsia="Arial" w:hAnsiTheme="minorHAnsi" w:cstheme="minorHAnsi"/>
          <w:color w:val="000000"/>
          <w:sz w:val="24"/>
          <w:szCs w:val="24"/>
          <w:u w:color="000000"/>
          <w:bdr w:val="nil"/>
          <w:lang w:eastAsia="it-CH"/>
        </w:rPr>
        <w:t xml:space="preserve"> </w:t>
      </w:r>
      <w:r w:rsidRPr="005372F8">
        <w:rPr>
          <w:rFonts w:asciiTheme="minorHAnsi" w:eastAsia="Arial" w:hAnsiTheme="minorHAnsi" w:cstheme="minorHAnsi"/>
          <w:color w:val="000000"/>
          <w:sz w:val="24"/>
          <w:szCs w:val="24"/>
          <w:u w:color="000000"/>
          <w:bdr w:val="nil"/>
          <w:lang w:val="it-IT" w:eastAsia="it-CH"/>
        </w:rPr>
        <w:t>con la modifica della LPGA il Legislatore federale ha deciso di lasciare ai Cantoni autonomia nel regolamentare la questione.</w:t>
      </w:r>
    </w:p>
    <w:p w:rsidR="005372F8" w:rsidRP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r w:rsidRPr="005372F8">
        <w:rPr>
          <w:rFonts w:asciiTheme="minorHAnsi" w:eastAsia="Arial" w:hAnsiTheme="minorHAnsi" w:cstheme="minorHAnsi"/>
          <w:color w:val="000000"/>
          <w:sz w:val="24"/>
          <w:szCs w:val="24"/>
          <w:u w:color="000000"/>
          <w:bdr w:val="nil"/>
          <w:lang w:val="it-IT" w:eastAsia="it-CH"/>
        </w:rPr>
        <w:t>Da ciò deriva l’impossibilità di dedurre un automatico assoggettamento alle spese per tutti gli ambiti esclusi dall’art. 61 lett. f</w:t>
      </w:r>
      <w:r w:rsidRPr="005372F8">
        <w:rPr>
          <w:rFonts w:asciiTheme="minorHAnsi" w:eastAsia="Arial" w:hAnsiTheme="minorHAnsi" w:cstheme="minorHAnsi"/>
          <w:color w:val="000000"/>
          <w:sz w:val="24"/>
          <w:szCs w:val="24"/>
          <w:u w:color="000000"/>
          <w:bdr w:val="nil"/>
          <w:vertAlign w:val="superscript"/>
          <w:lang w:val="it-IT" w:eastAsia="it-CH"/>
        </w:rPr>
        <w:t>bis</w:t>
      </w:r>
      <w:r w:rsidRPr="005372F8">
        <w:rPr>
          <w:rFonts w:asciiTheme="minorHAnsi" w:eastAsia="Arial" w:hAnsiTheme="minorHAnsi" w:cstheme="minorHAnsi"/>
          <w:color w:val="000000"/>
          <w:sz w:val="24"/>
          <w:szCs w:val="24"/>
          <w:u w:color="000000"/>
          <w:bdr w:val="nil"/>
          <w:lang w:val="it-IT" w:eastAsia="it-CH"/>
        </w:rPr>
        <w:t xml:space="preserve"> LPGA. In conclusione il Tribunale federale ha statuito che, nel caso concreto, mancasse la base legale cantonale per il Tribunale cantonale delle assicurazioni per il prelevamento delle spese procedurali (cfr. consid. 4.4.3.).  </w:t>
      </w:r>
    </w:p>
    <w:p w:rsidR="005372F8" w:rsidRDefault="005372F8">
      <w:pPr>
        <w:rPr>
          <w:rFonts w:asciiTheme="minorHAnsi" w:eastAsia="Arial" w:hAnsiTheme="minorHAnsi" w:cstheme="minorHAnsi"/>
          <w:color w:val="000000"/>
          <w:sz w:val="24"/>
          <w:szCs w:val="24"/>
          <w:u w:color="000000"/>
          <w:bdr w:val="nil"/>
          <w:lang w:val="it-IT" w:eastAsia="it-CH"/>
        </w:rPr>
      </w:pPr>
      <w:r>
        <w:rPr>
          <w:rFonts w:asciiTheme="minorHAnsi" w:eastAsia="Arial" w:hAnsiTheme="minorHAnsi" w:cstheme="minorHAnsi"/>
          <w:color w:val="000000"/>
          <w:sz w:val="24"/>
          <w:szCs w:val="24"/>
          <w:u w:color="000000"/>
          <w:bdr w:val="nil"/>
          <w:lang w:val="it-IT" w:eastAsia="it-CH"/>
        </w:rPr>
        <w:br w:type="page"/>
      </w:r>
    </w:p>
    <w:p w:rsidR="005372F8" w:rsidRPr="005372F8" w:rsidRDefault="005372F8" w:rsidP="005372F8">
      <w:pPr>
        <w:pStyle w:val="Titolo1"/>
        <w:tabs>
          <w:tab w:val="left" w:pos="567"/>
        </w:tabs>
        <w:spacing w:before="0"/>
        <w:ind w:left="567" w:hanging="567"/>
        <w:jc w:val="both"/>
        <w:rPr>
          <w:rFonts w:eastAsia="Calibri" w:cs="Times New Roman"/>
          <w:caps/>
          <w:sz w:val="24"/>
          <w:szCs w:val="24"/>
          <w:lang w:val="it-IT" w:eastAsia="it-IT"/>
        </w:rPr>
      </w:pPr>
      <w:r w:rsidRPr="005372F8">
        <w:rPr>
          <w:rFonts w:eastAsia="Calibri" w:cs="Times New Roman"/>
          <w:caps/>
          <w:sz w:val="24"/>
          <w:szCs w:val="24"/>
          <w:lang w:val="it-IT" w:eastAsia="it-IT"/>
        </w:rPr>
        <w:lastRenderedPageBreak/>
        <w:t>3.</w:t>
      </w:r>
      <w:r w:rsidRPr="005372F8">
        <w:rPr>
          <w:rFonts w:eastAsia="Calibri" w:cs="Times New Roman"/>
          <w:caps/>
          <w:sz w:val="24"/>
          <w:szCs w:val="24"/>
          <w:lang w:val="it-IT" w:eastAsia="it-IT"/>
        </w:rPr>
        <w:tab/>
        <w:t>Considerazioni del Consiglio di Stato</w:t>
      </w:r>
    </w:p>
    <w:p w:rsidR="005372F8" w:rsidRPr="005372F8" w:rsidRDefault="005372F8" w:rsidP="005372F8">
      <w:pPr>
        <w:pStyle w:val="Titolo2"/>
        <w:numPr>
          <w:ilvl w:val="0"/>
          <w:numId w:val="0"/>
        </w:numPr>
        <w:tabs>
          <w:tab w:val="left" w:pos="567"/>
        </w:tabs>
        <w:spacing w:before="0" w:after="120"/>
        <w:jc w:val="both"/>
        <w:rPr>
          <w:rFonts w:eastAsia="Calibri" w:cs="Times New Roman"/>
          <w:sz w:val="24"/>
          <w:lang w:val="it-IT" w:eastAsia="it-IT"/>
        </w:rPr>
      </w:pPr>
      <w:r w:rsidRPr="005372F8">
        <w:rPr>
          <w:rFonts w:eastAsia="Calibri" w:cs="Times New Roman"/>
          <w:sz w:val="24"/>
          <w:lang w:val="it-IT" w:eastAsia="it-IT"/>
        </w:rPr>
        <w:t>3.1</w:t>
      </w:r>
      <w:r w:rsidRPr="005372F8">
        <w:rPr>
          <w:rFonts w:eastAsia="Calibri" w:cs="Times New Roman"/>
          <w:sz w:val="24"/>
          <w:lang w:val="it-IT" w:eastAsia="it-IT"/>
        </w:rPr>
        <w:tab/>
        <w:t>In generale</w:t>
      </w:r>
    </w:p>
    <w:p w:rsidR="005372F8" w:rsidRP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r w:rsidRPr="005372F8">
        <w:rPr>
          <w:rFonts w:asciiTheme="minorHAnsi" w:eastAsia="Times New Roman" w:hAnsiTheme="minorHAnsi" w:cstheme="minorHAnsi"/>
          <w:color w:val="000000"/>
          <w:sz w:val="24"/>
          <w:szCs w:val="24"/>
          <w:u w:color="000000"/>
          <w:bdr w:val="nil"/>
          <w:lang w:eastAsia="it-CH"/>
        </w:rPr>
        <w:t>Il Consiglio di Stato, t</w:t>
      </w:r>
      <w:r w:rsidRPr="005372F8">
        <w:rPr>
          <w:rFonts w:asciiTheme="minorHAnsi" w:eastAsia="Times New Roman" w:hAnsiTheme="minorHAnsi" w:cstheme="minorHAnsi"/>
          <w:color w:val="000000"/>
          <w:sz w:val="24"/>
          <w:szCs w:val="24"/>
          <w:u w:color="000000"/>
          <w:bdr w:val="nil"/>
          <w:lang w:val="it-IT" w:eastAsia="it-CH"/>
        </w:rPr>
        <w:t xml:space="preserve">ramite il </w:t>
      </w:r>
      <w:r w:rsidRPr="005372F8">
        <w:rPr>
          <w:rFonts w:asciiTheme="minorHAnsi" w:eastAsia="Times New Roman" w:hAnsiTheme="minorHAnsi" w:cstheme="minorHAnsi"/>
          <w:color w:val="000000"/>
          <w:sz w:val="24"/>
          <w:szCs w:val="24"/>
          <w:u w:color="000000"/>
          <w:bdr w:val="nil"/>
          <w:lang w:eastAsia="it-CH"/>
        </w:rPr>
        <w:t xml:space="preserve">suo </w:t>
      </w:r>
      <w:r w:rsidRPr="005372F8">
        <w:rPr>
          <w:rFonts w:asciiTheme="minorHAnsi" w:eastAsia="Times New Roman" w:hAnsiTheme="minorHAnsi" w:cstheme="minorHAnsi"/>
          <w:color w:val="000000"/>
          <w:sz w:val="24"/>
          <w:szCs w:val="24"/>
          <w:u w:color="000000"/>
          <w:bdr w:val="nil"/>
          <w:lang w:val="it-IT" w:eastAsia="it-CH"/>
        </w:rPr>
        <w:t>messaggio</w:t>
      </w:r>
      <w:r w:rsidRPr="005372F8">
        <w:rPr>
          <w:rFonts w:asciiTheme="minorHAnsi" w:eastAsia="Times New Roman" w:hAnsiTheme="minorHAnsi" w:cstheme="minorHAnsi"/>
          <w:color w:val="000000"/>
          <w:sz w:val="24"/>
          <w:szCs w:val="24"/>
          <w:u w:color="000000"/>
          <w:bdr w:val="nil"/>
          <w:lang w:eastAsia="it-CH"/>
        </w:rPr>
        <w:t xml:space="preserve"> n. 8480 del 21 agosto 2024</w:t>
      </w:r>
      <w:r w:rsidRPr="005372F8">
        <w:rPr>
          <w:rFonts w:asciiTheme="minorHAnsi" w:eastAsia="Times New Roman" w:hAnsiTheme="minorHAnsi" w:cstheme="minorHAnsi"/>
          <w:color w:val="000000"/>
          <w:sz w:val="24"/>
          <w:szCs w:val="24"/>
          <w:u w:color="000000"/>
          <w:bdr w:val="nil"/>
          <w:lang w:val="it-IT" w:eastAsia="it-CH"/>
        </w:rPr>
        <w:t xml:space="preserve">, sentito il Tribunale delle assicurazioni del Tribunale di appello, postula la modifica </w:t>
      </w:r>
      <w:r w:rsidRPr="005372F8">
        <w:rPr>
          <w:rFonts w:asciiTheme="minorHAnsi" w:eastAsia="Times New Roman" w:hAnsiTheme="minorHAnsi" w:cstheme="minorHAnsi"/>
          <w:color w:val="000000"/>
          <w:sz w:val="24"/>
          <w:szCs w:val="24"/>
          <w:u w:color="000000"/>
          <w:bdr w:val="nil"/>
          <w:lang w:eastAsia="it-CH"/>
        </w:rPr>
        <w:t xml:space="preserve">dell’articolo. 29 Lptca, </w:t>
      </w:r>
      <w:r w:rsidRPr="005372F8">
        <w:rPr>
          <w:rFonts w:asciiTheme="minorHAnsi" w:eastAsia="Times New Roman" w:hAnsiTheme="minorHAnsi" w:cstheme="minorHAnsi"/>
          <w:color w:val="000000"/>
          <w:sz w:val="24"/>
          <w:szCs w:val="24"/>
          <w:u w:color="000000"/>
          <w:bdr w:val="nil"/>
          <w:lang w:val="it-IT" w:eastAsia="it-CH"/>
        </w:rPr>
        <w:t>in quanto</w:t>
      </w:r>
      <w:r w:rsidRPr="005372F8">
        <w:rPr>
          <w:rFonts w:asciiTheme="minorHAnsi" w:eastAsia="Times New Roman" w:hAnsiTheme="minorHAnsi" w:cstheme="minorHAnsi"/>
          <w:color w:val="000000"/>
          <w:sz w:val="24"/>
          <w:szCs w:val="24"/>
          <w:u w:color="000000"/>
          <w:bdr w:val="nil"/>
          <w:lang w:eastAsia="it-CH"/>
        </w:rPr>
        <w:t xml:space="preserve"> l</w:t>
      </w:r>
      <w:r w:rsidRPr="005372F8">
        <w:rPr>
          <w:rFonts w:asciiTheme="minorHAnsi" w:eastAsia="Times New Roman" w:hAnsiTheme="minorHAnsi" w:cstheme="minorHAnsi"/>
          <w:color w:val="000000"/>
          <w:sz w:val="24"/>
          <w:szCs w:val="24"/>
          <w:u w:color="000000"/>
          <w:bdr w:val="nil"/>
          <w:lang w:val="it-IT" w:eastAsia="it-CH"/>
        </w:rPr>
        <w:t>a sua attuale formulazione non si concilia con il nuovo testo della LPGA entrato in vigore il 1. gennaio 2021 e non è altresì in linea con quanto sancito dall’Alta Corte circa la necessità di prevedere una base legale formale chiara ed esplicita per imporre le spese al di fuori del campo di applicazione dell’art. 61 lett. f</w:t>
      </w:r>
      <w:r w:rsidRPr="005372F8">
        <w:rPr>
          <w:rFonts w:asciiTheme="minorHAnsi" w:eastAsia="Times New Roman" w:hAnsiTheme="minorHAnsi" w:cstheme="minorHAnsi"/>
          <w:color w:val="000000"/>
          <w:sz w:val="24"/>
          <w:szCs w:val="24"/>
          <w:u w:color="000000"/>
          <w:bdr w:val="nil"/>
          <w:vertAlign w:val="superscript"/>
          <w:lang w:val="it-IT" w:eastAsia="it-CH"/>
        </w:rPr>
        <w:t>bis</w:t>
      </w:r>
      <w:r w:rsidRPr="005372F8">
        <w:rPr>
          <w:rFonts w:asciiTheme="minorHAnsi" w:eastAsia="Times New Roman" w:hAnsiTheme="minorHAnsi" w:cstheme="minorHAnsi"/>
          <w:color w:val="000000"/>
          <w:sz w:val="24"/>
          <w:szCs w:val="24"/>
          <w:u w:color="000000"/>
          <w:bdr w:val="nil"/>
          <w:lang w:val="it-IT" w:eastAsia="it-CH"/>
        </w:rPr>
        <w:t xml:space="preserve"> LPGA.</w:t>
      </w:r>
    </w:p>
    <w:p w:rsidR="005372F8" w:rsidRDefault="005372F8" w:rsidP="005372F8">
      <w:pPr>
        <w:pBdr>
          <w:top w:val="nil"/>
          <w:left w:val="nil"/>
          <w:bottom w:val="nil"/>
          <w:right w:val="nil"/>
          <w:between w:val="nil"/>
          <w:bar w:val="nil"/>
        </w:pBdr>
        <w:shd w:val="clear" w:color="auto" w:fill="FFFFFF"/>
        <w:ind w:right="187"/>
        <w:rPr>
          <w:rFonts w:asciiTheme="minorHAnsi" w:eastAsia="Arial" w:hAnsiTheme="minorHAnsi" w:cstheme="minorHAnsi"/>
          <w:b/>
          <w:bCs/>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shd w:val="clear" w:color="auto" w:fill="FFFFFF"/>
        <w:ind w:right="187"/>
        <w:rPr>
          <w:rFonts w:asciiTheme="minorHAnsi" w:eastAsia="Arial" w:hAnsiTheme="minorHAnsi" w:cstheme="minorHAnsi"/>
          <w:b/>
          <w:bCs/>
          <w:color w:val="000000"/>
          <w:sz w:val="24"/>
          <w:szCs w:val="24"/>
          <w:u w:color="000000"/>
          <w:bdr w:val="nil"/>
          <w:lang w:val="it-IT" w:eastAsia="it-CH"/>
        </w:rPr>
      </w:pPr>
    </w:p>
    <w:p w:rsidR="005372F8" w:rsidRPr="005372F8" w:rsidRDefault="005372F8" w:rsidP="005372F8">
      <w:pPr>
        <w:pStyle w:val="Titolo2"/>
        <w:numPr>
          <w:ilvl w:val="0"/>
          <w:numId w:val="0"/>
        </w:numPr>
        <w:tabs>
          <w:tab w:val="left" w:pos="567"/>
        </w:tabs>
        <w:spacing w:before="0" w:after="120"/>
        <w:jc w:val="both"/>
        <w:rPr>
          <w:rFonts w:eastAsia="Calibri" w:cs="Times New Roman"/>
          <w:sz w:val="24"/>
          <w:lang w:val="it-IT" w:eastAsia="it-IT"/>
        </w:rPr>
      </w:pPr>
      <w:r w:rsidRPr="005372F8">
        <w:rPr>
          <w:rFonts w:eastAsia="Calibri" w:cs="Times New Roman"/>
          <w:sz w:val="24"/>
          <w:lang w:val="it-IT" w:eastAsia="it-IT"/>
        </w:rPr>
        <w:t>3.2</w:t>
      </w:r>
      <w:r w:rsidRPr="005372F8">
        <w:rPr>
          <w:rFonts w:eastAsia="Calibri" w:cs="Times New Roman"/>
          <w:sz w:val="24"/>
          <w:lang w:val="it-IT" w:eastAsia="it-IT"/>
        </w:rPr>
        <w:tab/>
        <w:t>Commento all’iniziativa parlamentare</w:t>
      </w:r>
    </w:p>
    <w:p w:rsidR="005372F8" w:rsidRPr="005372F8" w:rsidRDefault="005372F8" w:rsidP="005372F8">
      <w:pPr>
        <w:pStyle w:val="Titolo3"/>
        <w:numPr>
          <w:ilvl w:val="0"/>
          <w:numId w:val="0"/>
        </w:numPr>
        <w:tabs>
          <w:tab w:val="left" w:pos="709"/>
        </w:tabs>
        <w:spacing w:after="120"/>
        <w:jc w:val="both"/>
        <w:rPr>
          <w:rFonts w:eastAsia="Calibri" w:cs="Times New Roman"/>
          <w:i/>
          <w:sz w:val="23"/>
          <w:szCs w:val="23"/>
          <w:lang w:val="it-IT" w:eastAsia="it-IT"/>
        </w:rPr>
      </w:pPr>
      <w:r w:rsidRPr="005372F8">
        <w:rPr>
          <w:rFonts w:eastAsia="Calibri" w:cs="Times New Roman"/>
          <w:i/>
          <w:sz w:val="23"/>
          <w:szCs w:val="23"/>
          <w:lang w:val="it-IT" w:eastAsia="it-IT"/>
        </w:rPr>
        <w:t xml:space="preserve">Capoversi 1 e 2 </w:t>
      </w:r>
    </w:p>
    <w:p w:rsidR="005372F8" w:rsidRPr="005372F8" w:rsidRDefault="005372F8" w:rsidP="005372F8">
      <w:pPr>
        <w:pBdr>
          <w:top w:val="nil"/>
          <w:left w:val="nil"/>
          <w:bottom w:val="nil"/>
          <w:right w:val="nil"/>
          <w:between w:val="nil"/>
          <w:bar w:val="nil"/>
        </w:pBdr>
        <w:tabs>
          <w:tab w:val="left" w:pos="540"/>
        </w:tabs>
        <w:rPr>
          <w:rFonts w:asciiTheme="minorHAnsi" w:eastAsia="Arial Unicode MS" w:hAnsiTheme="minorHAnsi" w:cstheme="minorHAnsi"/>
          <w:color w:val="000000"/>
          <w:sz w:val="24"/>
          <w:szCs w:val="24"/>
          <w:u w:color="000000"/>
          <w:bdr w:val="nil"/>
          <w:lang w:val="it-IT" w:eastAsia="it-CH"/>
        </w:rPr>
      </w:pPr>
      <w:r w:rsidRPr="005372F8">
        <w:rPr>
          <w:rFonts w:asciiTheme="minorHAnsi" w:eastAsia="Arial Unicode MS" w:hAnsiTheme="minorHAnsi" w:cstheme="minorHAnsi"/>
          <w:color w:val="000000"/>
          <w:sz w:val="24"/>
          <w:szCs w:val="24"/>
          <w:u w:color="000000"/>
          <w:bdr w:val="nil"/>
          <w:lang w:val="it-IT" w:eastAsia="it-CH"/>
        </w:rPr>
        <w:t>L’iniziativa parlamentare propone un nuovo articolo 29 Lptca “Spese processuali” in sostituzione dell’attuale “Gratuità della procedura. Eccezione. Temerarietà”. Esso sancisce al capoverso 1 il principio dell’applicazione da parte del Tribunale di una tassa di giustizia,</w:t>
      </w:r>
      <w:r w:rsidRPr="005372F8">
        <w:rPr>
          <w:rFonts w:asciiTheme="minorHAnsi" w:eastAsia="Arial Unicode MS" w:hAnsiTheme="minorHAnsi" w:cstheme="minorHAnsi"/>
          <w:color w:val="000000"/>
          <w:sz w:val="24"/>
          <w:szCs w:val="24"/>
          <w:u w:color="000000"/>
          <w:bdr w:val="nil"/>
          <w:lang w:eastAsia="it-CH"/>
        </w:rPr>
        <w:t xml:space="preserve"> </w:t>
      </w:r>
      <w:r w:rsidRPr="005372F8">
        <w:rPr>
          <w:rFonts w:asciiTheme="minorHAnsi" w:eastAsia="Arial Unicode MS" w:hAnsiTheme="minorHAnsi" w:cstheme="minorHAnsi"/>
          <w:color w:val="000000"/>
          <w:sz w:val="24"/>
          <w:szCs w:val="24"/>
          <w:u w:color="000000"/>
          <w:bdr w:val="nil"/>
          <w:lang w:val="it-IT" w:eastAsia="it-CH"/>
        </w:rPr>
        <w:t>secondo i criteri fissati all’art. 49 cpv. 1 (recte: 47 cpv. 1) LPAmm per uguaglianza di trattamento tra le varie Camere del Tribunale di appello.</w:t>
      </w: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r w:rsidRPr="005372F8">
        <w:rPr>
          <w:rFonts w:asciiTheme="minorHAnsi" w:eastAsia="Arial Unicode MS" w:hAnsiTheme="minorHAnsi" w:cstheme="minorHAnsi"/>
          <w:color w:val="000000"/>
          <w:sz w:val="24"/>
          <w:szCs w:val="24"/>
          <w:u w:color="000000"/>
          <w:bdr w:val="nil"/>
          <w:lang w:val="it-IT" w:eastAsia="it-CH"/>
        </w:rPr>
        <w:t>È vero che in occasione della modifica della LPGA è stato modificato pure l’art. 85</w:t>
      </w:r>
      <w:r w:rsidRPr="005372F8">
        <w:rPr>
          <w:rFonts w:asciiTheme="minorHAnsi" w:eastAsia="Arial Unicode MS" w:hAnsiTheme="minorHAnsi" w:cstheme="minorHAnsi"/>
          <w:color w:val="000000"/>
          <w:sz w:val="24"/>
          <w:szCs w:val="24"/>
          <w:u w:color="000000"/>
          <w:bdr w:val="nil"/>
          <w:vertAlign w:val="superscript"/>
          <w:lang w:val="it-IT" w:eastAsia="it-CH"/>
        </w:rPr>
        <w:t>bis</w:t>
      </w:r>
      <w:r w:rsidRPr="005372F8">
        <w:rPr>
          <w:rFonts w:asciiTheme="minorHAnsi" w:eastAsia="Arial Unicode MS" w:hAnsiTheme="minorHAnsi" w:cstheme="minorHAnsi"/>
          <w:color w:val="000000"/>
          <w:sz w:val="24"/>
          <w:szCs w:val="24"/>
          <w:u w:color="000000"/>
          <w:bdr w:val="nil"/>
          <w:lang w:val="it-IT" w:eastAsia="it-CH"/>
        </w:rPr>
        <w:t xml:space="preserve"> LAVS (cfr. RU 2020 5137; </w:t>
      </w:r>
      <w:hyperlink r:id="rId11" w:history="1">
        <w:r w:rsidRPr="005372F8">
          <w:rPr>
            <w:rFonts w:asciiTheme="minorHAnsi" w:eastAsia="Arial Unicode MS" w:hAnsiTheme="minorHAnsi" w:cstheme="minorHAnsi"/>
            <w:color w:val="000000"/>
            <w:sz w:val="24"/>
            <w:szCs w:val="24"/>
            <w:u w:color="000000"/>
            <w:bdr w:val="nil"/>
            <w:lang w:val="it-IT" w:eastAsia="it-CH"/>
          </w:rPr>
          <w:t>FF 2018 1303</w:t>
        </w:r>
      </w:hyperlink>
      <w:r w:rsidRPr="005372F8">
        <w:rPr>
          <w:rFonts w:asciiTheme="minorHAnsi" w:eastAsia="Arial Unicode MS" w:hAnsiTheme="minorHAnsi" w:cstheme="minorHAnsi"/>
          <w:color w:val="000000"/>
          <w:sz w:val="24"/>
          <w:szCs w:val="24"/>
          <w:u w:color="000000"/>
          <w:bdr w:val="nil"/>
          <w:lang w:val="it-IT" w:eastAsia="it-CH"/>
        </w:rPr>
        <w:t>), che concerne i ricorsi di persone residenti all’estero davanti al Tribunale amministrativo federale. Tale norma prevede infatti che “</w:t>
      </w:r>
      <w:r w:rsidRPr="005372F8">
        <w:rPr>
          <w:rFonts w:asciiTheme="minorHAnsi" w:eastAsia="Arial Unicode MS" w:hAnsiTheme="minorHAnsi" w:cstheme="minorHAnsi"/>
          <w:i/>
          <w:iCs/>
          <w:color w:val="000000"/>
          <w:sz w:val="24"/>
          <w:szCs w:val="24"/>
          <w:u w:color="000000"/>
          <w:bdr w:val="nil"/>
          <w:lang w:val="it-IT" w:eastAsia="it-CH"/>
        </w:rPr>
        <w:t>In caso di controversie relative a prestazioni, la procedura è gratuita per le parti; tuttavia, le spese possono essere accollate alla parte che procede in modo temerario o sconsiderato. In caso di controversie di altro genere, le spese processuali sono rette dall’articolo 63 della legge federale del 20 dicembre 1968 sulla procedura amministrativa</w:t>
      </w:r>
      <w:r w:rsidRPr="005372F8">
        <w:rPr>
          <w:rFonts w:asciiTheme="minorHAnsi" w:eastAsia="Arial Unicode MS" w:hAnsiTheme="minorHAnsi" w:cstheme="minorHAnsi"/>
          <w:color w:val="000000"/>
          <w:sz w:val="24"/>
          <w:szCs w:val="24"/>
          <w:u w:color="000000"/>
          <w:bdr w:val="nil"/>
          <w:lang w:val="it-IT" w:eastAsia="it-CH"/>
        </w:rPr>
        <w:t>” (cpv. 2). Quest’ultima legislazione stabilisce all’art. 63 cpv. 4</w:t>
      </w:r>
      <w:r w:rsidRPr="005372F8">
        <w:rPr>
          <w:rFonts w:asciiTheme="minorHAnsi" w:eastAsia="Arial Unicode MS" w:hAnsiTheme="minorHAnsi" w:cstheme="minorHAnsi"/>
          <w:color w:val="000000"/>
          <w:sz w:val="24"/>
          <w:szCs w:val="24"/>
          <w:u w:color="000000"/>
          <w:bdr w:val="nil"/>
          <w:vertAlign w:val="superscript"/>
          <w:lang w:val="it-IT" w:eastAsia="it-CH"/>
        </w:rPr>
        <w:t>bis</w:t>
      </w:r>
      <w:r w:rsidRPr="005372F8">
        <w:rPr>
          <w:rFonts w:asciiTheme="minorHAnsi" w:eastAsia="Arial Unicode MS" w:hAnsiTheme="minorHAnsi" w:cstheme="minorHAnsi"/>
          <w:color w:val="000000"/>
          <w:sz w:val="24"/>
          <w:szCs w:val="24"/>
          <w:u w:color="000000"/>
          <w:bdr w:val="nil"/>
          <w:lang w:val="it-IT" w:eastAsia="it-CH"/>
        </w:rPr>
        <w:t xml:space="preserve"> che la tassa di decisione è stabilita in funzione dell’ampiezza e della difficoltà della causa, del modo di condotta processuale e della situazione finanziaria delle parti. Il suo importo può variare da 100.-- a 5'000.-- franchi nelle controversie senza interesse pecuniario (lett. a) e da 100.-- a 50'000.-- franchi nelle altre controversie (lett. b). </w:t>
      </w: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tabs>
          <w:tab w:val="left" w:pos="540"/>
        </w:tabs>
        <w:rPr>
          <w:rFonts w:asciiTheme="minorHAnsi" w:eastAsia="Arial Unicode MS" w:hAnsiTheme="minorHAnsi" w:cstheme="minorHAnsi"/>
          <w:color w:val="000000"/>
          <w:sz w:val="24"/>
          <w:szCs w:val="24"/>
          <w:u w:color="000000"/>
          <w:bdr w:val="nil"/>
          <w:shd w:val="clear" w:color="auto" w:fill="FFFFFF"/>
          <w:lang w:val="it-IT" w:eastAsia="it-CH"/>
          <w14:textOutline w14:w="0" w14:cap="flat" w14:cmpd="sng" w14:algn="ctr">
            <w14:noFill/>
            <w14:prstDash w14:val="solid"/>
            <w14:bevel/>
          </w14:textOutline>
        </w:rPr>
      </w:pPr>
      <w:r w:rsidRPr="005372F8">
        <w:rPr>
          <w:rFonts w:asciiTheme="minorHAnsi" w:eastAsia="Arial Unicode MS" w:hAnsiTheme="minorHAnsi" w:cstheme="minorHAnsi"/>
          <w:color w:val="000000"/>
          <w:sz w:val="24"/>
          <w:szCs w:val="24"/>
          <w:u w:color="000000"/>
          <w:bdr w:val="nil"/>
          <w:lang w:val="it-IT" w:eastAsia="it-CH"/>
          <w14:textOutline w14:w="0" w14:cap="flat" w14:cmpd="sng" w14:algn="ctr">
            <w14:noFill/>
            <w14:prstDash w14:val="solid"/>
            <w14:bevel/>
          </w14:textOutline>
        </w:rPr>
        <w:t xml:space="preserve">Il Consiglio di Stato, sentito anche il Tribunale interessato, ritiene comunque che la proposta contenuta nell’iniziativa parlamentare non tenga conto sufficientemente del fatto che la procedura di ricorso in materia di assicurazioni sociali, a livello cantonale deve essere strutturata in modo da tutelare la parte più debole (cfr. STF 9C_402/2022 del 14 novembre 2022 consid. </w:t>
      </w:r>
      <w:r w:rsidRPr="005372F8">
        <w:rPr>
          <w:rFonts w:asciiTheme="minorHAnsi" w:eastAsia="Arial Unicode MS" w:hAnsiTheme="minorHAnsi" w:cstheme="minorHAnsi"/>
          <w:color w:val="000000"/>
          <w:sz w:val="24"/>
          <w:szCs w:val="24"/>
          <w:u w:color="000000"/>
          <w:bdr w:val="nil"/>
          <w:lang w:val="de-DE" w:eastAsia="it-CH"/>
          <w14:textOutline w14:w="0" w14:cap="flat" w14:cmpd="sng" w14:algn="ctr">
            <w14:noFill/>
            <w14:prstDash w14:val="solid"/>
            <w14:bevel/>
          </w14:textOutline>
        </w:rPr>
        <w:t>4.2: “</w:t>
      </w:r>
      <w:r w:rsidRPr="005372F8">
        <w:rPr>
          <w:rFonts w:asciiTheme="minorHAnsi" w:eastAsia="Arial Unicode MS" w:hAnsiTheme="minorHAnsi" w:cstheme="minorHAnsi"/>
          <w:i/>
          <w:iCs/>
          <w:color w:val="000000"/>
          <w:sz w:val="24"/>
          <w:szCs w:val="24"/>
          <w:u w:color="000000"/>
          <w:bdr w:val="nil"/>
          <w:shd w:val="clear" w:color="auto" w:fill="FFFFFF"/>
          <w:lang w:val="de-DE" w:eastAsia="it-CH"/>
          <w14:textOutline w14:w="0" w14:cap="flat" w14:cmpd="sng" w14:algn="ctr">
            <w14:noFill/>
            <w14:prstDash w14:val="solid"/>
            <w14:bevel/>
          </w14:textOutline>
        </w:rPr>
        <w:t>die im kantonalen Verfahren sozial schwächere Partei - die versicherte Person - zu schützen</w:t>
      </w:r>
      <w:r w:rsidRPr="005372F8">
        <w:rPr>
          <w:rFonts w:asciiTheme="minorHAnsi" w:eastAsia="Arial Unicode MS" w:hAnsiTheme="minorHAnsi" w:cstheme="minorHAnsi"/>
          <w:color w:val="000000"/>
          <w:sz w:val="24"/>
          <w:szCs w:val="24"/>
          <w:u w:color="000000"/>
          <w:bdr w:val="nil"/>
          <w:shd w:val="clear" w:color="auto" w:fill="FFFFFF"/>
          <w:lang w:val="de-DE" w:eastAsia="it-CH"/>
          <w14:textOutline w14:w="0" w14:cap="flat" w14:cmpd="sng" w14:algn="ctr">
            <w14:noFill/>
            <w14:prstDash w14:val="solid"/>
            <w14:bevel/>
          </w14:textOutline>
        </w:rPr>
        <w:t xml:space="preserve">”). </w:t>
      </w:r>
      <w:r w:rsidRPr="005372F8">
        <w:rPr>
          <w:rFonts w:asciiTheme="minorHAnsi" w:eastAsia="Arial Unicode MS" w:hAnsiTheme="minorHAnsi" w:cstheme="minorHAnsi"/>
          <w:color w:val="000000"/>
          <w:sz w:val="24"/>
          <w:szCs w:val="24"/>
          <w:u w:color="000000"/>
          <w:bdr w:val="nil"/>
          <w:shd w:val="clear" w:color="auto" w:fill="FFFFFF"/>
          <w:lang w:val="it-IT" w:eastAsia="it-CH"/>
          <w14:textOutline w14:w="0" w14:cap="flat" w14:cmpd="sng" w14:algn="ctr">
            <w14:noFill/>
            <w14:prstDash w14:val="solid"/>
            <w14:bevel/>
          </w14:textOutline>
        </w:rPr>
        <w:t xml:space="preserve">Per questo motivo, del resto, tale procedura è sempre stata gratuita per tutte le controversie, salvo eccezioni (cfr. Messaggio 6049 del 1° aprile 2008 concernente la Revisione della legge di procedura per le cause davanti al Tribunale cantonale delle assicurazioni del 6 aprile 1961, pag. 7 e relativo Rapporto della Commissione della legislazione </w:t>
      </w:r>
      <w:r w:rsidRPr="005372F8">
        <w:rPr>
          <w:rFonts w:asciiTheme="minorHAnsi" w:eastAsia="Arial Unicode MS" w:hAnsiTheme="minorHAnsi" w:cstheme="minorHAnsi"/>
          <w:color w:val="000000"/>
          <w:sz w:val="24"/>
          <w:szCs w:val="24"/>
          <w:u w:color="000000"/>
          <w:bdr w:val="nil"/>
          <w:lang w:val="it-IT" w:eastAsia="it-CH"/>
          <w14:textOutline w14:w="0" w14:cap="flat" w14:cmpd="sng" w14:algn="ctr">
            <w14:noFill/>
            <w14:prstDash w14:val="solid"/>
            <w14:bevel/>
          </w14:textOutline>
        </w:rPr>
        <w:t>dell’11 giugno 2008 pag. 2 e 3, nel quale viene anche precisato che</w:t>
      </w:r>
      <w:r w:rsidRPr="005372F8">
        <w:rPr>
          <w:rFonts w:asciiTheme="minorHAnsi" w:eastAsia="Arial Unicode MS" w:hAnsiTheme="minorHAnsi" w:cstheme="minorHAnsi"/>
          <w:color w:val="000000"/>
          <w:sz w:val="24"/>
          <w:szCs w:val="24"/>
          <w:u w:color="000000"/>
          <w:bdr w:val="nil"/>
          <w:shd w:val="clear" w:color="auto" w:fill="FFFFFF"/>
          <w:lang w:val="it-IT" w:eastAsia="it-CH"/>
          <w14:textOutline w14:w="0" w14:cap="flat" w14:cmpd="sng" w14:algn="ctr">
            <w14:noFill/>
            <w14:prstDash w14:val="solid"/>
            <w14:bevel/>
          </w14:textOutline>
        </w:rPr>
        <w:t xml:space="preserve"> “</w:t>
      </w:r>
      <w:r w:rsidRPr="005372F8">
        <w:rPr>
          <w:rFonts w:asciiTheme="minorHAnsi" w:eastAsia="Arial Unicode MS" w:hAnsiTheme="minorHAnsi" w:cstheme="minorHAnsi"/>
          <w:i/>
          <w:iCs/>
          <w:color w:val="000000"/>
          <w:sz w:val="24"/>
          <w:szCs w:val="24"/>
          <w:u w:color="000000"/>
          <w:bdr w:val="nil"/>
          <w:shd w:val="clear" w:color="auto" w:fill="FFFFFF"/>
          <w:lang w:val="it-IT" w:eastAsia="it-CH"/>
          <w14:textOutline w14:w="0" w14:cap="flat" w14:cmpd="sng" w14:algn="ctr">
            <w14:noFill/>
            <w14:prstDash w14:val="solid"/>
            <w14:bevel/>
          </w14:textOutline>
        </w:rPr>
        <w:t>il TCA ha instaurato una prassi secondo cui non appena riceve un ricorso informa le parti di questa disposizione relativa alle spese”</w:t>
      </w:r>
      <w:r w:rsidRPr="005372F8">
        <w:rPr>
          <w:rFonts w:asciiTheme="minorHAnsi" w:eastAsia="Arial Unicode MS" w:hAnsiTheme="minorHAnsi" w:cstheme="minorHAnsi"/>
          <w:color w:val="000000"/>
          <w:sz w:val="24"/>
          <w:szCs w:val="24"/>
          <w:u w:color="000000"/>
          <w:bdr w:val="nil"/>
          <w:shd w:val="clear" w:color="auto" w:fill="FFFFFF"/>
          <w:lang w:val="it-IT" w:eastAsia="it-CH"/>
          <w14:textOutline w14:w="0" w14:cap="flat" w14:cmpd="sng" w14:algn="ctr">
            <w14:noFill/>
            <w14:prstDash w14:val="solid"/>
            <w14:bevel/>
          </w14:textOutline>
        </w:rPr>
        <w:t>).</w:t>
      </w:r>
    </w:p>
    <w:p w:rsidR="005372F8" w:rsidRPr="005372F8" w:rsidRDefault="005372F8" w:rsidP="005372F8">
      <w:pPr>
        <w:pBdr>
          <w:top w:val="nil"/>
          <w:left w:val="nil"/>
          <w:bottom w:val="nil"/>
          <w:right w:val="nil"/>
          <w:between w:val="nil"/>
          <w:bar w:val="nil"/>
        </w:pBdr>
        <w:tabs>
          <w:tab w:val="left" w:pos="540"/>
        </w:tabs>
        <w:rPr>
          <w:rFonts w:asciiTheme="minorHAnsi" w:eastAsia="Arial Unicode MS" w:hAnsiTheme="minorHAnsi" w:cstheme="minorHAnsi"/>
          <w:color w:val="000000"/>
          <w:sz w:val="24"/>
          <w:szCs w:val="24"/>
          <w:u w:color="000000"/>
          <w:bdr w:val="nil"/>
          <w:shd w:val="clear" w:color="auto" w:fill="FFFFFF"/>
          <w:lang w:val="it-IT" w:eastAsia="it-CH"/>
          <w14:textOutline w14:w="0" w14:cap="flat" w14:cmpd="sng" w14:algn="ctr">
            <w14:noFill/>
            <w14:prstDash w14:val="solid"/>
            <w14:bevel/>
          </w14:textOutline>
        </w:rPr>
      </w:pPr>
    </w:p>
    <w:p w:rsidR="005372F8" w:rsidRPr="005372F8" w:rsidRDefault="005372F8" w:rsidP="005372F8">
      <w:pPr>
        <w:pBdr>
          <w:top w:val="nil"/>
          <w:left w:val="nil"/>
          <w:bottom w:val="nil"/>
          <w:right w:val="nil"/>
          <w:between w:val="nil"/>
          <w:bar w:val="nil"/>
        </w:pBdr>
        <w:tabs>
          <w:tab w:val="left" w:pos="540"/>
        </w:tabs>
        <w:rPr>
          <w:rFonts w:asciiTheme="minorHAnsi" w:eastAsia="Arial Unicode MS" w:hAnsiTheme="minorHAnsi" w:cstheme="minorHAnsi"/>
          <w:color w:val="000000"/>
          <w:sz w:val="24"/>
          <w:szCs w:val="24"/>
          <w:u w:color="000000"/>
          <w:bdr w:val="nil"/>
          <w:lang w:val="it-IT" w:eastAsia="it-CH"/>
          <w14:textOutline w14:w="0" w14:cap="flat" w14:cmpd="sng" w14:algn="ctr">
            <w14:noFill/>
            <w14:prstDash w14:val="solid"/>
            <w14:bevel/>
          </w14:textOutline>
        </w:rPr>
      </w:pPr>
      <w:r w:rsidRPr="005372F8">
        <w:rPr>
          <w:rFonts w:asciiTheme="minorHAnsi" w:eastAsia="Arial Unicode MS" w:hAnsiTheme="minorHAnsi" w:cstheme="minorHAnsi"/>
          <w:color w:val="000000"/>
          <w:sz w:val="24"/>
          <w:szCs w:val="24"/>
          <w:u w:color="000000"/>
          <w:bdr w:val="nil"/>
          <w:shd w:val="clear" w:color="auto" w:fill="FFFFFF"/>
          <w:lang w:val="it-IT" w:eastAsia="it-CH"/>
          <w14:textOutline w14:w="0" w14:cap="flat" w14:cmpd="sng" w14:algn="ctr">
            <w14:noFill/>
            <w14:prstDash w14:val="solid"/>
            <w14:bevel/>
          </w14:textOutline>
        </w:rPr>
        <w:t xml:space="preserve">Alle procedure in futuro soggette a spese non appartengono soltanto quelle relative all’art. 52 LAVS, bensì anche tutte le altre concernenti gli aspetti contributivi (ad esempio: assoggettamento alla LAVS, alla LAMal e alla LAINF oppure l’importo dei contributi AVS/AI/IPG/AD o ancora qualifica di un’attività lucrativa quale dipendente o indipendente </w:t>
      </w:r>
      <w:r w:rsidRPr="005372F8">
        <w:rPr>
          <w:rFonts w:asciiTheme="minorHAnsi" w:eastAsia="Arial Unicode MS" w:hAnsiTheme="minorHAnsi" w:cstheme="minorHAnsi"/>
          <w:color w:val="000000"/>
          <w:sz w:val="24"/>
          <w:szCs w:val="24"/>
          <w:u w:color="000000"/>
          <w:bdr w:val="nil"/>
          <w:shd w:val="clear" w:color="auto" w:fill="FFFFFF"/>
          <w:lang w:val="it-IT" w:eastAsia="it-CH"/>
          <w14:textOutline w14:w="0" w14:cap="flat" w14:cmpd="sng" w14:algn="ctr">
            <w14:noFill/>
            <w14:prstDash w14:val="solid"/>
            <w14:bevel/>
          </w14:textOutline>
        </w:rPr>
        <w:lastRenderedPageBreak/>
        <w:t xml:space="preserve">o controversie sui premi di cassa malati). </w:t>
      </w:r>
      <w:r w:rsidRPr="005372F8">
        <w:rPr>
          <w:rFonts w:asciiTheme="minorHAnsi" w:eastAsia="Arial Unicode MS" w:hAnsiTheme="minorHAnsi" w:cstheme="minorHAnsi"/>
          <w:color w:val="000000"/>
          <w:sz w:val="24"/>
          <w:szCs w:val="24"/>
          <w:u w:color="000000"/>
          <w:bdr w:val="nil"/>
          <w:lang w:val="it-IT" w:eastAsia="it-CH"/>
          <w14:textOutline w14:w="0" w14:cap="flat" w14:cmpd="sng" w14:algn="ctr">
            <w14:noFill/>
            <w14:prstDash w14:val="solid"/>
            <w14:bevel/>
          </w14:textOutline>
        </w:rPr>
        <w:t>D’altra parte non va dimenticato che la procedura in precedenza era gratuita.</w:t>
      </w:r>
      <w:r w:rsidRPr="005372F8">
        <w:rPr>
          <w:rFonts w:asciiTheme="minorHAnsi" w:eastAsia="Arial Unicode MS" w:hAnsiTheme="minorHAnsi" w:cstheme="minorHAnsi"/>
          <w:color w:val="000000"/>
          <w:sz w:val="24"/>
          <w:szCs w:val="24"/>
          <w:u w:color="000000"/>
          <w:bdr w:val="nil"/>
          <w:shd w:val="clear" w:color="auto" w:fill="FFFFFF"/>
          <w:lang w:val="it-IT" w:eastAsia="it-CH"/>
          <w14:textOutline w14:w="0" w14:cap="flat" w14:cmpd="sng" w14:algn="ctr">
            <w14:noFill/>
            <w14:prstDash w14:val="solid"/>
            <w14:bevel/>
          </w14:textOutline>
        </w:rPr>
        <w:t xml:space="preserve"> </w:t>
      </w:r>
      <w:r w:rsidRPr="005372F8">
        <w:rPr>
          <w:rFonts w:asciiTheme="minorHAnsi" w:eastAsia="Arial Unicode MS" w:hAnsiTheme="minorHAnsi" w:cstheme="minorHAnsi"/>
          <w:color w:val="000000"/>
          <w:sz w:val="24"/>
          <w:szCs w:val="24"/>
          <w:u w:color="000000"/>
          <w:bdr w:val="nil"/>
          <w:lang w:val="it-IT" w:eastAsia="it-CH"/>
          <w14:textOutline w14:w="0" w14:cap="flat" w14:cmpd="sng" w14:algn="ctr">
            <w14:noFill/>
            <w14:prstDash w14:val="solid"/>
            <w14:bevel/>
          </w14:textOutline>
        </w:rPr>
        <w:t>Tuttora gratuite sono moltissime controversie relative alle prestazioni (tra le quali, secondo la giurisprudenza federale, appartengono</w:t>
      </w:r>
      <w:r w:rsidRPr="005372F8">
        <w:rPr>
          <w:rFonts w:asciiTheme="minorHAnsi" w:eastAsia="Arial Unicode MS" w:hAnsiTheme="minorHAnsi" w:cstheme="minorHAnsi"/>
          <w:color w:val="000000"/>
          <w:sz w:val="24"/>
          <w:szCs w:val="24"/>
          <w:u w:color="000000"/>
          <w:bdr w:val="nil"/>
          <w:shd w:val="clear" w:color="auto" w:fill="FFFFFF"/>
          <w:lang w:val="it-IT" w:eastAsia="it-CH"/>
          <w14:textOutline w14:w="0" w14:cap="flat" w14:cmpd="sng" w14:algn="ctr">
            <w14:noFill/>
            <w14:prstDash w14:val="solid"/>
            <w14:bevel/>
          </w14:textOutline>
        </w:rPr>
        <w:t xml:space="preserve"> quelle relative alla restituzione di prestazioni indebitamente ottenute) che costituiscono l’oggetto principale dei ricorsi inoltrati presso il Tribunale cantonale delle assicurazioni. È utile sottolineare</w:t>
      </w:r>
      <w:r w:rsidRPr="005372F8">
        <w:rPr>
          <w:rFonts w:asciiTheme="minorHAnsi" w:eastAsia="Arial Unicode MS" w:hAnsiTheme="minorHAnsi" w:cstheme="minorHAnsi"/>
          <w:color w:val="000000"/>
          <w:sz w:val="24"/>
          <w:szCs w:val="24"/>
          <w:u w:color="000000"/>
          <w:bdr w:val="nil"/>
          <w:lang w:val="it-IT" w:eastAsia="it-CH"/>
          <w14:textOutline w14:w="0" w14:cap="flat" w14:cmpd="sng" w14:algn="ctr">
            <w14:noFill/>
            <w14:prstDash w14:val="solid"/>
            <w14:bevel/>
          </w14:textOutline>
        </w:rPr>
        <w:t xml:space="preserve"> pure che a livello cantonale vi è un’unica autorità di ricorso. Si propone dunque di fissare in modo generalizzato l’importo delle spese tra fr. 200.-- e 1’000.--.</w:t>
      </w:r>
    </w:p>
    <w:p w:rsidR="005372F8" w:rsidRPr="005372F8" w:rsidRDefault="005372F8" w:rsidP="005372F8">
      <w:pPr>
        <w:pBdr>
          <w:top w:val="nil"/>
          <w:left w:val="nil"/>
          <w:bottom w:val="nil"/>
          <w:right w:val="nil"/>
          <w:between w:val="nil"/>
          <w:bar w:val="nil"/>
        </w:pBdr>
        <w:tabs>
          <w:tab w:val="left" w:pos="540"/>
        </w:tabs>
        <w:rPr>
          <w:rFonts w:asciiTheme="minorHAnsi" w:eastAsia="Arial Unicode MS" w:hAnsiTheme="minorHAnsi" w:cstheme="minorHAnsi"/>
          <w:color w:val="000000"/>
          <w:sz w:val="24"/>
          <w:szCs w:val="24"/>
          <w:u w:color="000000"/>
          <w:bdr w:val="nil"/>
          <w:lang w:val="it-IT" w:eastAsia="it-CH"/>
          <w14:textOutline w14:w="0" w14:cap="flat" w14:cmpd="sng" w14:algn="ctr">
            <w14:noFill/>
            <w14:prstDash w14:val="solid"/>
            <w14:bevel/>
          </w14:textOutline>
        </w:rPr>
      </w:pPr>
    </w:p>
    <w:p w:rsidR="005372F8" w:rsidRPr="005372F8" w:rsidRDefault="005372F8" w:rsidP="005372F8">
      <w:pPr>
        <w:pStyle w:val="Titolo3"/>
        <w:numPr>
          <w:ilvl w:val="0"/>
          <w:numId w:val="0"/>
        </w:numPr>
        <w:tabs>
          <w:tab w:val="left" w:pos="709"/>
        </w:tabs>
        <w:spacing w:after="120"/>
        <w:jc w:val="both"/>
        <w:rPr>
          <w:rFonts w:eastAsia="Calibri" w:cs="Times New Roman"/>
          <w:i/>
          <w:sz w:val="23"/>
          <w:szCs w:val="23"/>
          <w:lang w:val="it-IT" w:eastAsia="it-IT"/>
        </w:rPr>
      </w:pPr>
      <w:r w:rsidRPr="005372F8">
        <w:rPr>
          <w:rFonts w:eastAsia="Calibri" w:cs="Times New Roman"/>
          <w:i/>
          <w:sz w:val="23"/>
          <w:szCs w:val="23"/>
          <w:lang w:val="it-IT" w:eastAsia="it-IT"/>
        </w:rPr>
        <w:t>Capoversi 3 e 4</w:t>
      </w: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r w:rsidRPr="005372F8">
        <w:rPr>
          <w:rFonts w:asciiTheme="minorHAnsi" w:eastAsia="Arial Unicode MS" w:hAnsiTheme="minorHAnsi" w:cstheme="minorHAnsi"/>
          <w:color w:val="000000"/>
          <w:sz w:val="24"/>
          <w:szCs w:val="24"/>
          <w:u w:color="000000"/>
          <w:bdr w:val="nil"/>
          <w:lang w:val="it-IT" w:eastAsia="it-CH"/>
        </w:rPr>
        <w:t xml:space="preserve">Il Consiglio di Stato non ritiene necessario introdurre nella Lptca un capoverso specifico sulla solidarietà tra più persone per quel che concerne le spese (vedi cpv. 3 dell’iniziativa). Le spese processuali al </w:t>
      </w:r>
      <w:r w:rsidRPr="005372F8">
        <w:rPr>
          <w:rFonts w:asciiTheme="minorHAnsi" w:eastAsia="Arial Unicode MS" w:hAnsiTheme="minorHAnsi" w:cstheme="minorHAnsi"/>
          <w:color w:val="000000"/>
          <w:sz w:val="24"/>
          <w:szCs w:val="24"/>
          <w:u w:color="000000"/>
          <w:bdr w:val="nil"/>
          <w:shd w:val="clear" w:color="auto" w:fill="FFFFFF"/>
          <w:lang w:val="it-IT" w:eastAsia="it-CH"/>
        </w:rPr>
        <w:t>Tribunale cantonale delle assicurazioni</w:t>
      </w:r>
      <w:r w:rsidRPr="005372F8">
        <w:rPr>
          <w:rFonts w:asciiTheme="minorHAnsi" w:eastAsia="Arial Unicode MS" w:hAnsiTheme="minorHAnsi" w:cstheme="minorHAnsi"/>
          <w:color w:val="000000"/>
          <w:sz w:val="24"/>
          <w:szCs w:val="24"/>
          <w:u w:color="000000"/>
          <w:bdr w:val="nil"/>
          <w:lang w:val="it-IT" w:eastAsia="it-CH"/>
        </w:rPr>
        <w:t xml:space="preserve"> vengono infatti fissate individualmente alla parte soccombente.</w:t>
      </w: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r w:rsidRPr="005372F8">
        <w:rPr>
          <w:rFonts w:asciiTheme="minorHAnsi" w:eastAsia="Arial Unicode MS" w:hAnsiTheme="minorHAnsi" w:cstheme="minorHAnsi"/>
          <w:color w:val="000000"/>
          <w:sz w:val="24"/>
          <w:szCs w:val="24"/>
          <w:u w:color="000000"/>
          <w:bdr w:val="nil"/>
          <w:lang w:val="it-IT" w:eastAsia="it-CH"/>
        </w:rPr>
        <w:t>Il capoverso 4 proposto con l’iniziativa ha lo scopo di permettere di esigere dal ricorrente non dimorante in Ticino un adeguato anticipo a titolo di garanzia per le spese processuali presunte, con la comminatoria che in caso di mancato pagamento nel termine assegnato – non sospeso da ferie – il ricorso è irricevibile. Non si ritiene necessario introdurre l’anticipo spese soltanto per certi assicurati.</w:t>
      </w: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r w:rsidRPr="005372F8">
        <w:rPr>
          <w:rFonts w:asciiTheme="minorHAnsi" w:eastAsia="Arial Unicode MS" w:hAnsiTheme="minorHAnsi" w:cstheme="minorHAnsi"/>
          <w:color w:val="000000"/>
          <w:sz w:val="24"/>
          <w:szCs w:val="24"/>
          <w:u w:color="000000"/>
          <w:bdr w:val="nil"/>
          <w:lang w:val="it-IT" w:eastAsia="it-CH"/>
        </w:rPr>
        <w:t>In questo contesto, il Consiglio di Stato sottolinea che l’art. 31 Lptca rinvia già ora a titolo sussidiario alla legge cantonale di procedura per le cause amministrative (cfr. in particolare gli art. 47 cpv. 2 e cpv. 3 LPAmm).</w:t>
      </w: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Style w:val="Titolo3"/>
        <w:numPr>
          <w:ilvl w:val="0"/>
          <w:numId w:val="0"/>
        </w:numPr>
        <w:tabs>
          <w:tab w:val="left" w:pos="709"/>
        </w:tabs>
        <w:spacing w:after="120"/>
        <w:jc w:val="both"/>
        <w:rPr>
          <w:rFonts w:eastAsia="Calibri" w:cs="Times New Roman"/>
          <w:i/>
          <w:sz w:val="23"/>
          <w:szCs w:val="23"/>
          <w:lang w:val="it-IT" w:eastAsia="it-IT"/>
        </w:rPr>
      </w:pPr>
      <w:r w:rsidRPr="005372F8">
        <w:rPr>
          <w:rFonts w:eastAsia="Calibri" w:cs="Times New Roman"/>
          <w:i/>
          <w:sz w:val="23"/>
          <w:szCs w:val="23"/>
          <w:lang w:val="it-IT" w:eastAsia="it-IT"/>
        </w:rPr>
        <w:t>Capoverso 5</w:t>
      </w: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r w:rsidRPr="005372F8">
        <w:rPr>
          <w:rFonts w:asciiTheme="minorHAnsi" w:eastAsia="Arial Unicode MS" w:hAnsiTheme="minorHAnsi" w:cstheme="minorHAnsi"/>
          <w:color w:val="000000"/>
          <w:sz w:val="24"/>
          <w:szCs w:val="24"/>
          <w:u w:color="000000"/>
          <w:bdr w:val="nil"/>
          <w:lang w:val="it-IT" w:eastAsia="it-CH"/>
        </w:rPr>
        <w:t>Il capoverso 5 del testo di legge proposto con iniziativa parlamentare prevede l’esenzione degli enti pubblici e degli organismi incaricati di compiti di diritto pubblico dalle spese processuali. A tal proposito si sottolinea che il Consiglio federale nel Messaggio del 2 marzo 2018 concernente le modifiche della Legge federale sulla parte generale del diritto delle assicurazioni sociali ha stralciato dal disegno una disposizione analoga prevista nell’avamprogetto e che ha raccolto diverse critiche dai partecipanti alla procedura di consultazione. Per coerenza viene quindi seguita la medesima linea anche nella presente modifica di legge.</w:t>
      </w:r>
    </w:p>
    <w:p w:rsidR="005372F8" w:rsidRDefault="005372F8" w:rsidP="005372F8">
      <w:pPr>
        <w:pBdr>
          <w:top w:val="nil"/>
          <w:left w:val="nil"/>
          <w:bottom w:val="nil"/>
          <w:right w:val="nil"/>
          <w:between w:val="nil"/>
          <w:bar w:val="nil"/>
        </w:pBdr>
        <w:shd w:val="clear" w:color="auto" w:fill="FFFFFF"/>
        <w:ind w:right="187"/>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shd w:val="clear" w:color="auto" w:fill="FFFFFF"/>
        <w:ind w:right="187"/>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Style w:val="Titolo1"/>
        <w:tabs>
          <w:tab w:val="left" w:pos="567"/>
        </w:tabs>
        <w:spacing w:before="0"/>
        <w:ind w:left="567" w:hanging="567"/>
        <w:jc w:val="both"/>
        <w:rPr>
          <w:rFonts w:eastAsia="Calibri" w:cs="Times New Roman"/>
          <w:caps/>
          <w:sz w:val="24"/>
          <w:szCs w:val="24"/>
          <w:lang w:val="it-IT" w:eastAsia="it-IT"/>
        </w:rPr>
      </w:pPr>
      <w:r w:rsidRPr="005372F8">
        <w:rPr>
          <w:rFonts w:eastAsia="Calibri" w:cs="Times New Roman"/>
          <w:caps/>
          <w:sz w:val="24"/>
          <w:szCs w:val="24"/>
          <w:lang w:val="it-IT" w:eastAsia="it-IT"/>
        </w:rPr>
        <w:t>4.</w:t>
      </w:r>
      <w:r w:rsidRPr="005372F8">
        <w:rPr>
          <w:rFonts w:eastAsia="Calibri" w:cs="Times New Roman"/>
          <w:caps/>
          <w:sz w:val="24"/>
          <w:szCs w:val="24"/>
          <w:lang w:val="it-IT" w:eastAsia="it-IT"/>
        </w:rPr>
        <w:tab/>
        <w:t>Controprogetto</w:t>
      </w:r>
    </w:p>
    <w:p w:rsidR="005372F8" w:rsidRP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r w:rsidRPr="005372F8">
        <w:rPr>
          <w:rFonts w:asciiTheme="minorHAnsi" w:eastAsia="Times New Roman" w:hAnsiTheme="minorHAnsi" w:cstheme="minorHAnsi"/>
          <w:color w:val="000000"/>
          <w:sz w:val="24"/>
          <w:szCs w:val="24"/>
          <w:u w:color="000000"/>
          <w:bdr w:val="nil"/>
          <w:lang w:val="it-IT" w:eastAsia="it-CH"/>
        </w:rPr>
        <w:t>Il Consiglio di Stato</w:t>
      </w:r>
      <w:r w:rsidRPr="005372F8">
        <w:rPr>
          <w:rFonts w:asciiTheme="minorHAnsi" w:eastAsia="Times New Roman" w:hAnsiTheme="minorHAnsi" w:cstheme="minorHAnsi"/>
          <w:color w:val="000000"/>
          <w:sz w:val="24"/>
          <w:szCs w:val="24"/>
          <w:u w:color="000000"/>
          <w:bdr w:val="nil"/>
          <w:lang w:eastAsia="it-CH"/>
        </w:rPr>
        <w:t xml:space="preserve"> </w:t>
      </w:r>
      <w:r w:rsidRPr="005372F8">
        <w:rPr>
          <w:rFonts w:asciiTheme="minorHAnsi" w:eastAsia="Times New Roman" w:hAnsiTheme="minorHAnsi" w:cstheme="minorHAnsi"/>
          <w:color w:val="000000"/>
          <w:sz w:val="24"/>
          <w:szCs w:val="24"/>
          <w:u w:color="000000"/>
          <w:bdr w:val="nil"/>
          <w:lang w:val="it-IT" w:eastAsia="it-CH"/>
        </w:rPr>
        <w:t>propone un controprogetto: il principio della gratuità della procedura viene soppresso e talune procedure sono soggette a spese. L’importo delle spese è quello già contenuto dal 1° gennaio 2011 al cpv. 4 dell’art. 29 Lptca (tra fr. 200.-- a fr. 1'000.--; cfr. Messaggio 6361 dell’11 maggio 2010 relativo alla Revisione totale della legge sulla tariffa giudiziaria, pagg. 12 e 26).</w:t>
      </w:r>
    </w:p>
    <w:p w:rsidR="005372F8" w:rsidRP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r w:rsidRPr="005372F8">
        <w:rPr>
          <w:rFonts w:asciiTheme="minorHAnsi" w:eastAsia="Times New Roman" w:hAnsiTheme="minorHAnsi" w:cstheme="minorHAnsi"/>
          <w:color w:val="000000"/>
          <w:sz w:val="24"/>
          <w:szCs w:val="24"/>
          <w:u w:color="000000"/>
          <w:bdr w:val="nil"/>
          <w:lang w:val="it-IT" w:eastAsia="it-CH"/>
        </w:rPr>
        <w:t xml:space="preserve">La modifica consiste innanzitutto nell’abrogazione dell’attuale cpv. 1 dell’art. 29 Lptca, che stabilisce il principio della gratuità delle procedure davanti al Tribunale cantonale delle assicurazioni, come pure nell’abrogazione del cpv. 2, che prevede l’eccezione alla gratuità per le procedure di ricorso in caso di controversie relative all’assegnazione o al rifiuto di prestazioni AI. </w:t>
      </w:r>
    </w:p>
    <w:p w:rsidR="005372F8" w:rsidRP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r w:rsidRPr="005372F8">
        <w:rPr>
          <w:rFonts w:asciiTheme="minorHAnsi" w:eastAsia="Times New Roman" w:hAnsiTheme="minorHAnsi" w:cstheme="minorHAnsi"/>
          <w:color w:val="000000"/>
          <w:sz w:val="24"/>
          <w:szCs w:val="24"/>
          <w:u w:color="000000"/>
          <w:bdr w:val="nil"/>
          <w:lang w:val="it-IT" w:eastAsia="it-CH"/>
        </w:rPr>
        <w:lastRenderedPageBreak/>
        <w:t>Il cpv. 1 e il cpv. 2 riprendono sostanzialmente, per quel che concerne le controversie relative a prestazioni, il contenuto dell’art. 61 lett. f</w:t>
      </w:r>
      <w:r w:rsidRPr="005372F8">
        <w:rPr>
          <w:rFonts w:asciiTheme="minorHAnsi" w:eastAsia="Times New Roman" w:hAnsiTheme="minorHAnsi" w:cstheme="minorHAnsi"/>
          <w:color w:val="000000"/>
          <w:sz w:val="24"/>
          <w:szCs w:val="24"/>
          <w:u w:color="000000"/>
          <w:bdr w:val="nil"/>
          <w:vertAlign w:val="superscript"/>
          <w:lang w:val="it-IT" w:eastAsia="it-CH"/>
        </w:rPr>
        <w:t>bis</w:t>
      </w:r>
      <w:r w:rsidRPr="005372F8">
        <w:rPr>
          <w:rFonts w:asciiTheme="minorHAnsi" w:eastAsia="Times New Roman" w:hAnsiTheme="minorHAnsi" w:cstheme="minorHAnsi"/>
          <w:color w:val="000000"/>
          <w:sz w:val="24"/>
          <w:szCs w:val="24"/>
          <w:u w:color="000000"/>
          <w:bdr w:val="nil"/>
          <w:lang w:val="it-IT" w:eastAsia="it-CH"/>
        </w:rPr>
        <w:t xml:space="preserve"> LPGA (“</w:t>
      </w:r>
      <w:r w:rsidRPr="005372F8">
        <w:rPr>
          <w:rFonts w:asciiTheme="minorHAnsi" w:eastAsia="Times New Roman" w:hAnsiTheme="minorHAnsi" w:cstheme="minorHAnsi"/>
          <w:i/>
          <w:iCs/>
          <w:color w:val="000000"/>
          <w:sz w:val="24"/>
          <w:szCs w:val="24"/>
          <w:u w:color="000000"/>
          <w:bdr w:val="nil"/>
          <w:lang w:val="it-IT" w:eastAsia="it-CH"/>
        </w:rPr>
        <w:t>la procedura è soggetta a spese se la singola legge interessata lo prevede che il Tribunale possa</w:t>
      </w:r>
      <w:r w:rsidRPr="005372F8">
        <w:rPr>
          <w:rFonts w:asciiTheme="minorHAnsi" w:eastAsia="Times New Roman" w:hAnsiTheme="minorHAnsi" w:cstheme="minorHAnsi"/>
          <w:color w:val="000000"/>
          <w:sz w:val="24"/>
          <w:szCs w:val="24"/>
          <w:u w:color="000000"/>
          <w:bdr w:val="nil"/>
          <w:lang w:val="it-IT" w:eastAsia="it-CH"/>
        </w:rPr>
        <w:t>” e “</w:t>
      </w:r>
      <w:r w:rsidRPr="005372F8">
        <w:rPr>
          <w:rFonts w:asciiTheme="minorHAnsi" w:eastAsia="Times New Roman" w:hAnsiTheme="minorHAnsi" w:cstheme="minorHAnsi"/>
          <w:i/>
          <w:iCs/>
          <w:color w:val="000000"/>
          <w:sz w:val="24"/>
          <w:szCs w:val="24"/>
          <w:u w:color="000000"/>
          <w:bdr w:val="nil"/>
          <w:lang w:val="it-IT" w:eastAsia="it-CH"/>
        </w:rPr>
        <w:t>se la singola legge non lo prevede, il tribunale può imporre spese processuali alla parte che provoca la causa per leggerezza o che ha un comportamento temerario o sconsiderato</w:t>
      </w:r>
      <w:r w:rsidRPr="005372F8">
        <w:rPr>
          <w:rFonts w:asciiTheme="minorHAnsi" w:eastAsia="Times New Roman" w:hAnsiTheme="minorHAnsi" w:cstheme="minorHAnsi"/>
          <w:color w:val="000000"/>
          <w:sz w:val="24"/>
          <w:szCs w:val="24"/>
          <w:u w:color="000000"/>
          <w:bdr w:val="nil"/>
          <w:lang w:val="it-IT" w:eastAsia="it-CH"/>
        </w:rPr>
        <w:t xml:space="preserve">”). Il nuovo cpv. 3 stabilisce che in caso di controversie di altro genere, la procedura è soggetta a spese. L’importo di queste ultime resta fissato tra 200.-- e 1'000.-- franchi (cpv. 4). </w:t>
      </w:r>
    </w:p>
    <w:p w:rsidR="005372F8" w:rsidRPr="005372F8" w:rsidRDefault="005372F8" w:rsidP="005372F8">
      <w:pPr>
        <w:pBdr>
          <w:top w:val="nil"/>
          <w:left w:val="nil"/>
          <w:bottom w:val="nil"/>
          <w:right w:val="nil"/>
          <w:between w:val="nil"/>
          <w:bar w:val="nil"/>
        </w:pBdr>
        <w:shd w:val="clear" w:color="auto" w:fill="FFFFFF"/>
        <w:ind w:right="187"/>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shd w:val="clear" w:color="auto" w:fill="FFFFFF"/>
        <w:rPr>
          <w:rFonts w:asciiTheme="minorHAnsi" w:eastAsia="Arial" w:hAnsiTheme="minorHAnsi" w:cstheme="minorHAnsi"/>
          <w:color w:val="000000"/>
          <w:sz w:val="24"/>
          <w:szCs w:val="24"/>
          <w:u w:color="000000"/>
          <w:bdr w:val="nil"/>
          <w:lang w:val="it-IT" w:eastAsia="it-CH"/>
        </w:rPr>
      </w:pPr>
      <w:r w:rsidRPr="005372F8">
        <w:rPr>
          <w:rFonts w:asciiTheme="minorHAnsi" w:eastAsia="Times New Roman" w:hAnsiTheme="minorHAnsi" w:cstheme="minorHAnsi"/>
          <w:color w:val="000000"/>
          <w:sz w:val="24"/>
          <w:szCs w:val="24"/>
          <w:u w:color="000000"/>
          <w:bdr w:val="nil"/>
          <w:lang w:val="it-IT" w:eastAsia="it-CH"/>
        </w:rPr>
        <w:t xml:space="preserve">Infine, alla luce delle considerazioni che precedono, si propone di sostituire il titolo marginale del predetto articolo di legge, che attualmente enuncia “Gratuità della procedura. Eccezione. Temerarietà” con la seguente formulazione: “Spese processuali. Temerarietà”. </w:t>
      </w: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tabs>
          <w:tab w:val="left" w:pos="540"/>
        </w:tabs>
        <w:spacing w:after="120"/>
        <w:rPr>
          <w:rFonts w:asciiTheme="minorHAnsi" w:eastAsia="Arial" w:hAnsiTheme="minorHAnsi" w:cstheme="minorHAnsi"/>
          <w:color w:val="000000"/>
          <w:sz w:val="24"/>
          <w:szCs w:val="24"/>
          <w:u w:color="000000"/>
          <w:bdr w:val="nil"/>
          <w:lang w:val="it-IT" w:eastAsia="it-CH"/>
        </w:rPr>
      </w:pPr>
      <w:r w:rsidRPr="005372F8">
        <w:rPr>
          <w:rFonts w:asciiTheme="minorHAnsi" w:eastAsia="Arial Unicode MS" w:hAnsiTheme="minorHAnsi" w:cstheme="minorHAnsi"/>
          <w:color w:val="000000"/>
          <w:sz w:val="24"/>
          <w:szCs w:val="24"/>
          <w:u w:color="000000"/>
          <w:bdr w:val="nil"/>
          <w:lang w:val="it-IT" w:eastAsia="it-CH"/>
        </w:rPr>
        <w:t>La formulazione proposta del nuovo articolo 29 Lptca è quindi la seguente:</w:t>
      </w:r>
      <w:r w:rsidRPr="005372F8">
        <w:rPr>
          <w:rFonts w:asciiTheme="minorHAnsi" w:eastAsia="Arial Unicode MS" w:hAnsiTheme="minorHAnsi" w:cstheme="minorHAnsi"/>
          <w:b/>
          <w:bCs/>
          <w:color w:val="000000"/>
          <w:sz w:val="24"/>
          <w:szCs w:val="24"/>
          <w:u w:color="000000"/>
          <w:bdr w:val="nil"/>
          <w:lang w:val="it-IT" w:eastAsia="it-CH"/>
        </w:rPr>
        <w:t xml:space="preserve"> </w:t>
      </w:r>
    </w:p>
    <w:p w:rsidR="005372F8" w:rsidRPr="005372F8" w:rsidRDefault="005372F8" w:rsidP="005372F8">
      <w:pPr>
        <w:pBdr>
          <w:top w:val="nil"/>
          <w:left w:val="nil"/>
          <w:bottom w:val="nil"/>
          <w:right w:val="nil"/>
          <w:between w:val="nil"/>
          <w:bar w:val="nil"/>
        </w:pBdr>
        <w:shd w:val="clear" w:color="auto" w:fill="FFFFFF"/>
        <w:ind w:right="187"/>
        <w:rPr>
          <w:rFonts w:asciiTheme="minorHAnsi" w:eastAsia="Arial" w:hAnsiTheme="minorHAnsi" w:cstheme="minorHAnsi"/>
          <w:b/>
          <w:bCs/>
          <w:color w:val="000000"/>
          <w:sz w:val="24"/>
          <w:szCs w:val="24"/>
          <w:u w:color="000000"/>
          <w:bdr w:val="nil"/>
          <w:lang w:val="it-IT" w:eastAsia="it-CH"/>
        </w:rPr>
      </w:pPr>
      <w:r w:rsidRPr="005372F8">
        <w:rPr>
          <w:rFonts w:asciiTheme="minorHAnsi" w:eastAsia="Times New Roman" w:hAnsiTheme="minorHAnsi" w:cstheme="minorHAnsi"/>
          <w:b/>
          <w:bCs/>
          <w:color w:val="000000"/>
          <w:sz w:val="24"/>
          <w:szCs w:val="24"/>
          <w:u w:color="000000"/>
          <w:bdr w:val="nil"/>
          <w:lang w:val="it-IT" w:eastAsia="it-CH"/>
        </w:rPr>
        <w:t>Spese processuali.</w:t>
      </w:r>
    </w:p>
    <w:p w:rsidR="005372F8" w:rsidRPr="005372F8" w:rsidRDefault="005372F8" w:rsidP="005372F8">
      <w:pPr>
        <w:pBdr>
          <w:top w:val="nil"/>
          <w:left w:val="nil"/>
          <w:bottom w:val="nil"/>
          <w:right w:val="nil"/>
          <w:between w:val="nil"/>
          <w:bar w:val="nil"/>
        </w:pBdr>
        <w:shd w:val="clear" w:color="auto" w:fill="FFFFFF"/>
        <w:spacing w:after="120"/>
        <w:ind w:right="187"/>
        <w:rPr>
          <w:rFonts w:asciiTheme="minorHAnsi" w:eastAsia="Arial" w:hAnsiTheme="minorHAnsi" w:cstheme="minorHAnsi"/>
          <w:color w:val="000000"/>
          <w:sz w:val="24"/>
          <w:szCs w:val="24"/>
          <w:u w:color="000000"/>
          <w:bdr w:val="nil"/>
          <w:lang w:val="it-IT" w:eastAsia="it-CH"/>
        </w:rPr>
      </w:pPr>
      <w:r w:rsidRPr="005372F8">
        <w:rPr>
          <w:rFonts w:asciiTheme="minorHAnsi" w:eastAsia="Times New Roman" w:hAnsiTheme="minorHAnsi" w:cstheme="minorHAnsi"/>
          <w:b/>
          <w:bCs/>
          <w:color w:val="000000"/>
          <w:sz w:val="24"/>
          <w:szCs w:val="24"/>
          <w:u w:color="000000"/>
          <w:bdr w:val="nil"/>
          <w:lang w:val="it-IT" w:eastAsia="it-CH"/>
        </w:rPr>
        <w:t>Temerarietà</w:t>
      </w:r>
      <w:r w:rsidRPr="005372F8">
        <w:rPr>
          <w:rFonts w:asciiTheme="minorHAnsi" w:eastAsia="Times New Roman" w:hAnsiTheme="minorHAnsi" w:cstheme="minorHAnsi"/>
          <w:color w:val="000000"/>
          <w:sz w:val="24"/>
          <w:szCs w:val="24"/>
          <w:u w:color="000000"/>
          <w:bdr w:val="nil"/>
          <w:lang w:val="it-IT" w:eastAsia="it-CH"/>
        </w:rPr>
        <w:t>.</w:t>
      </w:r>
    </w:p>
    <w:p w:rsidR="005372F8" w:rsidRPr="005372F8" w:rsidRDefault="005372F8" w:rsidP="005372F8">
      <w:pPr>
        <w:pBdr>
          <w:top w:val="nil"/>
          <w:left w:val="nil"/>
          <w:bottom w:val="nil"/>
          <w:right w:val="nil"/>
          <w:between w:val="nil"/>
          <w:bar w:val="nil"/>
        </w:pBdr>
        <w:shd w:val="clear" w:color="auto" w:fill="FFFFFF"/>
        <w:tabs>
          <w:tab w:val="left" w:pos="8789"/>
        </w:tabs>
        <w:ind w:right="696"/>
        <w:rPr>
          <w:rFonts w:asciiTheme="minorHAnsi" w:eastAsia="Arial" w:hAnsiTheme="minorHAnsi" w:cstheme="minorHAnsi"/>
          <w:b/>
          <w:bCs/>
          <w:i/>
          <w:iCs/>
          <w:color w:val="000000"/>
          <w:sz w:val="24"/>
          <w:szCs w:val="24"/>
          <w:u w:color="000000"/>
          <w:bdr w:val="nil"/>
          <w:lang w:val="it-IT" w:eastAsia="it-CH"/>
        </w:rPr>
      </w:pPr>
      <w:r w:rsidRPr="005372F8">
        <w:rPr>
          <w:rFonts w:asciiTheme="minorHAnsi" w:eastAsia="Times New Roman" w:hAnsiTheme="minorHAnsi" w:cstheme="minorHAnsi"/>
          <w:b/>
          <w:bCs/>
          <w:i/>
          <w:iCs/>
          <w:color w:val="000000"/>
          <w:sz w:val="24"/>
          <w:szCs w:val="24"/>
          <w:u w:color="000000"/>
          <w:bdr w:val="nil"/>
          <w:lang w:val="it-IT" w:eastAsia="it-CH"/>
        </w:rPr>
        <w:t>Art. 29</w:t>
      </w:r>
    </w:p>
    <w:p w:rsidR="005372F8" w:rsidRPr="005372F8" w:rsidRDefault="005372F8" w:rsidP="005372F8">
      <w:pPr>
        <w:pBdr>
          <w:top w:val="nil"/>
          <w:left w:val="nil"/>
          <w:bottom w:val="nil"/>
          <w:right w:val="nil"/>
          <w:between w:val="nil"/>
          <w:bar w:val="nil"/>
        </w:pBdr>
        <w:shd w:val="clear" w:color="auto" w:fill="FFFFFF"/>
        <w:tabs>
          <w:tab w:val="left" w:pos="8789"/>
        </w:tabs>
        <w:ind w:right="696"/>
        <w:rPr>
          <w:rFonts w:asciiTheme="minorHAnsi" w:eastAsia="Arial" w:hAnsiTheme="minorHAnsi" w:cstheme="minorHAnsi"/>
          <w:i/>
          <w:iCs/>
          <w:color w:val="000000"/>
          <w:sz w:val="24"/>
          <w:szCs w:val="24"/>
          <w:u w:color="000000"/>
          <w:bdr w:val="nil"/>
          <w:lang w:val="it-IT" w:eastAsia="it-CH"/>
        </w:rPr>
      </w:pPr>
      <w:r w:rsidRPr="005372F8">
        <w:rPr>
          <w:rFonts w:asciiTheme="minorHAnsi" w:eastAsia="Times New Roman" w:hAnsiTheme="minorHAnsi" w:cstheme="minorHAnsi"/>
          <w:i/>
          <w:iCs/>
          <w:color w:val="000000"/>
          <w:position w:val="8"/>
          <w:sz w:val="24"/>
          <w:szCs w:val="24"/>
          <w:u w:color="000000"/>
          <w:bdr w:val="nil"/>
          <w:vertAlign w:val="superscript"/>
          <w:lang w:val="it-IT" w:eastAsia="it-CH"/>
        </w:rPr>
        <w:t>1</w:t>
      </w:r>
      <w:r w:rsidRPr="005372F8">
        <w:rPr>
          <w:rFonts w:asciiTheme="minorHAnsi" w:eastAsia="Times New Roman" w:hAnsiTheme="minorHAnsi" w:cstheme="minorHAnsi"/>
          <w:i/>
          <w:iCs/>
          <w:color w:val="000000"/>
          <w:sz w:val="24"/>
          <w:szCs w:val="24"/>
          <w:u w:color="000000"/>
          <w:bdr w:val="nil"/>
          <w:lang w:val="it-IT" w:eastAsia="it-CH"/>
        </w:rPr>
        <w:t>In caso di controversie relative a prestazioni, la procedura è soggetta a spese se la singola legge interessata lo prevede.</w:t>
      </w:r>
    </w:p>
    <w:p w:rsidR="005372F8" w:rsidRPr="005372F8" w:rsidRDefault="005372F8" w:rsidP="005372F8">
      <w:pPr>
        <w:pBdr>
          <w:top w:val="nil"/>
          <w:left w:val="nil"/>
          <w:bottom w:val="nil"/>
          <w:right w:val="nil"/>
          <w:between w:val="nil"/>
          <w:bar w:val="nil"/>
        </w:pBdr>
        <w:shd w:val="clear" w:color="auto" w:fill="FFFFFF"/>
        <w:tabs>
          <w:tab w:val="left" w:pos="8789"/>
        </w:tabs>
        <w:ind w:right="696"/>
        <w:rPr>
          <w:rFonts w:asciiTheme="minorHAnsi" w:eastAsia="Arial" w:hAnsiTheme="minorHAnsi" w:cstheme="minorHAnsi"/>
          <w:i/>
          <w:iCs/>
          <w:color w:val="000000"/>
          <w:sz w:val="24"/>
          <w:szCs w:val="24"/>
          <w:u w:color="000000"/>
          <w:bdr w:val="nil"/>
          <w:lang w:val="it-IT" w:eastAsia="it-CH"/>
        </w:rPr>
      </w:pPr>
      <w:r w:rsidRPr="005372F8">
        <w:rPr>
          <w:rFonts w:asciiTheme="minorHAnsi" w:eastAsia="Times New Roman" w:hAnsiTheme="minorHAnsi" w:cstheme="minorHAnsi"/>
          <w:i/>
          <w:iCs/>
          <w:color w:val="000000"/>
          <w:position w:val="8"/>
          <w:sz w:val="24"/>
          <w:szCs w:val="24"/>
          <w:u w:color="000000"/>
          <w:bdr w:val="nil"/>
          <w:vertAlign w:val="superscript"/>
          <w:lang w:val="it-IT" w:eastAsia="it-CH"/>
        </w:rPr>
        <w:t>2</w:t>
      </w:r>
      <w:r w:rsidRPr="005372F8">
        <w:rPr>
          <w:rFonts w:asciiTheme="minorHAnsi" w:eastAsia="Times New Roman" w:hAnsiTheme="minorHAnsi" w:cstheme="minorHAnsi"/>
          <w:i/>
          <w:iCs/>
          <w:color w:val="000000"/>
          <w:sz w:val="24"/>
          <w:szCs w:val="24"/>
          <w:u w:color="000000"/>
          <w:bdr w:val="nil"/>
          <w:lang w:val="it-IT" w:eastAsia="it-CH"/>
        </w:rPr>
        <w:t>Alla parte che provoca la causa per leggerezza o per un comportamento temerario, sono imposte le spese processuali.</w:t>
      </w:r>
    </w:p>
    <w:p w:rsidR="005372F8" w:rsidRPr="005372F8" w:rsidRDefault="005372F8" w:rsidP="005372F8">
      <w:pPr>
        <w:pBdr>
          <w:top w:val="nil"/>
          <w:left w:val="nil"/>
          <w:bottom w:val="nil"/>
          <w:right w:val="nil"/>
          <w:between w:val="nil"/>
          <w:bar w:val="nil"/>
        </w:pBdr>
        <w:shd w:val="clear" w:color="auto" w:fill="FFFFFF"/>
        <w:tabs>
          <w:tab w:val="left" w:pos="8789"/>
        </w:tabs>
        <w:ind w:right="696"/>
        <w:rPr>
          <w:rFonts w:asciiTheme="minorHAnsi" w:eastAsia="Times New Roman" w:hAnsiTheme="minorHAnsi" w:cstheme="minorHAnsi"/>
          <w:i/>
          <w:iCs/>
          <w:color w:val="000000"/>
          <w:sz w:val="24"/>
          <w:szCs w:val="24"/>
          <w:u w:color="000000"/>
          <w:bdr w:val="nil"/>
          <w:lang w:val="it-IT" w:eastAsia="it-CH"/>
        </w:rPr>
      </w:pPr>
      <w:r w:rsidRPr="005372F8">
        <w:rPr>
          <w:rFonts w:asciiTheme="minorHAnsi" w:eastAsia="Times New Roman" w:hAnsiTheme="minorHAnsi" w:cstheme="minorHAnsi"/>
          <w:i/>
          <w:iCs/>
          <w:color w:val="000000"/>
          <w:position w:val="8"/>
          <w:sz w:val="24"/>
          <w:szCs w:val="24"/>
          <w:u w:color="000000"/>
          <w:bdr w:val="nil"/>
          <w:vertAlign w:val="superscript"/>
          <w:lang w:val="it-IT" w:eastAsia="it-CH"/>
        </w:rPr>
        <w:t>3</w:t>
      </w:r>
      <w:r w:rsidRPr="005372F8">
        <w:rPr>
          <w:rFonts w:asciiTheme="minorHAnsi" w:eastAsia="Times New Roman" w:hAnsiTheme="minorHAnsi" w:cstheme="minorHAnsi"/>
          <w:i/>
          <w:iCs/>
          <w:color w:val="000000"/>
          <w:sz w:val="24"/>
          <w:szCs w:val="24"/>
          <w:u w:color="000000"/>
          <w:bdr w:val="nil"/>
          <w:lang w:val="it-IT" w:eastAsia="it-CH"/>
        </w:rPr>
        <w:t>In caso di controversie di altro genere, la procedura è soggetta a spese.</w:t>
      </w:r>
    </w:p>
    <w:p w:rsidR="005372F8" w:rsidRPr="005372F8" w:rsidRDefault="005372F8" w:rsidP="005372F8">
      <w:pPr>
        <w:pBdr>
          <w:top w:val="nil"/>
          <w:left w:val="nil"/>
          <w:bottom w:val="nil"/>
          <w:right w:val="nil"/>
          <w:between w:val="nil"/>
          <w:bar w:val="nil"/>
        </w:pBdr>
        <w:shd w:val="clear" w:color="auto" w:fill="FFFFFF"/>
        <w:tabs>
          <w:tab w:val="left" w:pos="8789"/>
        </w:tabs>
        <w:ind w:right="696"/>
        <w:rPr>
          <w:rFonts w:asciiTheme="minorHAnsi" w:eastAsia="Times New Roman" w:hAnsiTheme="minorHAnsi" w:cstheme="minorHAnsi"/>
          <w:i/>
          <w:iCs/>
          <w:color w:val="000000"/>
          <w:sz w:val="24"/>
          <w:szCs w:val="24"/>
          <w:u w:color="000000"/>
          <w:bdr w:val="nil"/>
          <w:lang w:val="it-IT" w:eastAsia="it-CH"/>
        </w:rPr>
      </w:pPr>
      <w:r w:rsidRPr="005372F8">
        <w:rPr>
          <w:rFonts w:asciiTheme="minorHAnsi" w:eastAsia="Times New Roman" w:hAnsiTheme="minorHAnsi" w:cstheme="minorHAnsi"/>
          <w:i/>
          <w:iCs/>
          <w:color w:val="000000"/>
          <w:position w:val="8"/>
          <w:sz w:val="24"/>
          <w:szCs w:val="24"/>
          <w:u w:color="000000"/>
          <w:bdr w:val="nil"/>
          <w:vertAlign w:val="superscript"/>
          <w:lang w:val="it-IT" w:eastAsia="it-CH"/>
        </w:rPr>
        <w:t>4</w:t>
      </w:r>
      <w:r w:rsidRPr="005372F8">
        <w:rPr>
          <w:rFonts w:asciiTheme="minorHAnsi" w:eastAsia="Times New Roman" w:hAnsiTheme="minorHAnsi" w:cstheme="minorHAnsi"/>
          <w:i/>
          <w:iCs/>
          <w:color w:val="000000"/>
          <w:sz w:val="24"/>
          <w:szCs w:val="24"/>
          <w:u w:color="000000"/>
          <w:bdr w:val="nil"/>
          <w:lang w:val="it-IT" w:eastAsia="it-CH"/>
        </w:rPr>
        <w:t>L’importo delle spese processuali, quando sono dovute, è fissato tra 200 e 1’000 franchi in funzione delle spese di procedura e senza riguardo al valore litigioso.</w:t>
      </w: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p>
    <w:p w:rsidR="005372F8" w:rsidRPr="005372F8" w:rsidRDefault="005372F8" w:rsidP="005372F8">
      <w:pPr>
        <w:pStyle w:val="Titolo1"/>
        <w:tabs>
          <w:tab w:val="left" w:pos="567"/>
        </w:tabs>
        <w:spacing w:before="0"/>
        <w:ind w:left="567" w:hanging="567"/>
        <w:jc w:val="both"/>
        <w:rPr>
          <w:rFonts w:eastAsia="Calibri" w:cs="Times New Roman"/>
          <w:caps/>
          <w:sz w:val="24"/>
          <w:szCs w:val="24"/>
          <w:lang w:val="it-IT" w:eastAsia="it-IT"/>
        </w:rPr>
      </w:pPr>
      <w:r w:rsidRPr="005372F8">
        <w:rPr>
          <w:rFonts w:eastAsia="Calibri" w:cs="Times New Roman"/>
          <w:caps/>
          <w:sz w:val="24"/>
          <w:szCs w:val="24"/>
          <w:lang w:val="it-IT" w:eastAsia="it-IT"/>
        </w:rPr>
        <w:t>5.</w:t>
      </w:r>
      <w:r w:rsidRPr="005372F8">
        <w:rPr>
          <w:rFonts w:eastAsia="Calibri" w:cs="Times New Roman"/>
          <w:caps/>
          <w:sz w:val="24"/>
          <w:szCs w:val="24"/>
          <w:lang w:val="it-IT" w:eastAsia="it-IT"/>
        </w:rPr>
        <w:tab/>
        <w:t>Presa di posizione dell’iniziativista Lara Filippini</w:t>
      </w:r>
    </w:p>
    <w:p w:rsidR="005372F8" w:rsidRP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r w:rsidRPr="005372F8">
        <w:rPr>
          <w:rFonts w:asciiTheme="minorHAnsi" w:eastAsia="Arial Unicode MS" w:hAnsiTheme="minorHAnsi" w:cstheme="minorHAnsi"/>
          <w:color w:val="000000"/>
          <w:sz w:val="24"/>
          <w:szCs w:val="24"/>
          <w:u w:color="000000"/>
          <w:bdr w:val="nil"/>
          <w:lang w:eastAsia="it-CH"/>
        </w:rPr>
        <w:t>L’iniziativista Lara Filippini sentita dalla relatrice, seppur non totalmente soddisfatta, concorda con la proposta di controprogetto formulata dal Consiglio di Stato nel suo messaggio n. 8480 del 21 agosto 2024.</w:t>
      </w:r>
    </w:p>
    <w:p w:rsidR="005372F8" w:rsidRDefault="005372F8"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p>
    <w:p w:rsidR="00F35EBC" w:rsidRPr="005372F8" w:rsidRDefault="00F35EBC" w:rsidP="005372F8">
      <w:pPr>
        <w:pBdr>
          <w:top w:val="nil"/>
          <w:left w:val="nil"/>
          <w:bottom w:val="nil"/>
          <w:right w:val="nil"/>
          <w:between w:val="nil"/>
          <w:bar w:val="nil"/>
        </w:pBdr>
        <w:tabs>
          <w:tab w:val="left" w:pos="540"/>
        </w:tabs>
        <w:rPr>
          <w:rFonts w:asciiTheme="minorHAnsi" w:eastAsia="Arial" w:hAnsiTheme="minorHAnsi" w:cstheme="minorHAnsi"/>
          <w:color w:val="000000"/>
          <w:sz w:val="24"/>
          <w:szCs w:val="24"/>
          <w:u w:color="000000"/>
          <w:bdr w:val="nil"/>
          <w:lang w:val="it-IT" w:eastAsia="it-CH"/>
        </w:rPr>
      </w:pPr>
    </w:p>
    <w:p w:rsidR="005372F8" w:rsidRPr="00F35EBC" w:rsidRDefault="005372F8" w:rsidP="00F35EBC">
      <w:pPr>
        <w:pStyle w:val="Titolo1"/>
        <w:tabs>
          <w:tab w:val="left" w:pos="567"/>
        </w:tabs>
        <w:spacing w:before="0"/>
        <w:ind w:left="567" w:hanging="567"/>
        <w:jc w:val="both"/>
        <w:rPr>
          <w:rFonts w:eastAsia="Calibri" w:cs="Times New Roman"/>
          <w:caps/>
          <w:sz w:val="24"/>
          <w:szCs w:val="24"/>
          <w:lang w:val="it-IT" w:eastAsia="it-IT"/>
        </w:rPr>
      </w:pPr>
      <w:r w:rsidRPr="005372F8">
        <w:rPr>
          <w:rFonts w:eastAsia="Calibri" w:cs="Times New Roman"/>
          <w:caps/>
          <w:sz w:val="24"/>
          <w:szCs w:val="24"/>
          <w:lang w:val="it-IT" w:eastAsia="it-IT"/>
        </w:rPr>
        <w:t>6.</w:t>
      </w:r>
      <w:r w:rsidRPr="005372F8">
        <w:rPr>
          <w:rFonts w:eastAsia="Calibri" w:cs="Times New Roman"/>
          <w:caps/>
          <w:sz w:val="24"/>
          <w:szCs w:val="24"/>
          <w:lang w:val="it-IT" w:eastAsia="it-IT"/>
        </w:rPr>
        <w:tab/>
        <w:t>Discussione commissionale</w:t>
      </w:r>
    </w:p>
    <w:p w:rsidR="00F35EBC" w:rsidRDefault="005372F8" w:rsidP="005372F8">
      <w:pPr>
        <w:pBdr>
          <w:top w:val="nil"/>
          <w:left w:val="nil"/>
          <w:bottom w:val="nil"/>
          <w:right w:val="nil"/>
          <w:between w:val="nil"/>
          <w:bar w:val="nil"/>
        </w:pBdr>
        <w:tabs>
          <w:tab w:val="left" w:pos="540"/>
        </w:tabs>
        <w:rPr>
          <w:rFonts w:asciiTheme="minorHAnsi" w:eastAsia="Arial Unicode MS" w:hAnsiTheme="minorHAnsi" w:cstheme="minorHAnsi"/>
          <w:color w:val="000000"/>
          <w:sz w:val="24"/>
          <w:szCs w:val="24"/>
          <w:u w:color="000000"/>
          <w:bdr w:val="nil"/>
          <w:lang w:eastAsia="it-CH"/>
        </w:rPr>
      </w:pPr>
      <w:r w:rsidRPr="005372F8">
        <w:rPr>
          <w:rFonts w:asciiTheme="minorHAnsi" w:eastAsia="Arial Unicode MS" w:hAnsiTheme="minorHAnsi" w:cstheme="minorHAnsi"/>
          <w:color w:val="000000"/>
          <w:sz w:val="24"/>
          <w:szCs w:val="24"/>
          <w:u w:color="000000"/>
          <w:bdr w:val="nil"/>
          <w:lang w:eastAsia="it-CH"/>
        </w:rPr>
        <w:t>Considerato che l’</w:t>
      </w:r>
      <w:r w:rsidRPr="005372F8">
        <w:rPr>
          <w:rFonts w:asciiTheme="minorHAnsi" w:eastAsia="Arial Unicode MS" w:hAnsiTheme="minorHAnsi" w:cstheme="minorHAnsi"/>
          <w:color w:val="000000"/>
          <w:sz w:val="24"/>
          <w:szCs w:val="24"/>
          <w:u w:color="000000"/>
          <w:bdr w:val="nil"/>
          <w:lang w:val="it-IT" w:eastAsia="it-CH"/>
        </w:rPr>
        <w:t>attuale formulazione</w:t>
      </w:r>
      <w:r w:rsidRPr="005372F8">
        <w:rPr>
          <w:rFonts w:asciiTheme="minorHAnsi" w:eastAsia="Arial Unicode MS" w:hAnsiTheme="minorHAnsi" w:cstheme="minorHAnsi"/>
          <w:color w:val="000000"/>
          <w:sz w:val="24"/>
          <w:szCs w:val="24"/>
          <w:u w:color="000000"/>
          <w:bdr w:val="nil"/>
          <w:lang w:eastAsia="it-CH"/>
        </w:rPr>
        <w:t xml:space="preserve"> dell’articolo. 29 Lptca </w:t>
      </w:r>
      <w:r w:rsidRPr="005372F8">
        <w:rPr>
          <w:rFonts w:asciiTheme="minorHAnsi" w:eastAsia="Arial Unicode MS" w:hAnsiTheme="minorHAnsi" w:cstheme="minorHAnsi"/>
          <w:color w:val="000000"/>
          <w:sz w:val="24"/>
          <w:szCs w:val="24"/>
          <w:u w:color="000000"/>
          <w:bdr w:val="nil"/>
          <w:lang w:val="it-IT" w:eastAsia="it-CH"/>
        </w:rPr>
        <w:t>non si concilia con il nuovo testo della LPGA entrato in vigore il 1. gennaio 2021 e non è in linea con quanto sancito dall’Alta Corte circa la necessità di prevedere una base legale formale chiara ed esplicita per imporre le spese al di fuori del campo di applicazione dell’art. 61 lett. f</w:t>
      </w:r>
      <w:r w:rsidRPr="005372F8">
        <w:rPr>
          <w:rFonts w:asciiTheme="minorHAnsi" w:eastAsia="Arial Unicode MS" w:hAnsiTheme="minorHAnsi" w:cstheme="minorHAnsi"/>
          <w:color w:val="000000"/>
          <w:sz w:val="24"/>
          <w:szCs w:val="24"/>
          <w:u w:color="000000"/>
          <w:bdr w:val="nil"/>
          <w:vertAlign w:val="superscript"/>
          <w:lang w:val="it-IT" w:eastAsia="it-CH"/>
        </w:rPr>
        <w:t>bis</w:t>
      </w:r>
      <w:r w:rsidRPr="005372F8">
        <w:rPr>
          <w:rFonts w:asciiTheme="minorHAnsi" w:eastAsia="Arial Unicode MS" w:hAnsiTheme="minorHAnsi" w:cstheme="minorHAnsi"/>
          <w:color w:val="000000"/>
          <w:sz w:val="24"/>
          <w:szCs w:val="24"/>
          <w:u w:color="000000"/>
          <w:bdr w:val="nil"/>
          <w:lang w:val="it-IT" w:eastAsia="it-CH"/>
        </w:rPr>
        <w:t xml:space="preserve"> LPGA</w:t>
      </w:r>
      <w:r w:rsidRPr="005372F8">
        <w:rPr>
          <w:rFonts w:asciiTheme="minorHAnsi" w:eastAsia="Arial Unicode MS" w:hAnsiTheme="minorHAnsi" w:cstheme="minorHAnsi"/>
          <w:color w:val="000000"/>
          <w:sz w:val="24"/>
          <w:szCs w:val="24"/>
          <w:u w:color="000000"/>
          <w:bdr w:val="nil"/>
          <w:lang w:eastAsia="it-CH"/>
        </w:rPr>
        <w:t>, appare necessario procedere con la modifica dell’art. 29 Lpctca così come proposto dal Consiglio di Stato nel suo controprogetto, tenuto conto che anche l’iniziativista si è dichiarata favorevole alla proposta del Governo.</w:t>
      </w:r>
    </w:p>
    <w:p w:rsidR="00F35EBC" w:rsidRDefault="00F35EBC">
      <w:pPr>
        <w:rPr>
          <w:rFonts w:asciiTheme="minorHAnsi" w:eastAsia="Arial Unicode MS" w:hAnsiTheme="minorHAnsi" w:cstheme="minorHAnsi"/>
          <w:color w:val="000000"/>
          <w:sz w:val="24"/>
          <w:szCs w:val="24"/>
          <w:u w:color="000000"/>
          <w:bdr w:val="nil"/>
          <w:lang w:eastAsia="it-CH"/>
        </w:rPr>
      </w:pPr>
      <w:r>
        <w:rPr>
          <w:rFonts w:asciiTheme="minorHAnsi" w:eastAsia="Arial Unicode MS" w:hAnsiTheme="minorHAnsi" w:cstheme="minorHAnsi"/>
          <w:color w:val="000000"/>
          <w:sz w:val="24"/>
          <w:szCs w:val="24"/>
          <w:u w:color="000000"/>
          <w:bdr w:val="nil"/>
          <w:lang w:eastAsia="it-CH"/>
        </w:rPr>
        <w:br w:type="page"/>
      </w:r>
    </w:p>
    <w:p w:rsidR="005372F8" w:rsidRPr="005372F8" w:rsidRDefault="005372F8" w:rsidP="00F35EBC">
      <w:pPr>
        <w:pStyle w:val="Titolo1"/>
        <w:tabs>
          <w:tab w:val="left" w:pos="567"/>
        </w:tabs>
        <w:spacing w:before="0"/>
        <w:ind w:left="567" w:hanging="567"/>
        <w:jc w:val="both"/>
        <w:rPr>
          <w:rFonts w:eastAsia="Calibri" w:cs="Times New Roman"/>
          <w:caps/>
          <w:sz w:val="24"/>
          <w:szCs w:val="24"/>
          <w:lang w:val="it-IT" w:eastAsia="it-IT"/>
        </w:rPr>
      </w:pPr>
      <w:r w:rsidRPr="005372F8">
        <w:rPr>
          <w:rFonts w:eastAsia="Calibri" w:cs="Times New Roman"/>
          <w:caps/>
          <w:sz w:val="24"/>
          <w:szCs w:val="24"/>
          <w:lang w:val="it-IT" w:eastAsia="it-IT"/>
        </w:rPr>
        <w:lastRenderedPageBreak/>
        <w:t>7.</w:t>
      </w:r>
      <w:r w:rsidRPr="005372F8">
        <w:rPr>
          <w:rFonts w:eastAsia="Calibri" w:cs="Times New Roman"/>
          <w:caps/>
          <w:sz w:val="24"/>
          <w:szCs w:val="24"/>
          <w:lang w:val="it-IT" w:eastAsia="it-IT"/>
        </w:rPr>
        <w:tab/>
        <w:t>Conclusioni</w:t>
      </w:r>
    </w:p>
    <w:p w:rsidR="005372F8" w:rsidRPr="005372F8" w:rsidRDefault="005372F8" w:rsidP="005372F8">
      <w:pPr>
        <w:pBdr>
          <w:top w:val="nil"/>
          <w:left w:val="nil"/>
          <w:bottom w:val="nil"/>
          <w:right w:val="nil"/>
          <w:between w:val="nil"/>
          <w:bar w:val="nil"/>
        </w:pBdr>
        <w:rPr>
          <w:rFonts w:asciiTheme="minorHAnsi" w:eastAsia="Arial" w:hAnsiTheme="minorHAnsi" w:cstheme="minorHAnsi"/>
          <w:color w:val="000000"/>
          <w:sz w:val="24"/>
          <w:szCs w:val="24"/>
          <w:u w:color="000000"/>
          <w:bdr w:val="nil"/>
          <w:lang w:val="it-IT" w:eastAsia="it-CH"/>
        </w:rPr>
      </w:pPr>
      <w:r w:rsidRPr="005372F8">
        <w:rPr>
          <w:rFonts w:asciiTheme="minorHAnsi" w:eastAsia="Arial" w:hAnsiTheme="minorHAnsi" w:cstheme="minorHAnsi"/>
          <w:color w:val="000000"/>
          <w:sz w:val="24"/>
          <w:szCs w:val="24"/>
          <w:u w:color="000000"/>
          <w:bdr w:val="nil"/>
          <w:lang w:eastAsia="it-CH"/>
        </w:rPr>
        <w:t xml:space="preserve">La Commissione giustizia e diritti invita dunque il Parlamento </w:t>
      </w:r>
      <w:r w:rsidRPr="005372F8">
        <w:rPr>
          <w:rFonts w:asciiTheme="minorHAnsi" w:eastAsia="Arial" w:hAnsiTheme="minorHAnsi" w:cstheme="minorHAnsi"/>
          <w:color w:val="000000"/>
          <w:sz w:val="24"/>
          <w:szCs w:val="24"/>
          <w:u w:color="000000"/>
          <w:bdr w:val="nil"/>
          <w:lang w:val="it-IT" w:eastAsia="it-CH"/>
        </w:rPr>
        <w:t>a respingere l’iniziativa parlamentare nella forma elaborata del 4 maggio 2021 per la modifica dell’art. 29 della Legge di procedura per le cause davanti al Tribunale cantonale delle assicurazioni presentata dalle deputate Lara Filippini e Sabrina Aldi e ad accettare il controprogetto proposto</w:t>
      </w:r>
      <w:r w:rsidRPr="005372F8">
        <w:rPr>
          <w:rFonts w:asciiTheme="minorHAnsi" w:eastAsia="Arial" w:hAnsiTheme="minorHAnsi" w:cstheme="minorHAnsi"/>
          <w:color w:val="000000"/>
          <w:sz w:val="24"/>
          <w:szCs w:val="24"/>
          <w:u w:color="000000"/>
          <w:bdr w:val="nil"/>
          <w:lang w:eastAsia="it-CH"/>
        </w:rPr>
        <w:t xml:space="preserve"> dal Consiglio di Stato</w:t>
      </w:r>
      <w:r w:rsidR="00E809A1">
        <w:rPr>
          <w:rFonts w:asciiTheme="minorHAnsi" w:eastAsia="Arial" w:hAnsiTheme="minorHAnsi" w:cstheme="minorHAnsi"/>
          <w:color w:val="000000"/>
          <w:sz w:val="24"/>
          <w:szCs w:val="24"/>
          <w:u w:color="000000"/>
          <w:bdr w:val="nil"/>
          <w:lang w:eastAsia="it-CH"/>
        </w:rPr>
        <w:t xml:space="preserve"> nel relativo messaggio</w:t>
      </w:r>
      <w:r w:rsidRPr="005372F8">
        <w:rPr>
          <w:rFonts w:asciiTheme="minorHAnsi" w:eastAsia="Arial" w:hAnsiTheme="minorHAnsi" w:cstheme="minorHAnsi"/>
          <w:color w:val="000000"/>
          <w:sz w:val="24"/>
          <w:szCs w:val="24"/>
          <w:u w:color="000000"/>
          <w:bdr w:val="nil"/>
          <w:lang w:eastAsia="it-CH"/>
        </w:rPr>
        <w:t>.</w:t>
      </w:r>
    </w:p>
    <w:p w:rsidR="005372F8" w:rsidRDefault="005372F8" w:rsidP="005372F8">
      <w:pPr>
        <w:pBdr>
          <w:top w:val="nil"/>
          <w:left w:val="nil"/>
          <w:bottom w:val="nil"/>
          <w:right w:val="nil"/>
          <w:between w:val="nil"/>
          <w:bar w:val="nil"/>
        </w:pBdr>
        <w:rPr>
          <w:rFonts w:asciiTheme="minorHAnsi" w:eastAsia="Arial" w:hAnsiTheme="minorHAnsi" w:cstheme="minorHAnsi"/>
          <w:color w:val="000000"/>
          <w:sz w:val="24"/>
          <w:szCs w:val="24"/>
          <w:u w:color="000000"/>
          <w:bdr w:val="nil"/>
          <w:lang w:val="it-IT" w:eastAsia="it-CH"/>
        </w:rPr>
      </w:pPr>
    </w:p>
    <w:p w:rsidR="00F35EBC" w:rsidRPr="005372F8" w:rsidRDefault="00F35EBC" w:rsidP="005372F8">
      <w:pPr>
        <w:pBdr>
          <w:top w:val="nil"/>
          <w:left w:val="nil"/>
          <w:bottom w:val="nil"/>
          <w:right w:val="nil"/>
          <w:between w:val="nil"/>
          <w:bar w:val="nil"/>
        </w:pBdr>
        <w:rPr>
          <w:rFonts w:asciiTheme="minorHAnsi" w:eastAsia="Arial" w:hAnsiTheme="minorHAnsi" w:cstheme="minorHAnsi"/>
          <w:color w:val="000000"/>
          <w:sz w:val="24"/>
          <w:szCs w:val="24"/>
          <w:u w:color="000000"/>
          <w:bdr w:val="nil"/>
          <w:lang w:val="it-IT" w:eastAsia="it-CH"/>
        </w:rPr>
      </w:pPr>
    </w:p>
    <w:p w:rsidR="005372F8" w:rsidRPr="005372F8" w:rsidRDefault="005372F8" w:rsidP="00F35EBC">
      <w:pPr>
        <w:pBdr>
          <w:top w:val="nil"/>
          <w:left w:val="nil"/>
          <w:bottom w:val="nil"/>
          <w:right w:val="nil"/>
          <w:between w:val="nil"/>
          <w:bar w:val="nil"/>
        </w:pBdr>
        <w:spacing w:after="120"/>
        <w:rPr>
          <w:rFonts w:asciiTheme="minorHAnsi" w:eastAsia="Arial" w:hAnsiTheme="minorHAnsi" w:cstheme="minorHAnsi"/>
          <w:color w:val="000000"/>
          <w:sz w:val="24"/>
          <w:szCs w:val="24"/>
          <w:u w:color="000000"/>
          <w:bdr w:val="nil"/>
          <w:lang w:eastAsia="it-CH"/>
        </w:rPr>
      </w:pPr>
      <w:r w:rsidRPr="005372F8">
        <w:rPr>
          <w:rFonts w:asciiTheme="minorHAnsi" w:eastAsia="Arial" w:hAnsiTheme="minorHAnsi" w:cstheme="minorHAnsi"/>
          <w:color w:val="000000"/>
          <w:sz w:val="24"/>
          <w:szCs w:val="24"/>
          <w:u w:color="000000"/>
          <w:bdr w:val="nil"/>
          <w:lang w:eastAsia="it-CH"/>
        </w:rPr>
        <w:t>Per la Commissione giustizia e diritti</w:t>
      </w:r>
      <w:r w:rsidR="00F35EBC" w:rsidRPr="00F35EBC">
        <w:rPr>
          <w:rFonts w:asciiTheme="minorHAnsi" w:eastAsia="Arial" w:hAnsiTheme="minorHAnsi" w:cstheme="minorHAnsi"/>
          <w:color w:val="000000"/>
          <w:sz w:val="24"/>
          <w:szCs w:val="24"/>
          <w:u w:color="000000"/>
          <w:bdr w:val="nil"/>
          <w:lang w:eastAsia="it-CH"/>
        </w:rPr>
        <w:t>:</w:t>
      </w:r>
    </w:p>
    <w:p w:rsidR="005372F8" w:rsidRPr="005372F8" w:rsidRDefault="005372F8" w:rsidP="005372F8">
      <w:pPr>
        <w:pBdr>
          <w:top w:val="nil"/>
          <w:left w:val="nil"/>
          <w:bottom w:val="nil"/>
          <w:right w:val="nil"/>
          <w:between w:val="nil"/>
          <w:bar w:val="nil"/>
        </w:pBdr>
        <w:rPr>
          <w:rFonts w:asciiTheme="minorHAnsi" w:eastAsia="Arial" w:hAnsiTheme="minorHAnsi" w:cstheme="minorHAnsi"/>
          <w:color w:val="000000"/>
          <w:sz w:val="24"/>
          <w:szCs w:val="24"/>
          <w:u w:color="000000"/>
          <w:bdr w:val="nil"/>
          <w:lang w:val="it-IT" w:eastAsia="it-CH"/>
        </w:rPr>
      </w:pPr>
      <w:r w:rsidRPr="005372F8">
        <w:rPr>
          <w:rFonts w:asciiTheme="minorHAnsi" w:eastAsia="Arial" w:hAnsiTheme="minorHAnsi" w:cstheme="minorHAnsi"/>
          <w:color w:val="000000"/>
          <w:sz w:val="24"/>
          <w:szCs w:val="24"/>
          <w:u w:color="000000"/>
          <w:bdr w:val="nil"/>
          <w:lang w:eastAsia="it-CH"/>
        </w:rPr>
        <w:t>Sabrina Gendotti</w:t>
      </w:r>
      <w:r w:rsidR="00F35EBC">
        <w:rPr>
          <w:rFonts w:asciiTheme="minorHAnsi" w:eastAsia="Arial" w:hAnsiTheme="minorHAnsi" w:cstheme="minorHAnsi"/>
          <w:color w:val="000000"/>
          <w:sz w:val="24"/>
          <w:szCs w:val="24"/>
          <w:u w:color="000000"/>
          <w:bdr w:val="nil"/>
          <w:lang w:eastAsia="it-CH"/>
        </w:rPr>
        <w:t>, relatrice</w:t>
      </w:r>
    </w:p>
    <w:p w:rsidR="00BA7269" w:rsidRDefault="00F35EBC" w:rsidP="005372F8">
      <w:pPr>
        <w:pBdr>
          <w:top w:val="nil"/>
          <w:left w:val="nil"/>
          <w:bottom w:val="nil"/>
          <w:right w:val="nil"/>
          <w:between w:val="nil"/>
          <w:bar w:val="nil"/>
        </w:pBdr>
        <w:tabs>
          <w:tab w:val="left" w:pos="540"/>
        </w:tabs>
        <w:ind w:right="-1"/>
        <w:rPr>
          <w:rFonts w:eastAsia="Arial" w:cs="Arial"/>
          <w:color w:val="000000"/>
          <w:sz w:val="24"/>
          <w:szCs w:val="24"/>
          <w:u w:color="000000"/>
          <w:bdr w:val="nil"/>
          <w:lang w:val="it-IT" w:eastAsia="it-CH"/>
        </w:rPr>
      </w:pPr>
      <w:r>
        <w:rPr>
          <w:rFonts w:eastAsia="Arial" w:cs="Arial"/>
          <w:color w:val="000000"/>
          <w:sz w:val="24"/>
          <w:szCs w:val="24"/>
          <w:u w:color="000000"/>
          <w:bdr w:val="nil"/>
          <w:lang w:val="it-IT" w:eastAsia="it-CH"/>
        </w:rPr>
        <w:t xml:space="preserve">Bertoli - </w:t>
      </w:r>
      <w:r w:rsidRPr="00BA7269">
        <w:rPr>
          <w:rFonts w:eastAsia="Arial" w:cs="Arial"/>
          <w:color w:val="000000"/>
          <w:sz w:val="24"/>
          <w:szCs w:val="24"/>
          <w:u w:color="000000"/>
          <w:bdr w:val="nil"/>
          <w:lang w:val="it-IT" w:eastAsia="it-CH"/>
        </w:rPr>
        <w:t xml:space="preserve">Caccia </w:t>
      </w:r>
      <w:r w:rsidR="005C06E2" w:rsidRPr="00BA7269">
        <w:rPr>
          <w:rFonts w:eastAsia="Arial" w:cs="Arial"/>
          <w:color w:val="000000"/>
          <w:sz w:val="24"/>
          <w:szCs w:val="24"/>
          <w:u w:color="000000"/>
          <w:bdr w:val="nil"/>
          <w:lang w:val="it-IT" w:eastAsia="it-CH"/>
        </w:rPr>
        <w:t xml:space="preserve">- </w:t>
      </w:r>
      <w:r w:rsidR="00BA7269" w:rsidRPr="00BA7269">
        <w:rPr>
          <w:rFonts w:eastAsia="Arial" w:cs="Arial"/>
          <w:color w:val="000000"/>
          <w:sz w:val="24"/>
          <w:szCs w:val="24"/>
          <w:u w:color="000000"/>
          <w:bdr w:val="nil"/>
          <w:lang w:val="it-IT" w:eastAsia="it-CH"/>
        </w:rPr>
        <w:t>Cotti</w:t>
      </w:r>
      <w:r w:rsidR="005C06E2" w:rsidRPr="00BA7269">
        <w:rPr>
          <w:rFonts w:eastAsia="Arial" w:cs="Arial"/>
          <w:color w:val="000000"/>
          <w:sz w:val="24"/>
          <w:szCs w:val="24"/>
          <w:u w:color="000000"/>
          <w:bdr w:val="nil"/>
          <w:lang w:val="it-IT" w:eastAsia="it-CH"/>
        </w:rPr>
        <w:t xml:space="preserve"> - </w:t>
      </w:r>
      <w:r w:rsidRPr="00BA7269">
        <w:rPr>
          <w:rFonts w:eastAsia="Arial" w:cs="Arial"/>
          <w:color w:val="000000"/>
          <w:sz w:val="24"/>
          <w:szCs w:val="24"/>
          <w:u w:color="000000"/>
          <w:bdr w:val="nil"/>
          <w:lang w:val="it-IT" w:eastAsia="it-CH"/>
        </w:rPr>
        <w:t xml:space="preserve">Demir </w:t>
      </w:r>
      <w:r w:rsidR="00BA7269">
        <w:rPr>
          <w:rFonts w:eastAsia="Arial" w:cs="Arial"/>
          <w:color w:val="000000"/>
          <w:sz w:val="24"/>
          <w:szCs w:val="24"/>
          <w:u w:color="000000"/>
          <w:bdr w:val="nil"/>
          <w:lang w:val="it-IT" w:eastAsia="it-CH"/>
        </w:rPr>
        <w:t>-</w:t>
      </w:r>
    </w:p>
    <w:p w:rsidR="00BA7269" w:rsidRDefault="00F35EBC" w:rsidP="005372F8">
      <w:pPr>
        <w:pBdr>
          <w:top w:val="nil"/>
          <w:left w:val="nil"/>
          <w:bottom w:val="nil"/>
          <w:right w:val="nil"/>
          <w:between w:val="nil"/>
          <w:bar w:val="nil"/>
        </w:pBdr>
        <w:tabs>
          <w:tab w:val="left" w:pos="540"/>
        </w:tabs>
        <w:ind w:right="-1"/>
        <w:rPr>
          <w:rFonts w:eastAsia="Arial" w:cs="Arial"/>
          <w:color w:val="000000"/>
          <w:sz w:val="24"/>
          <w:szCs w:val="24"/>
          <w:u w:color="000000"/>
          <w:bdr w:val="nil"/>
          <w:lang w:val="it-IT" w:eastAsia="it-CH"/>
        </w:rPr>
      </w:pPr>
      <w:r w:rsidRPr="00BA7269">
        <w:rPr>
          <w:rFonts w:eastAsia="Arial" w:cs="Arial"/>
          <w:color w:val="000000"/>
          <w:sz w:val="24"/>
          <w:szCs w:val="24"/>
          <w:u w:color="000000"/>
          <w:bdr w:val="nil"/>
          <w:lang w:val="it-IT" w:eastAsia="it-CH"/>
        </w:rPr>
        <w:t>Genini</w:t>
      </w:r>
      <w:r>
        <w:rPr>
          <w:rFonts w:eastAsia="Arial" w:cs="Arial"/>
          <w:color w:val="000000"/>
          <w:sz w:val="24"/>
          <w:szCs w:val="24"/>
          <w:u w:color="000000"/>
          <w:bdr w:val="nil"/>
          <w:lang w:val="it-IT" w:eastAsia="it-CH"/>
        </w:rPr>
        <w:t xml:space="preserve"> Simona - Maderni - Quadranti </w:t>
      </w:r>
      <w:r w:rsidR="00BA7269">
        <w:rPr>
          <w:rFonts w:eastAsia="Arial" w:cs="Arial"/>
          <w:color w:val="000000"/>
          <w:sz w:val="24"/>
          <w:szCs w:val="24"/>
          <w:u w:color="000000"/>
          <w:bdr w:val="nil"/>
          <w:lang w:val="it-IT" w:eastAsia="it-CH"/>
        </w:rPr>
        <w:t>-</w:t>
      </w:r>
    </w:p>
    <w:p w:rsidR="00F35EBC" w:rsidRPr="005372F8" w:rsidRDefault="00F35EBC" w:rsidP="005372F8">
      <w:pPr>
        <w:pBdr>
          <w:top w:val="nil"/>
          <w:left w:val="nil"/>
          <w:bottom w:val="nil"/>
          <w:right w:val="nil"/>
          <w:between w:val="nil"/>
          <w:bar w:val="nil"/>
        </w:pBdr>
        <w:tabs>
          <w:tab w:val="left" w:pos="540"/>
        </w:tabs>
        <w:ind w:right="-1"/>
        <w:rPr>
          <w:rFonts w:eastAsia="Arial" w:cs="Arial"/>
          <w:color w:val="000000"/>
          <w:sz w:val="24"/>
          <w:szCs w:val="24"/>
          <w:u w:color="000000"/>
          <w:bdr w:val="nil"/>
          <w:lang w:val="it-IT" w:eastAsia="it-CH"/>
        </w:rPr>
      </w:pPr>
      <w:r>
        <w:rPr>
          <w:rFonts w:eastAsia="Arial" w:cs="Arial"/>
          <w:color w:val="000000"/>
          <w:sz w:val="24"/>
          <w:szCs w:val="24"/>
          <w:u w:color="000000"/>
          <w:bdr w:val="nil"/>
          <w:lang w:val="it-IT" w:eastAsia="it-CH"/>
        </w:rPr>
        <w:t>Rossi - Soldati - Zanetti</w:t>
      </w:r>
    </w:p>
    <w:p w:rsidR="008F52AF" w:rsidRPr="005372F8" w:rsidRDefault="008F52AF" w:rsidP="00D33940">
      <w:pPr>
        <w:pStyle w:val="StandardRisoluzionedelConsigliodiStato"/>
        <w:ind w:right="-1"/>
      </w:pPr>
    </w:p>
    <w:p w:rsidR="00D649A8" w:rsidRPr="005372F8" w:rsidRDefault="00D649A8" w:rsidP="00D33940">
      <w:pPr>
        <w:pStyle w:val="StandardRisoluzionedelConsigliodiStato"/>
        <w:ind w:right="-1"/>
      </w:pPr>
    </w:p>
    <w:p w:rsidR="00D649A8" w:rsidRPr="005372F8" w:rsidRDefault="00D649A8" w:rsidP="00D33940">
      <w:pPr>
        <w:pStyle w:val="StandardRisoluzionedelConsigliodiStato"/>
        <w:ind w:right="-1"/>
      </w:pPr>
    </w:p>
    <w:sectPr w:rsidR="00D649A8" w:rsidRPr="005372F8" w:rsidSect="00375115">
      <w:headerReference w:type="default" r:id="rId12"/>
      <w:footerReference w:type="default" r:id="rId13"/>
      <w:headerReference w:type="first" r:id="rId14"/>
      <w:footerReference w:type="first" r:id="rId1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2F8" w:rsidRDefault="005372F8" w:rsidP="00F657BF">
      <w:r>
        <w:separator/>
      </w:r>
    </w:p>
  </w:endnote>
  <w:endnote w:type="continuationSeparator" w:id="0">
    <w:p w:rsidR="005372F8" w:rsidRDefault="005372F8"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1355E3" w:rsidP="00912E34">
          <w:pPr>
            <w:tabs>
              <w:tab w:val="center" w:pos="2382"/>
            </w:tabs>
          </w:pPr>
        </w:p>
      </w:tc>
      <w:tc>
        <w:tcPr>
          <w:tcW w:w="721" w:type="dxa"/>
        </w:tcPr>
        <w:p w:rsidR="00912E34" w:rsidRPr="003D1008" w:rsidRDefault="00706D02"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706D02"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1355E3"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1355E3">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2F8" w:rsidRDefault="005372F8" w:rsidP="00F657BF">
      <w:r>
        <w:separator/>
      </w:r>
    </w:p>
  </w:footnote>
  <w:footnote w:type="continuationSeparator" w:id="0">
    <w:p w:rsidR="005372F8" w:rsidRDefault="005372F8"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1355E3"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4A64ED38-489F-4AF9-A00F-7472A9D851CD}"/>
              <w:text w:multiLine="1"/>
            </w:sdtPr>
            <w:sdtEndPr/>
            <w:sdtContent>
              <w:r w:rsidR="00706D02">
                <w:rPr>
                  <w:rFonts w:ascii="Gill Alt One MT Light" w:hAnsi="Gill Alt One MT Light"/>
                  <w:sz w:val="16"/>
                  <w:szCs w:val="16"/>
                </w:rPr>
                <w:t>Repubblica e Cantone Ticino</w:t>
              </w:r>
            </w:sdtContent>
          </w:sdt>
        </w:p>
        <w:p w:rsidR="005012EC" w:rsidRPr="00E8185F" w:rsidRDefault="001355E3"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4A64ED38-489F-4AF9-A00F-7472A9D851CD}"/>
              <w:text w:multiLine="1"/>
            </w:sdtPr>
            <w:sdtEndPr/>
            <w:sdtContent>
              <w:r w:rsidR="00F52AC2">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rsidR="005012EC" w:rsidRPr="004204CB" w:rsidRDefault="00706D02"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1355E3">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1355E3">
            <w:rPr>
              <w:noProof/>
              <w:sz w:val="24"/>
            </w:rPr>
            <w:t>6</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4A64ED38-489F-4AF9-A00F-7472A9D851CD}"/>
          <w:text w:multiLine="1"/>
        </w:sdtPr>
        <w:sdtEndPr/>
        <w:sdtContent>
          <w:tc>
            <w:tcPr>
              <w:tcW w:w="8383" w:type="dxa"/>
              <w:tcBorders>
                <w:left w:val="single" w:sz="4" w:space="0" w:color="auto"/>
              </w:tcBorders>
              <w:tcMar>
                <w:top w:w="0" w:type="dxa"/>
                <w:left w:w="142" w:type="dxa"/>
              </w:tcMar>
            </w:tcPr>
            <w:p w:rsidR="005012EC" w:rsidRPr="00F35EBC" w:rsidRDefault="00F52AC2"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8480 R del 16 marzo 2026</w:t>
              </w:r>
            </w:p>
          </w:tc>
        </w:sdtContent>
      </w:sdt>
      <w:tc>
        <w:tcPr>
          <w:tcW w:w="1710" w:type="dxa"/>
          <w:tcBorders>
            <w:top w:val="single" w:sz="4" w:space="0" w:color="auto"/>
          </w:tcBorders>
        </w:tcPr>
        <w:p w:rsidR="005012EC" w:rsidRPr="00F35EBC" w:rsidRDefault="001355E3" w:rsidP="00662409">
          <w:pPr>
            <w:pStyle w:val="InvisibleLine"/>
            <w:rPr>
              <w:lang w:val="it-CH"/>
            </w:rPr>
          </w:pPr>
        </w:p>
      </w:tc>
    </w:tr>
  </w:tbl>
  <w:p w:rsidR="00F657BF" w:rsidRPr="00980362" w:rsidRDefault="00706D02"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A64ED38-489F-4AF9-A00F-7472A9D851CD}"/>
                            <w:text w:multiLine="1"/>
                          </w:sdtPr>
                          <w:sdtEndPr/>
                          <w:sdtContent>
                            <w:p w:rsidR="008065E8" w:rsidRPr="00411371" w:rsidRDefault="00706D02"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ACDC939B-6D57-4BD2-9CCB-607D88BEAD69}"/>
                      <w:text w:multiLine="1"/>
                    </w:sdtPr>
                    <w:sdtEndPr/>
                    <w:sdtContent>
                      <w:p w:rsidR="008065E8" w:rsidRPr="00411371" w:rsidRDefault="00706D02"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1355E3" w:rsidP="00932E26">
          <w:pPr>
            <w:pStyle w:val="InvisibleLine"/>
            <w:spacing w:line="240" w:lineRule="auto"/>
            <w:ind w:left="15"/>
            <w:rPr>
              <w:rFonts w:ascii="Gill Alt One MT Light" w:hAnsi="Gill Alt One MT Light"/>
              <w:sz w:val="16"/>
              <w:lang w:val="it-CH"/>
            </w:rPr>
          </w:pPr>
        </w:p>
        <w:p w:rsidR="00CD5F73" w:rsidRDefault="00706D02"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1355E3"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1355E3" w:rsidP="00D07D6E">
          <w:pPr>
            <w:pStyle w:val="Level"/>
            <w:ind w:left="150"/>
            <w:rPr>
              <w:sz w:val="16"/>
            </w:rPr>
          </w:pPr>
        </w:p>
      </w:tc>
      <w:tc>
        <w:tcPr>
          <w:tcW w:w="209" w:type="pct"/>
          <w:tcBorders>
            <w:top w:val="nil"/>
            <w:bottom w:val="single" w:sz="4" w:space="0" w:color="auto"/>
          </w:tcBorders>
        </w:tcPr>
        <w:p w:rsidR="00662409" w:rsidRDefault="00706D02"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21373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706D02"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1355E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1355E3">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A64ED38-489F-4AF9-A00F-7472A9D851CD}"/>
          <w:text w:multiLine="1"/>
        </w:sdtPr>
        <w:sdtEndPr/>
        <w:sdtContent>
          <w:tc>
            <w:tcPr>
              <w:tcW w:w="5000" w:type="pct"/>
              <w:gridSpan w:val="6"/>
              <w:tcBorders>
                <w:left w:val="nil"/>
                <w:right w:val="nil"/>
              </w:tcBorders>
              <w:noWrap/>
              <w:tcMar>
                <w:top w:w="0" w:type="dxa"/>
              </w:tcMar>
              <w:vAlign w:val="bottom"/>
            </w:tcPr>
            <w:p w:rsidR="00662409" w:rsidRPr="008C03B5" w:rsidRDefault="00F52AC2"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706D02"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1355E3"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706D02"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1355E3"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706D02"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1355E3"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1355E3"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A64ED38-489F-4AF9-A00F-7472A9D851CD}"/>
              <w:text w:multiLine="1"/>
            </w:sdtPr>
            <w:sdtEndPr/>
            <w:sdtContent>
              <w:r w:rsidR="00F52AC2">
                <w:rPr>
                  <w:rFonts w:cstheme="minorHAnsi"/>
                  <w:b/>
                  <w:sz w:val="24"/>
                  <w:szCs w:val="24"/>
                </w:rPr>
                <w:t>8480 R</w:t>
              </w:r>
            </w:sdtContent>
          </w:sdt>
        </w:p>
      </w:tc>
      <w:sdt>
        <w:sdtPr>
          <w:rPr>
            <w:sz w:val="24"/>
          </w:rPr>
          <w:alias w:val="DocParam.Date"/>
          <w:id w:val="-464426178"/>
          <w:dataBinding w:xpath="//DateTime[@id='DocParam.Date']" w:storeItemID="{4A64ED38-489F-4AF9-A00F-7472A9D851CD}"/>
          <w:date w:fullDate="2026-03-16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F52AC2" w:rsidP="00A532F6">
              <w:pPr>
                <w:pStyle w:val="Data"/>
              </w:pPr>
              <w:r>
                <w:rPr>
                  <w:sz w:val="24"/>
                </w:rPr>
                <w:t>16 marzo 2026</w:t>
              </w:r>
            </w:p>
          </w:tc>
        </w:sdtContent>
      </w:sdt>
      <w:tc>
        <w:tcPr>
          <w:tcW w:w="3218" w:type="pct"/>
          <w:gridSpan w:val="4"/>
          <w:tcBorders>
            <w:top w:val="nil"/>
            <w:left w:val="nil"/>
            <w:bottom w:val="nil"/>
            <w:right w:val="nil"/>
          </w:tcBorders>
        </w:tcPr>
        <w:p w:rsidR="008C03B5" w:rsidRPr="00BE22A2" w:rsidRDefault="001355E3"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A64ED38-489F-4AF9-A00F-7472A9D851CD}"/>
              <w:text w:multiLine="1"/>
            </w:sdtPr>
            <w:sdtEndPr/>
            <w:sdtContent>
              <w:r w:rsidR="00F52AC2">
                <w:rPr>
                  <w:smallCaps/>
                  <w:sz w:val="23"/>
                  <w:szCs w:val="23"/>
                </w:rPr>
                <w:t>Dipartimento delle istituzioni</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1355E3" w:rsidP="00D07D6E">
          <w:pPr>
            <w:pStyle w:val="Level"/>
            <w:ind w:left="150"/>
            <w:rPr>
              <w:rFonts w:ascii="Gill Alt One MT Light" w:hAnsi="Gill Alt One MT Light"/>
              <w:sz w:val="16"/>
              <w:szCs w:val="16"/>
            </w:rPr>
          </w:pPr>
        </w:p>
      </w:tc>
    </w:tr>
  </w:tbl>
  <w:p w:rsidR="00F657BF" w:rsidRPr="00DA2879" w:rsidRDefault="00706D02"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629417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A64ED38-489F-4AF9-A00F-7472A9D851CD}"/>
                            <w:text w:multiLine="1"/>
                          </w:sdtPr>
                          <w:sdtEndPr/>
                          <w:sdtContent>
                            <w:p w:rsidR="00E93620" w:rsidRPr="00411371" w:rsidRDefault="00706D02"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ACDC939B-6D57-4BD2-9CCB-607D88BEAD69}"/>
                      <w:text w:multiLine="1"/>
                    </w:sdtPr>
                    <w:sdtEndPr/>
                    <w:sdtContent>
                      <w:p w:rsidR="00E93620" w:rsidRPr="00411371" w:rsidRDefault="00706D02"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F7E4161"/>
    <w:multiLevelType w:val="hybridMultilevel"/>
    <w:tmpl w:val="9A262F16"/>
    <w:numStyleLink w:val="Numerato"/>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54550C3E"/>
    <w:multiLevelType w:val="hybridMultilevel"/>
    <w:tmpl w:val="9A262F16"/>
    <w:styleLink w:val="Numerato"/>
    <w:lvl w:ilvl="0" w:tplc="C4625E86">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9FF61A44">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03263FF4">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E3A6175A">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45983FE0">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F28C7184">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39C4A15E">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10780CBC">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069AA0DE">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1"/>
  </w:num>
  <w:num w:numId="2">
    <w:abstractNumId w:val="17"/>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2F8"/>
    <w:rsid w:val="001355E3"/>
    <w:rsid w:val="002B5D9F"/>
    <w:rsid w:val="00310C90"/>
    <w:rsid w:val="0031723F"/>
    <w:rsid w:val="003B756D"/>
    <w:rsid w:val="00403ADB"/>
    <w:rsid w:val="004225F7"/>
    <w:rsid w:val="005372F8"/>
    <w:rsid w:val="005573A7"/>
    <w:rsid w:val="00572FD3"/>
    <w:rsid w:val="005C06E2"/>
    <w:rsid w:val="00706D02"/>
    <w:rsid w:val="007E1BE3"/>
    <w:rsid w:val="008720C4"/>
    <w:rsid w:val="00886025"/>
    <w:rsid w:val="008F52AF"/>
    <w:rsid w:val="00977CE0"/>
    <w:rsid w:val="009C5E5A"/>
    <w:rsid w:val="00AF0268"/>
    <w:rsid w:val="00BA7269"/>
    <w:rsid w:val="00BC004F"/>
    <w:rsid w:val="00BF0A1F"/>
    <w:rsid w:val="00CC1FFE"/>
    <w:rsid w:val="00CF22E6"/>
    <w:rsid w:val="00D33940"/>
    <w:rsid w:val="00D36F5B"/>
    <w:rsid w:val="00D600FD"/>
    <w:rsid w:val="00D649A8"/>
    <w:rsid w:val="00DC5D7F"/>
    <w:rsid w:val="00E63E4D"/>
    <w:rsid w:val="00E76626"/>
    <w:rsid w:val="00E809A1"/>
    <w:rsid w:val="00EB088A"/>
    <w:rsid w:val="00F35EBC"/>
    <w:rsid w:val="00F52AC2"/>
    <w:rsid w:val="00F657BF"/>
    <w:rsid w:val="00FC6825"/>
    <w:rsid w:val="00FD5FA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32BEF417-7EA1-43ED-BC14-212A602E5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numbering" w:customStyle="1" w:styleId="Numerato">
    <w:name w:val="Numerato"/>
    <w:rsid w:val="005372F8"/>
    <w:pPr>
      <w:numPr>
        <w:numId w:val="18"/>
      </w:numPr>
    </w:pPr>
  </w:style>
  <w:style w:type="paragraph" w:styleId="Testofumetto">
    <w:name w:val="Balloon Text"/>
    <w:basedOn w:val="Normale"/>
    <w:link w:val="TestofumettoCarattere"/>
    <w:uiPriority w:val="99"/>
    <w:semiHidden/>
    <w:unhideWhenUsed/>
    <w:rsid w:val="00FD5FA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D5FA7"/>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edlex.admin.ch/eli/fga/2018/532/i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53022b65-e3e6-4118-927f-be2cd51bece9.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213732087</Id>
      <Width>0</Width>
      <Height>0</Height>
      <XPath>//Image[@id='Profile.Org.WappenSW']</XPath>
      <ImageHash>02f1c0cdac6aeac316213b2e7cb733a0</ImageHash>
    </ImageSizeDefinition>
    <ImageSizeDefinition>
      <Id>1629417946</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22D73A7F-FB91-474C-90F5-2AF8E3D1ACF7}">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4A64ED38-489F-4AF9-A00F-7472A9D851CD}">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53022b65-e3e6-4118-927f-be2cd51bece9.dotx</Template>
  <TotalTime>26</TotalTime>
  <Pages>6</Pages>
  <Words>2238</Words>
  <Characters>12758</Characters>
  <Application>Microsoft Office Word</Application>
  <DocSecurity>0</DocSecurity>
  <Lines>106</Lines>
  <Paragraphs>29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22</cp:revision>
  <cp:lastPrinted>2026-04-07T07:52:00Z</cp:lastPrinted>
  <dcterms:created xsi:type="dcterms:W3CDTF">2026-03-18T12:04:00Z</dcterms:created>
  <dcterms:modified xsi:type="dcterms:W3CDTF">2026-04-07T07:54:00Z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