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A31" w:rsidRPr="00CE3A31" w:rsidRDefault="00CE3A31" w:rsidP="00CE3A31">
      <w:pPr>
        <w:tabs>
          <w:tab w:val="left" w:pos="426"/>
        </w:tabs>
        <w:spacing w:after="120"/>
        <w:rPr>
          <w:rFonts w:ascii="Arial" w:hAnsi="Arial" w:cs="Arial"/>
          <w:b/>
          <w:sz w:val="23"/>
          <w:szCs w:val="23"/>
        </w:rPr>
      </w:pPr>
      <w:r w:rsidRPr="00CE3A31">
        <w:rPr>
          <w:rFonts w:ascii="Arial" w:hAnsi="Arial" w:cs="Arial"/>
          <w:b/>
          <w:sz w:val="23"/>
          <w:szCs w:val="23"/>
        </w:rPr>
        <w:t xml:space="preserve">INIZIATIVA PARLAMENTARE </w:t>
      </w:r>
    </w:p>
    <w:p w:rsidR="00CE3A31" w:rsidRPr="00CE3A31" w:rsidRDefault="00CE3A31" w:rsidP="00CE3A31">
      <w:pPr>
        <w:tabs>
          <w:tab w:val="left" w:pos="426"/>
        </w:tabs>
        <w:rPr>
          <w:rFonts w:ascii="Arial" w:hAnsi="Arial" w:cs="Arial"/>
          <w:b/>
          <w:sz w:val="23"/>
          <w:szCs w:val="23"/>
        </w:rPr>
      </w:pPr>
    </w:p>
    <w:p w:rsidR="00CE3A31" w:rsidRPr="00CE3A31" w:rsidRDefault="00CE3A31" w:rsidP="00CE3A31">
      <w:pPr>
        <w:tabs>
          <w:tab w:val="left" w:pos="426"/>
        </w:tabs>
        <w:spacing w:after="120"/>
        <w:jc w:val="both"/>
        <w:rPr>
          <w:rFonts w:ascii="Arial" w:hAnsi="Arial" w:cs="Arial"/>
          <w:b/>
          <w:sz w:val="23"/>
          <w:szCs w:val="23"/>
          <w:u w:val="single"/>
        </w:rPr>
      </w:pPr>
      <w:r w:rsidRPr="00CE3A31">
        <w:rPr>
          <w:rFonts w:ascii="Arial" w:eastAsia="Calibri" w:hAnsi="Arial" w:cs="Arial"/>
          <w:b/>
          <w:bCs/>
          <w:sz w:val="23"/>
          <w:szCs w:val="23"/>
          <w:u w:val="single"/>
        </w:rPr>
        <w:t xml:space="preserve">presentata nella forma generica dalla Commissione speciale per l'attuazione dell'IP "Prima i nostri!" - </w:t>
      </w:r>
      <w:r w:rsidRPr="00CE3A31">
        <w:rPr>
          <w:rFonts w:ascii="Arial" w:hAnsi="Arial" w:cs="Arial"/>
          <w:b/>
          <w:sz w:val="23"/>
          <w:szCs w:val="23"/>
          <w:u w:val="single"/>
        </w:rPr>
        <w:t>Imprese neocostituite che servono gli interessi economici del Cantone</w:t>
      </w:r>
    </w:p>
    <w:p w:rsidR="00CE3A31" w:rsidRPr="00CE3A31" w:rsidRDefault="00CE3A31" w:rsidP="00CE3A31">
      <w:pPr>
        <w:tabs>
          <w:tab w:val="left" w:pos="426"/>
        </w:tabs>
        <w:rPr>
          <w:rFonts w:ascii="Arial" w:hAnsi="Arial" w:cs="Arial"/>
          <w:sz w:val="23"/>
          <w:szCs w:val="23"/>
        </w:rPr>
      </w:pPr>
    </w:p>
    <w:p w:rsidR="00CE3A31" w:rsidRPr="00CE3A31" w:rsidRDefault="00CE3A31" w:rsidP="00CE3A31">
      <w:pPr>
        <w:tabs>
          <w:tab w:val="left" w:pos="426"/>
        </w:tabs>
        <w:rPr>
          <w:rFonts w:ascii="Arial" w:hAnsi="Arial" w:cs="Arial"/>
          <w:sz w:val="23"/>
          <w:szCs w:val="23"/>
        </w:rPr>
      </w:pPr>
      <w:r w:rsidRPr="00CE3A31">
        <w:rPr>
          <w:rFonts w:ascii="Arial" w:hAnsi="Arial" w:cs="Arial"/>
          <w:sz w:val="23"/>
          <w:szCs w:val="23"/>
        </w:rPr>
        <w:t>del 10 aprile 2017</w:t>
      </w:r>
    </w:p>
    <w:p w:rsidR="00CE3A31" w:rsidRPr="00CE3A31" w:rsidRDefault="00CE3A31" w:rsidP="00CE3A31">
      <w:pPr>
        <w:tabs>
          <w:tab w:val="left" w:pos="426"/>
        </w:tabs>
        <w:rPr>
          <w:rFonts w:ascii="Arial" w:hAnsi="Arial" w:cs="Arial"/>
          <w:sz w:val="23"/>
          <w:szCs w:val="23"/>
        </w:rPr>
      </w:pPr>
    </w:p>
    <w:p w:rsidR="00CE3A31" w:rsidRPr="00CE3A31" w:rsidRDefault="00CE3A31" w:rsidP="00CE3A31">
      <w:pPr>
        <w:tabs>
          <w:tab w:val="left" w:pos="426"/>
        </w:tabs>
        <w:rPr>
          <w:rFonts w:ascii="Arial" w:hAnsi="Arial" w:cs="Arial"/>
          <w:sz w:val="23"/>
          <w:szCs w:val="23"/>
        </w:rPr>
      </w:pPr>
    </w:p>
    <w:p w:rsidR="00CE3A31" w:rsidRPr="00CE3A31" w:rsidRDefault="00CE3A31" w:rsidP="00CE3A31">
      <w:pPr>
        <w:widowControl/>
        <w:tabs>
          <w:tab w:val="left" w:pos="426"/>
        </w:tabs>
        <w:autoSpaceDE/>
        <w:autoSpaceDN/>
        <w:adjustRightInd/>
        <w:jc w:val="both"/>
        <w:rPr>
          <w:rFonts w:ascii="Arial" w:eastAsiaTheme="minorHAnsi" w:hAnsi="Arial" w:cs="Arial"/>
          <w:sz w:val="23"/>
          <w:szCs w:val="23"/>
        </w:rPr>
      </w:pPr>
      <w:r w:rsidRPr="00CE3A31">
        <w:rPr>
          <w:rFonts w:ascii="Arial" w:eastAsiaTheme="minorHAnsi" w:hAnsi="Arial" w:cs="Arial"/>
          <w:sz w:val="23"/>
          <w:szCs w:val="23"/>
        </w:rPr>
        <w:t xml:space="preserve">Gli art. 5 e 23 cpv. 3 della </w:t>
      </w:r>
      <w:r w:rsidRPr="00CE3A31">
        <w:rPr>
          <w:rFonts w:ascii="Arial" w:eastAsiaTheme="minorHAnsi" w:hAnsi="Arial" w:cs="Arial"/>
          <w:b/>
          <w:bCs/>
          <w:sz w:val="23"/>
          <w:szCs w:val="23"/>
        </w:rPr>
        <w:t xml:space="preserve">Legge federale sull'armonizzazione delle imposte dirette dei Cantoni e dei Comuni dispongono quanto segue: </w:t>
      </w:r>
      <w:r w:rsidRPr="00CE3A31">
        <w:rPr>
          <w:rFonts w:ascii="Arial" w:eastAsiaTheme="minorHAnsi" w:hAnsi="Arial" w:cs="Arial"/>
          <w:sz w:val="23"/>
          <w:szCs w:val="23"/>
        </w:rPr>
        <w:t xml:space="preserve">"I Cantoni possono prevedere, per via legislativa, sgravi di imposte a favore delle imprese neocostituite che servono gli interessi economici del Cantone, per l’anno di fondazione dell’impresa e per i nove anni seguenti. Un cambiamento essenziale dell’attività aziendale può essere equiparato a </w:t>
      </w:r>
      <w:proofErr w:type="spellStart"/>
      <w:r w:rsidRPr="00CE3A31">
        <w:rPr>
          <w:rFonts w:ascii="Arial" w:eastAsiaTheme="minorHAnsi" w:hAnsi="Arial" w:cs="Arial"/>
          <w:sz w:val="23"/>
          <w:szCs w:val="23"/>
        </w:rPr>
        <w:t>neocostituzione</w:t>
      </w:r>
      <w:proofErr w:type="spellEnd"/>
      <w:r w:rsidRPr="00CE3A31">
        <w:rPr>
          <w:rFonts w:ascii="Arial" w:eastAsiaTheme="minorHAnsi" w:hAnsi="Arial" w:cs="Arial"/>
          <w:sz w:val="23"/>
          <w:szCs w:val="23"/>
        </w:rPr>
        <w:t>."</w:t>
      </w:r>
    </w:p>
    <w:p w:rsidR="00CE3A31" w:rsidRPr="00CE3A31" w:rsidRDefault="00CE3A31" w:rsidP="00CE3A31">
      <w:pPr>
        <w:widowControl/>
        <w:tabs>
          <w:tab w:val="left" w:pos="426"/>
        </w:tabs>
        <w:autoSpaceDE/>
        <w:autoSpaceDN/>
        <w:adjustRightInd/>
        <w:spacing w:beforeLines="60" w:before="144" w:afterLines="60" w:after="144"/>
        <w:jc w:val="both"/>
        <w:rPr>
          <w:rFonts w:ascii="Arial" w:eastAsiaTheme="minorHAnsi" w:hAnsi="Arial" w:cs="Arial"/>
          <w:sz w:val="23"/>
          <w:szCs w:val="23"/>
        </w:rPr>
      </w:pPr>
      <w:r w:rsidRPr="00CE3A31">
        <w:rPr>
          <w:rFonts w:ascii="Arial" w:eastAsiaTheme="minorHAnsi" w:hAnsi="Arial" w:cs="Arial"/>
          <w:sz w:val="23"/>
          <w:szCs w:val="23"/>
        </w:rPr>
        <w:t xml:space="preserve">Questa norma è analoga all’art. 1 cpv. 3 </w:t>
      </w:r>
      <w:proofErr w:type="spellStart"/>
      <w:r w:rsidRPr="00CE3A31">
        <w:rPr>
          <w:rFonts w:ascii="Arial" w:eastAsiaTheme="minorHAnsi" w:hAnsi="Arial" w:cs="Arial"/>
          <w:sz w:val="23"/>
          <w:szCs w:val="23"/>
        </w:rPr>
        <w:t>lett</w:t>
      </w:r>
      <w:proofErr w:type="spellEnd"/>
      <w:r w:rsidRPr="00CE3A31">
        <w:rPr>
          <w:rFonts w:ascii="Arial" w:eastAsiaTheme="minorHAnsi" w:hAnsi="Arial" w:cs="Arial"/>
          <w:sz w:val="23"/>
          <w:szCs w:val="23"/>
        </w:rPr>
        <w:t xml:space="preserve">. b) del Concordato </w:t>
      </w:r>
      <w:proofErr w:type="spellStart"/>
      <w:r w:rsidRPr="00CE3A31">
        <w:rPr>
          <w:rFonts w:ascii="Arial" w:eastAsiaTheme="minorHAnsi" w:hAnsi="Arial" w:cs="Arial"/>
          <w:sz w:val="23"/>
          <w:szCs w:val="23"/>
        </w:rPr>
        <w:t>intercantonale</w:t>
      </w:r>
      <w:proofErr w:type="spellEnd"/>
      <w:r w:rsidRPr="00CE3A31">
        <w:rPr>
          <w:rFonts w:ascii="Arial" w:eastAsiaTheme="minorHAnsi" w:hAnsi="Arial" w:cs="Arial"/>
          <w:sz w:val="23"/>
          <w:szCs w:val="23"/>
        </w:rPr>
        <w:t xml:space="preserve"> del 10 dicembre 1948 sul divieto di convenzioni fiscali. </w:t>
      </w:r>
    </w:p>
    <w:p w:rsidR="00CE3A31" w:rsidRPr="00CE3A31" w:rsidRDefault="00CE3A31" w:rsidP="00CE3A31">
      <w:pPr>
        <w:widowControl/>
        <w:tabs>
          <w:tab w:val="left" w:pos="426"/>
        </w:tabs>
        <w:autoSpaceDE/>
        <w:autoSpaceDN/>
        <w:adjustRightInd/>
        <w:spacing w:beforeLines="60" w:before="144" w:afterLines="60" w:after="144"/>
        <w:jc w:val="both"/>
        <w:rPr>
          <w:rFonts w:ascii="Arial" w:eastAsiaTheme="minorHAnsi" w:hAnsi="Arial" w:cs="Arial"/>
          <w:sz w:val="23"/>
          <w:szCs w:val="23"/>
        </w:rPr>
      </w:pPr>
      <w:r w:rsidRPr="00CE3A31">
        <w:rPr>
          <w:rFonts w:ascii="Arial" w:eastAsiaTheme="minorHAnsi" w:hAnsi="Arial" w:cs="Arial"/>
          <w:sz w:val="23"/>
          <w:szCs w:val="23"/>
        </w:rPr>
        <w:t>A questo proposito si veda anche l’art. 11 cpv. 1 della Legge per l’innovazione economica (</w:t>
      </w:r>
      <w:proofErr w:type="spellStart"/>
      <w:r w:rsidRPr="00CE3A31">
        <w:rPr>
          <w:rFonts w:ascii="Arial" w:eastAsiaTheme="minorHAnsi" w:hAnsi="Arial" w:cs="Arial"/>
          <w:sz w:val="23"/>
          <w:szCs w:val="23"/>
        </w:rPr>
        <w:t>LInn</w:t>
      </w:r>
      <w:proofErr w:type="spellEnd"/>
      <w:r w:rsidRPr="00CE3A31">
        <w:rPr>
          <w:rFonts w:ascii="Arial" w:eastAsiaTheme="minorHAnsi" w:hAnsi="Arial" w:cs="Arial"/>
          <w:sz w:val="23"/>
          <w:szCs w:val="23"/>
        </w:rPr>
        <w:t xml:space="preserve">) che recita: "Il Cantone può concedere alle nuove aziende agevolazioni per le imposte cantonali sull’utile e sul capitale, di regola per un massimo di 5 anni, e fino all’esonero completo. In casi eccezionali, l’agevolazione può estendersi per un periodo massimo di 10 anni. Un cambiamento essenziale dell’attività aziendale può essere equiparato alla costituzione di una nuova azienda." La </w:t>
      </w:r>
      <w:proofErr w:type="spellStart"/>
      <w:r w:rsidRPr="00CE3A31">
        <w:rPr>
          <w:rFonts w:ascii="Arial" w:eastAsiaTheme="minorHAnsi" w:hAnsi="Arial" w:cs="Arial"/>
          <w:sz w:val="23"/>
          <w:szCs w:val="23"/>
        </w:rPr>
        <w:t>LInn</w:t>
      </w:r>
      <w:proofErr w:type="spellEnd"/>
      <w:r w:rsidRPr="00CE3A31">
        <w:rPr>
          <w:rFonts w:ascii="Arial" w:eastAsiaTheme="minorHAnsi" w:hAnsi="Arial" w:cs="Arial"/>
          <w:sz w:val="23"/>
          <w:szCs w:val="23"/>
        </w:rPr>
        <w:t xml:space="preserve"> prevede, a mezzo di decreti esecutivi, i criteri di accesso a queste agevolazioni: almeno il 60% dei propri dipendenti dell’azienda è residente in Svizzera e almeno il 60% dei dipendenti percepisce un salario mensile lordo superiore a </w:t>
      </w:r>
      <w:r w:rsidRPr="00CE3A31">
        <w:rPr>
          <w:rFonts w:ascii="Arial" w:eastAsiaTheme="minorHAnsi" w:hAnsi="Arial" w:cs="Arial"/>
          <w:sz w:val="23"/>
          <w:szCs w:val="23"/>
        </w:rPr>
        <w:br/>
      </w:r>
      <w:proofErr w:type="spellStart"/>
      <w:r w:rsidRPr="00CE3A31">
        <w:rPr>
          <w:rFonts w:ascii="Arial" w:eastAsiaTheme="minorHAnsi" w:hAnsi="Arial" w:cs="Arial"/>
          <w:sz w:val="23"/>
          <w:szCs w:val="23"/>
        </w:rPr>
        <w:t>fr</w:t>
      </w:r>
      <w:proofErr w:type="spellEnd"/>
      <w:r w:rsidRPr="00CE3A31">
        <w:rPr>
          <w:rFonts w:ascii="Arial" w:eastAsiaTheme="minorHAnsi" w:hAnsi="Arial" w:cs="Arial"/>
          <w:sz w:val="23"/>
          <w:szCs w:val="23"/>
        </w:rPr>
        <w:t>. 4’000.- per 12 mensilità.</w:t>
      </w:r>
    </w:p>
    <w:p w:rsidR="00CE3A31" w:rsidRPr="00CE3A31" w:rsidRDefault="00CE3A31" w:rsidP="00CE3A31">
      <w:pPr>
        <w:widowControl/>
        <w:tabs>
          <w:tab w:val="left" w:pos="426"/>
        </w:tabs>
        <w:autoSpaceDE/>
        <w:autoSpaceDN/>
        <w:adjustRightInd/>
        <w:spacing w:beforeLines="60" w:before="144" w:afterLines="60" w:after="144"/>
        <w:jc w:val="both"/>
        <w:rPr>
          <w:rFonts w:ascii="Arial" w:eastAsiaTheme="minorHAnsi" w:hAnsi="Arial" w:cs="Arial"/>
          <w:sz w:val="23"/>
          <w:szCs w:val="23"/>
        </w:rPr>
      </w:pPr>
      <w:r w:rsidRPr="00CE3A31">
        <w:rPr>
          <w:rFonts w:ascii="Arial" w:eastAsiaTheme="minorHAnsi" w:hAnsi="Arial" w:cs="Arial"/>
          <w:sz w:val="23"/>
          <w:szCs w:val="23"/>
        </w:rPr>
        <w:t>Evidentemente non solo l'innovazione serve gli interessi economici del Cantone. La popolazione ticinese punta anche su altri valori, in particolare quelli elencati nei nuovi articoli costituzionali legati alla iniziativa "Prima i nostri!". Quelli che erano solo semplici criteri sono dunque assurti a un ruolo centrale nell'ottica dell'interesse del Cantone, cosa che da sola giustifica un plausibile alleggerimento fiscale con lo scopo di incentivare l’implementazione di tali realtà imprenditoriali. Le ditte neocostituite socialmente e economicamente importanti per il nostro territorio si preoccupano infatti per il personale indigeno e offrono stipendi interessanti.</w:t>
      </w:r>
    </w:p>
    <w:p w:rsidR="00CE3A31" w:rsidRPr="00CE3A31" w:rsidRDefault="00CE3A31" w:rsidP="00CE3A31">
      <w:pPr>
        <w:widowControl/>
        <w:tabs>
          <w:tab w:val="left" w:pos="426"/>
        </w:tabs>
        <w:autoSpaceDE/>
        <w:autoSpaceDN/>
        <w:adjustRightInd/>
        <w:spacing w:after="60"/>
        <w:jc w:val="both"/>
        <w:rPr>
          <w:rFonts w:ascii="Arial" w:eastAsiaTheme="minorHAnsi" w:hAnsi="Arial" w:cs="Arial"/>
          <w:b/>
          <w:sz w:val="23"/>
          <w:szCs w:val="23"/>
        </w:rPr>
      </w:pPr>
      <w:r w:rsidRPr="00CE3A31">
        <w:rPr>
          <w:rFonts w:ascii="Arial" w:eastAsiaTheme="minorHAnsi" w:hAnsi="Arial" w:cs="Arial"/>
          <w:b/>
          <w:sz w:val="23"/>
          <w:szCs w:val="23"/>
        </w:rPr>
        <w:t>Alla luce di quanto sopra la presente iniziativa parlamentare generica chiede di modificare la Legge tributaria ticinese affinché l’imposta sulle neocostituite società di persone e di capitali sia decurtata di 1/3, per una durata di 10 anni, nel caso in cui:</w:t>
      </w:r>
    </w:p>
    <w:p w:rsidR="00CE3A31" w:rsidRPr="00CE3A31" w:rsidRDefault="00CE3A31" w:rsidP="00CE3A31">
      <w:pPr>
        <w:widowControl/>
        <w:numPr>
          <w:ilvl w:val="0"/>
          <w:numId w:val="6"/>
        </w:numPr>
        <w:tabs>
          <w:tab w:val="left" w:pos="426"/>
        </w:tabs>
        <w:autoSpaceDE/>
        <w:autoSpaceDN/>
        <w:adjustRightInd/>
        <w:spacing w:after="60"/>
        <w:ind w:left="284" w:hanging="284"/>
        <w:jc w:val="both"/>
        <w:rPr>
          <w:rFonts w:ascii="Arial" w:eastAsiaTheme="minorHAnsi" w:hAnsi="Arial" w:cs="Arial"/>
          <w:b/>
          <w:sz w:val="23"/>
          <w:szCs w:val="23"/>
        </w:rPr>
      </w:pPr>
      <w:r w:rsidRPr="00CE3A31">
        <w:rPr>
          <w:rFonts w:ascii="Arial" w:eastAsiaTheme="minorHAnsi" w:hAnsi="Arial" w:cs="Arial"/>
          <w:b/>
          <w:sz w:val="23"/>
          <w:szCs w:val="23"/>
        </w:rPr>
        <w:t>almeno l'80% dei dipendenti risiedano in Svizzera;</w:t>
      </w:r>
    </w:p>
    <w:p w:rsidR="00CE3A31" w:rsidRPr="00CE3A31" w:rsidRDefault="00CE3A31" w:rsidP="00CE3A31">
      <w:pPr>
        <w:widowControl/>
        <w:numPr>
          <w:ilvl w:val="0"/>
          <w:numId w:val="6"/>
        </w:numPr>
        <w:tabs>
          <w:tab w:val="left" w:pos="426"/>
        </w:tabs>
        <w:autoSpaceDE/>
        <w:autoSpaceDN/>
        <w:adjustRightInd/>
        <w:ind w:left="284" w:hanging="284"/>
        <w:jc w:val="both"/>
        <w:rPr>
          <w:rFonts w:ascii="Arial" w:eastAsiaTheme="minorHAnsi" w:hAnsi="Arial" w:cs="Arial"/>
          <w:b/>
          <w:sz w:val="23"/>
          <w:szCs w:val="23"/>
        </w:rPr>
      </w:pPr>
      <w:r w:rsidRPr="00CE3A31">
        <w:rPr>
          <w:rFonts w:ascii="Arial" w:eastAsiaTheme="minorHAnsi" w:hAnsi="Arial" w:cs="Arial"/>
          <w:b/>
          <w:sz w:val="23"/>
          <w:szCs w:val="23"/>
        </w:rPr>
        <w:t xml:space="preserve">almeno l’80% dei dipendenti percepiscano un salario mensile lordo superiore a </w:t>
      </w:r>
      <w:r w:rsidRPr="00CE3A31">
        <w:rPr>
          <w:rFonts w:ascii="Arial" w:eastAsiaTheme="minorHAnsi" w:hAnsi="Arial" w:cs="Arial"/>
          <w:b/>
          <w:sz w:val="23"/>
          <w:szCs w:val="23"/>
        </w:rPr>
        <w:br/>
      </w:r>
      <w:proofErr w:type="spellStart"/>
      <w:r w:rsidRPr="00CE3A31">
        <w:rPr>
          <w:rFonts w:ascii="Arial" w:eastAsiaTheme="minorHAnsi" w:hAnsi="Arial" w:cs="Arial"/>
          <w:b/>
          <w:sz w:val="23"/>
          <w:szCs w:val="23"/>
        </w:rPr>
        <w:t>fr</w:t>
      </w:r>
      <w:proofErr w:type="spellEnd"/>
      <w:r w:rsidRPr="00CE3A31">
        <w:rPr>
          <w:rFonts w:ascii="Arial" w:eastAsiaTheme="minorHAnsi" w:hAnsi="Arial" w:cs="Arial"/>
          <w:b/>
          <w:sz w:val="23"/>
          <w:szCs w:val="23"/>
        </w:rPr>
        <w:t>. 4’000.- per 13 mensilità.</w:t>
      </w:r>
    </w:p>
    <w:p w:rsidR="00CE3A31" w:rsidRPr="00CE3A31" w:rsidRDefault="00CE3A31" w:rsidP="00CE3A31">
      <w:pPr>
        <w:tabs>
          <w:tab w:val="left" w:pos="426"/>
        </w:tabs>
        <w:rPr>
          <w:rFonts w:ascii="Arial" w:hAnsi="Arial" w:cs="Arial"/>
          <w:sz w:val="23"/>
          <w:szCs w:val="23"/>
        </w:rPr>
      </w:pPr>
    </w:p>
    <w:p w:rsidR="00CE3A31" w:rsidRPr="00CE3A31" w:rsidRDefault="00CE3A31" w:rsidP="00CE3A31">
      <w:pPr>
        <w:tabs>
          <w:tab w:val="left" w:pos="426"/>
        </w:tabs>
        <w:jc w:val="both"/>
        <w:rPr>
          <w:rFonts w:ascii="Arial" w:hAnsi="Arial" w:cs="Arial"/>
          <w:sz w:val="23"/>
          <w:szCs w:val="23"/>
        </w:rPr>
      </w:pPr>
      <w:r w:rsidRPr="00CE3A31">
        <w:rPr>
          <w:rFonts w:ascii="Arial" w:hAnsi="Arial" w:cs="Arial"/>
          <w:sz w:val="23"/>
          <w:szCs w:val="23"/>
        </w:rPr>
        <w:t>Il Consiglio di Stato e la commissione preposta dovranno valutare un’eventuale limitazione legata al numero di dipendenti necessari, al fine di ossequiare lo scopo della legge.</w:t>
      </w:r>
    </w:p>
    <w:p w:rsidR="00CE3A31" w:rsidRPr="00CE3A31" w:rsidRDefault="00CE3A31" w:rsidP="00CE3A31">
      <w:pPr>
        <w:tabs>
          <w:tab w:val="left" w:pos="426"/>
        </w:tabs>
        <w:jc w:val="both"/>
        <w:rPr>
          <w:rFonts w:ascii="Arial" w:hAnsi="Arial" w:cs="Arial"/>
          <w:sz w:val="23"/>
          <w:szCs w:val="23"/>
        </w:rPr>
      </w:pPr>
    </w:p>
    <w:p w:rsidR="00CE3A31" w:rsidRPr="00CE3A31" w:rsidRDefault="00CE3A31" w:rsidP="00CE3A31">
      <w:pPr>
        <w:tabs>
          <w:tab w:val="left" w:pos="426"/>
        </w:tabs>
        <w:jc w:val="both"/>
        <w:rPr>
          <w:rFonts w:ascii="Arial" w:hAnsi="Arial" w:cs="Arial"/>
          <w:sz w:val="23"/>
          <w:szCs w:val="23"/>
        </w:rPr>
      </w:pPr>
      <w:r w:rsidRPr="00CE3A31">
        <w:rPr>
          <w:rFonts w:ascii="Arial" w:hAnsi="Arial" w:cs="Arial"/>
          <w:sz w:val="23"/>
          <w:szCs w:val="23"/>
        </w:rPr>
        <w:t>Preferenza indigena e lotta al dumping salariale potranno in tal modo trovare un riscontro anche a mezzo di una fiscalità che premi le aziende che servono gli interessi economici e sociali del Cantone.</w:t>
      </w:r>
    </w:p>
    <w:p w:rsidR="00CE3A31" w:rsidRPr="00CE3A31" w:rsidRDefault="00CE3A31" w:rsidP="00CE3A31">
      <w:pPr>
        <w:tabs>
          <w:tab w:val="left" w:pos="426"/>
        </w:tabs>
        <w:rPr>
          <w:rFonts w:ascii="Arial" w:hAnsi="Arial" w:cs="Arial"/>
          <w:color w:val="000000"/>
          <w:sz w:val="23"/>
          <w:szCs w:val="23"/>
        </w:rPr>
      </w:pPr>
    </w:p>
    <w:p w:rsidR="00CE3A31" w:rsidRPr="00CE3A31" w:rsidRDefault="00CE3A31" w:rsidP="00CE3A31">
      <w:pPr>
        <w:jc w:val="both"/>
        <w:rPr>
          <w:rFonts w:ascii="Arial" w:hAnsi="Arial" w:cs="Arial"/>
          <w:sz w:val="23"/>
          <w:szCs w:val="23"/>
        </w:rPr>
      </w:pPr>
      <w:r w:rsidRPr="00CE3A31">
        <w:rPr>
          <w:rFonts w:ascii="Arial" w:hAnsi="Arial" w:cs="Arial"/>
          <w:sz w:val="23"/>
          <w:szCs w:val="23"/>
        </w:rPr>
        <w:t xml:space="preserve">Per la Commissione speciale </w:t>
      </w:r>
    </w:p>
    <w:p w:rsidR="00CE3A31" w:rsidRPr="00CE3A31" w:rsidRDefault="00CE3A31" w:rsidP="00CE3A31">
      <w:pPr>
        <w:jc w:val="both"/>
        <w:rPr>
          <w:rFonts w:ascii="Arial" w:hAnsi="Arial" w:cs="Arial"/>
          <w:sz w:val="23"/>
          <w:szCs w:val="23"/>
        </w:rPr>
      </w:pPr>
      <w:r w:rsidRPr="00CE3A31">
        <w:rPr>
          <w:rFonts w:ascii="Arial" w:hAnsi="Arial" w:cs="Arial"/>
          <w:sz w:val="23"/>
          <w:szCs w:val="23"/>
        </w:rPr>
        <w:t>per l'attuazione dell'IP "Prima i nostri!"</w:t>
      </w:r>
    </w:p>
    <w:p w:rsidR="00CE3A31" w:rsidRPr="00CE3A31" w:rsidRDefault="00CE3A31" w:rsidP="00CE3A31">
      <w:pPr>
        <w:tabs>
          <w:tab w:val="left" w:pos="426"/>
        </w:tabs>
        <w:rPr>
          <w:rFonts w:ascii="Arial" w:hAnsi="Arial" w:cs="Arial"/>
          <w:sz w:val="23"/>
          <w:szCs w:val="23"/>
        </w:rPr>
      </w:pPr>
      <w:r w:rsidRPr="00CE3A31">
        <w:rPr>
          <w:rFonts w:ascii="Arial" w:hAnsi="Arial" w:cs="Arial"/>
          <w:sz w:val="23"/>
          <w:szCs w:val="23"/>
        </w:rPr>
        <w:t>Gabriele Pinoja</w:t>
      </w:r>
    </w:p>
    <w:p w:rsidR="00D83D7F" w:rsidRPr="00CE3A31" w:rsidRDefault="00CE3A31" w:rsidP="00CE3A31">
      <w:pPr>
        <w:tabs>
          <w:tab w:val="left" w:pos="426"/>
        </w:tabs>
      </w:pPr>
      <w:proofErr w:type="spellStart"/>
      <w:r w:rsidRPr="00CE3A31">
        <w:rPr>
          <w:rFonts w:ascii="Arial" w:hAnsi="Arial" w:cs="Arial"/>
          <w:sz w:val="23"/>
          <w:szCs w:val="23"/>
        </w:rPr>
        <w:t>Ghisla</w:t>
      </w:r>
      <w:proofErr w:type="spellEnd"/>
      <w:r w:rsidRPr="00CE3A31">
        <w:rPr>
          <w:rFonts w:ascii="Arial" w:hAnsi="Arial" w:cs="Arial"/>
          <w:sz w:val="23"/>
          <w:szCs w:val="23"/>
        </w:rPr>
        <w:t xml:space="preserve"> - Giudici - Merlo - Minotti</w:t>
      </w:r>
      <w:bookmarkStart w:id="0" w:name="_GoBack"/>
      <w:bookmarkEnd w:id="0"/>
    </w:p>
    <w:sectPr w:rsidR="00D83D7F" w:rsidRPr="00CE3A31" w:rsidSect="00DB69DD">
      <w:headerReference w:type="even" r:id="rId6"/>
      <w:headerReference w:type="default" r:id="rId7"/>
      <w:footerReference w:type="even" r:id="rId8"/>
      <w:footerReference w:type="default" r:id="rId9"/>
      <w:headerReference w:type="first" r:id="rId10"/>
      <w:footerReference w:type="first" r:id="rId11"/>
      <w:pgSz w:w="11906" w:h="16838"/>
      <w:pgMar w:top="1417"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dobe Garamond Pro">
    <w:altName w:val="Garamond"/>
    <w:panose1 w:val="00000000000000000000"/>
    <w:charset w:val="00"/>
    <w:family w:val="roman"/>
    <w:notTrueType/>
    <w:pitch w:val="variable"/>
    <w:sig w:usb0="00000007" w:usb1="00000001"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CE3A31">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CE3A31">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CE3A31">
    <w:pPr>
      <w:pStyle w:val="Pidipa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CE3A31">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CE3A31">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D2D" w:rsidRDefault="00CE3A31">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2604C"/>
    <w:multiLevelType w:val="hybridMultilevel"/>
    <w:tmpl w:val="C93CA64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25086CE7"/>
    <w:multiLevelType w:val="hybridMultilevel"/>
    <w:tmpl w:val="36745B6C"/>
    <w:lvl w:ilvl="0" w:tplc="12EA193A">
      <w:start w:val="1"/>
      <w:numFmt w:val="bullet"/>
      <w:lvlText w:val="-"/>
      <w:lvlJc w:val="left"/>
      <w:pPr>
        <w:ind w:left="360" w:hanging="360"/>
      </w:pPr>
      <w:rPr>
        <w:rFonts w:ascii="Adobe Garamond Pro" w:hAnsi="Adobe Garamond Pro"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
    <w:nsid w:val="37796041"/>
    <w:multiLevelType w:val="hybridMultilevel"/>
    <w:tmpl w:val="AC0005DE"/>
    <w:lvl w:ilvl="0" w:tplc="9DEE5344">
      <w:numFmt w:val="bullet"/>
      <w:lvlText w:val="-"/>
      <w:lvlJc w:val="left"/>
      <w:pPr>
        <w:ind w:left="720" w:hanging="360"/>
      </w:pPr>
      <w:rPr>
        <w:rFonts w:ascii="Calibri" w:eastAsiaTheme="minorHAnsi" w:hAnsi="Calibri"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3D4B35EE"/>
    <w:multiLevelType w:val="hybridMultilevel"/>
    <w:tmpl w:val="3170DD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4BE76B8"/>
    <w:multiLevelType w:val="hybridMultilevel"/>
    <w:tmpl w:val="743CAEE8"/>
    <w:lvl w:ilvl="0" w:tplc="6262B878">
      <w:start w:val="30"/>
      <w:numFmt w:val="bullet"/>
      <w:lvlText w:val="-"/>
      <w:lvlJc w:val="left"/>
      <w:pPr>
        <w:ind w:left="720" w:hanging="360"/>
      </w:pPr>
      <w:rPr>
        <w:rFonts w:ascii="Calibri" w:eastAsia="Times New Roman"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7ADA59AB"/>
    <w:multiLevelType w:val="hybridMultilevel"/>
    <w:tmpl w:val="A12CA10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1D4"/>
    <w:rsid w:val="00090652"/>
    <w:rsid w:val="00354F55"/>
    <w:rsid w:val="007561D4"/>
    <w:rsid w:val="009949BA"/>
    <w:rsid w:val="00CE3A31"/>
    <w:rsid w:val="00D83D7F"/>
    <w:rsid w:val="00DB69DD"/>
    <w:rsid w:val="00FA496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7561D4"/>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61D4"/>
    <w:rPr>
      <w:rFonts w:eastAsia="Calibri"/>
    </w:rPr>
  </w:style>
  <w:style w:type="paragraph" w:styleId="Intestazione">
    <w:name w:val="header"/>
    <w:basedOn w:val="Normale"/>
    <w:link w:val="IntestazioneCarattere"/>
    <w:uiPriority w:val="99"/>
    <w:unhideWhenUsed/>
    <w:rsid w:val="007561D4"/>
    <w:pPr>
      <w:tabs>
        <w:tab w:val="center" w:pos="4819"/>
        <w:tab w:val="right" w:pos="9638"/>
      </w:tabs>
    </w:pPr>
  </w:style>
  <w:style w:type="character" w:customStyle="1" w:styleId="IntestazioneCarattere">
    <w:name w:val="Intestazione Carattere"/>
    <w:basedOn w:val="Carpredefinitoparagrafo"/>
    <w:link w:val="Intestazione"/>
    <w:uiPriority w:val="99"/>
    <w:rsid w:val="007561D4"/>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7561D4"/>
    <w:pPr>
      <w:tabs>
        <w:tab w:val="center" w:pos="4819"/>
        <w:tab w:val="right" w:pos="9638"/>
      </w:tabs>
    </w:pPr>
  </w:style>
  <w:style w:type="character" w:customStyle="1" w:styleId="PidipaginaCarattere">
    <w:name w:val="Piè di pagina Carattere"/>
    <w:basedOn w:val="Carpredefinitoparagrafo"/>
    <w:link w:val="Pidipagina"/>
    <w:uiPriority w:val="99"/>
    <w:rsid w:val="007561D4"/>
    <w:rPr>
      <w:rFonts w:ascii="Times New Roman" w:eastAsia="Times New Roman" w:hAnsi="Times New Roman" w:cs="Times New Roman"/>
      <w:sz w:val="24"/>
      <w:szCs w:val="24"/>
      <w:lang w:eastAsia="it-CH"/>
    </w:rPr>
  </w:style>
  <w:style w:type="table" w:styleId="Grigliatabella">
    <w:name w:val="Table Grid"/>
    <w:basedOn w:val="Tabellanormale"/>
    <w:uiPriority w:val="39"/>
    <w:rsid w:val="00756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949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49BA"/>
    <w:rPr>
      <w:rFonts w:ascii="Tahoma" w:eastAsia="Times New Roman" w:hAnsi="Tahoma" w:cs="Tahoma"/>
      <w:sz w:val="16"/>
      <w:szCs w:val="16"/>
      <w:lang w:eastAsia="it-CH"/>
    </w:rPr>
  </w:style>
  <w:style w:type="paragraph" w:styleId="NormaleWeb">
    <w:name w:val="Normal (Web)"/>
    <w:basedOn w:val="Normale"/>
    <w:uiPriority w:val="99"/>
    <w:unhideWhenUsed/>
    <w:rsid w:val="00354F55"/>
    <w:pPr>
      <w:widowControl/>
      <w:autoSpaceDE/>
      <w:autoSpaceDN/>
      <w:adjustRightInd/>
      <w:spacing w:before="100" w:beforeAutospacing="1" w:after="100" w:afterAutospacing="1"/>
    </w:pPr>
    <w:rPr>
      <w:rFonts w:ascii="Times" w:eastAsiaTheme="minorEastAsia" w:hAnsi="Times"/>
      <w:sz w:val="20"/>
      <w:szCs w:val="20"/>
      <w:lang w:val="it-IT" w:eastAsia="it-IT"/>
    </w:rPr>
  </w:style>
  <w:style w:type="table" w:customStyle="1" w:styleId="Grigliatabella1">
    <w:name w:val="Griglia tabella1"/>
    <w:basedOn w:val="Tabellanormale"/>
    <w:next w:val="Grigliatabella"/>
    <w:uiPriority w:val="39"/>
    <w:rsid w:val="00FA4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7561D4"/>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561D4"/>
    <w:rPr>
      <w:rFonts w:eastAsia="Calibri"/>
    </w:rPr>
  </w:style>
  <w:style w:type="paragraph" w:styleId="Intestazione">
    <w:name w:val="header"/>
    <w:basedOn w:val="Normale"/>
    <w:link w:val="IntestazioneCarattere"/>
    <w:uiPriority w:val="99"/>
    <w:unhideWhenUsed/>
    <w:rsid w:val="007561D4"/>
    <w:pPr>
      <w:tabs>
        <w:tab w:val="center" w:pos="4819"/>
        <w:tab w:val="right" w:pos="9638"/>
      </w:tabs>
    </w:pPr>
  </w:style>
  <w:style w:type="character" w:customStyle="1" w:styleId="IntestazioneCarattere">
    <w:name w:val="Intestazione Carattere"/>
    <w:basedOn w:val="Carpredefinitoparagrafo"/>
    <w:link w:val="Intestazione"/>
    <w:uiPriority w:val="99"/>
    <w:rsid w:val="007561D4"/>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7561D4"/>
    <w:pPr>
      <w:tabs>
        <w:tab w:val="center" w:pos="4819"/>
        <w:tab w:val="right" w:pos="9638"/>
      </w:tabs>
    </w:pPr>
  </w:style>
  <w:style w:type="character" w:customStyle="1" w:styleId="PidipaginaCarattere">
    <w:name w:val="Piè di pagina Carattere"/>
    <w:basedOn w:val="Carpredefinitoparagrafo"/>
    <w:link w:val="Pidipagina"/>
    <w:uiPriority w:val="99"/>
    <w:rsid w:val="007561D4"/>
    <w:rPr>
      <w:rFonts w:ascii="Times New Roman" w:eastAsia="Times New Roman" w:hAnsi="Times New Roman" w:cs="Times New Roman"/>
      <w:sz w:val="24"/>
      <w:szCs w:val="24"/>
      <w:lang w:eastAsia="it-CH"/>
    </w:rPr>
  </w:style>
  <w:style w:type="table" w:styleId="Grigliatabella">
    <w:name w:val="Table Grid"/>
    <w:basedOn w:val="Tabellanormale"/>
    <w:uiPriority w:val="39"/>
    <w:rsid w:val="00756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9949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949BA"/>
    <w:rPr>
      <w:rFonts w:ascii="Tahoma" w:eastAsia="Times New Roman" w:hAnsi="Tahoma" w:cs="Tahoma"/>
      <w:sz w:val="16"/>
      <w:szCs w:val="16"/>
      <w:lang w:eastAsia="it-CH"/>
    </w:rPr>
  </w:style>
  <w:style w:type="paragraph" w:styleId="NormaleWeb">
    <w:name w:val="Normal (Web)"/>
    <w:basedOn w:val="Normale"/>
    <w:uiPriority w:val="99"/>
    <w:unhideWhenUsed/>
    <w:rsid w:val="00354F55"/>
    <w:pPr>
      <w:widowControl/>
      <w:autoSpaceDE/>
      <w:autoSpaceDN/>
      <w:adjustRightInd/>
      <w:spacing w:before="100" w:beforeAutospacing="1" w:after="100" w:afterAutospacing="1"/>
    </w:pPr>
    <w:rPr>
      <w:rFonts w:ascii="Times" w:eastAsiaTheme="minorEastAsia" w:hAnsi="Times"/>
      <w:sz w:val="20"/>
      <w:szCs w:val="20"/>
      <w:lang w:val="it-IT" w:eastAsia="it-IT"/>
    </w:rPr>
  </w:style>
  <w:style w:type="table" w:customStyle="1" w:styleId="Grigliatabella1">
    <w:name w:val="Griglia tabella1"/>
    <w:basedOn w:val="Tabellanormale"/>
    <w:next w:val="Grigliatabella"/>
    <w:uiPriority w:val="39"/>
    <w:rsid w:val="00FA4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471</Words>
  <Characters>2691</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2017-04-18T07:35:00Z</cp:lastPrinted>
  <dcterms:created xsi:type="dcterms:W3CDTF">2017-04-18T07:38:00Z</dcterms:created>
  <dcterms:modified xsi:type="dcterms:W3CDTF">2017-04-18T07:38:00Z</dcterms:modified>
</cp:coreProperties>
</file>