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E88" w:rsidRPr="004E6E88" w:rsidRDefault="004E6E88" w:rsidP="004E6E88">
      <w:pPr>
        <w:autoSpaceDE w:val="0"/>
        <w:autoSpaceDN w:val="0"/>
        <w:adjustRightInd w:val="0"/>
        <w:jc w:val="right"/>
        <w:rPr>
          <w:rFonts w:eastAsia="Times New Roman" w:cs="Arial"/>
          <w:b/>
          <w:color w:val="000000"/>
          <w:sz w:val="24"/>
          <w:szCs w:val="24"/>
          <w:lang w:val="it-IT" w:eastAsia="it-IT"/>
        </w:rPr>
      </w:pPr>
      <w:bookmarkStart w:id="0" w:name="_GoBack"/>
      <w:bookmarkEnd w:id="0"/>
      <w:r w:rsidRPr="004E6E88">
        <w:rPr>
          <w:rFonts w:eastAsia="Times New Roman" w:cs="Arial"/>
          <w:b/>
          <w:color w:val="000000"/>
          <w:sz w:val="24"/>
          <w:szCs w:val="24"/>
          <w:lang w:val="it-IT" w:eastAsia="it-IT"/>
        </w:rPr>
        <w:t>ALLEGATO</w:t>
      </w:r>
    </w:p>
    <w:p w:rsidR="004E6E88" w:rsidRDefault="004E6E88" w:rsidP="004E6E88">
      <w:pPr>
        <w:autoSpaceDE w:val="0"/>
        <w:autoSpaceDN w:val="0"/>
        <w:adjustRightInd w:val="0"/>
        <w:rPr>
          <w:rFonts w:eastAsia="Times New Roman" w:cs="Arial"/>
          <w:b/>
          <w:color w:val="000000"/>
          <w:sz w:val="32"/>
          <w:szCs w:val="32"/>
          <w:lang w:val="it-IT" w:eastAsia="it-IT"/>
        </w:rPr>
      </w:pPr>
    </w:p>
    <w:p w:rsidR="004E6E88" w:rsidRDefault="004E6E88" w:rsidP="004E6E88">
      <w:pPr>
        <w:autoSpaceDE w:val="0"/>
        <w:autoSpaceDN w:val="0"/>
        <w:adjustRightInd w:val="0"/>
        <w:rPr>
          <w:rFonts w:eastAsia="Times New Roman" w:cs="Arial"/>
          <w:b/>
          <w:color w:val="000000"/>
          <w:sz w:val="32"/>
          <w:szCs w:val="32"/>
          <w:lang w:val="it-IT" w:eastAsia="it-IT"/>
        </w:rPr>
      </w:pPr>
      <w:r w:rsidRPr="004E6E88">
        <w:rPr>
          <w:rFonts w:eastAsia="Times New Roman" w:cs="Arial"/>
          <w:b/>
          <w:color w:val="000000"/>
          <w:sz w:val="32"/>
          <w:szCs w:val="32"/>
          <w:lang w:val="it-IT" w:eastAsia="it-IT"/>
        </w:rPr>
        <w:t>Rapporto della Commissione del controllo del mandato pubblico della Banca dello Stato del Cantone Ticino all'attenzione del Gran Consiglio sul grado di raggiungimento</w:t>
      </w:r>
    </w:p>
    <w:p w:rsidR="004E6E88" w:rsidRPr="004E6E88" w:rsidRDefault="004E6E88" w:rsidP="004E6E88">
      <w:pPr>
        <w:autoSpaceDE w:val="0"/>
        <w:autoSpaceDN w:val="0"/>
        <w:adjustRightInd w:val="0"/>
        <w:rPr>
          <w:rFonts w:eastAsia="Times New Roman" w:cs="Arial"/>
          <w:b/>
          <w:color w:val="000000"/>
          <w:sz w:val="32"/>
          <w:szCs w:val="32"/>
          <w:lang w:val="it-IT" w:eastAsia="it-IT"/>
        </w:rPr>
      </w:pPr>
      <w:r w:rsidRPr="004E6E88">
        <w:rPr>
          <w:rFonts w:eastAsia="Times New Roman" w:cs="Arial"/>
          <w:b/>
          <w:color w:val="000000"/>
          <w:sz w:val="32"/>
          <w:szCs w:val="32"/>
          <w:lang w:val="it-IT" w:eastAsia="it-IT"/>
        </w:rPr>
        <w:t xml:space="preserve">degli obiettivi di mandato pubblico della Banca </w:t>
      </w:r>
    </w:p>
    <w:p w:rsidR="004E6E88" w:rsidRPr="004E6E88" w:rsidRDefault="004E6E88" w:rsidP="004E6E88">
      <w:pPr>
        <w:spacing w:after="240" w:line="276" w:lineRule="auto"/>
        <w:rPr>
          <w:rFonts w:eastAsia="Times New Roman" w:cs="Arial"/>
          <w:color w:val="000000"/>
          <w:sz w:val="24"/>
          <w:szCs w:val="24"/>
          <w:lang w:val="it-IT" w:eastAsia="it-CH"/>
        </w:rPr>
      </w:pPr>
    </w:p>
    <w:p w:rsidR="004E6E88" w:rsidRPr="004E6E88" w:rsidRDefault="004E6E88" w:rsidP="00C740EA">
      <w:pPr>
        <w:pStyle w:val="Titolo1"/>
        <w:tabs>
          <w:tab w:val="left" w:pos="567"/>
        </w:tabs>
        <w:spacing w:before="0"/>
        <w:ind w:left="567" w:hanging="567"/>
        <w:jc w:val="both"/>
        <w:rPr>
          <w:rFonts w:eastAsia="Calibri" w:cs="Times New Roman"/>
          <w:caps/>
          <w:sz w:val="24"/>
          <w:szCs w:val="24"/>
          <w:lang w:val="it-IT" w:eastAsia="it-IT"/>
        </w:rPr>
      </w:pPr>
      <w:r w:rsidRPr="004E6E88">
        <w:rPr>
          <w:rFonts w:eastAsia="Calibri" w:cs="Times New Roman"/>
          <w:caps/>
          <w:sz w:val="24"/>
          <w:szCs w:val="24"/>
          <w:lang w:val="it-IT" w:eastAsia="it-IT"/>
        </w:rPr>
        <w:t xml:space="preserve">1. </w:t>
      </w:r>
      <w:r w:rsidR="00C740EA">
        <w:rPr>
          <w:rFonts w:eastAsia="Calibri" w:cs="Times New Roman"/>
          <w:caps/>
          <w:sz w:val="24"/>
          <w:szCs w:val="24"/>
          <w:lang w:val="it-IT" w:eastAsia="it-IT"/>
        </w:rPr>
        <w:tab/>
      </w:r>
      <w:r w:rsidRPr="004E6E88">
        <w:rPr>
          <w:rFonts w:eastAsia="Calibri" w:cs="Times New Roman"/>
          <w:caps/>
          <w:sz w:val="24"/>
          <w:szCs w:val="24"/>
          <w:lang w:val="it-IT" w:eastAsia="it-IT"/>
        </w:rPr>
        <w:t>INTRODUZIONE</w:t>
      </w:r>
    </w:p>
    <w:p w:rsidR="004E6E88" w:rsidRPr="004E6E88" w:rsidRDefault="004E6E88" w:rsidP="004E6E88">
      <w:pPr>
        <w:rPr>
          <w:rFonts w:eastAsia="Times New Roman" w:cs="Arial"/>
          <w:color w:val="000000"/>
          <w:sz w:val="24"/>
          <w:szCs w:val="24"/>
          <w:lang w:val="it-IT" w:eastAsia="it-CH"/>
        </w:rPr>
      </w:pPr>
      <w:r w:rsidRPr="004E6E88">
        <w:rPr>
          <w:rFonts w:eastAsia="Times New Roman" w:cs="Arial"/>
          <w:color w:val="000000"/>
          <w:sz w:val="24"/>
          <w:szCs w:val="24"/>
          <w:lang w:val="it-IT" w:eastAsia="it-CH"/>
        </w:rPr>
        <w:t>La Legge sulla Banca dello Stato del Cantone Ticino (LBSCT) statuisce che scopo della banca è «</w:t>
      </w:r>
      <w:r w:rsidRPr="004E6E88">
        <w:rPr>
          <w:rFonts w:eastAsia="Times New Roman" w:cs="Arial"/>
          <w:i/>
          <w:color w:val="000000"/>
          <w:sz w:val="24"/>
          <w:szCs w:val="24"/>
          <w:lang w:val="it-IT" w:eastAsia="it-CH"/>
        </w:rPr>
        <w:t>di favorire lo sviluppo economico del Cantone. Essa offre al pubblico la possibilità di investire in modo sicuro e redditizio i suoi risparmi</w:t>
      </w:r>
      <w:r w:rsidRPr="004E6E88">
        <w:rPr>
          <w:rFonts w:eastAsia="Times New Roman" w:cs="Arial"/>
          <w:color w:val="000000"/>
          <w:sz w:val="24"/>
          <w:szCs w:val="24"/>
          <w:lang w:val="it-IT" w:eastAsia="it-CH"/>
        </w:rPr>
        <w:t xml:space="preserve">» (art. 3). Ciò corrisponde all'essenza del mandato pubblico, cui è dedicato l'art. 3a: «[…] </w:t>
      </w:r>
      <w:r w:rsidRPr="004E6E88">
        <w:rPr>
          <w:rFonts w:eastAsia="Times New Roman" w:cs="Arial"/>
          <w:i/>
          <w:color w:val="000000"/>
          <w:sz w:val="24"/>
          <w:szCs w:val="24"/>
          <w:lang w:val="it-IT" w:eastAsia="it-CH"/>
        </w:rPr>
        <w:t>il mandato pubblico</w:t>
      </w:r>
      <w:r w:rsidRPr="004E6E88">
        <w:rPr>
          <w:rFonts w:eastAsia="Times New Roman" w:cs="Arial"/>
          <w:color w:val="000000"/>
          <w:sz w:val="24"/>
          <w:szCs w:val="24"/>
          <w:lang w:val="it-IT" w:eastAsia="it-CH"/>
        </w:rPr>
        <w:t xml:space="preserve"> </w:t>
      </w:r>
      <w:r w:rsidRPr="004E6E88">
        <w:rPr>
          <w:rFonts w:eastAsia="Times New Roman" w:cs="Arial"/>
          <w:i/>
          <w:color w:val="000000"/>
          <w:sz w:val="24"/>
          <w:szCs w:val="24"/>
          <w:lang w:val="it-IT" w:eastAsia="it-CH"/>
        </w:rPr>
        <w:t>è formalizzato in un documento elaborato dal Consiglio di amministrazione. 2 Il documento definisce gli obbiettivi generali e specifici perseguiti a medio termine dalla Banca per favorire lo sviluppo dell'economia cantonale, gli strumenti utilizzati a tal fine e le priorità di intervento. 3 L'adempimento del mandato pubblico viene annualmente verificato dalla Commissione del controllo del mandato pubblico».</w:t>
      </w:r>
      <w:r w:rsidRPr="004E6E88">
        <w:rPr>
          <w:rFonts w:eastAsia="Times New Roman" w:cs="Arial"/>
          <w:color w:val="000000"/>
          <w:sz w:val="24"/>
          <w:szCs w:val="24"/>
          <w:lang w:val="it-IT" w:eastAsia="it-CH"/>
        </w:rPr>
        <w:t xml:space="preserve"> Grazie al mandato pubblico l'Istituto beneficia della garanzia dello Stato nell'esercizio delle sue attività. A tale proposito è anche opportuno evidenziare che, nel perseguire la sua missione, la Banca è tenuta ad agire in maniera responsabile e irreprensibile anche dal punto di vista sociale e ambientale. In questo senso, due considerazioni di fondo appaiono importanti per inquadrare meglio il tema:</w:t>
      </w:r>
    </w:p>
    <w:p w:rsidR="004E6E88" w:rsidRPr="004E6E88" w:rsidRDefault="004E6E88" w:rsidP="004E6E88">
      <w:pPr>
        <w:numPr>
          <w:ilvl w:val="0"/>
          <w:numId w:val="18"/>
        </w:numPr>
        <w:spacing w:before="120"/>
        <w:ind w:left="284" w:hanging="284"/>
        <w:rPr>
          <w:rFonts w:eastAsia="Times New Roman" w:cs="Arial"/>
          <w:color w:val="000000"/>
          <w:sz w:val="24"/>
          <w:szCs w:val="24"/>
          <w:lang w:val="it-IT" w:eastAsia="it-CH"/>
        </w:rPr>
      </w:pPr>
      <w:r w:rsidRPr="004E6E88">
        <w:rPr>
          <w:rFonts w:eastAsia="Times New Roman" w:cs="Arial"/>
          <w:color w:val="000000"/>
          <w:sz w:val="24"/>
          <w:szCs w:val="24"/>
          <w:lang w:val="it-IT" w:eastAsia="it-CH"/>
        </w:rPr>
        <w:t>il raggiungimento di un risultato economico positivo è condizione essenziale per generare le risorse necessarie da destinare ai vari ambiti di intervento;</w:t>
      </w:r>
    </w:p>
    <w:p w:rsidR="004E6E88" w:rsidRPr="004E6E88" w:rsidRDefault="004E6E88" w:rsidP="004E6E88">
      <w:pPr>
        <w:numPr>
          <w:ilvl w:val="0"/>
          <w:numId w:val="18"/>
        </w:numPr>
        <w:spacing w:before="120"/>
        <w:ind w:left="284" w:hanging="284"/>
        <w:rPr>
          <w:rFonts w:eastAsia="Times New Roman" w:cs="Arial"/>
          <w:color w:val="000000"/>
          <w:sz w:val="24"/>
          <w:szCs w:val="24"/>
          <w:lang w:val="it-IT" w:eastAsia="it-CH"/>
        </w:rPr>
      </w:pPr>
      <w:r w:rsidRPr="004E6E88">
        <w:rPr>
          <w:rFonts w:eastAsia="Times New Roman" w:cs="Arial"/>
          <w:color w:val="000000"/>
          <w:sz w:val="24"/>
          <w:szCs w:val="24"/>
          <w:lang w:val="it-IT" w:eastAsia="it-CH"/>
        </w:rPr>
        <w:t>il perseguimento degli obiettivi generali di medio e lungo termine, esposti di seguito, è parzialmente limitato dalla necessità di rispettare il principio di redditività.</w:t>
      </w:r>
    </w:p>
    <w:p w:rsidR="004E6E88" w:rsidRDefault="004E6E88" w:rsidP="004E6E88">
      <w:pPr>
        <w:rPr>
          <w:rFonts w:eastAsia="Times New Roman" w:cs="Arial"/>
          <w:color w:val="000000"/>
          <w:sz w:val="24"/>
          <w:szCs w:val="24"/>
          <w:lang w:val="it-IT" w:eastAsia="it-CH"/>
        </w:rPr>
      </w:pPr>
    </w:p>
    <w:p w:rsidR="004E6E88" w:rsidRPr="004E6E88" w:rsidRDefault="004E6E88" w:rsidP="004E6E88">
      <w:pPr>
        <w:rPr>
          <w:rFonts w:eastAsia="Times New Roman" w:cs="Arial"/>
          <w:color w:val="000000"/>
          <w:sz w:val="24"/>
          <w:szCs w:val="24"/>
          <w:lang w:val="it-IT" w:eastAsia="it-CH"/>
        </w:rPr>
      </w:pPr>
      <w:r w:rsidRPr="004E6E88">
        <w:rPr>
          <w:rFonts w:eastAsia="Times New Roman" w:cs="Arial"/>
          <w:color w:val="000000"/>
          <w:sz w:val="24"/>
          <w:szCs w:val="24"/>
          <w:lang w:val="it-IT" w:eastAsia="it-CH"/>
        </w:rPr>
        <w:t>Con il presente rapporto la Commissione valuta l'operato della Banca relativamente al mandato pubblico riferito all'anno 2024. Lo stesso è stato redatto considerando:</w:t>
      </w:r>
    </w:p>
    <w:p w:rsidR="004E6E88" w:rsidRPr="004E6E88" w:rsidRDefault="004E6E88" w:rsidP="004E6E88">
      <w:pPr>
        <w:pStyle w:val="Paragrafoelenco"/>
        <w:numPr>
          <w:ilvl w:val="0"/>
          <w:numId w:val="27"/>
        </w:numPr>
        <w:spacing w:before="120"/>
        <w:ind w:left="284" w:hanging="284"/>
        <w:contextualSpacing w:val="0"/>
        <w:rPr>
          <w:rFonts w:eastAsia="Times New Roman" w:cs="Arial"/>
          <w:color w:val="000000"/>
          <w:sz w:val="24"/>
          <w:szCs w:val="24"/>
          <w:lang w:val="it-IT" w:eastAsia="it-CH"/>
        </w:rPr>
      </w:pPr>
      <w:r w:rsidRPr="004E6E88">
        <w:rPr>
          <w:rFonts w:eastAsia="Times New Roman" w:cs="Arial"/>
          <w:color w:val="000000"/>
          <w:sz w:val="24"/>
          <w:szCs w:val="24"/>
          <w:lang w:val="it-IT" w:eastAsia="it-CH"/>
        </w:rPr>
        <w:t>gli obiettivi sul mandato pubblico enunciati nel documento del Consiglio di amministrazione (</w:t>
      </w:r>
      <w:proofErr w:type="spellStart"/>
      <w:r w:rsidRPr="004E6E88">
        <w:rPr>
          <w:rFonts w:eastAsia="Times New Roman" w:cs="Arial"/>
          <w:color w:val="000000"/>
          <w:sz w:val="24"/>
          <w:szCs w:val="24"/>
          <w:lang w:val="it-IT" w:eastAsia="it-CH"/>
        </w:rPr>
        <w:t>CdA</w:t>
      </w:r>
      <w:proofErr w:type="spellEnd"/>
      <w:r w:rsidRPr="004E6E88">
        <w:rPr>
          <w:rFonts w:eastAsia="Times New Roman" w:cs="Arial"/>
          <w:color w:val="000000"/>
          <w:sz w:val="24"/>
          <w:szCs w:val="24"/>
          <w:lang w:val="it-IT" w:eastAsia="it-CH"/>
        </w:rPr>
        <w:t>)</w:t>
      </w:r>
      <w:r w:rsidRPr="004E6E88">
        <w:rPr>
          <w:rFonts w:eastAsia="Times New Roman" w:cs="Arial"/>
          <w:color w:val="000000"/>
          <w:position w:val="6"/>
          <w:sz w:val="24"/>
          <w:szCs w:val="24"/>
          <w:lang w:val="it-IT" w:eastAsia="it-CH"/>
        </w:rPr>
        <w:t xml:space="preserve"> </w:t>
      </w:r>
      <w:r w:rsidRPr="004E6E88">
        <w:rPr>
          <w:position w:val="6"/>
          <w:sz w:val="16"/>
          <w:szCs w:val="16"/>
          <w:lang w:val="it-IT" w:eastAsia="it-CH"/>
        </w:rPr>
        <w:footnoteReference w:id="1"/>
      </w:r>
      <w:r w:rsidRPr="004E6E88">
        <w:rPr>
          <w:rFonts w:eastAsia="Times New Roman" w:cs="Arial"/>
          <w:color w:val="000000"/>
          <w:sz w:val="24"/>
          <w:szCs w:val="24"/>
          <w:lang w:val="it-IT" w:eastAsia="it-CH"/>
        </w:rPr>
        <w:t>;</w:t>
      </w:r>
    </w:p>
    <w:p w:rsidR="004E6E88" w:rsidRPr="004E6E88" w:rsidRDefault="004E6E88" w:rsidP="004E6E88">
      <w:pPr>
        <w:pStyle w:val="Paragrafoelenco"/>
        <w:numPr>
          <w:ilvl w:val="0"/>
          <w:numId w:val="27"/>
        </w:numPr>
        <w:spacing w:before="120" w:line="276" w:lineRule="auto"/>
        <w:ind w:left="284" w:hanging="284"/>
        <w:contextualSpacing w:val="0"/>
        <w:rPr>
          <w:rFonts w:eastAsia="Times New Roman" w:cs="Arial"/>
          <w:color w:val="000000"/>
          <w:sz w:val="24"/>
          <w:szCs w:val="24"/>
          <w:lang w:val="it-IT" w:eastAsia="it-CH"/>
        </w:rPr>
      </w:pPr>
      <w:r w:rsidRPr="004E6E88">
        <w:rPr>
          <w:rFonts w:eastAsia="Times New Roman" w:cs="Arial"/>
          <w:color w:val="000000"/>
          <w:sz w:val="24"/>
          <w:szCs w:val="24"/>
          <w:lang w:val="it-IT" w:eastAsia="it-CH"/>
        </w:rPr>
        <w:t>il Rapporto annuale sui conti 2024 e, soprattutto, il</w:t>
      </w:r>
      <w:r w:rsidRPr="004E6E88">
        <w:rPr>
          <w:rFonts w:eastAsia="Times New Roman" w:cs="Arial"/>
          <w:i/>
          <w:color w:val="000000"/>
          <w:sz w:val="24"/>
          <w:szCs w:val="24"/>
          <w:lang w:val="it-IT" w:eastAsia="it-CH"/>
        </w:rPr>
        <w:t xml:space="preserve"> </w:t>
      </w:r>
      <w:r w:rsidRPr="004E6E88">
        <w:rPr>
          <w:rFonts w:eastAsia="Times New Roman" w:cs="Arial"/>
          <w:color w:val="000000"/>
          <w:sz w:val="24"/>
          <w:szCs w:val="24"/>
          <w:lang w:val="it-IT" w:eastAsia="it-CH"/>
        </w:rPr>
        <w:t xml:space="preserve">Rapporto di sostenibilità del Gruppo </w:t>
      </w:r>
      <w:proofErr w:type="spellStart"/>
      <w:r w:rsidRPr="004E6E88">
        <w:rPr>
          <w:rFonts w:eastAsia="Times New Roman" w:cs="Arial"/>
          <w:color w:val="000000"/>
          <w:sz w:val="24"/>
          <w:szCs w:val="24"/>
          <w:lang w:val="it-IT" w:eastAsia="it-CH"/>
        </w:rPr>
        <w:t>BancaStato</w:t>
      </w:r>
      <w:proofErr w:type="spellEnd"/>
      <w:r w:rsidRPr="004E6E88">
        <w:rPr>
          <w:position w:val="6"/>
          <w:sz w:val="16"/>
          <w:szCs w:val="16"/>
          <w:lang w:val="it-IT" w:eastAsia="it-CH"/>
        </w:rPr>
        <w:footnoteReference w:id="2"/>
      </w:r>
      <w:r w:rsidRPr="004E6E88">
        <w:rPr>
          <w:rFonts w:eastAsia="Times New Roman" w:cs="Arial"/>
          <w:i/>
          <w:color w:val="000000"/>
          <w:sz w:val="24"/>
          <w:szCs w:val="24"/>
          <w:lang w:val="it-IT" w:eastAsia="it-CH"/>
        </w:rPr>
        <w:t xml:space="preserve"> </w:t>
      </w:r>
      <w:r w:rsidRPr="004E6E88">
        <w:rPr>
          <w:rFonts w:eastAsia="Times New Roman" w:cs="Arial"/>
          <w:color w:val="000000"/>
          <w:sz w:val="24"/>
          <w:szCs w:val="24"/>
          <w:lang w:val="it-IT" w:eastAsia="it-CH"/>
        </w:rPr>
        <w:t xml:space="preserve">[in seguito Rapporto di sostenibilità], che da quest'anno sostituisce il Bilancio sociale e ambientale pubblicato dal 2005 al 2023; </w:t>
      </w:r>
    </w:p>
    <w:p w:rsidR="004E6E88" w:rsidRPr="004E6E88" w:rsidRDefault="004E6E88" w:rsidP="004E6E88">
      <w:pPr>
        <w:pStyle w:val="Paragrafoelenco"/>
        <w:numPr>
          <w:ilvl w:val="1"/>
          <w:numId w:val="29"/>
        </w:numPr>
        <w:ind w:left="426" w:hanging="426"/>
        <w:rPr>
          <w:rFonts w:eastAsia="Times New Roman" w:cs="Arial"/>
          <w:color w:val="000000"/>
          <w:sz w:val="24"/>
          <w:szCs w:val="24"/>
          <w:lang w:val="it-IT" w:eastAsia="it-CH"/>
        </w:rPr>
      </w:pPr>
      <w:r w:rsidRPr="004E6E88">
        <w:rPr>
          <w:rFonts w:eastAsia="Times New Roman" w:cs="Arial"/>
          <w:color w:val="000000"/>
          <w:sz w:val="24"/>
          <w:szCs w:val="24"/>
          <w:lang w:val="it-IT" w:eastAsia="it-CH"/>
        </w:rPr>
        <w:lastRenderedPageBreak/>
        <w:t xml:space="preserve">l'incontro con la Presidente del Consiglio di amministrazione e il Presidente della Direzione Generale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intercorso il 16 giugno 2025.</w:t>
      </w:r>
    </w:p>
    <w:p w:rsidR="004E6E88" w:rsidRPr="004E6E88" w:rsidRDefault="004E6E88" w:rsidP="004E6E88">
      <w:pPr>
        <w:rPr>
          <w:rFonts w:eastAsia="Times New Roman" w:cs="Arial"/>
          <w:color w:val="000000"/>
          <w:sz w:val="24"/>
          <w:szCs w:val="24"/>
          <w:lang w:val="it-IT" w:eastAsia="it-CH"/>
        </w:rPr>
      </w:pPr>
    </w:p>
    <w:p w:rsidR="004E6E88" w:rsidRPr="004E6E88" w:rsidRDefault="004E6E88" w:rsidP="004E6E88">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Rammentiamo che il Rapporto annuale fornisce informazioni essenzialmente di natura contabile mentre il Rapporto di sostenibilità fornisce le principali informazioni inerenti all'adempimento del mandato pubblico della Banca. </w:t>
      </w:r>
    </w:p>
    <w:p w:rsidR="004E6E88" w:rsidRPr="004E6E88" w:rsidRDefault="004E6E88" w:rsidP="004E6E88">
      <w:pPr>
        <w:spacing w:line="276" w:lineRule="auto"/>
        <w:rPr>
          <w:rFonts w:eastAsia="Times New Roman" w:cs="Arial"/>
          <w:color w:val="000000"/>
          <w:sz w:val="24"/>
          <w:szCs w:val="24"/>
          <w:lang w:val="it-IT" w:eastAsia="it-CH"/>
        </w:rPr>
      </w:pPr>
    </w:p>
    <w:p w:rsidR="004E6E88" w:rsidRPr="004E6E88" w:rsidRDefault="004E6E88" w:rsidP="004E6E88">
      <w:pPr>
        <w:spacing w:line="276" w:lineRule="auto"/>
        <w:rPr>
          <w:rFonts w:eastAsia="Times New Roman" w:cs="Arial"/>
          <w:color w:val="000000"/>
          <w:sz w:val="24"/>
          <w:szCs w:val="24"/>
          <w:lang w:val="it-IT" w:eastAsia="it-CH"/>
        </w:rPr>
      </w:pPr>
    </w:p>
    <w:p w:rsidR="004E6E88" w:rsidRPr="004E6E88" w:rsidRDefault="004E6E88" w:rsidP="00C740EA">
      <w:pPr>
        <w:pStyle w:val="Titolo1"/>
        <w:tabs>
          <w:tab w:val="left" w:pos="567"/>
        </w:tabs>
        <w:spacing w:before="0"/>
        <w:ind w:left="567" w:hanging="567"/>
        <w:jc w:val="both"/>
        <w:rPr>
          <w:rFonts w:eastAsia="Calibri" w:cs="Times New Roman"/>
          <w:caps/>
          <w:sz w:val="24"/>
          <w:szCs w:val="24"/>
          <w:lang w:val="it-IT" w:eastAsia="it-IT"/>
        </w:rPr>
      </w:pPr>
      <w:r w:rsidRPr="004E6E88">
        <w:rPr>
          <w:rFonts w:eastAsia="Calibri" w:cs="Times New Roman"/>
          <w:caps/>
          <w:sz w:val="24"/>
          <w:szCs w:val="24"/>
          <w:lang w:val="it-IT" w:eastAsia="it-IT"/>
        </w:rPr>
        <w:t xml:space="preserve">2. </w:t>
      </w:r>
      <w:r w:rsidR="00C740EA">
        <w:rPr>
          <w:rFonts w:eastAsia="Calibri" w:cs="Times New Roman"/>
          <w:caps/>
          <w:sz w:val="24"/>
          <w:szCs w:val="24"/>
          <w:lang w:val="it-IT" w:eastAsia="it-IT"/>
        </w:rPr>
        <w:tab/>
      </w:r>
      <w:r w:rsidRPr="004E6E88">
        <w:rPr>
          <w:rFonts w:eastAsia="Calibri" w:cs="Times New Roman"/>
          <w:caps/>
          <w:sz w:val="24"/>
          <w:szCs w:val="24"/>
          <w:lang w:val="it-IT" w:eastAsia="it-IT"/>
        </w:rPr>
        <w:t>GLI OBIETTIVI DEL MANDATO PUBBLICO</w:t>
      </w:r>
    </w:p>
    <w:p w:rsidR="004E6E88" w:rsidRPr="004E6E88" w:rsidRDefault="004E6E88" w:rsidP="00C740EA">
      <w:pPr>
        <w:rPr>
          <w:rFonts w:eastAsia="Times New Roman" w:cs="Arial"/>
          <w:color w:val="000000"/>
          <w:sz w:val="24"/>
          <w:szCs w:val="24"/>
          <w:lang w:val="it-IT" w:eastAsia="it-CH"/>
        </w:rPr>
      </w:pPr>
      <w:r w:rsidRPr="004E6E88">
        <w:rPr>
          <w:rFonts w:eastAsia="Times New Roman" w:cs="Arial"/>
          <w:color w:val="000000"/>
          <w:sz w:val="24"/>
          <w:szCs w:val="24"/>
          <w:lang w:val="it-IT" w:eastAsia="it-CH"/>
        </w:rPr>
        <w:t>L'art. 10 del Regolamento della Commissione del controllo del mandato pubblico (CCMP) statuisce che la Commissione «</w:t>
      </w:r>
      <w:r w:rsidRPr="004E6E88">
        <w:rPr>
          <w:rFonts w:eastAsia="Times New Roman" w:cs="Arial"/>
          <w:i/>
          <w:color w:val="000000"/>
          <w:sz w:val="24"/>
          <w:szCs w:val="24"/>
          <w:lang w:val="it-IT" w:eastAsia="it-CH"/>
        </w:rPr>
        <w:t>esegue il controllo del rispetto del mandato pubblico, formalizzato nel documento elaborato dal Consiglio di amministrazione della Banca, e verifica che la Banca realizzi lo scopo della Legge</w:t>
      </w:r>
      <w:r w:rsidRPr="004E6E88">
        <w:rPr>
          <w:rFonts w:eastAsia="Times New Roman" w:cs="Arial"/>
          <w:color w:val="000000"/>
          <w:sz w:val="24"/>
          <w:szCs w:val="24"/>
          <w:lang w:val="it-IT" w:eastAsia="it-CH"/>
        </w:rPr>
        <w:t>»</w:t>
      </w:r>
      <w:r w:rsidRPr="004E6E88">
        <w:rPr>
          <w:rFonts w:eastAsia="Times New Roman" w:cs="Arial"/>
          <w:i/>
          <w:color w:val="000000"/>
          <w:sz w:val="24"/>
          <w:szCs w:val="24"/>
          <w:lang w:val="it-IT" w:eastAsia="it-CH"/>
        </w:rPr>
        <w:t xml:space="preserve">. </w:t>
      </w:r>
      <w:r w:rsidRPr="004E6E88">
        <w:rPr>
          <w:rFonts w:eastAsia="Times New Roman" w:cs="Arial"/>
          <w:color w:val="000000"/>
          <w:sz w:val="24"/>
          <w:szCs w:val="24"/>
          <w:lang w:val="it-IT" w:eastAsia="it-CH"/>
        </w:rPr>
        <w:t>Il cpv. 2 statuisce che, «</w:t>
      </w:r>
      <w:r w:rsidRPr="004E6E88">
        <w:rPr>
          <w:rFonts w:eastAsia="Times New Roman" w:cs="Arial"/>
          <w:i/>
          <w:color w:val="000000"/>
          <w:sz w:val="24"/>
          <w:szCs w:val="24"/>
          <w:lang w:val="it-IT" w:eastAsia="it-CH"/>
        </w:rPr>
        <w:t xml:space="preserve">in particolare la Commissione verifica: </w:t>
      </w:r>
    </w:p>
    <w:p w:rsidR="004E6E88" w:rsidRPr="004E6E88" w:rsidRDefault="004E6E88" w:rsidP="00C740EA">
      <w:pPr>
        <w:numPr>
          <w:ilvl w:val="0"/>
          <w:numId w:val="30"/>
        </w:numPr>
        <w:spacing w:before="120"/>
        <w:ind w:left="426" w:hanging="426"/>
        <w:rPr>
          <w:rFonts w:eastAsia="Times New Roman" w:cs="Arial"/>
          <w:color w:val="000000"/>
          <w:sz w:val="24"/>
          <w:szCs w:val="24"/>
          <w:lang w:val="it-IT" w:eastAsia="it-CH"/>
        </w:rPr>
      </w:pPr>
      <w:r w:rsidRPr="004E6E88">
        <w:rPr>
          <w:rFonts w:eastAsia="Times New Roman" w:cs="Arial"/>
          <w:i/>
          <w:color w:val="000000"/>
          <w:sz w:val="24"/>
          <w:szCs w:val="24"/>
          <w:lang w:val="it-IT" w:eastAsia="it-CH"/>
        </w:rPr>
        <w:t>il raggiungimento degli obiettivi generali e specifici perseguiti a medio termine dalla Banca per favorire lo sviluppo dell’economia cantonale;</w:t>
      </w:r>
    </w:p>
    <w:p w:rsidR="004E6E88" w:rsidRPr="004E6E88" w:rsidRDefault="004E6E88" w:rsidP="00C740EA">
      <w:pPr>
        <w:numPr>
          <w:ilvl w:val="0"/>
          <w:numId w:val="30"/>
        </w:numPr>
        <w:spacing w:before="120"/>
        <w:ind w:left="426" w:hanging="426"/>
        <w:rPr>
          <w:rFonts w:eastAsia="Times New Roman" w:cs="Arial"/>
          <w:color w:val="000000"/>
          <w:sz w:val="24"/>
          <w:szCs w:val="24"/>
          <w:lang w:val="it-IT" w:eastAsia="it-CH"/>
        </w:rPr>
      </w:pPr>
      <w:r w:rsidRPr="004E6E88">
        <w:rPr>
          <w:rFonts w:eastAsia="Times New Roman" w:cs="Arial"/>
          <w:i/>
          <w:color w:val="000000"/>
          <w:sz w:val="24"/>
          <w:szCs w:val="24"/>
          <w:lang w:val="it-IT" w:eastAsia="it-CH"/>
        </w:rPr>
        <w:t>gli strumenti utilizzati dalla Banca per il raggiungimento degli obiettivi generali e specifici del mandato pubblico;</w:t>
      </w:r>
    </w:p>
    <w:p w:rsidR="004E6E88" w:rsidRDefault="004E6E88" w:rsidP="00C740EA">
      <w:pPr>
        <w:numPr>
          <w:ilvl w:val="0"/>
          <w:numId w:val="30"/>
        </w:numPr>
        <w:spacing w:before="120"/>
        <w:ind w:left="426" w:hanging="426"/>
        <w:rPr>
          <w:rFonts w:eastAsia="Times New Roman" w:cs="Arial"/>
          <w:color w:val="000000"/>
          <w:sz w:val="24"/>
          <w:szCs w:val="24"/>
          <w:lang w:val="it-IT" w:eastAsia="it-CH"/>
        </w:rPr>
      </w:pPr>
      <w:r w:rsidRPr="004E6E88">
        <w:rPr>
          <w:rFonts w:eastAsia="Times New Roman" w:cs="Arial"/>
          <w:i/>
          <w:color w:val="000000"/>
          <w:sz w:val="24"/>
          <w:szCs w:val="24"/>
          <w:lang w:val="it-IT" w:eastAsia="it-CH"/>
        </w:rPr>
        <w:t>le priorità d'intervento predisposte dalla Banca nell'ambito del mandato pubblico</w:t>
      </w:r>
      <w:r w:rsidRPr="004E6E88">
        <w:rPr>
          <w:rFonts w:eastAsia="Times New Roman" w:cs="Arial"/>
          <w:color w:val="000000"/>
          <w:sz w:val="24"/>
          <w:szCs w:val="24"/>
          <w:lang w:val="it-IT" w:eastAsia="it-CH"/>
        </w:rPr>
        <w:t xml:space="preserve">». </w:t>
      </w:r>
    </w:p>
    <w:p w:rsidR="00C740EA" w:rsidRPr="004E6E88" w:rsidRDefault="00C740EA" w:rsidP="00C740EA">
      <w:pPr>
        <w:ind w:left="425"/>
        <w:rPr>
          <w:rFonts w:eastAsia="Times New Roman" w:cs="Arial"/>
          <w:color w:val="000000"/>
          <w:sz w:val="24"/>
          <w:szCs w:val="24"/>
          <w:lang w:val="it-IT" w:eastAsia="it-CH"/>
        </w:rPr>
      </w:pPr>
    </w:p>
    <w:p w:rsidR="004E6E88" w:rsidRDefault="004E6E88" w:rsidP="00C740EA">
      <w:pPr>
        <w:rPr>
          <w:rFonts w:eastAsia="Times New Roman" w:cs="Arial"/>
          <w:color w:val="000000"/>
          <w:sz w:val="24"/>
          <w:szCs w:val="24"/>
          <w:lang w:val="it-IT" w:eastAsia="it-CH"/>
        </w:rPr>
      </w:pPr>
      <w:r w:rsidRPr="004E6E88">
        <w:rPr>
          <w:rFonts w:eastAsia="Times New Roman" w:cs="Arial"/>
          <w:color w:val="000000"/>
          <w:sz w:val="24"/>
          <w:szCs w:val="24"/>
          <w:lang w:val="it-IT" w:eastAsia="it-CH"/>
        </w:rPr>
        <w:t>Il Consiglio di amministrazione ha stabilito</w:t>
      </w:r>
      <w:r w:rsidRPr="004E6E88">
        <w:rPr>
          <w:rFonts w:eastAsia="Times New Roman" w:cs="Arial"/>
          <w:color w:val="000000"/>
          <w:position w:val="6"/>
          <w:sz w:val="16"/>
          <w:szCs w:val="24"/>
          <w:lang w:val="it-IT" w:eastAsia="it-CH"/>
        </w:rPr>
        <w:footnoteReference w:id="3"/>
      </w:r>
      <w:r w:rsidRPr="004E6E88">
        <w:rPr>
          <w:rFonts w:eastAsia="Times New Roman" w:cs="Arial"/>
          <w:color w:val="000000"/>
          <w:sz w:val="24"/>
          <w:szCs w:val="24"/>
          <w:lang w:val="it-IT" w:eastAsia="it-CH"/>
        </w:rPr>
        <w:t xml:space="preserve"> gli obiettivi generali e specifici perseguiti a medio termine dall'Istituto per favorire lo sviluppo dell'economia cantonale, gli strumenti utilizzati a tal fine e la priorità di intervento (art. 3a LBSCT) che sono così sintetizzati:</w:t>
      </w:r>
    </w:p>
    <w:p w:rsidR="00C740EA" w:rsidRPr="004E6E88" w:rsidRDefault="00C740EA" w:rsidP="00C740EA">
      <w:pPr>
        <w:rPr>
          <w:rFonts w:eastAsia="Times New Roman" w:cs="Arial"/>
          <w:color w:val="000000"/>
          <w:sz w:val="24"/>
          <w:szCs w:val="24"/>
          <w:lang w:val="it-IT" w:eastAsia="it-CH"/>
        </w:rPr>
      </w:pPr>
    </w:p>
    <w:p w:rsidR="004E6E88" w:rsidRPr="004E6E88" w:rsidRDefault="004E6E88" w:rsidP="00C740EA">
      <w:pPr>
        <w:pStyle w:val="Titolo2"/>
        <w:numPr>
          <w:ilvl w:val="0"/>
          <w:numId w:val="0"/>
        </w:numPr>
        <w:tabs>
          <w:tab w:val="left" w:pos="567"/>
        </w:tabs>
        <w:spacing w:before="0" w:after="120"/>
        <w:jc w:val="both"/>
        <w:rPr>
          <w:rFonts w:eastAsia="Calibri" w:cs="Times New Roman"/>
          <w:sz w:val="24"/>
          <w:lang w:val="it-IT" w:eastAsia="it-IT"/>
        </w:rPr>
      </w:pPr>
      <w:r w:rsidRPr="004E6E88">
        <w:rPr>
          <w:rFonts w:eastAsia="Calibri" w:cs="Times New Roman"/>
          <w:sz w:val="24"/>
          <w:lang w:val="it-IT" w:eastAsia="it-IT"/>
        </w:rPr>
        <w:t>2.1</w:t>
      </w:r>
      <w:r w:rsidRPr="004E6E88">
        <w:rPr>
          <w:rFonts w:eastAsia="Calibri" w:cs="Times New Roman"/>
          <w:sz w:val="24"/>
          <w:lang w:val="it-IT" w:eastAsia="it-IT"/>
        </w:rPr>
        <w:tab/>
        <w:t>Obiettivi generali</w:t>
      </w:r>
    </w:p>
    <w:p w:rsidR="004E6E88" w:rsidRPr="004E6E88" w:rsidRDefault="004E6E88" w:rsidP="00C740EA">
      <w:pPr>
        <w:pStyle w:val="Titolo2"/>
        <w:numPr>
          <w:ilvl w:val="0"/>
          <w:numId w:val="0"/>
        </w:numPr>
        <w:tabs>
          <w:tab w:val="left" w:pos="567"/>
        </w:tabs>
        <w:spacing w:before="0" w:after="120"/>
        <w:jc w:val="both"/>
        <w:rPr>
          <w:rFonts w:eastAsia="Calibri" w:cs="Times New Roman"/>
          <w:sz w:val="24"/>
          <w:lang w:val="it-IT" w:eastAsia="it-IT"/>
        </w:rPr>
      </w:pPr>
      <w:r w:rsidRPr="004E6E88">
        <w:rPr>
          <w:rFonts w:eastAsia="Calibri" w:cs="Times New Roman"/>
          <w:sz w:val="24"/>
          <w:lang w:val="it-IT" w:eastAsia="it-IT"/>
        </w:rPr>
        <w:t xml:space="preserve">A)  </w:t>
      </w:r>
      <w:r w:rsidR="00C740EA">
        <w:rPr>
          <w:rFonts w:eastAsia="Calibri" w:cs="Times New Roman"/>
          <w:sz w:val="24"/>
          <w:lang w:val="it-IT" w:eastAsia="it-IT"/>
        </w:rPr>
        <w:tab/>
      </w:r>
      <w:r w:rsidRPr="004E6E88">
        <w:rPr>
          <w:rFonts w:eastAsia="Calibri" w:cs="Times New Roman"/>
          <w:sz w:val="24"/>
          <w:lang w:val="it-IT" w:eastAsia="it-IT"/>
        </w:rPr>
        <w:t>Contributo allo sviluppo economico del Cantone</w:t>
      </w:r>
    </w:p>
    <w:p w:rsidR="004E6E88" w:rsidRPr="004E6E88" w:rsidRDefault="004E6E88" w:rsidP="004E6E88">
      <w:pPr>
        <w:spacing w:after="240" w:line="276" w:lineRule="auto"/>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s'impegna ad assicurare un contributo concreto allo sviluppo economico del Cantone Ticino.</w:t>
      </w:r>
    </w:p>
    <w:p w:rsidR="004E6E88" w:rsidRPr="004E6E88" w:rsidRDefault="004E6E88" w:rsidP="00C740EA">
      <w:pPr>
        <w:pStyle w:val="Titolo2"/>
        <w:numPr>
          <w:ilvl w:val="0"/>
          <w:numId w:val="0"/>
        </w:numPr>
        <w:tabs>
          <w:tab w:val="left" w:pos="567"/>
        </w:tabs>
        <w:spacing w:before="0" w:after="120"/>
        <w:jc w:val="both"/>
        <w:rPr>
          <w:rFonts w:eastAsia="Calibri" w:cs="Times New Roman"/>
          <w:sz w:val="24"/>
          <w:lang w:val="it-IT" w:eastAsia="it-IT"/>
        </w:rPr>
      </w:pPr>
      <w:r w:rsidRPr="004E6E88">
        <w:rPr>
          <w:rFonts w:eastAsia="Calibri" w:cs="Times New Roman"/>
          <w:sz w:val="24"/>
          <w:lang w:val="it-IT" w:eastAsia="it-IT"/>
        </w:rPr>
        <w:t xml:space="preserve">B)  </w:t>
      </w:r>
      <w:r w:rsidR="00C740EA">
        <w:rPr>
          <w:rFonts w:eastAsia="Calibri" w:cs="Times New Roman"/>
          <w:sz w:val="24"/>
          <w:lang w:val="it-IT" w:eastAsia="it-IT"/>
        </w:rPr>
        <w:tab/>
      </w:r>
      <w:r w:rsidRPr="004E6E88">
        <w:rPr>
          <w:rFonts w:eastAsia="Calibri" w:cs="Times New Roman"/>
          <w:sz w:val="24"/>
          <w:lang w:val="it-IT" w:eastAsia="it-IT"/>
        </w:rPr>
        <w:t>Responsabilità sociale</w:t>
      </w:r>
    </w:p>
    <w:p w:rsidR="004E6E88" w:rsidRPr="004E6E88" w:rsidRDefault="004E6E88" w:rsidP="004E6E88">
      <w:pPr>
        <w:spacing w:after="240" w:line="276" w:lineRule="auto"/>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s'impegna ad assumere un comportamento socialmente responsabile.</w:t>
      </w:r>
    </w:p>
    <w:p w:rsidR="004E6E88" w:rsidRPr="004E6E88" w:rsidRDefault="004E6E88" w:rsidP="00C740EA">
      <w:pPr>
        <w:pStyle w:val="Titolo2"/>
        <w:numPr>
          <w:ilvl w:val="0"/>
          <w:numId w:val="0"/>
        </w:numPr>
        <w:tabs>
          <w:tab w:val="left" w:pos="567"/>
        </w:tabs>
        <w:spacing w:before="0" w:after="120"/>
        <w:jc w:val="both"/>
        <w:rPr>
          <w:rFonts w:eastAsia="Calibri" w:cs="Times New Roman"/>
          <w:sz w:val="24"/>
          <w:lang w:val="it-IT" w:eastAsia="it-IT"/>
        </w:rPr>
      </w:pPr>
      <w:r w:rsidRPr="004E6E88">
        <w:rPr>
          <w:rFonts w:eastAsia="Calibri" w:cs="Times New Roman"/>
          <w:sz w:val="24"/>
          <w:lang w:val="it-IT" w:eastAsia="it-IT"/>
        </w:rPr>
        <w:t xml:space="preserve">C)  </w:t>
      </w:r>
      <w:r w:rsidR="00C740EA">
        <w:rPr>
          <w:rFonts w:eastAsia="Calibri" w:cs="Times New Roman"/>
          <w:sz w:val="24"/>
          <w:lang w:val="it-IT" w:eastAsia="it-IT"/>
        </w:rPr>
        <w:tab/>
      </w:r>
      <w:r w:rsidRPr="004E6E88">
        <w:rPr>
          <w:rFonts w:eastAsia="Calibri" w:cs="Times New Roman"/>
          <w:sz w:val="24"/>
          <w:lang w:val="it-IT" w:eastAsia="it-IT"/>
        </w:rPr>
        <w:t>Responsabilità ecologica</w:t>
      </w:r>
    </w:p>
    <w:p w:rsidR="004E6E88" w:rsidRPr="004E6E88" w:rsidRDefault="004E6E88" w:rsidP="004E6E88">
      <w:pPr>
        <w:spacing w:line="276" w:lineRule="auto"/>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s'impegna ad assumere un comportamento responsabile dal profilo ambientale. </w:t>
      </w:r>
    </w:p>
    <w:p w:rsidR="004E6E88" w:rsidRPr="004E6E88" w:rsidRDefault="004E6E88" w:rsidP="004E6E88">
      <w:pPr>
        <w:spacing w:line="276" w:lineRule="auto"/>
        <w:rPr>
          <w:rFonts w:eastAsia="Times New Roman" w:cs="Arial"/>
          <w:color w:val="000000"/>
          <w:sz w:val="24"/>
          <w:szCs w:val="24"/>
          <w:lang w:val="it-IT" w:eastAsia="it-CH"/>
        </w:rPr>
      </w:pPr>
    </w:p>
    <w:p w:rsidR="004E6E88" w:rsidRPr="004E6E88" w:rsidRDefault="004E6E88" w:rsidP="00465A74">
      <w:pPr>
        <w:pStyle w:val="Titolo2"/>
        <w:numPr>
          <w:ilvl w:val="0"/>
          <w:numId w:val="0"/>
        </w:numPr>
        <w:tabs>
          <w:tab w:val="left" w:pos="567"/>
        </w:tabs>
        <w:spacing w:before="0" w:after="120"/>
        <w:jc w:val="both"/>
        <w:rPr>
          <w:rFonts w:eastAsia="Calibri" w:cs="Times New Roman"/>
          <w:sz w:val="24"/>
          <w:lang w:val="it-IT" w:eastAsia="it-IT"/>
        </w:rPr>
      </w:pPr>
      <w:r w:rsidRPr="004E6E88">
        <w:rPr>
          <w:rFonts w:eastAsia="Calibri" w:cs="Times New Roman"/>
          <w:sz w:val="24"/>
          <w:lang w:val="it-IT" w:eastAsia="it-IT"/>
        </w:rPr>
        <w:t>2.2</w:t>
      </w:r>
      <w:r w:rsidRPr="004E6E88">
        <w:rPr>
          <w:rFonts w:eastAsia="Calibri" w:cs="Times New Roman"/>
          <w:sz w:val="24"/>
          <w:lang w:val="it-IT" w:eastAsia="it-IT"/>
        </w:rPr>
        <w:tab/>
      </w:r>
      <w:r w:rsidR="00465A74">
        <w:rPr>
          <w:rFonts w:eastAsia="Calibri" w:cs="Times New Roman"/>
          <w:sz w:val="24"/>
          <w:lang w:val="it-IT" w:eastAsia="it-IT"/>
        </w:rPr>
        <w:tab/>
      </w:r>
      <w:r w:rsidRPr="004E6E88">
        <w:rPr>
          <w:rFonts w:eastAsia="Calibri" w:cs="Times New Roman"/>
          <w:sz w:val="24"/>
          <w:lang w:val="it-IT" w:eastAsia="it-IT"/>
        </w:rPr>
        <w:t>Obiettivi specifici</w:t>
      </w:r>
    </w:p>
    <w:p w:rsidR="004E6E88" w:rsidRPr="004E6E88" w:rsidRDefault="004E6E88" w:rsidP="00465A74">
      <w:pPr>
        <w:pStyle w:val="Titolo3"/>
        <w:numPr>
          <w:ilvl w:val="0"/>
          <w:numId w:val="0"/>
        </w:numPr>
        <w:tabs>
          <w:tab w:val="left" w:pos="709"/>
        </w:tabs>
        <w:spacing w:after="120"/>
        <w:jc w:val="both"/>
        <w:rPr>
          <w:rFonts w:eastAsia="Calibri" w:cs="Times New Roman"/>
          <w:i/>
          <w:sz w:val="23"/>
          <w:szCs w:val="23"/>
          <w:lang w:val="it-IT" w:eastAsia="it-IT"/>
        </w:rPr>
      </w:pPr>
      <w:r w:rsidRPr="004E6E88">
        <w:rPr>
          <w:rFonts w:eastAsia="Calibri" w:cs="Times New Roman"/>
          <w:i/>
          <w:sz w:val="23"/>
          <w:szCs w:val="23"/>
          <w:lang w:val="it-IT" w:eastAsia="it-IT"/>
        </w:rPr>
        <w:t>2.2.1</w:t>
      </w:r>
      <w:r w:rsidRPr="004E6E88">
        <w:rPr>
          <w:rFonts w:eastAsia="Calibri" w:cs="Times New Roman"/>
          <w:i/>
          <w:sz w:val="23"/>
          <w:szCs w:val="23"/>
          <w:lang w:val="it-IT" w:eastAsia="it-IT"/>
        </w:rPr>
        <w:tab/>
        <w:t>Contributo allo sviluppo economico del Cantone</w:t>
      </w:r>
    </w:p>
    <w:p w:rsidR="004E6E88" w:rsidRPr="004E6E88" w:rsidRDefault="004E6E88" w:rsidP="00465A74">
      <w:pPr>
        <w:numPr>
          <w:ilvl w:val="0"/>
          <w:numId w:val="20"/>
        </w:numPr>
        <w:spacing w:before="120"/>
        <w:ind w:left="426" w:hanging="426"/>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L'articolo 40 della Legge di istituzione sancisce che la Banca si impegna a versare una cospicua quota degli utili netti alle casse cantonali come remunerazione del capitale proprio del Cantone. L'Istituto ha come obiettivi quello di tendere a una redditività in </w:t>
      </w:r>
      <w:r w:rsidRPr="004E6E88">
        <w:rPr>
          <w:rFonts w:eastAsia="Times New Roman" w:cs="Arial"/>
          <w:color w:val="000000"/>
          <w:sz w:val="24"/>
          <w:szCs w:val="24"/>
          <w:lang w:val="it-IT" w:eastAsia="it-CH"/>
        </w:rPr>
        <w:lastRenderedPageBreak/>
        <w:t xml:space="preserve">linea con quella delle altre banche cantonali e quello di assicurare una distribuzione dell’utile pari al 30% delle uscite per investimenti lordi dell'Ufficio per lo sviluppo economico. La priorità di tali obiettivi è alta. </w:t>
      </w:r>
    </w:p>
    <w:p w:rsidR="004E6E88" w:rsidRPr="004E6E88" w:rsidRDefault="004E6E88" w:rsidP="00465A74">
      <w:pPr>
        <w:numPr>
          <w:ilvl w:val="0"/>
          <w:numId w:val="20"/>
        </w:numPr>
        <w:spacing w:before="120"/>
        <w:ind w:left="426" w:hanging="426"/>
        <w:rPr>
          <w:rFonts w:eastAsia="Times New Roman" w:cs="Arial"/>
          <w:color w:val="000000"/>
          <w:sz w:val="24"/>
          <w:szCs w:val="24"/>
          <w:lang w:val="it-IT" w:eastAsia="it-CH"/>
        </w:rPr>
      </w:pPr>
      <w:r w:rsidRPr="004E6E88">
        <w:rPr>
          <w:rFonts w:eastAsia="Times New Roman" w:cs="Arial"/>
          <w:color w:val="000000"/>
          <w:sz w:val="24"/>
          <w:szCs w:val="24"/>
          <w:lang w:val="it-IT" w:eastAsia="it-CH"/>
        </w:rPr>
        <w:t>La Banca è chiamata a fornire un valore aggiunto all'economia cantonale che tenda a un incremento almeno pari alla crescita media degli ultimi cinque anni del PIL cantonale. Anche in questo caso la priorità è alta.</w:t>
      </w:r>
    </w:p>
    <w:p w:rsidR="004E6E88" w:rsidRPr="004E6E88" w:rsidRDefault="004E6E88" w:rsidP="00465A74">
      <w:pPr>
        <w:numPr>
          <w:ilvl w:val="0"/>
          <w:numId w:val="20"/>
        </w:numPr>
        <w:spacing w:before="120"/>
        <w:ind w:left="426" w:hanging="426"/>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I risparmi della clientela costituiscono uno dei pilastri storici e finanziari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la quale deve tendere a una solidità in linea con la media delle altre Banche cantonali. Priorità alta.</w:t>
      </w:r>
    </w:p>
    <w:p w:rsidR="004E6E88" w:rsidRPr="004E6E88" w:rsidRDefault="004E6E88" w:rsidP="00465A74">
      <w:pPr>
        <w:numPr>
          <w:ilvl w:val="0"/>
          <w:numId w:val="20"/>
        </w:numPr>
        <w:spacing w:before="120"/>
        <w:ind w:left="426" w:hanging="426"/>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deve offrire prodotti a condizioni vantaggiose a particolari categorie di risparmiatori, vale a dire giovani, studenti, famiglie e pensionati. Priorità media.</w:t>
      </w:r>
    </w:p>
    <w:p w:rsidR="004E6E88" w:rsidRPr="004E6E88" w:rsidRDefault="004E6E88" w:rsidP="00465A74">
      <w:pPr>
        <w:numPr>
          <w:ilvl w:val="0"/>
          <w:numId w:val="20"/>
        </w:numPr>
        <w:spacing w:before="120"/>
        <w:ind w:left="426" w:hanging="426"/>
        <w:rPr>
          <w:rFonts w:eastAsia="Times New Roman" w:cs="Arial"/>
          <w:color w:val="000000"/>
          <w:sz w:val="24"/>
          <w:szCs w:val="24"/>
          <w:lang w:val="it-IT" w:eastAsia="it-CH"/>
        </w:rPr>
      </w:pPr>
      <w:r w:rsidRPr="004E6E88">
        <w:rPr>
          <w:rFonts w:eastAsia="Times New Roman" w:cs="Arial"/>
          <w:color w:val="000000"/>
          <w:sz w:val="24"/>
          <w:szCs w:val="24"/>
          <w:lang w:val="it-IT" w:eastAsia="it-CH"/>
        </w:rPr>
        <w:t>L'Istituto deve tendenzialmente incrementare i crediti concessi agli enti pubblici in maniera almeno pari alla crescita media degli investimenti netti del Cantone e dei Comuni negli ultimi cinque anni. La priorità di tale aspetto è media.</w:t>
      </w:r>
    </w:p>
    <w:p w:rsidR="004E6E88" w:rsidRPr="004E6E88" w:rsidRDefault="004E6E88" w:rsidP="00465A74">
      <w:pPr>
        <w:numPr>
          <w:ilvl w:val="0"/>
          <w:numId w:val="20"/>
        </w:numPr>
        <w:spacing w:before="120"/>
        <w:ind w:left="426" w:hanging="426"/>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Le aziende sono una componente essenziale del tessuto economico e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deve mettere loro a disposizione strumenti di finanziamento a condizioni interessanti. Priorità media.</w:t>
      </w:r>
    </w:p>
    <w:p w:rsidR="004E6E88" w:rsidRPr="004E6E88" w:rsidRDefault="004E6E88" w:rsidP="00465A74">
      <w:pPr>
        <w:numPr>
          <w:ilvl w:val="0"/>
          <w:numId w:val="20"/>
        </w:numPr>
        <w:spacing w:before="120"/>
        <w:ind w:left="426" w:hanging="426"/>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deve favorire, a parità di condizioni e nel limite della disponibilità dei prodotti e servizi, i fornitori locali. Priorità media.</w:t>
      </w:r>
    </w:p>
    <w:p w:rsidR="004E6E88" w:rsidRPr="004E6E88" w:rsidRDefault="004E6E88" w:rsidP="004E6E88">
      <w:pPr>
        <w:spacing w:line="276" w:lineRule="auto"/>
        <w:rPr>
          <w:rFonts w:eastAsia="Times New Roman" w:cs="Arial"/>
          <w:color w:val="000000"/>
          <w:sz w:val="24"/>
          <w:szCs w:val="24"/>
          <w:lang w:val="it-IT" w:eastAsia="it-CH"/>
        </w:rPr>
      </w:pPr>
    </w:p>
    <w:p w:rsidR="004E6E88" w:rsidRPr="004E6E88" w:rsidRDefault="004E6E88" w:rsidP="00656AF1">
      <w:pPr>
        <w:pStyle w:val="Titolo2"/>
        <w:numPr>
          <w:ilvl w:val="0"/>
          <w:numId w:val="0"/>
        </w:numPr>
        <w:tabs>
          <w:tab w:val="left" w:pos="567"/>
        </w:tabs>
        <w:spacing w:before="0" w:after="120"/>
        <w:jc w:val="both"/>
        <w:rPr>
          <w:rFonts w:eastAsia="Calibri" w:cs="Times New Roman"/>
          <w:sz w:val="24"/>
          <w:lang w:val="it-IT" w:eastAsia="it-IT"/>
        </w:rPr>
      </w:pPr>
      <w:r w:rsidRPr="004E6E88">
        <w:rPr>
          <w:rFonts w:eastAsia="Calibri" w:cs="Times New Roman"/>
          <w:sz w:val="24"/>
          <w:lang w:val="it-IT" w:eastAsia="it-IT"/>
        </w:rPr>
        <w:t>2.2.2</w:t>
      </w:r>
      <w:r w:rsidR="00656AF1">
        <w:rPr>
          <w:rFonts w:eastAsia="Calibri" w:cs="Times New Roman"/>
          <w:sz w:val="24"/>
          <w:lang w:val="it-IT" w:eastAsia="it-IT"/>
        </w:rPr>
        <w:tab/>
      </w:r>
      <w:r w:rsidRPr="004E6E88">
        <w:rPr>
          <w:rFonts w:eastAsia="Calibri" w:cs="Times New Roman"/>
          <w:sz w:val="24"/>
          <w:lang w:val="it-IT" w:eastAsia="it-IT"/>
        </w:rPr>
        <w:tab/>
        <w:t>Responsabilità sociale</w:t>
      </w:r>
    </w:p>
    <w:p w:rsidR="004E6E88" w:rsidRPr="004E6E88" w:rsidRDefault="004E6E88" w:rsidP="00656AF1">
      <w:pPr>
        <w:numPr>
          <w:ilvl w:val="0"/>
          <w:numId w:val="20"/>
        </w:numPr>
        <w:spacing w:before="120"/>
        <w:ind w:left="426" w:hanging="426"/>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deve essere un datore di lavoro socialmente responsabile, rispondendo alle aspettative delle persone, curando il loro sviluppo professionale. Priorità alta.</w:t>
      </w:r>
    </w:p>
    <w:p w:rsidR="004E6E88" w:rsidRPr="004E6E88" w:rsidRDefault="004E6E88" w:rsidP="00656AF1">
      <w:pPr>
        <w:numPr>
          <w:ilvl w:val="0"/>
          <w:numId w:val="20"/>
        </w:numPr>
        <w:spacing w:before="120"/>
        <w:ind w:left="426" w:hanging="426"/>
        <w:rPr>
          <w:rFonts w:eastAsia="Times New Roman" w:cs="Arial"/>
          <w:color w:val="000000"/>
          <w:sz w:val="24"/>
          <w:szCs w:val="24"/>
          <w:lang w:val="it-IT" w:eastAsia="it-CH"/>
        </w:rPr>
      </w:pPr>
      <w:r w:rsidRPr="004E6E88">
        <w:rPr>
          <w:rFonts w:eastAsia="Times New Roman" w:cs="Arial"/>
          <w:color w:val="000000"/>
          <w:sz w:val="24"/>
          <w:szCs w:val="24"/>
          <w:lang w:val="it-IT" w:eastAsia="it-CH"/>
        </w:rPr>
        <w:t>La Banca è chiamata a promuovere progetti legati alla cultura, allo sport e alla ricerca. Priorità alta.</w:t>
      </w:r>
    </w:p>
    <w:p w:rsidR="004E6E88" w:rsidRPr="004E6E88" w:rsidRDefault="004E6E88" w:rsidP="00656AF1">
      <w:pPr>
        <w:numPr>
          <w:ilvl w:val="0"/>
          <w:numId w:val="20"/>
        </w:numPr>
        <w:spacing w:before="120"/>
        <w:ind w:left="426" w:hanging="426"/>
        <w:rPr>
          <w:rFonts w:eastAsia="Times New Roman" w:cs="Arial"/>
          <w:color w:val="000000"/>
          <w:sz w:val="24"/>
          <w:szCs w:val="24"/>
          <w:lang w:val="it-IT" w:eastAsia="it-CH"/>
        </w:rPr>
      </w:pPr>
      <w:r w:rsidRPr="004E6E88">
        <w:rPr>
          <w:rFonts w:eastAsia="Times New Roman" w:cs="Arial"/>
          <w:color w:val="000000"/>
          <w:sz w:val="24"/>
          <w:szCs w:val="24"/>
          <w:lang w:val="it-IT" w:eastAsia="it-CH"/>
        </w:rPr>
        <w:t>L'Istituto deve offrire alla clientela la possibilità di investire o risparmiare in maniera etica e sociale. Priorità media.</w:t>
      </w:r>
    </w:p>
    <w:p w:rsidR="004E6E88" w:rsidRPr="004E6E88" w:rsidRDefault="004E6E88" w:rsidP="004E6E88">
      <w:pPr>
        <w:spacing w:line="276" w:lineRule="auto"/>
        <w:ind w:left="502"/>
        <w:rPr>
          <w:rFonts w:eastAsia="Times New Roman" w:cs="Arial"/>
          <w:color w:val="000000"/>
          <w:sz w:val="24"/>
          <w:szCs w:val="24"/>
          <w:lang w:val="it-IT" w:eastAsia="it-CH"/>
        </w:rPr>
      </w:pPr>
    </w:p>
    <w:p w:rsidR="004E6E88" w:rsidRPr="004E6E88" w:rsidRDefault="004E6E88" w:rsidP="00656AF1">
      <w:pPr>
        <w:pStyle w:val="Titolo2"/>
        <w:numPr>
          <w:ilvl w:val="0"/>
          <w:numId w:val="0"/>
        </w:numPr>
        <w:tabs>
          <w:tab w:val="left" w:pos="567"/>
        </w:tabs>
        <w:spacing w:before="0" w:after="120"/>
        <w:jc w:val="both"/>
        <w:rPr>
          <w:rFonts w:eastAsia="Calibri" w:cs="Times New Roman"/>
          <w:sz w:val="24"/>
          <w:lang w:val="it-IT" w:eastAsia="it-IT"/>
        </w:rPr>
      </w:pPr>
      <w:r w:rsidRPr="004E6E88">
        <w:rPr>
          <w:rFonts w:eastAsia="Calibri" w:cs="Times New Roman"/>
          <w:sz w:val="24"/>
          <w:lang w:val="it-IT" w:eastAsia="it-IT"/>
        </w:rPr>
        <w:t>2.2.3</w:t>
      </w:r>
      <w:r w:rsidRPr="004E6E88">
        <w:rPr>
          <w:rFonts w:eastAsia="Calibri" w:cs="Times New Roman"/>
          <w:sz w:val="24"/>
          <w:lang w:val="it-IT" w:eastAsia="it-IT"/>
        </w:rPr>
        <w:tab/>
      </w:r>
      <w:r w:rsidR="00656AF1">
        <w:rPr>
          <w:rFonts w:eastAsia="Calibri" w:cs="Times New Roman"/>
          <w:sz w:val="24"/>
          <w:lang w:val="it-IT" w:eastAsia="it-IT"/>
        </w:rPr>
        <w:tab/>
      </w:r>
      <w:r w:rsidRPr="004E6E88">
        <w:rPr>
          <w:rFonts w:eastAsia="Calibri" w:cs="Times New Roman"/>
          <w:sz w:val="24"/>
          <w:lang w:val="it-IT" w:eastAsia="it-IT"/>
        </w:rPr>
        <w:t>Responsabilità ecologica</w:t>
      </w:r>
    </w:p>
    <w:p w:rsidR="004E6E88" w:rsidRPr="004E6E88" w:rsidRDefault="004E6E88" w:rsidP="00656AF1">
      <w:pPr>
        <w:numPr>
          <w:ilvl w:val="0"/>
          <w:numId w:val="20"/>
        </w:numPr>
        <w:spacing w:before="120"/>
        <w:ind w:left="284" w:hanging="284"/>
        <w:rPr>
          <w:rFonts w:eastAsia="Times New Roman" w:cs="Arial"/>
          <w:color w:val="000000"/>
          <w:sz w:val="24"/>
          <w:szCs w:val="24"/>
          <w:lang w:val="it-IT" w:eastAsia="it-CH"/>
        </w:rPr>
      </w:pPr>
      <w:r w:rsidRPr="004E6E88">
        <w:rPr>
          <w:rFonts w:eastAsia="Times New Roman" w:cs="Arial"/>
          <w:color w:val="000000"/>
          <w:sz w:val="24"/>
          <w:szCs w:val="24"/>
          <w:lang w:val="it-IT" w:eastAsia="it-CH"/>
        </w:rPr>
        <w:t>La Banca deve contenere i consumi di energia, di carta e acque, la produzione di rifiuti e le emissioni atmosferiche. Priorità alta.</w:t>
      </w:r>
    </w:p>
    <w:p w:rsidR="004E6E88" w:rsidRPr="004E6E88" w:rsidRDefault="004E6E88" w:rsidP="00656AF1">
      <w:pPr>
        <w:numPr>
          <w:ilvl w:val="0"/>
          <w:numId w:val="20"/>
        </w:numPr>
        <w:spacing w:before="120"/>
        <w:ind w:left="284" w:hanging="284"/>
        <w:rPr>
          <w:rFonts w:eastAsia="Times New Roman" w:cs="Arial"/>
          <w:color w:val="000000"/>
          <w:sz w:val="24"/>
          <w:szCs w:val="24"/>
          <w:lang w:val="it-IT" w:eastAsia="it-CH"/>
        </w:rPr>
      </w:pPr>
      <w:r w:rsidRPr="004E6E88">
        <w:rPr>
          <w:rFonts w:eastAsia="Times New Roman" w:cs="Arial"/>
          <w:color w:val="000000"/>
          <w:sz w:val="24"/>
          <w:szCs w:val="24"/>
          <w:lang w:val="it-IT" w:eastAsia="it-CH"/>
        </w:rPr>
        <w:t>Parallelamente, l'Istituto deve promuovere progetti ed iniziative ecologiche nel Cantone. Priorità media.</w:t>
      </w:r>
    </w:p>
    <w:p w:rsidR="004E6E88" w:rsidRDefault="004E6E88" w:rsidP="00656AF1">
      <w:pPr>
        <w:numPr>
          <w:ilvl w:val="0"/>
          <w:numId w:val="20"/>
        </w:numPr>
        <w:spacing w:before="120"/>
        <w:ind w:left="284" w:hanging="284"/>
        <w:rPr>
          <w:rFonts w:eastAsia="Times New Roman" w:cs="Arial"/>
          <w:color w:val="000000"/>
          <w:sz w:val="24"/>
          <w:szCs w:val="24"/>
          <w:lang w:val="it-IT" w:eastAsia="it-CH"/>
        </w:rPr>
      </w:pPr>
      <w:r w:rsidRPr="004E6E88">
        <w:rPr>
          <w:rFonts w:eastAsia="Times New Roman" w:cs="Arial"/>
          <w:color w:val="000000"/>
          <w:sz w:val="24"/>
          <w:szCs w:val="24"/>
          <w:lang w:val="it-IT" w:eastAsia="it-CH"/>
        </w:rPr>
        <w:t>L'Istituto deve offrire alla clientela la possibilità di investire o risparmiare in maniera ecologica. Priorità media.</w:t>
      </w:r>
    </w:p>
    <w:p w:rsidR="00656AF1" w:rsidRPr="004E6E88" w:rsidRDefault="00656AF1" w:rsidP="00656AF1">
      <w:pPr>
        <w:ind w:left="499"/>
        <w:rPr>
          <w:rFonts w:eastAsia="Times New Roman" w:cs="Arial"/>
          <w:color w:val="000000"/>
          <w:sz w:val="24"/>
          <w:szCs w:val="24"/>
          <w:lang w:val="it-IT" w:eastAsia="it-CH"/>
        </w:rPr>
      </w:pPr>
    </w:p>
    <w:p w:rsidR="004E6E88" w:rsidRDefault="004E6E88" w:rsidP="0025718F">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Come riportato nel documento del Consiglio di amministrazione, ogni obiettivo è accompagnato da strumenti e priorità ben definite, anche se in taluni casi il perseguimento di un obiettivo specifico da parte dell'Istituto può comportare contemporaneamente l'allontanamento da un altro obiettivo. In caso di conflitto tra i differenti obiettivi, la Banca si impegna a dare precedenza agli obiettivi specifici con priorità superiore e, in caso di conflitto tra obiettivi specifici con stessa priorità, essa dà la precedenza a quelli relativi al contributo allo sviluppo economico del Cantone. In caso di conflitti tra questi ultimi (con </w:t>
      </w:r>
      <w:r w:rsidRPr="004E6E88">
        <w:rPr>
          <w:rFonts w:eastAsia="Times New Roman" w:cs="Arial"/>
          <w:color w:val="000000"/>
          <w:sz w:val="24"/>
          <w:szCs w:val="24"/>
          <w:lang w:val="it-IT" w:eastAsia="it-CH"/>
        </w:rPr>
        <w:lastRenderedPageBreak/>
        <w:t xml:space="preserve">priorità alta),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seguirà il principio generale che vuole che la solidità a lungo termine prevalga sulla massimizzazione degli utili a breve termine. </w:t>
      </w:r>
    </w:p>
    <w:p w:rsidR="0025718F" w:rsidRPr="004E6E88" w:rsidRDefault="0025718F" w:rsidP="0025718F">
      <w:pPr>
        <w:rPr>
          <w:rFonts w:eastAsia="Times New Roman" w:cs="Arial"/>
          <w:color w:val="000000"/>
          <w:sz w:val="24"/>
          <w:szCs w:val="24"/>
          <w:lang w:val="it-IT" w:eastAsia="it-CH"/>
        </w:rPr>
      </w:pPr>
    </w:p>
    <w:p w:rsidR="004E6E88" w:rsidRPr="004E6E88" w:rsidRDefault="004E6E88" w:rsidP="0025718F">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Questa impostazione è ritenuta valida dalla Commissione che ne condivide pure l'ordine di priorità così come la sua implementazione. </w:t>
      </w:r>
    </w:p>
    <w:p w:rsidR="004E6E88" w:rsidRPr="004E6E88" w:rsidRDefault="004E6E88" w:rsidP="0025718F">
      <w:pPr>
        <w:rPr>
          <w:rFonts w:eastAsia="Times New Roman" w:cs="Arial"/>
          <w:color w:val="000000"/>
          <w:sz w:val="24"/>
          <w:szCs w:val="24"/>
          <w:lang w:val="it-IT" w:eastAsia="it-CH"/>
        </w:rPr>
      </w:pPr>
    </w:p>
    <w:p w:rsidR="004E6E88" w:rsidRPr="004E6E88" w:rsidRDefault="004E6E88" w:rsidP="0025718F">
      <w:pPr>
        <w:rPr>
          <w:rFonts w:eastAsia="Times New Roman" w:cs="Arial"/>
          <w:color w:val="000000"/>
          <w:sz w:val="24"/>
          <w:szCs w:val="24"/>
          <w:lang w:val="it-IT" w:eastAsia="it-CH"/>
        </w:rPr>
      </w:pPr>
    </w:p>
    <w:p w:rsidR="004E6E88" w:rsidRPr="004E6E88" w:rsidRDefault="004E6E88" w:rsidP="0025718F">
      <w:pPr>
        <w:pStyle w:val="Titolo1"/>
        <w:tabs>
          <w:tab w:val="left" w:pos="567"/>
        </w:tabs>
        <w:spacing w:before="0"/>
        <w:ind w:left="567" w:hanging="567"/>
        <w:jc w:val="both"/>
        <w:rPr>
          <w:rFonts w:eastAsia="Calibri" w:cs="Times New Roman"/>
          <w:caps/>
          <w:sz w:val="24"/>
          <w:szCs w:val="24"/>
          <w:lang w:val="it-IT" w:eastAsia="it-IT"/>
        </w:rPr>
      </w:pPr>
      <w:r w:rsidRPr="004E6E88">
        <w:rPr>
          <w:rFonts w:eastAsia="Calibri" w:cs="Times New Roman"/>
          <w:caps/>
          <w:sz w:val="24"/>
          <w:szCs w:val="24"/>
          <w:lang w:val="it-IT" w:eastAsia="it-IT"/>
        </w:rPr>
        <w:t xml:space="preserve">3. </w:t>
      </w:r>
      <w:r w:rsidR="0025718F">
        <w:rPr>
          <w:rFonts w:eastAsia="Calibri" w:cs="Times New Roman"/>
          <w:caps/>
          <w:sz w:val="24"/>
          <w:szCs w:val="24"/>
          <w:lang w:val="it-IT" w:eastAsia="it-IT"/>
        </w:rPr>
        <w:tab/>
      </w:r>
      <w:r w:rsidRPr="004E6E88">
        <w:rPr>
          <w:rFonts w:eastAsia="Calibri" w:cs="Times New Roman"/>
          <w:caps/>
          <w:sz w:val="24"/>
          <w:szCs w:val="24"/>
          <w:lang w:val="it-IT" w:eastAsia="it-IT"/>
        </w:rPr>
        <w:t xml:space="preserve">IL RAPPORTO DI SOSTENIBILITÀ </w:t>
      </w:r>
    </w:p>
    <w:p w:rsidR="004E6E88" w:rsidRPr="004E6E88" w:rsidRDefault="004E6E88" w:rsidP="00F23786">
      <w:pPr>
        <w:rPr>
          <w:rFonts w:eastAsia="Times New Roman" w:cs="Arial"/>
          <w:color w:val="000000"/>
          <w:sz w:val="24"/>
          <w:szCs w:val="24"/>
          <w:lang w:val="it-IT" w:eastAsia="it-CH"/>
        </w:rPr>
      </w:pPr>
      <w:r w:rsidRPr="004E6E88">
        <w:rPr>
          <w:rFonts w:eastAsia="Times New Roman" w:cs="Arial"/>
          <w:color w:val="000000"/>
          <w:sz w:val="24"/>
          <w:szCs w:val="24"/>
          <w:lang w:val="it-IT" w:eastAsia="it-CH"/>
        </w:rPr>
        <w:t>In questi ultimi anni il tema della sostenibilità ha assunto sempre più importanza per tutti gli attori economici, consumatori o produttori che siano, e anche il settore finanziario elvetico ha cominciato, sempre più profondamente, ad integrarne i concetti.</w:t>
      </w:r>
    </w:p>
    <w:p w:rsidR="004E6E88" w:rsidRPr="004E6E88" w:rsidRDefault="004E6E88" w:rsidP="00F23786">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Il Consiglio Federale ritiene che gli istituti finanziari dispongano di un’importante leva per catalizzare il cambiamento e fornire alla piazza elvetica un ulteriore fattore di competitività. In tal senso, il Governo ha varato specifiche misure e normative per la sostenibilità nella piazza finanziaria svizzera. In tale contesto,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 già tradizionalmente attenta alla dimensione sociale e ambientale della sua attività – ha deciso di integrare in maniera più sistemica e strutturata gli obiettivi di sostenibilità all'interno della sua strategia. </w:t>
      </w:r>
    </w:p>
    <w:p w:rsidR="004E6E88" w:rsidRPr="004E6E88" w:rsidRDefault="004E6E88" w:rsidP="00F23786">
      <w:pPr>
        <w:rPr>
          <w:rFonts w:eastAsia="Times New Roman" w:cs="Arial"/>
          <w:color w:val="000000"/>
          <w:sz w:val="24"/>
          <w:szCs w:val="24"/>
          <w:lang w:val="it-IT" w:eastAsia="it-CH"/>
        </w:rPr>
      </w:pPr>
    </w:p>
    <w:p w:rsidR="004E6E88" w:rsidRPr="004E6E88" w:rsidRDefault="004E6E88" w:rsidP="00F23786">
      <w:pPr>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indica che la scelta di sostituire il Bilancio Sociale e Ambientale (BSA) con il Rapporto di sostenibilità del Gruppo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è legata all'evoluzione della rendicontazione non-finanziaria delle imprese, sia dal punto di vista normativo (con particolare riferimento alla trasparenza richiesta nella gestione dei rischi climatici – ad es. art. 964a e seguenti CO e l'</w:t>
      </w:r>
      <w:hyperlink r:id="rId11" w:history="1">
        <w:r w:rsidRPr="004E6E88">
          <w:rPr>
            <w:rFonts w:eastAsia="Times New Roman" w:cs="Arial"/>
            <w:color w:val="000000"/>
            <w:sz w:val="24"/>
            <w:szCs w:val="24"/>
            <w:lang w:val="it-IT" w:eastAsia="it-CH"/>
          </w:rPr>
          <w:t>Ordinanza concernente la relazioni sulle questioni climatiche</w:t>
        </w:r>
      </w:hyperlink>
      <w:r w:rsidRPr="004E6E88">
        <w:rPr>
          <w:rFonts w:eastAsia="Times New Roman" w:cs="Arial"/>
          <w:color w:val="000000"/>
          <w:sz w:val="24"/>
          <w:szCs w:val="24"/>
          <w:lang w:val="it-IT" w:eastAsia="it-CH"/>
        </w:rPr>
        <w:t xml:space="preserve"> del 23 novembre 2022), sia da quello relativo ai </w:t>
      </w:r>
      <w:proofErr w:type="spellStart"/>
      <w:r w:rsidRPr="004E6E88">
        <w:rPr>
          <w:rFonts w:eastAsia="Times New Roman" w:cs="Arial"/>
          <w:color w:val="000000"/>
          <w:sz w:val="24"/>
          <w:szCs w:val="24"/>
          <w:lang w:val="it-IT" w:eastAsia="it-CH"/>
        </w:rPr>
        <w:t>framework</w:t>
      </w:r>
      <w:proofErr w:type="spellEnd"/>
      <w:r w:rsidRPr="004E6E88">
        <w:rPr>
          <w:rFonts w:eastAsia="Times New Roman" w:cs="Arial"/>
          <w:color w:val="000000"/>
          <w:sz w:val="24"/>
          <w:szCs w:val="24"/>
          <w:lang w:val="it-IT" w:eastAsia="it-CH"/>
        </w:rPr>
        <w:t>, agli standard legati ai report di sostenibilità e alle linee guida di riferimento (ad es. GRI</w:t>
      </w:r>
      <w:r w:rsidRPr="004E6E88">
        <w:rPr>
          <w:rFonts w:eastAsia="Times New Roman" w:cs="Arial"/>
          <w:color w:val="000000"/>
          <w:position w:val="6"/>
          <w:sz w:val="16"/>
          <w:szCs w:val="24"/>
          <w:lang w:val="it-IT" w:eastAsia="it-CH"/>
        </w:rPr>
        <w:footnoteReference w:id="4"/>
      </w:r>
      <w:r w:rsidRPr="004E6E88">
        <w:rPr>
          <w:rFonts w:eastAsia="Times New Roman" w:cs="Arial"/>
          <w:color w:val="000000"/>
          <w:sz w:val="24"/>
          <w:szCs w:val="24"/>
          <w:lang w:val="it-IT" w:eastAsia="it-CH"/>
        </w:rPr>
        <w:t>, TCFD</w:t>
      </w:r>
      <w:r w:rsidRPr="004E6E88">
        <w:rPr>
          <w:rFonts w:eastAsia="Times New Roman" w:cs="Arial"/>
          <w:color w:val="000000"/>
          <w:position w:val="6"/>
          <w:sz w:val="16"/>
          <w:szCs w:val="24"/>
          <w:lang w:val="it-IT" w:eastAsia="it-CH"/>
        </w:rPr>
        <w:footnoteReference w:id="5"/>
      </w:r>
      <w:r w:rsidRPr="004E6E88">
        <w:rPr>
          <w:rFonts w:eastAsia="Times New Roman" w:cs="Arial"/>
          <w:color w:val="000000"/>
          <w:sz w:val="24"/>
          <w:szCs w:val="24"/>
          <w:lang w:val="it-IT" w:eastAsia="it-CH"/>
        </w:rPr>
        <w:t xml:space="preserve">). Per questi motivi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ha deciso di definire un nuovo concetto con un aggiornamento tanto formale (aspetti grafici) quanto strutturale e di contenuto.  </w:t>
      </w:r>
    </w:p>
    <w:p w:rsidR="004E6E88" w:rsidRPr="004E6E88" w:rsidRDefault="004E6E88" w:rsidP="00F23786">
      <w:pPr>
        <w:rPr>
          <w:rFonts w:eastAsia="Times New Roman" w:cs="Arial"/>
          <w:color w:val="000000"/>
          <w:sz w:val="24"/>
          <w:szCs w:val="24"/>
          <w:lang w:val="it-IT" w:eastAsia="it-CH"/>
        </w:rPr>
      </w:pPr>
    </w:p>
    <w:p w:rsidR="004E6E88" w:rsidRPr="004E6E88" w:rsidRDefault="004E6E88" w:rsidP="00F23786">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Il Rapporto di sostenibilità fornisce le principali informazioni inerenti al mandato pubblico della Banca. Come indicato in precedenza, l'articolo 3 della LBSCT stabilisce che lo scopo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consiste nel perseguire tale mandato, definito come l'insieme delle attività volte a favorire lo sviluppo economico del Cantone e a offrire ai ticinesi l'opportunità di investire i loro risparmi in maniera sicura e redditizia. </w:t>
      </w:r>
    </w:p>
    <w:p w:rsidR="004E6E88" w:rsidRPr="004E6E88" w:rsidRDefault="004E6E88" w:rsidP="00F23786">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La definizione di mandato pubblico è stata approfondita e articolata nel dicembre 2004 dal Consiglio di amministrazione, il quale ha chiarito che l'obiettivo della Banca è anche quello di assumere un comportamento responsabile dal punto di vista sociale e ambientale. </w:t>
      </w:r>
    </w:p>
    <w:p w:rsidR="004E6E88" w:rsidRPr="004E6E88" w:rsidRDefault="004E6E88" w:rsidP="00F23786">
      <w:pPr>
        <w:kinsoku w:val="0"/>
        <w:overflowPunct w:val="0"/>
        <w:ind w:right="147"/>
        <w:rPr>
          <w:rFonts w:eastAsia="Times New Roman" w:cs="Arial"/>
          <w:color w:val="000000"/>
          <w:sz w:val="24"/>
          <w:szCs w:val="24"/>
          <w:lang w:val="it-IT" w:eastAsia="it-CH"/>
        </w:rPr>
      </w:pPr>
    </w:p>
    <w:p w:rsidR="004E6E88" w:rsidRPr="004E6E88" w:rsidRDefault="004E6E88" w:rsidP="00F23786">
      <w:pPr>
        <w:kinsoku w:val="0"/>
        <w:overflowPunct w:val="0"/>
        <w:ind w:right="147"/>
        <w:rPr>
          <w:rFonts w:eastAsia="Times New Roman" w:cs="Arial"/>
          <w:color w:val="000000"/>
          <w:sz w:val="24"/>
          <w:szCs w:val="24"/>
          <w:lang w:val="it-IT" w:eastAsia="it-CH"/>
        </w:rPr>
      </w:pPr>
      <w:r w:rsidRPr="004E6E88">
        <w:rPr>
          <w:rFonts w:eastAsia="Times New Roman" w:cs="Arial"/>
          <w:color w:val="000000"/>
          <w:sz w:val="24"/>
          <w:szCs w:val="24"/>
          <w:lang w:val="it-IT" w:eastAsia="it-CH"/>
        </w:rPr>
        <w:t>Nel Rapporto di sostenibilità si indica che «</w:t>
      </w:r>
      <w:r w:rsidRPr="004E6E88">
        <w:rPr>
          <w:rFonts w:eastAsia="Times New Roman" w:cs="Arial"/>
          <w:i/>
          <w:color w:val="000000"/>
          <w:sz w:val="24"/>
          <w:szCs w:val="24"/>
          <w:lang w:val="it-IT" w:eastAsia="it-CH"/>
        </w:rPr>
        <w:t xml:space="preserve">siamo consapevoli della nostra responsabilità nei confronti dell'ambiente, della società e delle generazioni future e cerchiamo di tenere conto degli aspetti ambientali, sociali e di </w:t>
      </w:r>
      <w:proofErr w:type="spellStart"/>
      <w:r w:rsidRPr="004E6E88">
        <w:rPr>
          <w:rFonts w:eastAsia="Times New Roman" w:cs="Arial"/>
          <w:i/>
          <w:color w:val="000000"/>
          <w:sz w:val="24"/>
          <w:szCs w:val="24"/>
          <w:lang w:val="it-IT" w:eastAsia="it-CH"/>
        </w:rPr>
        <w:t>governance</w:t>
      </w:r>
      <w:proofErr w:type="spellEnd"/>
      <w:r w:rsidRPr="004E6E88">
        <w:rPr>
          <w:rFonts w:eastAsia="Times New Roman" w:cs="Arial"/>
          <w:i/>
          <w:color w:val="000000"/>
          <w:sz w:val="24"/>
          <w:szCs w:val="24"/>
          <w:lang w:val="it-IT" w:eastAsia="it-CH"/>
        </w:rPr>
        <w:t xml:space="preserve"> in tutte le nostre aree di attività</w:t>
      </w:r>
      <w:r w:rsidRPr="004E6E88">
        <w:rPr>
          <w:rFonts w:eastAsia="Times New Roman" w:cs="Arial"/>
          <w:color w:val="000000"/>
          <w:sz w:val="24"/>
          <w:szCs w:val="24"/>
          <w:lang w:val="it-IT" w:eastAsia="it-CH"/>
        </w:rPr>
        <w:t xml:space="preserve">» (p. 10). Inoltre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precisa che «</w:t>
      </w:r>
      <w:r w:rsidRPr="004E6E88">
        <w:rPr>
          <w:rFonts w:eastAsia="Times New Roman" w:cs="Arial"/>
          <w:i/>
          <w:color w:val="000000"/>
          <w:sz w:val="24"/>
          <w:szCs w:val="24"/>
          <w:lang w:val="it-IT" w:eastAsia="it-CH"/>
        </w:rPr>
        <w:t>la visione di sostenibilità del nostro Istituto è di «diventare un punto di riferimento in Ticino per sostenibilità e il suo sviluppo sul territorio», mentre la missione si prefigge di «promuovere lo sviluppo economico sostenibile del territorio»»</w:t>
      </w:r>
      <w:r w:rsidRPr="004E6E88">
        <w:rPr>
          <w:rFonts w:eastAsia="Times New Roman" w:cs="Arial"/>
          <w:color w:val="000000"/>
          <w:sz w:val="24"/>
          <w:szCs w:val="24"/>
          <w:lang w:val="it-IT" w:eastAsia="it-CH"/>
        </w:rPr>
        <w:t xml:space="preserve">. </w:t>
      </w:r>
    </w:p>
    <w:p w:rsidR="004E6E88" w:rsidRPr="004E6E88" w:rsidRDefault="004E6E88" w:rsidP="00F23786">
      <w:pPr>
        <w:kinsoku w:val="0"/>
        <w:overflowPunct w:val="0"/>
        <w:ind w:right="147"/>
        <w:rPr>
          <w:rFonts w:eastAsia="Times New Roman" w:cs="Arial"/>
          <w:color w:val="000000"/>
          <w:sz w:val="24"/>
          <w:szCs w:val="24"/>
          <w:lang w:val="it-IT" w:eastAsia="it-CH"/>
        </w:rPr>
      </w:pPr>
    </w:p>
    <w:p w:rsidR="004E6E88" w:rsidRPr="004E6E88" w:rsidRDefault="004E6E88" w:rsidP="00F23786">
      <w:pPr>
        <w:kinsoku w:val="0"/>
        <w:overflowPunct w:val="0"/>
        <w:ind w:right="147"/>
        <w:rPr>
          <w:rFonts w:eastAsia="Times New Roman" w:cs="Arial"/>
          <w:color w:val="000000"/>
          <w:sz w:val="24"/>
          <w:szCs w:val="24"/>
          <w:lang w:val="it-IT" w:eastAsia="it-CH"/>
        </w:rPr>
      </w:pPr>
      <w:r w:rsidRPr="004E6E88">
        <w:rPr>
          <w:rFonts w:eastAsia="Times New Roman" w:cs="Arial"/>
          <w:color w:val="000000"/>
          <w:sz w:val="24"/>
          <w:szCs w:val="24"/>
          <w:lang w:val="it-IT" w:eastAsia="it-CH"/>
        </w:rPr>
        <w:lastRenderedPageBreak/>
        <w:t xml:space="preserve">Considerato questo importante cambiamento legato al Rapporto di sostenibilità, la Commissione ritiene opportuno riprendere nei prossimi capitoli, in dettaglio, i principali cambiamenti intervenuti, tra i quali la presentazione di determinati dati e misurazioni in ambito di sostenibilità e di impatto ambientale introdotti per la prima volta nel 2024, ritenuto quindi che fungeranno da base per la strategia dell'Istituto negli anni futuri.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CH"/>
        </w:rPr>
      </w:pPr>
    </w:p>
    <w:p w:rsidR="004E6E88" w:rsidRPr="004E6E88" w:rsidRDefault="004E6E88" w:rsidP="00F23786">
      <w:pPr>
        <w:pStyle w:val="Titolo2"/>
        <w:numPr>
          <w:ilvl w:val="0"/>
          <w:numId w:val="0"/>
        </w:numPr>
        <w:tabs>
          <w:tab w:val="left" w:pos="567"/>
        </w:tabs>
        <w:spacing w:before="0" w:after="120"/>
        <w:jc w:val="both"/>
        <w:rPr>
          <w:rFonts w:eastAsia="Calibri" w:cs="Times New Roman"/>
          <w:sz w:val="24"/>
          <w:lang w:val="it-IT" w:eastAsia="it-IT"/>
        </w:rPr>
      </w:pPr>
      <w:r w:rsidRPr="004E6E88">
        <w:rPr>
          <w:rFonts w:eastAsia="Calibri" w:cs="Times New Roman"/>
          <w:sz w:val="24"/>
          <w:lang w:val="it-IT" w:eastAsia="it-IT"/>
        </w:rPr>
        <w:t xml:space="preserve">3.1 </w:t>
      </w:r>
      <w:r w:rsidR="00F23786">
        <w:rPr>
          <w:rFonts w:eastAsia="Calibri" w:cs="Times New Roman"/>
          <w:sz w:val="24"/>
          <w:lang w:val="it-IT" w:eastAsia="it-IT"/>
        </w:rPr>
        <w:tab/>
      </w:r>
      <w:r w:rsidRPr="004E6E88">
        <w:rPr>
          <w:rFonts w:eastAsia="Calibri" w:cs="Times New Roman"/>
          <w:sz w:val="24"/>
          <w:lang w:val="it-IT" w:eastAsia="it-IT"/>
        </w:rPr>
        <w:t>La strategia di sostenibilità: materialità e portatori di interesse</w:t>
      </w:r>
    </w:p>
    <w:p w:rsidR="004E6E88" w:rsidRPr="004E6E88" w:rsidRDefault="004E6E88" w:rsidP="00F23786">
      <w:pPr>
        <w:kinsoku w:val="0"/>
        <w:overflowPunct w:val="0"/>
        <w:ind w:right="147"/>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specifica che il dialogo e l’impegno con i propri principali gruppi di interesse («stakeholder»)</w:t>
      </w:r>
      <w:r w:rsidRPr="004E6E88">
        <w:rPr>
          <w:rFonts w:eastAsia="Times New Roman" w:cs="Arial"/>
          <w:color w:val="000000"/>
          <w:position w:val="6"/>
          <w:sz w:val="16"/>
          <w:szCs w:val="24"/>
          <w:lang w:val="it-IT" w:eastAsia="it-CH"/>
        </w:rPr>
        <w:footnoteReference w:id="6"/>
      </w:r>
      <w:r w:rsidRPr="004E6E88">
        <w:rPr>
          <w:rFonts w:eastAsia="Times New Roman" w:cs="Arial"/>
          <w:color w:val="000000"/>
          <w:sz w:val="24"/>
          <w:szCs w:val="24"/>
          <w:lang w:val="it-IT" w:eastAsia="it-CH"/>
        </w:rPr>
        <w:t xml:space="preserve">  sono rilevanti.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mette l'accento sulla loro presenza regionale e la loro influenza per rapporto al tema della sostenibilità. </w:t>
      </w:r>
    </w:p>
    <w:p w:rsidR="004E6E88" w:rsidRPr="004E6E88" w:rsidRDefault="004E6E88" w:rsidP="00F23786">
      <w:pPr>
        <w:kinsoku w:val="0"/>
        <w:overflowPunct w:val="0"/>
        <w:ind w:right="147"/>
        <w:rPr>
          <w:rFonts w:eastAsia="Times New Roman" w:cs="Arial"/>
          <w:color w:val="000000"/>
          <w:sz w:val="24"/>
          <w:szCs w:val="24"/>
          <w:lang w:val="it-IT" w:eastAsia="it-CH"/>
        </w:rPr>
      </w:pPr>
    </w:p>
    <w:p w:rsidR="004E6E88" w:rsidRPr="004E6E88" w:rsidRDefault="004E6E88" w:rsidP="00F23786">
      <w:pPr>
        <w:kinsoku w:val="0"/>
        <w:overflowPunct w:val="0"/>
        <w:ind w:right="147"/>
        <w:rPr>
          <w:rFonts w:eastAsia="Times New Roman" w:cs="Arial"/>
          <w:color w:val="000000"/>
          <w:sz w:val="24"/>
          <w:szCs w:val="24"/>
          <w:lang w:val="it-IT" w:eastAsia="it-CH"/>
        </w:rPr>
      </w:pPr>
      <w:r w:rsidRPr="004E6E88">
        <w:rPr>
          <w:rFonts w:eastAsia="Times New Roman" w:cs="Arial"/>
          <w:color w:val="000000"/>
          <w:sz w:val="24"/>
          <w:szCs w:val="24"/>
          <w:lang w:val="it-IT" w:eastAsia="it-CH"/>
        </w:rPr>
        <w:t>L'Istituto ha anche proceduto all'analisi di materialità, vale a dire all'identificazione delle tematiche di sostenibilità</w:t>
      </w:r>
      <w:r w:rsidRPr="004E6E88">
        <w:rPr>
          <w:rFonts w:eastAsia="Times New Roman" w:cs="Arial"/>
          <w:color w:val="000000"/>
          <w:sz w:val="20"/>
          <w:szCs w:val="20"/>
          <w:lang w:val="it-IT" w:eastAsia="it-CH"/>
        </w:rPr>
        <w:t xml:space="preserve"> </w:t>
      </w:r>
      <w:r w:rsidRPr="004E6E88">
        <w:rPr>
          <w:rFonts w:eastAsia="Times New Roman" w:cs="Arial"/>
          <w:color w:val="000000"/>
          <w:sz w:val="24"/>
          <w:szCs w:val="24"/>
          <w:lang w:val="it-IT" w:eastAsia="it-CH"/>
        </w:rPr>
        <w:t xml:space="preserve">più rilevanti per la Banca stessa e per i suoi principali portatori di interesse, e ha elaborato lo strumento della matrice di materialità che è una rappresentazione utile a identificare le sfide e gli obiettivi prioritari a livello economico, ecologico e sociale. </w:t>
      </w:r>
    </w:p>
    <w:p w:rsidR="004E6E88" w:rsidRPr="004E6E88" w:rsidRDefault="004E6E88" w:rsidP="00F23786">
      <w:pPr>
        <w:autoSpaceDE w:val="0"/>
        <w:autoSpaceDN w:val="0"/>
        <w:adjustRightInd w:val="0"/>
        <w:jc w:val="left"/>
        <w:rPr>
          <w:rFonts w:eastAsia="Times New Roman" w:cs="Arial"/>
          <w:color w:val="000000"/>
          <w:sz w:val="24"/>
          <w:szCs w:val="24"/>
          <w:lang w:eastAsia="it-CH"/>
        </w:rPr>
      </w:pPr>
    </w:p>
    <w:p w:rsidR="00F23786" w:rsidRPr="004E6E88" w:rsidRDefault="004E6E88" w:rsidP="00F23786">
      <w:pPr>
        <w:kinsoku w:val="0"/>
        <w:overflowPunct w:val="0"/>
        <w:ind w:right="147"/>
        <w:rPr>
          <w:rFonts w:eastAsia="Times New Roman" w:cs="Arial"/>
          <w:color w:val="000000"/>
          <w:sz w:val="24"/>
          <w:szCs w:val="24"/>
          <w:lang w:eastAsia="it-CH"/>
        </w:rPr>
      </w:pPr>
      <w:r w:rsidRPr="004E6E88">
        <w:rPr>
          <w:rFonts w:eastAsia="Times New Roman" w:cs="Arial"/>
          <w:color w:val="000000"/>
          <w:sz w:val="24"/>
          <w:szCs w:val="24"/>
          <w:lang w:eastAsia="it-CH"/>
        </w:rPr>
        <w:t xml:space="preserve">La Banca ha svolto l'analisi collaborando con esperti esterni di sostenibilità per valutare l'impatto dei singoli temi sull'ambiente, sulla società e sull'economia. Si tratta di undici temi materiali: </w:t>
      </w:r>
    </w:p>
    <w:p w:rsidR="00F23786"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r w:rsidRPr="00F23786">
        <w:rPr>
          <w:rFonts w:eastAsia="Times New Roman" w:cs="Arial"/>
          <w:color w:val="000000"/>
          <w:sz w:val="24"/>
          <w:szCs w:val="24"/>
          <w:lang w:val="it-IT" w:eastAsia="it-CH"/>
        </w:rPr>
        <w:t xml:space="preserve">Consulenza responsabile e sostenibile alla clientela; </w:t>
      </w:r>
    </w:p>
    <w:p w:rsidR="00F23786"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r w:rsidRPr="00F23786">
        <w:rPr>
          <w:rFonts w:eastAsia="Times New Roman" w:cs="Arial"/>
          <w:color w:val="000000"/>
          <w:sz w:val="24"/>
          <w:szCs w:val="24"/>
          <w:lang w:val="it-IT" w:eastAsia="it-CH"/>
        </w:rPr>
        <w:t xml:space="preserve">Prodotti e servizi sostenibili (inclusi digitalizzazione); </w:t>
      </w:r>
    </w:p>
    <w:p w:rsidR="00F23786"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r w:rsidRPr="00F23786">
        <w:rPr>
          <w:rFonts w:eastAsia="Times New Roman" w:cs="Arial"/>
          <w:color w:val="000000"/>
          <w:sz w:val="24"/>
          <w:szCs w:val="24"/>
          <w:lang w:val="it-IT" w:eastAsia="it-CH"/>
        </w:rPr>
        <w:t xml:space="preserve">Crediti sostenibili / Investimenti sostenibili; </w:t>
      </w:r>
    </w:p>
    <w:p w:rsidR="00F23786"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r w:rsidRPr="00F23786">
        <w:rPr>
          <w:rFonts w:eastAsia="Times New Roman" w:cs="Arial"/>
          <w:color w:val="000000"/>
          <w:sz w:val="24"/>
          <w:szCs w:val="24"/>
          <w:lang w:val="it-IT" w:eastAsia="it-CH"/>
        </w:rPr>
        <w:t xml:space="preserve">Cambiamento climatico/emissioni, consumo di risorse, acquisti sostenibili e gestione rifiuti; </w:t>
      </w:r>
    </w:p>
    <w:p w:rsidR="00F23786"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r w:rsidRPr="00F23786">
        <w:rPr>
          <w:rFonts w:eastAsia="Times New Roman" w:cs="Arial"/>
          <w:color w:val="000000"/>
          <w:sz w:val="24"/>
          <w:szCs w:val="24"/>
          <w:lang w:val="it-IT" w:eastAsia="it-CH"/>
        </w:rPr>
        <w:t xml:space="preserve">Pari opportunità di genere; </w:t>
      </w:r>
    </w:p>
    <w:p w:rsidR="00F23786"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r w:rsidRPr="00F23786">
        <w:rPr>
          <w:rFonts w:eastAsia="Times New Roman" w:cs="Arial"/>
          <w:color w:val="000000"/>
          <w:sz w:val="24"/>
          <w:szCs w:val="24"/>
          <w:lang w:val="it-IT" w:eastAsia="it-CH"/>
        </w:rPr>
        <w:t xml:space="preserve">Gestione rischi climatici; </w:t>
      </w:r>
    </w:p>
    <w:p w:rsidR="00F23786"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r w:rsidRPr="00F23786">
        <w:rPr>
          <w:rFonts w:eastAsia="Times New Roman" w:cs="Arial"/>
          <w:color w:val="000000"/>
          <w:sz w:val="24"/>
          <w:szCs w:val="24"/>
          <w:lang w:val="it-IT" w:eastAsia="it-CH"/>
        </w:rPr>
        <w:t xml:space="preserve">Formazione continua e sviluppo del personale; </w:t>
      </w:r>
    </w:p>
    <w:p w:rsidR="00F23786"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r w:rsidRPr="00F23786">
        <w:rPr>
          <w:rFonts w:eastAsia="Times New Roman" w:cs="Arial"/>
          <w:color w:val="000000"/>
          <w:sz w:val="24"/>
          <w:szCs w:val="24"/>
          <w:lang w:val="it-IT" w:eastAsia="it-CH"/>
        </w:rPr>
        <w:t xml:space="preserve">Impegno, sponsorizzazioni e collaborazioni locali; </w:t>
      </w:r>
    </w:p>
    <w:p w:rsidR="00F23786"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r w:rsidRPr="00F23786">
        <w:rPr>
          <w:rFonts w:eastAsia="Times New Roman" w:cs="Arial"/>
          <w:color w:val="000000"/>
          <w:sz w:val="24"/>
          <w:szCs w:val="24"/>
          <w:lang w:val="it-IT" w:eastAsia="it-CH"/>
        </w:rPr>
        <w:t xml:space="preserve">Datore di lavoro responsabile; </w:t>
      </w:r>
    </w:p>
    <w:p w:rsidR="00F23786"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r w:rsidRPr="00F23786">
        <w:rPr>
          <w:rFonts w:eastAsia="Times New Roman" w:cs="Arial"/>
          <w:color w:val="000000"/>
          <w:sz w:val="24"/>
          <w:szCs w:val="24"/>
          <w:lang w:val="it-IT" w:eastAsia="it-CH"/>
        </w:rPr>
        <w:t xml:space="preserve">Performance economica / versamento al Cantone; </w:t>
      </w:r>
    </w:p>
    <w:p w:rsidR="004E6E88" w:rsidRPr="00F23786" w:rsidRDefault="004E6E88" w:rsidP="00F23786">
      <w:pPr>
        <w:pStyle w:val="Paragrafoelenco"/>
        <w:numPr>
          <w:ilvl w:val="0"/>
          <w:numId w:val="31"/>
        </w:numPr>
        <w:kinsoku w:val="0"/>
        <w:overflowPunct w:val="0"/>
        <w:spacing w:before="120"/>
        <w:ind w:left="425" w:right="147" w:hanging="425"/>
        <w:contextualSpacing w:val="0"/>
        <w:rPr>
          <w:rFonts w:eastAsia="Times New Roman" w:cs="Arial"/>
          <w:color w:val="000000"/>
          <w:sz w:val="24"/>
          <w:szCs w:val="24"/>
          <w:lang w:val="it-IT" w:eastAsia="it-CH"/>
        </w:rPr>
      </w:pPr>
      <w:proofErr w:type="spellStart"/>
      <w:r w:rsidRPr="00F23786">
        <w:rPr>
          <w:rFonts w:eastAsia="Times New Roman" w:cs="Arial"/>
          <w:color w:val="000000"/>
          <w:sz w:val="24"/>
          <w:szCs w:val="24"/>
          <w:lang w:val="it-IT" w:eastAsia="it-CH"/>
        </w:rPr>
        <w:t>Governance</w:t>
      </w:r>
      <w:proofErr w:type="spellEnd"/>
      <w:r w:rsidRPr="00F23786">
        <w:rPr>
          <w:rFonts w:eastAsia="Times New Roman" w:cs="Arial"/>
          <w:color w:val="000000"/>
          <w:sz w:val="24"/>
          <w:szCs w:val="24"/>
          <w:lang w:val="it-IT" w:eastAsia="it-CH"/>
        </w:rPr>
        <w:t xml:space="preserve"> responsabile (inclusi trattamento dati personali clienti).  </w:t>
      </w:r>
    </w:p>
    <w:p w:rsidR="00F23786" w:rsidRDefault="00F23786" w:rsidP="00F23786">
      <w:pPr>
        <w:kinsoku w:val="0"/>
        <w:overflowPunct w:val="0"/>
        <w:ind w:right="147"/>
        <w:rPr>
          <w:rFonts w:eastAsia="Times New Roman" w:cs="Arial"/>
          <w:color w:val="000000"/>
          <w:sz w:val="24"/>
          <w:szCs w:val="24"/>
          <w:lang w:val="it-IT" w:eastAsia="it-CH"/>
        </w:rPr>
      </w:pPr>
    </w:p>
    <w:p w:rsidR="004E6E88" w:rsidRPr="004E6E88" w:rsidRDefault="004E6E88" w:rsidP="00F23786">
      <w:pPr>
        <w:kinsoku w:val="0"/>
        <w:overflowPunct w:val="0"/>
        <w:ind w:right="147"/>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La matrice di materialità che ne è risultata è la seguente: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CH"/>
        </w:rPr>
      </w:pPr>
    </w:p>
    <w:p w:rsidR="004E6E88" w:rsidRPr="004E6E88" w:rsidRDefault="004E6E88" w:rsidP="004E6E88">
      <w:pPr>
        <w:kinsoku w:val="0"/>
        <w:overflowPunct w:val="0"/>
        <w:spacing w:line="276" w:lineRule="auto"/>
        <w:ind w:right="147"/>
        <w:rPr>
          <w:rFonts w:eastAsia="Times New Roman" w:cs="Arial"/>
          <w:color w:val="000000"/>
          <w:sz w:val="20"/>
          <w:szCs w:val="20"/>
          <w:lang w:val="it-IT" w:eastAsia="it-CH"/>
        </w:rPr>
      </w:pPr>
      <w:r w:rsidRPr="004E6E88">
        <w:rPr>
          <w:rFonts w:eastAsia="Times New Roman" w:cs="Arial"/>
          <w:noProof/>
          <w:color w:val="000000"/>
          <w:sz w:val="20"/>
          <w:szCs w:val="20"/>
          <w:lang w:eastAsia="it-CH"/>
        </w:rPr>
        <w:lastRenderedPageBreak/>
        <w:drawing>
          <wp:inline distT="0" distB="0" distL="0" distR="0" wp14:anchorId="0A9FBA91" wp14:editId="2CC5015A">
            <wp:extent cx="6120130" cy="3673978"/>
            <wp:effectExtent l="0" t="0" r="0" b="3175"/>
            <wp:docPr id="62" name="Immagin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3673978"/>
                    </a:xfrm>
                    <a:prstGeom prst="rect">
                      <a:avLst/>
                    </a:prstGeom>
                    <a:noFill/>
                    <a:ln>
                      <a:noFill/>
                    </a:ln>
                  </pic:spPr>
                </pic:pic>
              </a:graphicData>
            </a:graphic>
          </wp:inline>
        </w:drawing>
      </w:r>
    </w:p>
    <w:p w:rsidR="004E6E88" w:rsidRPr="004E6E88" w:rsidRDefault="004E6E88" w:rsidP="004E6E88">
      <w:pPr>
        <w:kinsoku w:val="0"/>
        <w:overflowPunct w:val="0"/>
        <w:spacing w:line="276" w:lineRule="auto"/>
        <w:ind w:right="147"/>
        <w:rPr>
          <w:rFonts w:eastAsia="Times New Roman" w:cs="Arial"/>
          <w:color w:val="000000"/>
          <w:sz w:val="20"/>
          <w:szCs w:val="20"/>
          <w:lang w:val="it-IT" w:eastAsia="it-CH"/>
        </w:rPr>
      </w:pPr>
    </w:p>
    <w:p w:rsidR="004E6E88" w:rsidRPr="004E6E88" w:rsidRDefault="004E6E88" w:rsidP="004E6E88">
      <w:pPr>
        <w:kinsoku w:val="0"/>
        <w:overflowPunct w:val="0"/>
        <w:spacing w:line="276" w:lineRule="auto"/>
        <w:ind w:right="147"/>
        <w:rPr>
          <w:rFonts w:eastAsia="Times New Roman" w:cs="Arial"/>
          <w:color w:val="000000"/>
          <w:sz w:val="20"/>
          <w:szCs w:val="20"/>
          <w:lang w:val="it-IT" w:eastAsia="it-CH"/>
        </w:rPr>
      </w:pPr>
      <w:r w:rsidRPr="004E6E88">
        <w:rPr>
          <w:rFonts w:eastAsia="Times New Roman" w:cs="Arial"/>
          <w:noProof/>
          <w:color w:val="000000"/>
          <w:sz w:val="24"/>
          <w:szCs w:val="24"/>
          <w:lang w:eastAsia="it-CH"/>
        </w:rPr>
        <w:drawing>
          <wp:inline distT="0" distB="0" distL="0" distR="0" wp14:anchorId="1CD1A7C6" wp14:editId="321E14BF">
            <wp:extent cx="6120130" cy="2548255"/>
            <wp:effectExtent l="0" t="0" r="0" b="4445"/>
            <wp:docPr id="63" name="Immagin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2548255"/>
                    </a:xfrm>
                    <a:prstGeom prst="rect">
                      <a:avLst/>
                    </a:prstGeom>
                    <a:noFill/>
                    <a:ln>
                      <a:noFill/>
                    </a:ln>
                  </pic:spPr>
                </pic:pic>
              </a:graphicData>
            </a:graphic>
          </wp:inline>
        </w:drawing>
      </w:r>
    </w:p>
    <w:p w:rsidR="004E6E88" w:rsidRPr="004E6E88" w:rsidRDefault="004E6E88" w:rsidP="004E6E88">
      <w:pPr>
        <w:kinsoku w:val="0"/>
        <w:overflowPunct w:val="0"/>
        <w:spacing w:line="276" w:lineRule="auto"/>
        <w:ind w:right="147"/>
        <w:rPr>
          <w:rFonts w:eastAsia="Times New Roman" w:cs="Arial"/>
          <w:color w:val="000000"/>
          <w:sz w:val="20"/>
          <w:szCs w:val="20"/>
          <w:lang w:val="it-IT" w:eastAsia="it-CH"/>
        </w:rPr>
      </w:pPr>
    </w:p>
    <w:p w:rsidR="004E6E88" w:rsidRPr="004E6E88" w:rsidRDefault="004E6E88" w:rsidP="004E6E88">
      <w:pPr>
        <w:kinsoku w:val="0"/>
        <w:overflowPunct w:val="0"/>
        <w:spacing w:line="276" w:lineRule="auto"/>
        <w:ind w:right="147"/>
        <w:rPr>
          <w:rFonts w:eastAsia="Times New Roman" w:cs="Arial"/>
          <w:color w:val="000000"/>
          <w:sz w:val="20"/>
          <w:szCs w:val="20"/>
          <w:lang w:val="it-IT" w:eastAsia="it-CH"/>
        </w:rPr>
      </w:pPr>
      <w:r w:rsidRPr="004E6E88">
        <w:rPr>
          <w:rFonts w:eastAsia="Times New Roman" w:cs="Arial"/>
          <w:noProof/>
          <w:color w:val="000000"/>
          <w:sz w:val="20"/>
          <w:szCs w:val="20"/>
          <w:lang w:eastAsia="it-CH"/>
        </w:rPr>
        <w:drawing>
          <wp:inline distT="0" distB="0" distL="0" distR="0" wp14:anchorId="470EB79B" wp14:editId="1AA69572">
            <wp:extent cx="6120130" cy="820670"/>
            <wp:effectExtent l="0" t="0" r="0" b="0"/>
            <wp:docPr id="64" name="Immagin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820670"/>
                    </a:xfrm>
                    <a:prstGeom prst="rect">
                      <a:avLst/>
                    </a:prstGeom>
                    <a:noFill/>
                    <a:ln>
                      <a:noFill/>
                    </a:ln>
                  </pic:spPr>
                </pic:pic>
              </a:graphicData>
            </a:graphic>
          </wp:inline>
        </w:drawing>
      </w:r>
    </w:p>
    <w:p w:rsidR="004E6E88" w:rsidRPr="004E6E88" w:rsidRDefault="004E6E88" w:rsidP="004E6E88">
      <w:pPr>
        <w:kinsoku w:val="0"/>
        <w:overflowPunct w:val="0"/>
        <w:spacing w:line="276" w:lineRule="auto"/>
        <w:ind w:right="147"/>
        <w:rPr>
          <w:rFonts w:eastAsia="Times New Roman" w:cs="Arial"/>
          <w:color w:val="000000"/>
          <w:sz w:val="20"/>
          <w:szCs w:val="20"/>
          <w:lang w:val="it-IT" w:eastAsia="it-CH"/>
        </w:rPr>
      </w:pPr>
    </w:p>
    <w:p w:rsidR="004E6E88" w:rsidRPr="004E6E88" w:rsidRDefault="004E6E88" w:rsidP="004E6E88">
      <w:pPr>
        <w:kinsoku w:val="0"/>
        <w:overflowPunct w:val="0"/>
        <w:spacing w:line="276" w:lineRule="auto"/>
        <w:ind w:right="147"/>
        <w:rPr>
          <w:rFonts w:eastAsia="Times New Roman" w:cs="Arial"/>
          <w:i/>
          <w:color w:val="000000"/>
          <w:sz w:val="20"/>
          <w:szCs w:val="20"/>
          <w:lang w:val="it-IT" w:eastAsia="it-CH"/>
        </w:rPr>
      </w:pPr>
      <w:r w:rsidRPr="004E6E88">
        <w:rPr>
          <w:rFonts w:eastAsia="Times New Roman" w:cs="Arial"/>
          <w:i/>
          <w:color w:val="000000"/>
          <w:sz w:val="20"/>
          <w:szCs w:val="20"/>
          <w:lang w:val="it-IT" w:eastAsia="it-CH"/>
        </w:rPr>
        <w:t xml:space="preserve">Matrice di materialità, tratta dal Rapporto di sostenibilità, pp. 13-14. </w:t>
      </w:r>
    </w:p>
    <w:p w:rsidR="004E6E88" w:rsidRPr="004E6E88" w:rsidRDefault="004E6E88" w:rsidP="004E6E88">
      <w:pPr>
        <w:kinsoku w:val="0"/>
        <w:overflowPunct w:val="0"/>
        <w:spacing w:line="276" w:lineRule="auto"/>
        <w:ind w:right="147"/>
        <w:rPr>
          <w:rFonts w:eastAsia="Times New Roman" w:cs="Arial"/>
          <w:color w:val="000000"/>
          <w:sz w:val="20"/>
          <w:szCs w:val="20"/>
          <w:lang w:val="it-IT" w:eastAsia="it-CH"/>
        </w:rPr>
      </w:pPr>
    </w:p>
    <w:p w:rsidR="004E6E88" w:rsidRPr="004E6E88" w:rsidRDefault="004E6E88" w:rsidP="00F23786">
      <w:pPr>
        <w:kinsoku w:val="0"/>
        <w:overflowPunct w:val="0"/>
        <w:ind w:right="147"/>
        <w:rPr>
          <w:rFonts w:eastAsia="Times New Roman" w:cs="Arial"/>
          <w:color w:val="000000"/>
          <w:sz w:val="24"/>
          <w:szCs w:val="24"/>
          <w:lang w:eastAsia="it-CH"/>
        </w:rPr>
      </w:pPr>
      <w:r w:rsidRPr="004E6E88">
        <w:rPr>
          <w:rFonts w:eastAsia="Times New Roman" w:cs="Arial"/>
          <w:color w:val="000000"/>
          <w:sz w:val="24"/>
          <w:szCs w:val="24"/>
          <w:lang w:eastAsia="it-CH"/>
        </w:rPr>
        <w:t xml:space="preserve">Ognuno dei temi materiali identificati è stato ricondotto ad una specifica area tematica: ciò ha portato a definire la struttura della strategia di sostenibilità di </w:t>
      </w:r>
      <w:proofErr w:type="spellStart"/>
      <w:r w:rsidRPr="004E6E88">
        <w:rPr>
          <w:rFonts w:eastAsia="Times New Roman" w:cs="Arial"/>
          <w:color w:val="000000"/>
          <w:sz w:val="24"/>
          <w:szCs w:val="24"/>
          <w:lang w:eastAsia="it-CH"/>
        </w:rPr>
        <w:t>BancaStato</w:t>
      </w:r>
      <w:proofErr w:type="spellEnd"/>
      <w:r w:rsidRPr="004E6E88">
        <w:rPr>
          <w:rFonts w:eastAsia="Times New Roman" w:cs="Arial"/>
          <w:color w:val="000000"/>
          <w:sz w:val="24"/>
          <w:szCs w:val="24"/>
          <w:lang w:eastAsia="it-CH"/>
        </w:rPr>
        <w:t xml:space="preserve">. </w:t>
      </w:r>
    </w:p>
    <w:p w:rsidR="004E6E88" w:rsidRPr="004E6E88" w:rsidRDefault="004E6E88" w:rsidP="00F23786">
      <w:pPr>
        <w:kinsoku w:val="0"/>
        <w:overflowPunct w:val="0"/>
        <w:ind w:right="147"/>
        <w:rPr>
          <w:rFonts w:eastAsia="Times New Roman" w:cs="Arial"/>
          <w:color w:val="000000"/>
          <w:sz w:val="20"/>
          <w:szCs w:val="20"/>
          <w:lang w:val="it-IT" w:eastAsia="it-CH"/>
        </w:rPr>
      </w:pPr>
      <w:r w:rsidRPr="004E6E88">
        <w:rPr>
          <w:rFonts w:eastAsia="Times New Roman" w:cs="Arial"/>
          <w:color w:val="000000"/>
          <w:sz w:val="24"/>
          <w:szCs w:val="24"/>
          <w:lang w:eastAsia="it-CH"/>
        </w:rPr>
        <w:t>Per ogni area tematica la Banca ha previsto specifiche misure e obiettivi da raggiungere su un periodo di riferimento di cinque anni a decorrere dal 2024</w:t>
      </w:r>
      <w:r w:rsidRPr="004E6E88">
        <w:rPr>
          <w:rFonts w:eastAsia="Times New Roman" w:cs="Arial"/>
          <w:color w:val="000000"/>
          <w:sz w:val="20"/>
          <w:szCs w:val="20"/>
          <w:lang w:val="it-IT" w:eastAsia="it-CH"/>
        </w:rPr>
        <w:t xml:space="preserve">. </w:t>
      </w:r>
    </w:p>
    <w:p w:rsidR="004E6E88" w:rsidRPr="004E6E88" w:rsidRDefault="004E6E88" w:rsidP="00F23786">
      <w:pPr>
        <w:pStyle w:val="Titolo2"/>
        <w:numPr>
          <w:ilvl w:val="0"/>
          <w:numId w:val="0"/>
        </w:numPr>
        <w:tabs>
          <w:tab w:val="left" w:pos="567"/>
        </w:tabs>
        <w:spacing w:before="0" w:after="120"/>
        <w:jc w:val="both"/>
        <w:rPr>
          <w:rFonts w:eastAsia="Calibri" w:cs="Times New Roman"/>
          <w:sz w:val="24"/>
          <w:lang w:val="it-IT" w:eastAsia="it-IT"/>
        </w:rPr>
      </w:pPr>
      <w:r w:rsidRPr="004E6E88">
        <w:rPr>
          <w:rFonts w:eastAsia="Calibri" w:cs="Times New Roman"/>
          <w:sz w:val="24"/>
          <w:lang w:val="it-IT" w:eastAsia="it-IT"/>
        </w:rPr>
        <w:lastRenderedPageBreak/>
        <w:t>3.2 Le cinque aree tematiche della strategia di sostenibilità: «</w:t>
      </w:r>
      <w:proofErr w:type="spellStart"/>
      <w:r w:rsidRPr="004E6E88">
        <w:rPr>
          <w:rFonts w:eastAsia="Calibri" w:cs="Times New Roman"/>
          <w:sz w:val="24"/>
          <w:lang w:val="it-IT" w:eastAsia="it-IT"/>
        </w:rPr>
        <w:t>Governance</w:t>
      </w:r>
      <w:proofErr w:type="spellEnd"/>
      <w:r w:rsidRPr="004E6E88">
        <w:rPr>
          <w:rFonts w:eastAsia="Calibri" w:cs="Times New Roman"/>
          <w:sz w:val="24"/>
          <w:lang w:val="it-IT" w:eastAsia="it-IT"/>
        </w:rPr>
        <w:t xml:space="preserve">», </w:t>
      </w:r>
      <w:r w:rsidR="00F23786">
        <w:rPr>
          <w:rFonts w:eastAsia="Calibri" w:cs="Times New Roman"/>
          <w:sz w:val="24"/>
          <w:lang w:val="it-IT" w:eastAsia="it-IT"/>
        </w:rPr>
        <w:tab/>
      </w:r>
      <w:r w:rsidRPr="004E6E88">
        <w:rPr>
          <w:rFonts w:eastAsia="Calibri" w:cs="Times New Roman"/>
          <w:sz w:val="24"/>
          <w:lang w:val="it-IT" w:eastAsia="it-IT"/>
        </w:rPr>
        <w:t xml:space="preserve">«Clientela», «Comunità», «Risorse Umane» </w:t>
      </w:r>
      <w:proofErr w:type="gramStart"/>
      <w:r w:rsidRPr="004E6E88">
        <w:rPr>
          <w:rFonts w:eastAsia="Calibri" w:cs="Times New Roman"/>
          <w:sz w:val="24"/>
          <w:lang w:val="it-IT" w:eastAsia="it-IT"/>
        </w:rPr>
        <w:t>e «</w:t>
      </w:r>
      <w:proofErr w:type="gramEnd"/>
      <w:r w:rsidRPr="004E6E88">
        <w:rPr>
          <w:rFonts w:eastAsia="Calibri" w:cs="Times New Roman"/>
          <w:sz w:val="24"/>
          <w:lang w:val="it-IT" w:eastAsia="it-IT"/>
        </w:rPr>
        <w:t xml:space="preserve">Clima e ambiente» </w:t>
      </w:r>
    </w:p>
    <w:p w:rsidR="004E6E88" w:rsidRPr="004E6E88" w:rsidRDefault="004E6E88" w:rsidP="00F23786">
      <w:pPr>
        <w:kinsoku w:val="0"/>
        <w:overflowPunct w:val="0"/>
        <w:ind w:right="-13"/>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Con la sua strategia di sostenibilità,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i/>
          <w:color w:val="000000"/>
          <w:sz w:val="24"/>
          <w:szCs w:val="24"/>
          <w:lang w:val="it-IT" w:eastAsia="it-CH"/>
        </w:rPr>
        <w:t xml:space="preserve"> </w:t>
      </w:r>
      <w:r w:rsidRPr="004E6E88">
        <w:rPr>
          <w:rFonts w:eastAsia="Times New Roman" w:cs="Arial"/>
          <w:color w:val="000000"/>
          <w:sz w:val="24"/>
          <w:szCs w:val="24"/>
          <w:lang w:val="it-IT" w:eastAsia="it-CH"/>
        </w:rPr>
        <w:t>«</w:t>
      </w:r>
      <w:r w:rsidRPr="004E6E88">
        <w:rPr>
          <w:rFonts w:eastAsia="Times New Roman" w:cs="Arial"/>
          <w:i/>
          <w:color w:val="000000"/>
          <w:sz w:val="24"/>
          <w:szCs w:val="24"/>
          <w:lang w:val="it-IT" w:eastAsia="it-CH"/>
        </w:rPr>
        <w:t>vuole creare valore aggiunto per gli stakeholder, mirare ad un utilizzo oculato delle risorse materiali e naturali, nonché contribuire alla transizione verso un Ticino ed una Svizzera neutrale dal punto di vista climatico. Grazie ad una chiara individuazione degli stakeholder (gruppi di interesse) della Banca e alla definizione dei propri temi rilevanti, in risposta a questi ultimi la Banca ha declinato la propria strategia di sostenibilità attraverso cinque aree tematiche specifiche, ossia «</w:t>
      </w:r>
      <w:proofErr w:type="spellStart"/>
      <w:r w:rsidRPr="004E6E88">
        <w:rPr>
          <w:rFonts w:eastAsia="Times New Roman" w:cs="Arial"/>
          <w:i/>
          <w:color w:val="000000"/>
          <w:sz w:val="24"/>
          <w:szCs w:val="24"/>
          <w:lang w:val="it-IT" w:eastAsia="it-CH"/>
        </w:rPr>
        <w:t>Governance</w:t>
      </w:r>
      <w:proofErr w:type="spellEnd"/>
      <w:r w:rsidRPr="004E6E88">
        <w:rPr>
          <w:rFonts w:eastAsia="Times New Roman" w:cs="Arial"/>
          <w:i/>
          <w:color w:val="000000"/>
          <w:sz w:val="24"/>
          <w:szCs w:val="24"/>
          <w:lang w:val="it-IT" w:eastAsia="it-CH"/>
        </w:rPr>
        <w:t xml:space="preserve">», «Clientela», «Comunità», «Risorse Umane» </w:t>
      </w:r>
      <w:proofErr w:type="gramStart"/>
      <w:r w:rsidRPr="004E6E88">
        <w:rPr>
          <w:rFonts w:eastAsia="Times New Roman" w:cs="Arial"/>
          <w:i/>
          <w:color w:val="000000"/>
          <w:sz w:val="24"/>
          <w:szCs w:val="24"/>
          <w:lang w:val="it-IT" w:eastAsia="it-CH"/>
        </w:rPr>
        <w:t>e «</w:t>
      </w:r>
      <w:proofErr w:type="gramEnd"/>
      <w:r w:rsidRPr="004E6E88">
        <w:rPr>
          <w:rFonts w:eastAsia="Times New Roman" w:cs="Arial"/>
          <w:i/>
          <w:color w:val="000000"/>
          <w:sz w:val="24"/>
          <w:szCs w:val="24"/>
          <w:lang w:val="it-IT" w:eastAsia="it-CH"/>
        </w:rPr>
        <w:t>Clima e ambiente</w:t>
      </w:r>
      <w:r w:rsidRPr="004E6E88">
        <w:rPr>
          <w:rFonts w:eastAsia="Times New Roman" w:cs="Arial"/>
          <w:color w:val="000000"/>
          <w:sz w:val="24"/>
          <w:szCs w:val="24"/>
          <w:lang w:val="it-IT" w:eastAsia="it-CH"/>
        </w:rPr>
        <w:t xml:space="preserve">». </w:t>
      </w:r>
    </w:p>
    <w:p w:rsidR="004E6E88" w:rsidRPr="004E6E88" w:rsidRDefault="004E6E88" w:rsidP="00F23786">
      <w:pPr>
        <w:ind w:right="-13"/>
        <w:rPr>
          <w:rFonts w:eastAsia="Times New Roman" w:cs="Arial"/>
          <w:color w:val="000000"/>
          <w:sz w:val="24"/>
          <w:szCs w:val="24"/>
          <w:lang w:val="it-IT" w:eastAsia="it-CH"/>
        </w:rPr>
      </w:pPr>
    </w:p>
    <w:p w:rsidR="004E6E88" w:rsidRPr="004E6E88" w:rsidRDefault="004E6E88" w:rsidP="00F23786">
      <w:pPr>
        <w:ind w:right="-13"/>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Nel corso del 2024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ha proseguito l'attività di implementazione della strategia di sostenibilità basata sulle cinque aree tematiche tramite iniziative e progetti specifici. </w:t>
      </w:r>
    </w:p>
    <w:p w:rsidR="004E6E88" w:rsidRPr="004E6E88" w:rsidRDefault="004E6E88" w:rsidP="004E6E88">
      <w:pPr>
        <w:spacing w:line="276" w:lineRule="auto"/>
        <w:rPr>
          <w:rFonts w:eastAsia="Times New Roman" w:cs="Arial"/>
          <w:color w:val="000000"/>
          <w:sz w:val="24"/>
          <w:szCs w:val="24"/>
          <w:lang w:val="it-IT" w:eastAsia="it-CH"/>
        </w:rPr>
      </w:pPr>
    </w:p>
    <w:p w:rsidR="004E6E88" w:rsidRPr="004E6E88" w:rsidRDefault="004E6E88" w:rsidP="00F23786">
      <w:pPr>
        <w:pStyle w:val="Titolo3"/>
        <w:numPr>
          <w:ilvl w:val="0"/>
          <w:numId w:val="0"/>
        </w:numPr>
        <w:tabs>
          <w:tab w:val="left" w:pos="709"/>
        </w:tabs>
        <w:spacing w:after="120"/>
        <w:jc w:val="both"/>
        <w:rPr>
          <w:rFonts w:eastAsia="Calibri" w:cs="Times New Roman"/>
          <w:i/>
          <w:sz w:val="23"/>
          <w:szCs w:val="23"/>
          <w:lang w:val="it-IT" w:eastAsia="it-IT"/>
        </w:rPr>
      </w:pPr>
      <w:r w:rsidRPr="004E6E88">
        <w:rPr>
          <w:rFonts w:eastAsia="Calibri" w:cs="Times New Roman"/>
          <w:i/>
          <w:sz w:val="23"/>
          <w:szCs w:val="23"/>
          <w:lang w:val="it-IT" w:eastAsia="it-IT"/>
        </w:rPr>
        <w:t>3.2.1 «</w:t>
      </w:r>
      <w:proofErr w:type="spellStart"/>
      <w:r w:rsidRPr="004E6E88">
        <w:rPr>
          <w:rFonts w:eastAsia="Calibri" w:cs="Times New Roman"/>
          <w:i/>
          <w:sz w:val="23"/>
          <w:szCs w:val="23"/>
          <w:lang w:val="it-IT" w:eastAsia="it-IT"/>
        </w:rPr>
        <w:t>Governance</w:t>
      </w:r>
      <w:proofErr w:type="spellEnd"/>
      <w:r w:rsidRPr="004E6E88">
        <w:rPr>
          <w:rFonts w:eastAsia="Calibri" w:cs="Times New Roman"/>
          <w:i/>
          <w:sz w:val="23"/>
          <w:szCs w:val="23"/>
          <w:lang w:val="it-IT" w:eastAsia="it-IT"/>
        </w:rPr>
        <w:t xml:space="preserve">» </w:t>
      </w:r>
    </w:p>
    <w:p w:rsidR="004E6E88" w:rsidRP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Per l'area «</w:t>
      </w:r>
      <w:proofErr w:type="spellStart"/>
      <w:r w:rsidRPr="004E6E88">
        <w:rPr>
          <w:rFonts w:eastAsia="Times New Roman" w:cs="Arial"/>
          <w:color w:val="000000"/>
          <w:sz w:val="24"/>
          <w:szCs w:val="24"/>
          <w:lang w:val="it-IT" w:eastAsia="it-IT"/>
        </w:rPr>
        <w:t>Governance</w:t>
      </w:r>
      <w:proofErr w:type="spellEnd"/>
      <w:r w:rsidRPr="004E6E88">
        <w:rPr>
          <w:rFonts w:eastAsia="Times New Roman" w:cs="Arial"/>
          <w:color w:val="000000"/>
          <w:sz w:val="24"/>
          <w:szCs w:val="24"/>
          <w:lang w:val="it-IT" w:eastAsia="it-IT"/>
        </w:rPr>
        <w:t xml:space="preserve">»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si impegna ad assumere una gestione della </w:t>
      </w:r>
      <w:proofErr w:type="spellStart"/>
      <w:r w:rsidRPr="004E6E88">
        <w:rPr>
          <w:rFonts w:eastAsia="Times New Roman" w:cs="Arial"/>
          <w:color w:val="000000"/>
          <w:sz w:val="24"/>
          <w:szCs w:val="24"/>
          <w:lang w:val="it-IT" w:eastAsia="it-IT"/>
        </w:rPr>
        <w:t>governance</w:t>
      </w:r>
      <w:proofErr w:type="spellEnd"/>
      <w:r w:rsidRPr="004E6E88">
        <w:rPr>
          <w:rFonts w:eastAsia="Times New Roman" w:cs="Arial"/>
          <w:color w:val="000000"/>
          <w:sz w:val="24"/>
          <w:szCs w:val="24"/>
          <w:lang w:val="it-IT" w:eastAsia="it-IT"/>
        </w:rPr>
        <w:t xml:space="preserve"> aziendale trasparente, responsabile e moderna; in particolare, adotta una politica di credito e di investimenti sostenibili; offre la possibilità al pubblico di investire in modo sicuro e redditizio i suoi risparmi; adotta un modello di gestione del rischio – anche climatico – consapevole e prudente; distribuisce ingenti utili alla Proprietà – il Cantone – contribuendo così alla stabilità economica e allo sviluppo di tutto il territorio. Sono stati selezionati come Temi rilevanti: </w:t>
      </w:r>
      <w:proofErr w:type="spellStart"/>
      <w:r w:rsidRPr="004E6E88">
        <w:rPr>
          <w:rFonts w:eastAsia="Times New Roman" w:cs="Arial"/>
          <w:color w:val="000000"/>
          <w:sz w:val="24"/>
          <w:szCs w:val="24"/>
          <w:lang w:val="it-IT" w:eastAsia="it-IT"/>
        </w:rPr>
        <w:t>Governance</w:t>
      </w:r>
      <w:proofErr w:type="spellEnd"/>
      <w:r w:rsidRPr="004E6E88">
        <w:rPr>
          <w:rFonts w:eastAsia="Times New Roman" w:cs="Arial"/>
          <w:color w:val="000000"/>
          <w:sz w:val="24"/>
          <w:szCs w:val="24"/>
          <w:lang w:val="it-IT" w:eastAsia="it-IT"/>
        </w:rPr>
        <w:t xml:space="preserve"> responsabile; Performance economica/versamento al Cantone; Gestione dei rischi climatici. In virtù del mandato pubblico può offrire ai propri clienti la sicurezza della garanzia dello Stato. </w:t>
      </w:r>
    </w:p>
    <w:p w:rsidR="004E6E88" w:rsidRPr="004E6E88" w:rsidRDefault="004E6E88" w:rsidP="00F23786">
      <w:pPr>
        <w:kinsoku w:val="0"/>
        <w:overflowPunct w:val="0"/>
        <w:ind w:right="147"/>
        <w:rPr>
          <w:rFonts w:eastAsia="Times New Roman" w:cs="Arial"/>
          <w:color w:val="000000"/>
          <w:sz w:val="24"/>
          <w:szCs w:val="24"/>
          <w:lang w:val="it-IT" w:eastAsia="it-IT"/>
        </w:rPr>
      </w:pPr>
    </w:p>
    <w:p w:rsidR="00F23786" w:rsidRP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La struttura di </w:t>
      </w:r>
      <w:proofErr w:type="spellStart"/>
      <w:r w:rsidRPr="004E6E88">
        <w:rPr>
          <w:rFonts w:eastAsia="Times New Roman" w:cs="Arial"/>
          <w:color w:val="000000"/>
          <w:sz w:val="24"/>
          <w:szCs w:val="24"/>
          <w:lang w:val="it-IT" w:eastAsia="it-IT"/>
        </w:rPr>
        <w:t>governance</w:t>
      </w:r>
      <w:proofErr w:type="spellEnd"/>
      <w:r w:rsidRPr="004E6E88">
        <w:rPr>
          <w:rFonts w:eastAsia="Times New Roman" w:cs="Arial"/>
          <w:color w:val="000000"/>
          <w:sz w:val="24"/>
          <w:szCs w:val="24"/>
          <w:lang w:val="it-IT" w:eastAsia="it-IT"/>
        </w:rPr>
        <w:t xml:space="preserve">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è ancorata nella Legge sulla Banca dello Stato del Cantone Ticino, che determina anche le modalità di elezione degli organi di gestione, la ripartizione delle competenze e la responsabilità strategica della Proprietà; inoltre disciplina la garanzia statale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e la compensazione finanziaria prevista dalla legge.</w:t>
      </w:r>
    </w:p>
    <w:p w:rsidR="004E6E88" w:rsidRP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Gli organi di </w:t>
      </w:r>
      <w:proofErr w:type="spellStart"/>
      <w:r w:rsidRPr="004E6E88">
        <w:rPr>
          <w:rFonts w:eastAsia="Times New Roman" w:cs="Arial"/>
          <w:color w:val="000000"/>
          <w:sz w:val="24"/>
          <w:szCs w:val="24"/>
          <w:lang w:val="it-IT" w:eastAsia="it-IT"/>
        </w:rPr>
        <w:t>Governance</w:t>
      </w:r>
      <w:proofErr w:type="spellEnd"/>
      <w:r w:rsidRPr="004E6E88">
        <w:rPr>
          <w:rFonts w:eastAsia="Times New Roman" w:cs="Arial"/>
          <w:color w:val="000000"/>
          <w:sz w:val="24"/>
          <w:szCs w:val="24"/>
          <w:lang w:val="it-IT" w:eastAsia="it-IT"/>
        </w:rPr>
        <w:t xml:space="preserve"> principali della Banca sono il Consiglio di amministrazione e la Direzione generale.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F23786">
      <w:pPr>
        <w:pStyle w:val="Titolo3"/>
        <w:numPr>
          <w:ilvl w:val="0"/>
          <w:numId w:val="0"/>
        </w:numPr>
        <w:tabs>
          <w:tab w:val="left" w:pos="709"/>
        </w:tabs>
        <w:spacing w:after="120"/>
        <w:jc w:val="both"/>
        <w:rPr>
          <w:rFonts w:eastAsia="Calibri" w:cs="Times New Roman"/>
          <w:i/>
          <w:sz w:val="23"/>
          <w:szCs w:val="23"/>
          <w:lang w:val="it-IT" w:eastAsia="it-IT"/>
        </w:rPr>
      </w:pPr>
      <w:r w:rsidRPr="004E6E88">
        <w:rPr>
          <w:rFonts w:eastAsia="Calibri" w:cs="Times New Roman"/>
          <w:i/>
          <w:sz w:val="23"/>
          <w:szCs w:val="23"/>
          <w:lang w:val="it-IT" w:eastAsia="it-IT"/>
        </w:rPr>
        <w:t>3.2.1.1 Il Consiglio di amministrazione</w:t>
      </w:r>
    </w:p>
    <w:p w:rsid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Il Consiglio di amministrazione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è composto da sette membri ed è il massimo organo di gestione e vigilanza. Determina la strategia, gli obiettivi e l'organizzazione della Banca. Delega la gestione dell'operatività alla Direzione generale e ne controlla l'operato. I membri del Consiglio di amministrazione sono nominati dal Consiglio di Stato. Per quanto attiene la sorveglianza consolidata, il Consiglio di amministrazione esercita le proprie competenze in base al Regolamento di Gruppo. Sono emanazione del Consiglio di Amministrazione l'Ufficio presidenziale, la Commissione di sorveglianza dei rischi e la Commissione progetti. </w:t>
      </w:r>
    </w:p>
    <w:p w:rsidR="00F23786" w:rsidRPr="004E6E88" w:rsidRDefault="00F23786"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F23786">
      <w:pPr>
        <w:autoSpaceDE w:val="0"/>
        <w:autoSpaceDN w:val="0"/>
        <w:adjustRightInd w:val="0"/>
        <w:spacing w:after="120"/>
        <w:rPr>
          <w:rFonts w:eastAsia="Times New Roman" w:cs="Arial"/>
          <w:color w:val="000000"/>
          <w:sz w:val="24"/>
          <w:szCs w:val="24"/>
          <w:u w:val="single"/>
          <w:lang w:eastAsia="it-CH"/>
        </w:rPr>
      </w:pPr>
      <w:r w:rsidRPr="004E6E88">
        <w:rPr>
          <w:rFonts w:eastAsia="Times New Roman" w:cs="Arial"/>
          <w:bCs/>
          <w:color w:val="000000"/>
          <w:sz w:val="24"/>
          <w:szCs w:val="24"/>
          <w:u w:val="single"/>
          <w:lang w:eastAsia="it-CH"/>
        </w:rPr>
        <w:t>L'Ufficio presidenziale</w:t>
      </w:r>
    </w:p>
    <w:p w:rsidR="004E6E88" w:rsidRPr="004E6E88" w:rsidRDefault="004E6E88" w:rsidP="00F23786">
      <w:pPr>
        <w:autoSpaceDE w:val="0"/>
        <w:autoSpaceDN w:val="0"/>
        <w:adjustRightInd w:val="0"/>
        <w:rPr>
          <w:rFonts w:eastAsia="Times New Roman" w:cs="Arial"/>
          <w:color w:val="000000"/>
          <w:sz w:val="24"/>
          <w:szCs w:val="24"/>
          <w:lang w:eastAsia="it-CH"/>
        </w:rPr>
      </w:pPr>
      <w:r w:rsidRPr="004E6E88">
        <w:rPr>
          <w:rFonts w:eastAsia="Times New Roman" w:cs="Arial"/>
          <w:color w:val="000000"/>
          <w:sz w:val="24"/>
          <w:szCs w:val="24"/>
          <w:lang w:eastAsia="it-CH"/>
        </w:rPr>
        <w:t xml:space="preserve">Esso ha il compito di rappresentare la Banca nei confronti della proprietà, delle istituzioni politiche e dell'opinione pubblica. Esso si occupa di ogni forma di comunicazione sia </w:t>
      </w:r>
      <w:r w:rsidRPr="004E6E88">
        <w:rPr>
          <w:rFonts w:eastAsia="Times New Roman" w:cs="Arial"/>
          <w:color w:val="000000"/>
          <w:sz w:val="24"/>
          <w:szCs w:val="24"/>
          <w:lang w:eastAsia="it-CH"/>
        </w:rPr>
        <w:lastRenderedPageBreak/>
        <w:t xml:space="preserve">interna, sia esterna, relativa a decisioni, prese di posizioni, o altra informativa del Consiglio di amministrazione. </w:t>
      </w:r>
    </w:p>
    <w:p w:rsidR="004E6E88" w:rsidRPr="004E6E88" w:rsidRDefault="004E6E88" w:rsidP="00F23786">
      <w:pPr>
        <w:autoSpaceDE w:val="0"/>
        <w:autoSpaceDN w:val="0"/>
        <w:adjustRightInd w:val="0"/>
        <w:rPr>
          <w:rFonts w:eastAsia="Times New Roman" w:cs="Arial"/>
          <w:color w:val="000000"/>
          <w:sz w:val="24"/>
          <w:szCs w:val="24"/>
          <w:lang w:eastAsia="it-CH"/>
        </w:rPr>
      </w:pPr>
      <w:r w:rsidRPr="004E6E88">
        <w:rPr>
          <w:rFonts w:eastAsia="Times New Roman" w:cs="Arial"/>
          <w:color w:val="000000"/>
          <w:sz w:val="24"/>
          <w:szCs w:val="24"/>
          <w:lang w:eastAsia="it-CH"/>
        </w:rPr>
        <w:t xml:space="preserve">L'Ufficio presidenziale inoltre esamina e formula preavvisi al Consiglio di amministrazione relativamente alla strategia, alla struttura organizzativa della Banca, alla normativa interna, alla politica del personale e a quella remunerativa della Banca. </w:t>
      </w:r>
    </w:p>
    <w:p w:rsidR="004E6E88" w:rsidRPr="004E6E88" w:rsidRDefault="004E6E88" w:rsidP="00F23786">
      <w:pPr>
        <w:autoSpaceDE w:val="0"/>
        <w:autoSpaceDN w:val="0"/>
        <w:adjustRightInd w:val="0"/>
        <w:jc w:val="left"/>
        <w:rPr>
          <w:rFonts w:eastAsia="Calibri" w:cs="Arial"/>
          <w:color w:val="000000"/>
          <w:sz w:val="24"/>
          <w:szCs w:val="24"/>
          <w:lang w:eastAsia="it-CH"/>
        </w:rPr>
      </w:pPr>
    </w:p>
    <w:p w:rsidR="004E6E88" w:rsidRPr="004E6E88" w:rsidRDefault="004E6E88" w:rsidP="00F23786">
      <w:pPr>
        <w:autoSpaceDE w:val="0"/>
        <w:autoSpaceDN w:val="0"/>
        <w:adjustRightInd w:val="0"/>
        <w:spacing w:after="120"/>
        <w:rPr>
          <w:rFonts w:eastAsia="Times New Roman" w:cs="Arial"/>
          <w:color w:val="000000"/>
          <w:sz w:val="24"/>
          <w:szCs w:val="24"/>
          <w:u w:val="single"/>
          <w:lang w:eastAsia="it-CH"/>
        </w:rPr>
      </w:pPr>
      <w:r w:rsidRPr="004E6E88">
        <w:rPr>
          <w:rFonts w:eastAsia="Times New Roman" w:cs="Arial"/>
          <w:bCs/>
          <w:color w:val="000000"/>
          <w:sz w:val="24"/>
          <w:szCs w:val="24"/>
          <w:u w:val="single"/>
          <w:lang w:eastAsia="it-CH"/>
        </w:rPr>
        <w:t xml:space="preserve">La Commissione di sorveglianza dei rischi </w:t>
      </w:r>
    </w:p>
    <w:p w:rsidR="004E6E88" w:rsidRPr="004E6E88" w:rsidRDefault="004E6E88" w:rsidP="00F23786">
      <w:pPr>
        <w:autoSpaceDE w:val="0"/>
        <w:autoSpaceDN w:val="0"/>
        <w:adjustRightInd w:val="0"/>
        <w:rPr>
          <w:rFonts w:eastAsia="Times New Roman" w:cs="Arial"/>
          <w:color w:val="000000"/>
          <w:sz w:val="24"/>
          <w:szCs w:val="24"/>
          <w:lang w:eastAsia="it-CH"/>
        </w:rPr>
      </w:pPr>
      <w:r w:rsidRPr="004E6E88">
        <w:rPr>
          <w:rFonts w:eastAsia="Times New Roman" w:cs="Arial"/>
          <w:color w:val="000000"/>
          <w:sz w:val="24"/>
          <w:szCs w:val="24"/>
          <w:lang w:eastAsia="it-CH"/>
        </w:rPr>
        <w:t xml:space="preserve">Il Consiglio di amministrazione si dota di una Commissione di sorveglianza e dei rischi, che si occupa dei temi legati agli aspetti finanziari, al sistema di controllo interno, alla </w:t>
      </w:r>
      <w:proofErr w:type="spellStart"/>
      <w:r w:rsidRPr="004E6E88">
        <w:rPr>
          <w:rFonts w:eastAsia="Times New Roman" w:cs="Arial"/>
          <w:color w:val="000000"/>
          <w:sz w:val="24"/>
          <w:szCs w:val="24"/>
          <w:lang w:eastAsia="it-CH"/>
        </w:rPr>
        <w:t>compliance</w:t>
      </w:r>
      <w:proofErr w:type="spellEnd"/>
      <w:r w:rsidRPr="004E6E88">
        <w:rPr>
          <w:rFonts w:eastAsia="Times New Roman" w:cs="Arial"/>
          <w:color w:val="000000"/>
          <w:sz w:val="24"/>
          <w:szCs w:val="24"/>
          <w:lang w:eastAsia="it-CH"/>
        </w:rPr>
        <w:t xml:space="preserve"> e alla gestione dei rischi, nonché delle attività della Revisione esterna e della Revisione interna. </w:t>
      </w:r>
    </w:p>
    <w:p w:rsidR="004E6E88" w:rsidRPr="004E6E88" w:rsidRDefault="004E6E88" w:rsidP="00F23786">
      <w:pPr>
        <w:autoSpaceDE w:val="0"/>
        <w:autoSpaceDN w:val="0"/>
        <w:adjustRightInd w:val="0"/>
        <w:jc w:val="left"/>
        <w:rPr>
          <w:rFonts w:eastAsia="Calibri" w:cs="Arial"/>
          <w:color w:val="000000"/>
          <w:sz w:val="24"/>
          <w:szCs w:val="24"/>
          <w:lang w:eastAsia="it-CH"/>
        </w:rPr>
      </w:pPr>
    </w:p>
    <w:p w:rsidR="004E6E88" w:rsidRPr="004E6E88" w:rsidRDefault="004E6E88" w:rsidP="00F23786">
      <w:pPr>
        <w:autoSpaceDE w:val="0"/>
        <w:autoSpaceDN w:val="0"/>
        <w:adjustRightInd w:val="0"/>
        <w:spacing w:after="120"/>
        <w:rPr>
          <w:rFonts w:eastAsia="Times New Roman" w:cs="Arial"/>
          <w:color w:val="000000"/>
          <w:sz w:val="24"/>
          <w:szCs w:val="24"/>
          <w:u w:val="single"/>
          <w:lang w:eastAsia="it-CH"/>
        </w:rPr>
      </w:pPr>
      <w:r w:rsidRPr="004E6E88">
        <w:rPr>
          <w:rFonts w:eastAsia="Times New Roman" w:cs="Arial"/>
          <w:bCs/>
          <w:color w:val="000000"/>
          <w:sz w:val="24"/>
          <w:szCs w:val="24"/>
          <w:u w:val="single"/>
          <w:lang w:eastAsia="it-CH"/>
        </w:rPr>
        <w:t>La Commissione progetti</w:t>
      </w:r>
    </w:p>
    <w:p w:rsidR="004E6E88" w:rsidRDefault="004E6E88" w:rsidP="00F23786">
      <w:pPr>
        <w:autoSpaceDE w:val="0"/>
        <w:autoSpaceDN w:val="0"/>
        <w:adjustRightInd w:val="0"/>
        <w:rPr>
          <w:rFonts w:eastAsia="Times New Roman" w:cs="Arial"/>
          <w:color w:val="000000"/>
          <w:sz w:val="24"/>
          <w:szCs w:val="24"/>
          <w:lang w:eastAsia="it-CH"/>
        </w:rPr>
      </w:pPr>
      <w:r w:rsidRPr="004E6E88">
        <w:rPr>
          <w:rFonts w:eastAsia="Times New Roman" w:cs="Arial"/>
          <w:color w:val="000000"/>
          <w:sz w:val="24"/>
          <w:szCs w:val="24"/>
          <w:lang w:eastAsia="it-CH"/>
        </w:rPr>
        <w:t xml:space="preserve">La Commissione progetti è competente per i progetti strategici e i progetti di esternalizzazione ai sensi della rispettiva circolare FINMA in materia, oppure per i progetti che implicano degli investimenti la cui competenza d'approvazione in conformità al Regolamento dell'organizzazione e della gestione dei rischi è attribuita al Consiglio di amministrazione. Essa esamina e formula preavvisi in merito ad altri aspetti puntuali. </w:t>
      </w:r>
    </w:p>
    <w:p w:rsidR="00F23786" w:rsidRPr="004E6E88" w:rsidRDefault="00F23786" w:rsidP="00F23786">
      <w:pPr>
        <w:autoSpaceDE w:val="0"/>
        <w:autoSpaceDN w:val="0"/>
        <w:adjustRightInd w:val="0"/>
        <w:rPr>
          <w:rFonts w:eastAsia="Times New Roman" w:cs="Arial"/>
          <w:color w:val="000000"/>
          <w:sz w:val="24"/>
          <w:szCs w:val="24"/>
          <w:lang w:eastAsia="it-CH"/>
        </w:rPr>
      </w:pPr>
    </w:p>
    <w:p w:rsidR="004E6E88" w:rsidRPr="004E6E88" w:rsidRDefault="004E6E88" w:rsidP="00F23786">
      <w:pPr>
        <w:autoSpaceDE w:val="0"/>
        <w:autoSpaceDN w:val="0"/>
        <w:adjustRightInd w:val="0"/>
        <w:spacing w:after="120"/>
        <w:rPr>
          <w:rFonts w:eastAsia="Times New Roman" w:cs="Arial"/>
          <w:color w:val="000000"/>
          <w:sz w:val="24"/>
          <w:szCs w:val="24"/>
          <w:u w:val="single"/>
          <w:lang w:eastAsia="it-CH"/>
        </w:rPr>
      </w:pPr>
      <w:r w:rsidRPr="004E6E88">
        <w:rPr>
          <w:rFonts w:eastAsia="Times New Roman" w:cs="Arial"/>
          <w:bCs/>
          <w:color w:val="000000"/>
          <w:sz w:val="24"/>
          <w:szCs w:val="24"/>
          <w:u w:val="single"/>
          <w:lang w:eastAsia="it-CH"/>
        </w:rPr>
        <w:t>La Revisione interna</w:t>
      </w:r>
    </w:p>
    <w:p w:rsidR="004E6E88" w:rsidRP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La revisione interna è un'unità autonoma che dipende del Consiglio di amministrazione. È indipendente dalla Direzione generale. La Revisione interna fornisce basi decisionali importanti che permettono di valutare e verificare se l'Istituto dispone di un sistema di controllo interno e di gestione dei rischi adeguato ed efficiente.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F23786">
      <w:pPr>
        <w:pStyle w:val="Titolo3"/>
        <w:numPr>
          <w:ilvl w:val="0"/>
          <w:numId w:val="0"/>
        </w:numPr>
        <w:tabs>
          <w:tab w:val="left" w:pos="709"/>
        </w:tabs>
        <w:spacing w:after="120"/>
        <w:jc w:val="both"/>
        <w:rPr>
          <w:rFonts w:eastAsia="Calibri" w:cs="Times New Roman"/>
          <w:i/>
          <w:sz w:val="23"/>
          <w:szCs w:val="23"/>
          <w:lang w:val="it-IT" w:eastAsia="it-IT"/>
        </w:rPr>
      </w:pPr>
      <w:r w:rsidRPr="004E6E88">
        <w:rPr>
          <w:rFonts w:eastAsia="Calibri" w:cs="Times New Roman"/>
          <w:i/>
          <w:sz w:val="23"/>
          <w:szCs w:val="23"/>
          <w:lang w:val="it-IT" w:eastAsia="it-IT"/>
        </w:rPr>
        <w:t>3.2.1.2 La Direzione generale</w:t>
      </w:r>
    </w:p>
    <w:p w:rsidR="004E6E88" w:rsidRP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La Direzione generale è composta da sei membri.</w:t>
      </w:r>
    </w:p>
    <w:p w:rsidR="004E6E88" w:rsidRP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Essa conduce le operazioni della Banca ed è responsabile della loro gestione quotidiana. La Direzione generale può presentare proposte al Consiglio di amministrazione della Banca in merito alle attività da trattare nell’ambito delle competenze ad esso assegnate e applica le delibere del Consiglio di amministrazione.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F23786">
      <w:pPr>
        <w:pStyle w:val="Titolo3"/>
        <w:numPr>
          <w:ilvl w:val="0"/>
          <w:numId w:val="0"/>
        </w:numPr>
        <w:tabs>
          <w:tab w:val="left" w:pos="709"/>
        </w:tabs>
        <w:spacing w:after="120"/>
        <w:jc w:val="both"/>
        <w:rPr>
          <w:rFonts w:eastAsia="Calibri" w:cs="Times New Roman"/>
          <w:i/>
          <w:sz w:val="23"/>
          <w:szCs w:val="23"/>
          <w:lang w:val="it-IT" w:eastAsia="it-IT"/>
        </w:rPr>
      </w:pPr>
      <w:r w:rsidRPr="004E6E88">
        <w:rPr>
          <w:rFonts w:eastAsia="Calibri" w:cs="Times New Roman"/>
          <w:i/>
          <w:sz w:val="23"/>
          <w:szCs w:val="23"/>
          <w:lang w:val="it-IT" w:eastAsia="it-IT"/>
        </w:rPr>
        <w:t xml:space="preserve">3.2.1.3 Il monitoraggio dell'operato e trasparenza </w:t>
      </w:r>
    </w:p>
    <w:p w:rsid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Nel Rapporto di sostenibilità si indica che «</w:t>
      </w:r>
      <w:r w:rsidRPr="004E6E88">
        <w:rPr>
          <w:rFonts w:eastAsia="Times New Roman" w:cs="Arial"/>
          <w:i/>
          <w:color w:val="000000"/>
          <w:sz w:val="24"/>
          <w:szCs w:val="24"/>
          <w:lang w:val="it-IT" w:eastAsia="it-IT"/>
        </w:rPr>
        <w:t xml:space="preserve">la </w:t>
      </w:r>
      <w:proofErr w:type="spellStart"/>
      <w:r w:rsidRPr="004E6E88">
        <w:rPr>
          <w:rFonts w:eastAsia="Times New Roman" w:cs="Arial"/>
          <w:i/>
          <w:color w:val="000000"/>
          <w:sz w:val="24"/>
          <w:szCs w:val="24"/>
          <w:lang w:val="it-IT" w:eastAsia="it-IT"/>
        </w:rPr>
        <w:t>governance</w:t>
      </w:r>
      <w:proofErr w:type="spellEnd"/>
      <w:r w:rsidRPr="004E6E88">
        <w:rPr>
          <w:rFonts w:eastAsia="Times New Roman" w:cs="Arial"/>
          <w:i/>
          <w:color w:val="000000"/>
          <w:sz w:val="24"/>
          <w:szCs w:val="24"/>
          <w:lang w:val="it-IT" w:eastAsia="it-IT"/>
        </w:rPr>
        <w:t xml:space="preserve"> di </w:t>
      </w:r>
      <w:proofErr w:type="spellStart"/>
      <w:r w:rsidRPr="004E6E88">
        <w:rPr>
          <w:rFonts w:eastAsia="Times New Roman" w:cs="Arial"/>
          <w:i/>
          <w:color w:val="000000"/>
          <w:sz w:val="24"/>
          <w:szCs w:val="24"/>
          <w:lang w:val="it-IT" w:eastAsia="it-IT"/>
        </w:rPr>
        <w:t>BancaStato</w:t>
      </w:r>
      <w:proofErr w:type="spellEnd"/>
      <w:r w:rsidRPr="004E6E88">
        <w:rPr>
          <w:rFonts w:eastAsia="Times New Roman" w:cs="Arial"/>
          <w:i/>
          <w:color w:val="000000"/>
          <w:sz w:val="24"/>
          <w:szCs w:val="24"/>
          <w:lang w:val="it-IT" w:eastAsia="it-IT"/>
        </w:rPr>
        <w:t xml:space="preserve"> è strutturata in modo da garantire la sorveglianza dell'operato della Banca, gestire i conflitti di interesse e rendere trasparenti eventuali criticità interne. Prevede inoltre processi specifici per assicurare il perseguimento degli obiettivi aziendali salvaguardando la capacità decisionale e l'efficienza, mirando nel contempo a garantire un rapporto equilibrato tra operatività e sorveglianza</w:t>
      </w:r>
      <w:r w:rsidRPr="004E6E88">
        <w:rPr>
          <w:rFonts w:eastAsia="Times New Roman" w:cs="Arial"/>
          <w:color w:val="000000"/>
          <w:sz w:val="24"/>
          <w:szCs w:val="24"/>
          <w:lang w:val="it-IT" w:eastAsia="it-IT"/>
        </w:rPr>
        <w:t xml:space="preserve">». </w:t>
      </w:r>
    </w:p>
    <w:p w:rsidR="00F23786" w:rsidRPr="004E6E88" w:rsidRDefault="00F23786" w:rsidP="00F23786">
      <w:pPr>
        <w:kinsoku w:val="0"/>
        <w:overflowPunct w:val="0"/>
        <w:ind w:right="147"/>
        <w:rPr>
          <w:rFonts w:eastAsia="Times New Roman" w:cs="Arial"/>
          <w:color w:val="000000"/>
          <w:sz w:val="24"/>
          <w:szCs w:val="24"/>
          <w:lang w:val="it-IT" w:eastAsia="it-IT"/>
        </w:rPr>
      </w:pPr>
    </w:p>
    <w:p w:rsidR="004E6E88" w:rsidRPr="004E6E88" w:rsidRDefault="004E6E88" w:rsidP="00F23786">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Codice di condotta</w:t>
      </w:r>
    </w:p>
    <w:p w:rsidR="004E6E88" w:rsidRDefault="004E6E88" w:rsidP="00F23786">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si è dotata anche di un Codice di condotta, vincolante per il personale della Banca e per i membri della Direzione generale e del suo Consiglio di amministrazione; costituisce la base del comportamento e dell'immagine pubblica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che stabilisce i valori e i principi che le collaboratrici e i collaboratori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adottano </w:t>
      </w:r>
      <w:r w:rsidRPr="004E6E88">
        <w:rPr>
          <w:rFonts w:eastAsia="Times New Roman" w:cs="Arial"/>
          <w:color w:val="000000"/>
          <w:sz w:val="24"/>
          <w:szCs w:val="24"/>
          <w:lang w:val="it-IT" w:eastAsia="it-IT"/>
        </w:rPr>
        <w:lastRenderedPageBreak/>
        <w:t xml:space="preserve">all'interno dell'organizzazione e con i propri portatori d'interesse (clienti, altri partner commerciali, autorità, regolatori o la società in generale). </w:t>
      </w:r>
    </w:p>
    <w:p w:rsidR="00F23786" w:rsidRPr="004E6E88" w:rsidRDefault="00F23786" w:rsidP="00F23786">
      <w:pPr>
        <w:kinsoku w:val="0"/>
        <w:overflowPunct w:val="0"/>
        <w:ind w:right="147"/>
        <w:rPr>
          <w:rFonts w:eastAsia="Times New Roman" w:cs="Arial"/>
          <w:color w:val="000000"/>
          <w:sz w:val="24"/>
          <w:szCs w:val="24"/>
          <w:lang w:val="it-IT" w:eastAsia="it-IT"/>
        </w:rPr>
      </w:pPr>
    </w:p>
    <w:p w:rsid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A proposito di ricusazione in caso di conflitti di interesse, considerato che i membri del Consiglio di amministrazione, della Direzione generale e il personale rappresentano gli interessi della Banca, essi si ricusano dalle transazioni che riguardano i loro interessi o quelli di parti o organizzazioni correlate. </w:t>
      </w:r>
    </w:p>
    <w:p w:rsidR="00F23786" w:rsidRPr="004E6E88" w:rsidRDefault="00F23786" w:rsidP="00F23786">
      <w:pPr>
        <w:kinsoku w:val="0"/>
        <w:overflowPunct w:val="0"/>
        <w:ind w:right="147"/>
        <w:rPr>
          <w:rFonts w:eastAsia="Times New Roman" w:cs="Arial"/>
          <w:color w:val="000000"/>
          <w:sz w:val="24"/>
          <w:szCs w:val="24"/>
          <w:lang w:val="it-IT" w:eastAsia="it-IT"/>
        </w:rPr>
      </w:pPr>
    </w:p>
    <w:p w:rsidR="004E6E88" w:rsidRPr="004E6E88" w:rsidRDefault="004E6E88" w:rsidP="00F23786">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Trasparenza, rendicontazione e comunicazione</w:t>
      </w:r>
    </w:p>
    <w:p w:rsid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Dal 2005 al 2023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ha riferito in modo trasparente sui suoi progressi in materia di sostenibilità, attraverso la pubblicazione del Bilancio Sociale e Ambientale, che dal 2024 ha cambiato nome in «Rapporto di sostenibilità». </w:t>
      </w:r>
    </w:p>
    <w:p w:rsidR="00F23786" w:rsidRPr="004E6E88" w:rsidRDefault="00F23786" w:rsidP="00F23786">
      <w:pPr>
        <w:kinsoku w:val="0"/>
        <w:overflowPunct w:val="0"/>
        <w:ind w:right="147"/>
        <w:rPr>
          <w:rFonts w:eastAsia="Times New Roman" w:cs="Arial"/>
          <w:color w:val="000000"/>
          <w:sz w:val="24"/>
          <w:szCs w:val="24"/>
          <w:lang w:val="it-IT" w:eastAsia="it-IT"/>
        </w:rPr>
      </w:pPr>
    </w:p>
    <w:p w:rsidR="004E6E88" w:rsidRPr="004E6E88" w:rsidRDefault="004E6E88" w:rsidP="00F23786">
      <w:pPr>
        <w:kinsoku w:val="0"/>
        <w:overflowPunct w:val="0"/>
        <w:spacing w:after="120"/>
        <w:ind w:right="147"/>
        <w:rPr>
          <w:rFonts w:eastAsia="Times New Roman" w:cs="Arial"/>
          <w:color w:val="000000"/>
          <w:sz w:val="24"/>
          <w:szCs w:val="24"/>
          <w:u w:val="single"/>
          <w:lang w:val="it-IT" w:eastAsia="it-IT"/>
        </w:rPr>
      </w:pPr>
      <w:proofErr w:type="spellStart"/>
      <w:r w:rsidRPr="004E6E88">
        <w:rPr>
          <w:rFonts w:eastAsia="Times New Roman" w:cs="Arial"/>
          <w:color w:val="000000"/>
          <w:sz w:val="24"/>
          <w:szCs w:val="24"/>
          <w:u w:val="single"/>
          <w:lang w:val="it-IT" w:eastAsia="it-IT"/>
        </w:rPr>
        <w:t>Governance</w:t>
      </w:r>
      <w:proofErr w:type="spellEnd"/>
      <w:r w:rsidRPr="004E6E88">
        <w:rPr>
          <w:rFonts w:eastAsia="Times New Roman" w:cs="Arial"/>
          <w:color w:val="000000"/>
          <w:sz w:val="24"/>
          <w:szCs w:val="24"/>
          <w:u w:val="single"/>
          <w:lang w:val="it-IT" w:eastAsia="it-IT"/>
        </w:rPr>
        <w:t xml:space="preserve"> della sostenibilità e responsabilità</w:t>
      </w:r>
    </w:p>
    <w:p w:rsidR="004E6E88" w:rsidRDefault="004E6E88" w:rsidP="00F23786">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considerando la sostenibilità come parte integrante delle sue attività commerciali, ancora gli elementi della sostenibilità e le linee guida per un pensiero e un comportamento responsabile a lungo termine nelle strutture e nei processi aziendali e la loro applicazione è richiesta a tutte le collaboratrici e tutti i collaboratori nella loro area di responsabilità. </w:t>
      </w:r>
    </w:p>
    <w:p w:rsidR="00F23786" w:rsidRPr="004E6E88" w:rsidRDefault="00F23786" w:rsidP="00F23786">
      <w:pPr>
        <w:kinsoku w:val="0"/>
        <w:overflowPunct w:val="0"/>
        <w:ind w:right="147"/>
        <w:rPr>
          <w:rFonts w:eastAsia="Times New Roman" w:cs="Arial"/>
          <w:color w:val="000000"/>
          <w:sz w:val="24"/>
          <w:szCs w:val="24"/>
          <w:lang w:val="it-IT" w:eastAsia="it-IT"/>
        </w:rPr>
      </w:pPr>
    </w:p>
    <w:p w:rsidR="004E6E88" w:rsidRP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La proprietà (Cantone Ticino) sorveglia gli obiettivi fissati dal Consiglio di amministrazione nel contesto del mandato pubblico, comprensivi di quelli ambientali, sociali ed economici, formalizzati nel documento specifico concernente il mandato pubblico, il cui adempimento viene annualmente verificato dalla scrivente Commissione. </w:t>
      </w:r>
    </w:p>
    <w:p w:rsid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Il Consiglio di amministrazione definisce la strategia di sostenibilità e gli obiettivi di sostenibilità e ne sorveglia l'attuazione, decide sull'applicazione delle normative ESG nazionali e internazionali che vanno oltre i requisiti legali. Approva o adotta la relazione sulla sostenibilità, che include la relazione sulle questioni non finanziarie in conformità con l'art. 964 del CO. Esso tratta le tematiche concernenti la sostenibilità nelle sue Commissione di sorveglianza e dei rischi e Commissione progetti. I compiti e le responsabilità del Consiglio di amministrazione in questo ambito sono definiti nei regolamenti organizzativi e aziendali e specificati nel regolamento di organizzazione e dei rischi della Banca. </w:t>
      </w:r>
    </w:p>
    <w:p w:rsidR="00F23786" w:rsidRPr="004E6E88" w:rsidRDefault="00F23786" w:rsidP="00F23786">
      <w:pPr>
        <w:kinsoku w:val="0"/>
        <w:overflowPunct w:val="0"/>
        <w:ind w:right="147"/>
        <w:rPr>
          <w:rFonts w:eastAsia="Times New Roman" w:cs="Arial"/>
          <w:color w:val="000000"/>
          <w:sz w:val="24"/>
          <w:szCs w:val="24"/>
          <w:lang w:val="it-IT" w:eastAsia="it-IT"/>
        </w:rPr>
      </w:pPr>
    </w:p>
    <w:p w:rsid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La Direzione generale è responsabile dell'elaborazione e dell'attuazione operativa della strategia di sostenibilità adottata dal Consiglio di amministrazione e degli obiettivi di sostenibilità. Essa assicura che tutte le normative pertinenti, come le politiche di credito e di investimento della Banca siano armonizzate con la strategia di sostenibilità. Valuta l'efficacia e l'adeguatezza della gestione della sostenibilità su base annuale e si assicura che le risorse materiali e umane siano disponibili per una sua gestione efficiente. Inoltre, essa esamina il reporting sulla sostenibilità e si assicura che i temi rilevanti definiti nel contesto dell'analisi di materialità siano presi in considerazione. L'attuale Delegato al tema della sostenibilità interno alla DG è il Presidente della Direzione generale.</w:t>
      </w:r>
    </w:p>
    <w:p w:rsidR="00F23786" w:rsidRPr="004E6E88" w:rsidRDefault="00F23786" w:rsidP="00F23786">
      <w:pPr>
        <w:kinsoku w:val="0"/>
        <w:overflowPunct w:val="0"/>
        <w:ind w:right="147"/>
        <w:rPr>
          <w:rFonts w:eastAsia="Times New Roman" w:cs="Arial"/>
          <w:color w:val="000000"/>
          <w:sz w:val="24"/>
          <w:szCs w:val="24"/>
          <w:lang w:val="it-IT" w:eastAsia="it-IT"/>
        </w:rPr>
      </w:pPr>
    </w:p>
    <w:p w:rsidR="004E6E88" w:rsidRP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Dal 2024 è attivo all'interno della Banca il «Gruppo di Lavoro sulla Sostenibilità», composto da una decina di collaboratrici e collaboratori in rappresentanza delle unità organizzative toccate in modo importante dalla sostenibilità, che elabora le basi decisionali per l'ulteriore sviluppo della sostenibilità.  </w:t>
      </w:r>
    </w:p>
    <w:p w:rsidR="004E6E88" w:rsidRP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lastRenderedPageBreak/>
        <w:t xml:space="preserve">Inoltre,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si è dotata del Manager della sostenibilità, responsabile del coordinamento delle attività legate alla sostenibilità a livello di Gruppo (guida il «Gruppo di lavoro sulla sostenibilità», la pianificazione, l'implementazione e la gestione delle misure e delle iniziative volte a migliorare la performance di sostenibilità della Banca) e funge da supporto al Presidente della Direzione generale. </w:t>
      </w:r>
    </w:p>
    <w:p w:rsidR="004E6E88" w:rsidRPr="004E6E88" w:rsidRDefault="004E6E88" w:rsidP="00F23786">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A proposito della gestione del rischio di sostenibilità, il riconoscimento, la misurazione, la gestione e il monitoraggio dei rischi sono integrati nei processi di lavoro. I rischi finanziari legati al clima e i rischi legati alla sostenibilità fanno parte del quadro di gestione del rischio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940095">
      <w:pPr>
        <w:pStyle w:val="Titolo3"/>
        <w:numPr>
          <w:ilvl w:val="0"/>
          <w:numId w:val="0"/>
        </w:numPr>
        <w:tabs>
          <w:tab w:val="left" w:pos="709"/>
        </w:tabs>
        <w:spacing w:after="120"/>
        <w:jc w:val="both"/>
        <w:rPr>
          <w:rFonts w:eastAsia="Calibri" w:cs="Times New Roman"/>
          <w:i/>
          <w:sz w:val="23"/>
          <w:szCs w:val="23"/>
          <w:lang w:val="it-IT" w:eastAsia="it-IT"/>
        </w:rPr>
      </w:pPr>
      <w:r w:rsidRPr="004E6E88">
        <w:rPr>
          <w:rFonts w:eastAsia="Calibri" w:cs="Times New Roman"/>
          <w:i/>
          <w:sz w:val="23"/>
          <w:szCs w:val="23"/>
          <w:lang w:val="it-IT" w:eastAsia="it-IT"/>
        </w:rPr>
        <w:t xml:space="preserve">3.2.2 «Clienti» </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Per l'area «Clienti» l'obiettivo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avendo a cuore la promozione economica e sociale del Cantone, è di essere un partner solido e fidato per cittadini, aziende ed enti pubblici, integrando i principi sostenibili nei processi di consulenza (in linea con i requisiti dell'autoregolamentazione dell'Associazione Svizzera dei Banchieri - ASB) e nei prodotti e servizi, così che i clienti abbiano la possibilità di contare su soluzioni sostenibili. </w:t>
      </w:r>
    </w:p>
    <w:p w:rsidR="004E6E88" w:rsidRPr="004E6E88" w:rsidRDefault="004E6E88" w:rsidP="00940095">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coinvolge la clientela in quanto stakeholder, grazie a sondaggi sulla soddisfazione. </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Un tema rilevante per il «core business»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è costituito dal finanziamento delle proprietà abitative. In questo ambito le proposte sostenibili rivestono sempre più importanza per la Banca. </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Nel 2024, </w:t>
      </w:r>
      <w:proofErr w:type="spellStart"/>
      <w:r w:rsidRPr="004E6E88">
        <w:rPr>
          <w:rFonts w:eastAsia="Times New Roman" w:cs="Arial"/>
          <w:color w:val="000000"/>
          <w:sz w:val="24"/>
          <w:szCs w:val="24"/>
          <w:lang w:val="it-IT" w:eastAsia="it-IT"/>
        </w:rPr>
        <w:t>Swiss</w:t>
      </w:r>
      <w:proofErr w:type="spellEnd"/>
      <w:r w:rsidRPr="004E6E88">
        <w:rPr>
          <w:rFonts w:eastAsia="Times New Roman" w:cs="Arial"/>
          <w:color w:val="000000"/>
          <w:sz w:val="24"/>
          <w:szCs w:val="24"/>
          <w:lang w:val="it-IT" w:eastAsia="it-IT"/>
        </w:rPr>
        <w:t xml:space="preserve"> </w:t>
      </w:r>
      <w:proofErr w:type="spellStart"/>
      <w:r w:rsidRPr="004E6E88">
        <w:rPr>
          <w:rFonts w:eastAsia="Times New Roman" w:cs="Arial"/>
          <w:color w:val="000000"/>
          <w:sz w:val="24"/>
          <w:szCs w:val="24"/>
          <w:lang w:val="it-IT" w:eastAsia="it-IT"/>
        </w:rPr>
        <w:t>Sustainable</w:t>
      </w:r>
      <w:proofErr w:type="spellEnd"/>
      <w:r w:rsidRPr="004E6E88">
        <w:rPr>
          <w:rFonts w:eastAsia="Times New Roman" w:cs="Arial"/>
          <w:color w:val="000000"/>
          <w:sz w:val="24"/>
          <w:szCs w:val="24"/>
          <w:lang w:val="it-IT" w:eastAsia="it-IT"/>
        </w:rPr>
        <w:t xml:space="preserve"> Finance (SSF, di cui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è membro) ha pubblicato il primo studio di mercato sul finanziamento creditizio sostenibile, in cui si rileva che il 68% degli istituti intervistati, rappresentativi del 94% del volume ipotecario del campione, offre questi prodotti. Però, nonostante l'ampia offerta, i crediti ipotecari sostenibili rappresentano solo l'1% del volume totale delle ipoteche. Il potenziale di crescita è dunque elevato. </w:t>
      </w:r>
    </w:p>
    <w:p w:rsidR="004E6E88" w:rsidRPr="004E6E88" w:rsidRDefault="004E6E88" w:rsidP="00940095">
      <w:pPr>
        <w:kinsoku w:val="0"/>
        <w:overflowPunct w:val="0"/>
        <w:ind w:right="147"/>
        <w:rPr>
          <w:rFonts w:ascii="Arial Narrow" w:eastAsia="Times New Roman" w:hAnsi="Arial Narrow" w:cs="Times New Roman"/>
          <w:color w:val="000000"/>
          <w:sz w:val="24"/>
          <w:szCs w:val="20"/>
          <w:lang w:val="it-IT" w:eastAsia="it-IT"/>
        </w:rPr>
      </w:pPr>
      <w:r w:rsidRPr="004E6E88">
        <w:rPr>
          <w:rFonts w:eastAsia="Times New Roman" w:cs="Arial"/>
          <w:color w:val="000000"/>
          <w:sz w:val="24"/>
          <w:szCs w:val="24"/>
          <w:lang w:val="it-IT" w:eastAsia="it-IT"/>
        </w:rPr>
        <w:t>Per la politica di credito ESG</w:t>
      </w:r>
      <w:r w:rsidRPr="004E6E88">
        <w:rPr>
          <w:rFonts w:eastAsia="Times New Roman" w:cs="Arial"/>
          <w:color w:val="000000"/>
          <w:position w:val="6"/>
          <w:sz w:val="16"/>
          <w:szCs w:val="24"/>
          <w:lang w:val="it-IT" w:eastAsia="it-IT"/>
        </w:rPr>
        <w:footnoteReference w:id="7"/>
      </w:r>
      <w:r w:rsidRPr="004E6E88">
        <w:rPr>
          <w:rFonts w:eastAsia="Times New Roman" w:cs="Arial"/>
          <w:color w:val="000000"/>
          <w:sz w:val="24"/>
          <w:szCs w:val="24"/>
          <w:lang w:val="it-IT" w:eastAsia="it-IT"/>
        </w:rPr>
        <w:t xml:space="preserve">,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identifica e valuta, oltre agli usuali criteri di concessione, anche l'impatto ambientale e sociale delle attività dei clienti da finanziare. La consulenza relativa agli investimenti ESG si fonda sulle «Direttive per i fornitori di servizi finanziari in materia di inclusione delle preferenze e dei rischi ESG nonché di prevenzione delle pratiche di </w:t>
      </w:r>
      <w:proofErr w:type="spellStart"/>
      <w:r w:rsidRPr="004E6E88">
        <w:rPr>
          <w:rFonts w:eastAsia="Times New Roman" w:cs="Arial"/>
          <w:color w:val="000000"/>
          <w:sz w:val="24"/>
          <w:szCs w:val="24"/>
          <w:lang w:val="it-IT" w:eastAsia="it-IT"/>
        </w:rPr>
        <w:t>greenwashing</w:t>
      </w:r>
      <w:proofErr w:type="spellEnd"/>
      <w:r w:rsidRPr="004E6E88">
        <w:rPr>
          <w:rFonts w:eastAsia="Times New Roman" w:cs="Arial"/>
          <w:color w:val="000000"/>
          <w:sz w:val="24"/>
          <w:szCs w:val="24"/>
          <w:lang w:val="it-IT" w:eastAsia="it-IT"/>
        </w:rPr>
        <w:t xml:space="preserve"> nelle attività di consulenza in investimenti e di gestione patrimoniale» emesse dall'ASB. Su questa base, </w:t>
      </w:r>
      <w:r w:rsidRPr="004E6E88">
        <w:rPr>
          <w:rFonts w:eastAsia="Times New Roman" w:cs="Arial"/>
          <w:color w:val="000000"/>
          <w:sz w:val="24"/>
          <w:szCs w:val="24"/>
          <w:lang w:eastAsia="it-IT"/>
        </w:rPr>
        <w:t xml:space="preserve">nel corso del 2024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ha contattato la clientela titolare di un mandato di gestione patrimoniale o di consulenza con lo scopo di accertarne le preferenze relativamente agli investimenti ESG e profilandola di conseguenza.</w:t>
      </w:r>
      <w:r w:rsidRPr="004E6E88">
        <w:rPr>
          <w:rFonts w:ascii="Arial Narrow" w:eastAsia="Times New Roman" w:hAnsi="Arial Narrow" w:cs="Times New Roman"/>
          <w:color w:val="000000"/>
          <w:sz w:val="24"/>
          <w:szCs w:val="20"/>
          <w:lang w:val="it-IT" w:eastAsia="it-IT"/>
        </w:rPr>
        <w:t xml:space="preserve"> </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0"/>
          <w:lang w:val="it-IT" w:eastAsia="it-IT"/>
        </w:rPr>
        <w:t>P</w:t>
      </w:r>
      <w:proofErr w:type="spellStart"/>
      <w:r w:rsidRPr="004E6E88">
        <w:rPr>
          <w:rFonts w:eastAsia="Times New Roman" w:cs="Arial"/>
          <w:color w:val="000000"/>
          <w:sz w:val="24"/>
          <w:szCs w:val="24"/>
          <w:lang w:eastAsia="it-IT"/>
        </w:rPr>
        <w:t>er</w:t>
      </w:r>
      <w:proofErr w:type="spellEnd"/>
      <w:r w:rsidRPr="004E6E88">
        <w:rPr>
          <w:rFonts w:eastAsia="Times New Roman" w:cs="Arial"/>
          <w:color w:val="000000"/>
          <w:sz w:val="24"/>
          <w:szCs w:val="24"/>
          <w:lang w:eastAsia="it-IT"/>
        </w:rPr>
        <w:t xml:space="preserve"> tutto il 2024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ha provveduto ad adattare l'intero universo titoli tenendo presente i criteri minimi espressi nella politica d'investimento ESG. Esso</w:t>
      </w:r>
      <w:r w:rsidRPr="004E6E88">
        <w:rPr>
          <w:rFonts w:eastAsia="Times New Roman" w:cs="Arial"/>
          <w:color w:val="000000"/>
          <w:sz w:val="24"/>
          <w:szCs w:val="24"/>
          <w:lang w:val="it-IT" w:eastAsia="it-IT"/>
        </w:rPr>
        <w:t xml:space="preserve"> conta più della metà degli strumenti classificati – in termini di volumi gestiti e secondo i rating di MSCI</w:t>
      </w:r>
      <w:r w:rsidRPr="004E6E88">
        <w:rPr>
          <w:rFonts w:eastAsia="Times New Roman" w:cs="Arial"/>
          <w:color w:val="000000"/>
          <w:position w:val="6"/>
          <w:sz w:val="16"/>
          <w:szCs w:val="24"/>
          <w:lang w:val="it-IT" w:eastAsia="it-IT"/>
        </w:rPr>
        <w:footnoteReference w:id="8"/>
      </w:r>
      <w:r w:rsidRPr="004E6E88">
        <w:rPr>
          <w:rFonts w:eastAsia="Times New Roman" w:cs="Arial"/>
          <w:color w:val="000000"/>
          <w:sz w:val="24"/>
          <w:szCs w:val="24"/>
          <w:lang w:val="it-IT" w:eastAsia="it-IT"/>
        </w:rPr>
        <w:t xml:space="preserve"> – come buoni o molto buoni (leader). </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lastRenderedPageBreak/>
        <w:t xml:space="preserve">Per alcuni strumenti d'investimento, quali p. es. prodotti strutturati, MSCI non fornisce un rating ESG: questa parte di strumenti privi di rating ESG si situa al 7.3% e in questi casi la verifica sull'effettiva composizione (sottostante) di questi prodotti avviene all'interno della Banca, applicando la medesima metodologia adottata da MSCI. </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Nella gestione patrimoniale </w:t>
      </w:r>
      <w:proofErr w:type="spellStart"/>
      <w:r w:rsidRPr="004E6E88">
        <w:rPr>
          <w:rFonts w:eastAsia="Times New Roman" w:cs="Arial"/>
          <w:color w:val="000000"/>
          <w:sz w:val="24"/>
          <w:szCs w:val="24"/>
          <w:lang w:val="it-IT" w:eastAsia="it-IT"/>
        </w:rPr>
        <w:t>Axion</w:t>
      </w:r>
      <w:proofErr w:type="spellEnd"/>
      <w:r w:rsidRPr="004E6E88">
        <w:rPr>
          <w:rFonts w:eastAsia="Times New Roman" w:cs="Arial"/>
          <w:color w:val="000000"/>
          <w:sz w:val="24"/>
          <w:szCs w:val="24"/>
          <w:lang w:val="it-IT" w:eastAsia="it-IT"/>
        </w:rPr>
        <w:t xml:space="preserve"> SWISS </w:t>
      </w:r>
      <w:proofErr w:type="spellStart"/>
      <w:r w:rsidRPr="004E6E88">
        <w:rPr>
          <w:rFonts w:eastAsia="Times New Roman" w:cs="Arial"/>
          <w:color w:val="000000"/>
          <w:sz w:val="24"/>
          <w:szCs w:val="24"/>
          <w:lang w:val="it-IT" w:eastAsia="it-IT"/>
        </w:rPr>
        <w:t>Bank</w:t>
      </w:r>
      <w:proofErr w:type="spellEnd"/>
      <w:r w:rsidRPr="004E6E88">
        <w:rPr>
          <w:rFonts w:eastAsia="Times New Roman" w:cs="Arial"/>
          <w:color w:val="000000"/>
          <w:sz w:val="24"/>
          <w:szCs w:val="24"/>
          <w:lang w:val="it-IT" w:eastAsia="it-IT"/>
        </w:rPr>
        <w:t xml:space="preserve"> SA presenta una situazione analoga, con oltre l'85% delle categorie di </w:t>
      </w:r>
      <w:proofErr w:type="spellStart"/>
      <w:r w:rsidRPr="004E6E88">
        <w:rPr>
          <w:rFonts w:eastAsia="Times New Roman" w:cs="Arial"/>
          <w:color w:val="000000"/>
          <w:sz w:val="24"/>
          <w:szCs w:val="24"/>
          <w:lang w:val="it-IT" w:eastAsia="it-IT"/>
        </w:rPr>
        <w:t>asset</w:t>
      </w:r>
      <w:proofErr w:type="spellEnd"/>
      <w:r w:rsidRPr="004E6E88">
        <w:rPr>
          <w:rFonts w:eastAsia="Times New Roman" w:cs="Arial"/>
          <w:color w:val="000000"/>
          <w:sz w:val="24"/>
          <w:szCs w:val="24"/>
          <w:lang w:val="it-IT" w:eastAsia="it-IT"/>
        </w:rPr>
        <w:t xml:space="preserve"> principali aderenti alla politica ESG. </w:t>
      </w:r>
    </w:p>
    <w:p w:rsidR="004E6E88" w:rsidRPr="004E6E88" w:rsidRDefault="004E6E88" w:rsidP="00940095">
      <w:pPr>
        <w:kinsoku w:val="0"/>
        <w:overflowPunct w:val="0"/>
        <w:ind w:right="147"/>
        <w:rPr>
          <w:rFonts w:eastAsia="Times New Roman" w:cs="Arial"/>
          <w:color w:val="000000"/>
          <w:sz w:val="24"/>
          <w:szCs w:val="24"/>
          <w:lang w:val="it-IT" w:eastAsia="it-IT"/>
        </w:rPr>
      </w:pP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La consulenza ipotecaria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include anche aspetti legati all'efficienza energetica degli immobili (iniziative e incentivi disponibili illustrate ai clienti). </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Accanto all'ipoteca GREEN (per favorire le sostituzioni degli impianti di riscaldamento a energia fossile, la posa di pannelli fotovoltaici, la sostituzione di porte e finestre o migliorie dell’</w:t>
      </w:r>
      <w:proofErr w:type="spellStart"/>
      <w:r w:rsidRPr="004E6E88">
        <w:rPr>
          <w:rFonts w:eastAsia="Times New Roman" w:cs="Arial"/>
          <w:color w:val="000000"/>
          <w:sz w:val="24"/>
          <w:szCs w:val="24"/>
          <w:lang w:val="it-IT" w:eastAsia="it-IT"/>
        </w:rPr>
        <w:t>isolazione</w:t>
      </w:r>
      <w:proofErr w:type="spellEnd"/>
      <w:r w:rsidRPr="004E6E88">
        <w:rPr>
          <w:rFonts w:eastAsia="Times New Roman" w:cs="Arial"/>
          <w:color w:val="000000"/>
          <w:sz w:val="24"/>
          <w:szCs w:val="24"/>
          <w:lang w:val="it-IT" w:eastAsia="it-IT"/>
        </w:rPr>
        <w:t xml:space="preserve"> delle pareti e del tetto per le case unifamiliari o plurifamiliari),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propone facilitazioni a carattere sostenibile in ambito ipotecario ricollegabili al prodotto </w:t>
      </w:r>
      <w:proofErr w:type="spellStart"/>
      <w:r w:rsidRPr="004E6E88">
        <w:rPr>
          <w:rFonts w:eastAsia="Times New Roman" w:cs="Arial"/>
          <w:color w:val="000000"/>
          <w:sz w:val="24"/>
          <w:szCs w:val="24"/>
          <w:lang w:val="it-IT" w:eastAsia="it-IT"/>
        </w:rPr>
        <w:t>BONUS+EcoCasa</w:t>
      </w:r>
      <w:proofErr w:type="spellEnd"/>
      <w:r w:rsidRPr="004E6E88">
        <w:rPr>
          <w:rFonts w:eastAsia="Times New Roman" w:cs="Arial"/>
          <w:color w:val="000000"/>
          <w:sz w:val="24"/>
          <w:szCs w:val="24"/>
          <w:lang w:val="it-IT" w:eastAsia="it-IT"/>
        </w:rPr>
        <w:t xml:space="preserve">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(agevolazione per i proprietari di immobili che hanno ricevuto una certificazione MINERGIE), e offre, in collaborazione con Ticino Energia, la consulenza «Bussola Energia» a favore della propria clientela ipotecaria. </w:t>
      </w:r>
    </w:p>
    <w:p w:rsidR="004E6E88" w:rsidRPr="004E6E88" w:rsidRDefault="004E6E88" w:rsidP="00940095">
      <w:pPr>
        <w:kinsoku w:val="0"/>
        <w:overflowPunct w:val="0"/>
        <w:ind w:right="147"/>
        <w:rPr>
          <w:rFonts w:eastAsia="Times New Roman" w:cs="Arial"/>
          <w:color w:val="000000"/>
          <w:sz w:val="24"/>
          <w:szCs w:val="24"/>
          <w:lang w:val="it-IT" w:eastAsia="it-IT"/>
        </w:rPr>
      </w:pP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In merito alla politica di investimento ESG, che si inserisce nell'ambito della promozione della finanza sostenibile, la Banca mira a generare rendimenti competitivi a lungo termine, favorendo al contempo lo sviluppo sostenibile della società. Per</w:t>
      </w:r>
      <w:r w:rsidRPr="004E6E88">
        <w:rPr>
          <w:rFonts w:eastAsia="Times New Roman" w:cs="Arial"/>
          <w:color w:val="000000"/>
          <w:sz w:val="24"/>
          <w:szCs w:val="24"/>
          <w:lang w:eastAsia="it-IT"/>
        </w:rPr>
        <w:t xml:space="preserve"> gestire al meglio i rischi ESG, l’Istituto integra gli aspetti ESG nella propria politica d’investimento tradizionale e si prefigge i seguenti obiettivi: ottimizzazione dell'offerta di strumenti finanziari proposti alla clientela e integrazione di criteri ESG all'interno della politica d'investimento tradizionale; esercizio dei diritti di voto alle assemblee generali sulla base dei principi ESG nell'ambito dei fondi ESG del Gruppo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gestione dei rischi finanziari più consapevole, rispetto delle esigenze in termini di sostenibilità della clientela e offerta di soluzioni adeguate attraverso approcci diversificati; a parità di rapporto rischio/rendimento, promozione di investimenti in soluzioni sostenibili nei mandati di consulenza e nella Gestione Patrimoniale</w:t>
      </w:r>
      <w:r w:rsidRPr="004E6E88">
        <w:rPr>
          <w:rFonts w:eastAsia="Times New Roman" w:cs="Arial"/>
          <w:color w:val="000000"/>
          <w:position w:val="6"/>
          <w:sz w:val="16"/>
          <w:szCs w:val="24"/>
          <w:lang w:eastAsia="it-IT"/>
        </w:rPr>
        <w:footnoteReference w:id="9"/>
      </w:r>
      <w:r w:rsidRPr="004E6E88">
        <w:rPr>
          <w:rFonts w:eastAsia="Times New Roman" w:cs="Arial"/>
          <w:color w:val="000000"/>
          <w:sz w:val="24"/>
          <w:szCs w:val="24"/>
          <w:lang w:eastAsia="it-IT"/>
        </w:rPr>
        <w:t xml:space="preserve">. </w:t>
      </w:r>
    </w:p>
    <w:p w:rsidR="004E6E88" w:rsidRPr="004E6E88" w:rsidRDefault="004E6E88" w:rsidP="00940095">
      <w:pPr>
        <w:kinsoku w:val="0"/>
        <w:overflowPunct w:val="0"/>
        <w:ind w:right="147"/>
        <w:rPr>
          <w:rFonts w:eastAsia="Times New Roman" w:cs="Arial"/>
          <w:color w:val="000000"/>
          <w:sz w:val="24"/>
          <w:szCs w:val="24"/>
          <w:lang w:val="it-IT" w:eastAsia="it-IT"/>
        </w:rPr>
      </w:pP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A proposito di approccio e sistema di gestione, la Banca adotta una strategia proattiva volta a garantire la sicurezza delle informazioni personali e finanziarie dei clienti, implementando soluzioni avanzate di crittografia, autenticazioni a più fattori e monitoraggio in tempo reale delle transazioni per rilevare e prevenire attività fraudolente. Nel corso del 2024 la Banca ha pubblicato una pratica guida per la sicurezza informatica completamente gratuita, in collaborazione con il Servizio di informatica forense della Scuola Universitaria Professionale della Svizzera Italiana (SUPSI). </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In merito a reclami relativi ad episodi identificati di fuga, furto o perdita dei dati clienti, nel corso del 2024 sono stati registrati sette incidenti relativi ai dati personali (alcuni tra questi riconducibili a responsabili del trattamento esterni e/o senza impatto per i clienti della Banca), e tra questi, solamente un caso ha comportato un successivo reclamo da parte del cliente, poi </w:t>
      </w:r>
      <w:proofErr w:type="spellStart"/>
      <w:r w:rsidRPr="004E6E88">
        <w:rPr>
          <w:rFonts w:eastAsia="Times New Roman" w:cs="Arial"/>
          <w:color w:val="000000"/>
          <w:sz w:val="24"/>
          <w:szCs w:val="24"/>
          <w:lang w:val="it-IT" w:eastAsia="it-IT"/>
        </w:rPr>
        <w:t>risoltosi</w:t>
      </w:r>
      <w:proofErr w:type="spellEnd"/>
      <w:r w:rsidRPr="004E6E88">
        <w:rPr>
          <w:rFonts w:eastAsia="Times New Roman" w:cs="Arial"/>
          <w:color w:val="000000"/>
          <w:sz w:val="24"/>
          <w:szCs w:val="24"/>
          <w:lang w:val="it-IT" w:eastAsia="it-IT"/>
        </w:rPr>
        <w:t xml:space="preserve"> senza alcuna azione giudiziaria. La Banca nel 2024 non ha registrato episodi di non conformità concernenti l'etichettatura e informazioni su prodotti e servizi, come pure di episodi identificati di fuga, furto o perdita dei dati di clienti. </w:t>
      </w:r>
    </w:p>
    <w:p w:rsidR="004E6E88" w:rsidRPr="004E6E88" w:rsidRDefault="004E6E88" w:rsidP="00940095">
      <w:pPr>
        <w:kinsoku w:val="0"/>
        <w:overflowPunct w:val="0"/>
        <w:ind w:right="147"/>
        <w:rPr>
          <w:rFonts w:eastAsia="Times New Roman" w:cs="Arial"/>
          <w:color w:val="000000"/>
          <w:sz w:val="24"/>
          <w:szCs w:val="24"/>
          <w:lang w:val="it-IT" w:eastAsia="it-IT"/>
        </w:rPr>
      </w:pPr>
    </w:p>
    <w:p w:rsidR="004E6E88" w:rsidRPr="004E6E88" w:rsidRDefault="004E6E88" w:rsidP="00940095">
      <w:pPr>
        <w:pStyle w:val="Titolo3"/>
        <w:numPr>
          <w:ilvl w:val="0"/>
          <w:numId w:val="0"/>
        </w:numPr>
        <w:tabs>
          <w:tab w:val="left" w:pos="709"/>
        </w:tabs>
        <w:spacing w:after="120"/>
        <w:jc w:val="both"/>
        <w:rPr>
          <w:rFonts w:eastAsia="Calibri" w:cs="Times New Roman"/>
          <w:i/>
          <w:sz w:val="23"/>
          <w:szCs w:val="23"/>
          <w:lang w:val="it-IT" w:eastAsia="it-IT"/>
        </w:rPr>
      </w:pPr>
      <w:r w:rsidRPr="004E6E88">
        <w:rPr>
          <w:rFonts w:eastAsia="Calibri" w:cs="Times New Roman"/>
          <w:i/>
          <w:sz w:val="23"/>
          <w:szCs w:val="23"/>
          <w:lang w:val="it-IT" w:eastAsia="it-IT"/>
        </w:rPr>
        <w:lastRenderedPageBreak/>
        <w:t>3.2.3 «Comunità»</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Per l'area «Comunità»,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contribuisce in modo determinante alla crescita del territorio, sostenendo lo sviluppo economico e sociale della comunità in cui opera. Attraverso gli importanti contributi finanziari destinati alla Proprietà e, di conseguenza, alla collettività,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rafforza il proprio ruolo a beneficio dei ticinesi. Nel 2024, l'utile distribuito al Cantone Ticino si attesta a oltre 60 milioni di franchi. </w:t>
      </w:r>
    </w:p>
    <w:p w:rsidR="004E6E88" w:rsidRPr="004E6E88" w:rsidRDefault="004E6E88" w:rsidP="00940095">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considerata la natura del proprio mandato, ha sviluppato un forte e naturale legame con il territorio in cui opera e il supporto alla comunità è un obiettivo primario che si realizza tramite la distribuzione di valore aggiunto alla comunità, la selezione di fornitori locali secondo criteri di responsabilità sociale d'impresa (nel 2024, la proporzione di spesa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verso i fornitori locali si attesta ad oltre il 93%), collaborazioni locali e nel supporto attraverso la sponsorizzazione di numerose associazioni ed enti del territorio ticinese operanti nei settori culturali, sociali e sportive con oltre 4.5 milioni di franchi versati nel 2024.  </w:t>
      </w:r>
    </w:p>
    <w:p w:rsidR="004E6E88" w:rsidRPr="004E6E88" w:rsidRDefault="004E6E88" w:rsidP="00940095">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fornisce sostegno economico ma anche un aiuto verso la transizione sostenibile per eventi e attività di enti e associazioni, contribuendo così allo sviluppo di progetti della comunità. </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Nel 2024,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ha lanciato la prima edizione del Premio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per la sostenibilità aziendale, un'iniziativa pensata per premiare le PMI ticinesi che si distinguono per progetti virtuosi in ambito sociale, ambientale ed economico. Con un montepremi di 80'000 franchi, il premio ha visto la partecipazione di oltre cinquanta aziende.  </w:t>
      </w:r>
    </w:p>
    <w:p w:rsidR="004E6E88" w:rsidRPr="004E6E88" w:rsidRDefault="004E6E88" w:rsidP="0094009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Un aspetto rilevante è il valore aggiunto distribuito da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alla comunità. Il valore aggiunto di un'impresa rappresenta la ricchezza prodotta dall'azienda nell'esercizio, individuabile come differenza tra la produzione lorda e il consumo di beni e servizi. La determinazione di questo valore assume un significato importante, poiché rappresenta il legame contabile tra il conto d'esercizio e il rapporto di sostenibilità, fornendo una misura del valore generato e reinvestito nel territorio. Nel 2024 la Banca ha ottenuto un valore aggiunto globale netto di oltre 209 milioni di franchi. Il valore globale lordo generato ammonta invece a oltre 223 milioni di franchi. Oltre un quarto del valore aggiunto viene versato al Cantone, proprietario della Banca.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 </w:t>
      </w:r>
    </w:p>
    <w:p w:rsidR="004E6E88" w:rsidRPr="004E6E88" w:rsidRDefault="004E6E88" w:rsidP="006E0B85">
      <w:pPr>
        <w:pStyle w:val="Titolo3"/>
        <w:numPr>
          <w:ilvl w:val="0"/>
          <w:numId w:val="0"/>
        </w:numPr>
        <w:tabs>
          <w:tab w:val="left" w:pos="709"/>
        </w:tabs>
        <w:spacing w:after="120"/>
        <w:jc w:val="both"/>
        <w:rPr>
          <w:rFonts w:eastAsia="Calibri" w:cs="Times New Roman"/>
          <w:i/>
          <w:sz w:val="23"/>
          <w:szCs w:val="23"/>
          <w:lang w:val="it-IT" w:eastAsia="it-IT"/>
        </w:rPr>
      </w:pPr>
      <w:r w:rsidRPr="004E6E88">
        <w:rPr>
          <w:rFonts w:eastAsia="Calibri" w:cs="Times New Roman"/>
          <w:i/>
          <w:sz w:val="23"/>
          <w:szCs w:val="23"/>
          <w:lang w:val="it-IT" w:eastAsia="it-IT"/>
        </w:rPr>
        <w:t>3.2.4 «Risorse umane»</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Per l'area «Risorse umane» l'Istituto ha come obiettivo il benessere e la crescita di collaboratrici e collaboratori, assicurando un giusto equilibrio tra lavoro e vita privata, garantendo il rispetto delle pari opportunità.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vuole essere un datore di lavoro responsabile nei confronti dei collaboratori. È risultato settimo miglior datore di lavoro della sua categoria su quarantasette partecipanti al </w:t>
      </w:r>
      <w:proofErr w:type="spellStart"/>
      <w:r w:rsidRPr="004E6E88">
        <w:rPr>
          <w:rFonts w:eastAsia="Times New Roman" w:cs="Arial"/>
          <w:color w:val="000000"/>
          <w:sz w:val="24"/>
          <w:szCs w:val="24"/>
          <w:lang w:val="it-IT" w:eastAsia="it-IT"/>
        </w:rPr>
        <w:t>Swiss</w:t>
      </w:r>
      <w:proofErr w:type="spellEnd"/>
      <w:r w:rsidRPr="004E6E88">
        <w:rPr>
          <w:rFonts w:eastAsia="Times New Roman" w:cs="Arial"/>
          <w:color w:val="000000"/>
          <w:sz w:val="24"/>
          <w:szCs w:val="24"/>
          <w:lang w:val="it-IT" w:eastAsia="it-IT"/>
        </w:rPr>
        <w:t xml:space="preserve"> </w:t>
      </w:r>
      <w:proofErr w:type="spellStart"/>
      <w:r w:rsidRPr="004E6E88">
        <w:rPr>
          <w:rFonts w:eastAsia="Times New Roman" w:cs="Arial"/>
          <w:color w:val="000000"/>
          <w:sz w:val="24"/>
          <w:szCs w:val="24"/>
          <w:lang w:val="it-IT" w:eastAsia="it-IT"/>
        </w:rPr>
        <w:t>Arbeitgeber</w:t>
      </w:r>
      <w:proofErr w:type="spellEnd"/>
      <w:r w:rsidRPr="004E6E88">
        <w:rPr>
          <w:rFonts w:eastAsia="Times New Roman" w:cs="Arial"/>
          <w:color w:val="000000"/>
          <w:sz w:val="24"/>
          <w:szCs w:val="24"/>
          <w:lang w:val="it-IT" w:eastAsia="it-IT"/>
        </w:rPr>
        <w:t xml:space="preserve"> Award 2024. Investe nella formazione professionale: nel 2024 sono state erogate oltre 21'000 ore di formazione.</w:t>
      </w:r>
    </w:p>
    <w:p w:rsidR="004E6E88" w:rsidRPr="004E6E88" w:rsidRDefault="004E6E88" w:rsidP="006E0B85">
      <w:pPr>
        <w:kinsoku w:val="0"/>
        <w:overflowPunct w:val="0"/>
        <w:ind w:right="147"/>
        <w:rPr>
          <w:rFonts w:eastAsia="Times New Roman" w:cs="Arial"/>
          <w:color w:val="000000"/>
          <w:sz w:val="24"/>
          <w:szCs w:val="24"/>
          <w:lang w:val="it-IT" w:eastAsia="it-IT"/>
        </w:rPr>
      </w:pP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Con una vasta gamma di opportunità di formazione interna ed esterna,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supporta i propri dipendenti nel loro sviluppo personale e nella loro carriera. In questo modo, l'idoneità delle collaboratrici e dei collaboratori per rapporto alle esigenze del mercato del lavoro viene promossa in modo mirato, il che a sua volta va a vantaggio dell’economia del Cantone Ticino.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6E0B85">
      <w:pPr>
        <w:pStyle w:val="Titolo3"/>
        <w:numPr>
          <w:ilvl w:val="0"/>
          <w:numId w:val="0"/>
        </w:numPr>
        <w:tabs>
          <w:tab w:val="left" w:pos="709"/>
        </w:tabs>
        <w:spacing w:after="120"/>
        <w:jc w:val="both"/>
        <w:rPr>
          <w:rFonts w:eastAsia="Calibri" w:cs="Times New Roman"/>
          <w:i/>
          <w:sz w:val="23"/>
          <w:szCs w:val="23"/>
          <w:lang w:val="it-IT" w:eastAsia="it-IT"/>
        </w:rPr>
      </w:pPr>
      <w:r w:rsidRPr="004E6E88">
        <w:rPr>
          <w:rFonts w:eastAsia="Calibri" w:cs="Times New Roman"/>
          <w:i/>
          <w:sz w:val="23"/>
          <w:szCs w:val="23"/>
          <w:lang w:val="it-IT" w:eastAsia="it-IT"/>
        </w:rPr>
        <w:lastRenderedPageBreak/>
        <w:t xml:space="preserve">3.2.5 «Clima e ambiente» </w:t>
      </w:r>
    </w:p>
    <w:p w:rsidR="004E6E88" w:rsidRPr="004E6E88" w:rsidRDefault="004E6E88" w:rsidP="006E0B85">
      <w:pPr>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val="it-IT" w:eastAsia="it-IT"/>
        </w:rPr>
        <w:t xml:space="preserve">Limitare il cambiamento climatico e adattarsi ai suoi effetti sono tra le sfide globali più urgenti e sono </w:t>
      </w:r>
      <w:r w:rsidRPr="004E6E88">
        <w:rPr>
          <w:rFonts w:eastAsia="Times New Roman" w:cs="Arial"/>
          <w:color w:val="000000"/>
          <w:sz w:val="24"/>
          <w:szCs w:val="24"/>
          <w:lang w:eastAsia="it-IT"/>
        </w:rPr>
        <w:t xml:space="preserve">di importanza strategica per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e rientrano nel suo impegno a favore di una maggiore sostenibilità ambientale. </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Per l'area «Clima e ambiente»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ritiene fondamentale contribuire alla tutela del territorio al fine di garantire un futuro alle prossime generazioni e quindi monitora il consumo di energia e di risorse con l'obiettivo di ridurlo costantemente, così come ha iniziato a ridurre le emissioni di gas serra, non solo delle emissioni dirette di gas serra nelle sedi operative, ma anche di quelle indirette nei processi a monte e a valle.</w:t>
      </w:r>
      <w:r w:rsidRPr="004E6E88">
        <w:rPr>
          <w:rFonts w:eastAsia="Times New Roman" w:cs="Arial"/>
          <w:color w:val="000000"/>
          <w:sz w:val="24"/>
          <w:szCs w:val="24"/>
          <w:lang w:eastAsia="it-IT"/>
        </w:rPr>
        <w:t xml:space="preserve"> </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Il Gruppo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si impegna nel ridurre il proprio impatto nei confronti dell'ambiente e del clima e nell'identificare e gestire i rischi significativi derivanti dal cambiamento climatico che impattano sulla Banca stessa, unitamente alle misure più appropriate per mitigarne gli effetti.</w:t>
      </w:r>
    </w:p>
    <w:p w:rsidR="004E6E88" w:rsidRPr="004E6E88" w:rsidRDefault="004E6E88" w:rsidP="006E0B85">
      <w:pPr>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eastAsia="it-IT"/>
        </w:rPr>
        <w:t xml:space="preserve">Per generare un impatto in questo contesto, la Banca tiene conto sia delle proprie operazioni, sia del suo ruolo di intermediario attivo nel sistema finanziario. </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A tal proposito, la Banca ha integrato la gestione dei rischi legati al clima nella sua politica commerciale e di rischio. Nel farlo, oltre ai requisiti di legge, adotta le raccomandazioni della «Task Force on </w:t>
      </w:r>
      <w:proofErr w:type="spellStart"/>
      <w:r w:rsidRPr="004E6E88">
        <w:rPr>
          <w:rFonts w:eastAsia="Times New Roman" w:cs="Arial"/>
          <w:color w:val="000000"/>
          <w:sz w:val="24"/>
          <w:szCs w:val="24"/>
          <w:lang w:val="it-IT" w:eastAsia="it-IT"/>
        </w:rPr>
        <w:t>Climate-related</w:t>
      </w:r>
      <w:proofErr w:type="spellEnd"/>
      <w:r w:rsidRPr="004E6E88">
        <w:rPr>
          <w:rFonts w:eastAsia="Times New Roman" w:cs="Arial"/>
          <w:color w:val="000000"/>
          <w:sz w:val="24"/>
          <w:szCs w:val="24"/>
          <w:lang w:val="it-IT" w:eastAsia="it-IT"/>
        </w:rPr>
        <w:t xml:space="preserve"> Financial </w:t>
      </w:r>
      <w:proofErr w:type="spellStart"/>
      <w:r w:rsidRPr="004E6E88">
        <w:rPr>
          <w:rFonts w:eastAsia="Times New Roman" w:cs="Arial"/>
          <w:color w:val="000000"/>
          <w:sz w:val="24"/>
          <w:szCs w:val="24"/>
          <w:lang w:val="it-IT" w:eastAsia="it-IT"/>
        </w:rPr>
        <w:t>Disclosures</w:t>
      </w:r>
      <w:proofErr w:type="spellEnd"/>
      <w:r w:rsidRPr="004E6E88">
        <w:rPr>
          <w:rFonts w:eastAsia="Times New Roman" w:cs="Arial"/>
          <w:color w:val="000000"/>
          <w:sz w:val="24"/>
          <w:szCs w:val="24"/>
          <w:lang w:val="it-IT" w:eastAsia="it-IT"/>
        </w:rPr>
        <w:t xml:space="preserve"> (TCFD)» nelle sue dimensioni relative alla </w:t>
      </w:r>
      <w:proofErr w:type="spellStart"/>
      <w:r w:rsidRPr="004E6E88">
        <w:rPr>
          <w:rFonts w:eastAsia="Times New Roman" w:cs="Arial"/>
          <w:color w:val="000000"/>
          <w:sz w:val="24"/>
          <w:szCs w:val="24"/>
          <w:lang w:val="it-IT" w:eastAsia="it-IT"/>
        </w:rPr>
        <w:t>governance</w:t>
      </w:r>
      <w:proofErr w:type="spellEnd"/>
      <w:r w:rsidRPr="004E6E88">
        <w:rPr>
          <w:rFonts w:eastAsia="Times New Roman" w:cs="Arial"/>
          <w:color w:val="000000"/>
          <w:sz w:val="24"/>
          <w:szCs w:val="24"/>
          <w:lang w:val="it-IT" w:eastAsia="it-IT"/>
        </w:rPr>
        <w:t xml:space="preserve">, alla strategia, alla gestione del rischio come pure alle cifre chiave e agli obiettivi. </w:t>
      </w:r>
      <w:r w:rsidRPr="004E6E88">
        <w:rPr>
          <w:rFonts w:eastAsia="Times New Roman" w:cs="Arial"/>
          <w:color w:val="000000"/>
          <w:sz w:val="24"/>
          <w:szCs w:val="24"/>
          <w:lang w:eastAsia="it-IT"/>
        </w:rPr>
        <w:t xml:space="preserve">La relazione sul clima di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integrata nel rapporto di sostenibilità, è stata redatta in accordo con le raccomandazioni TCFD, come previsto dall'art. 3 dell'Ordinanza riguardante la relazione sulle questioni climatiche. Questa Ordinanza disciplina tale materia ai sensi dell'art. 964a del Codice delle obbligazioni svizzero (CO). </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Le nuove disposizioni del Codice delle obbligazioni svizzero impongono alle grandi aziende di interesse pubblico di stilare le relazioni non-finanziarie. A partire dall'esercizio 2024, gli effetti del cambiamento climatico dovranno essere resi trasparenti, in linea con le raccomandazioni della TCFD. Si tratta di un'iniziativa globale guidata dall'industria finanziaria per divulgare le opportunità e i rischi legati al clima. </w:t>
      </w:r>
    </w:p>
    <w:p w:rsidR="004E6E88" w:rsidRPr="004E6E88" w:rsidRDefault="004E6E88" w:rsidP="006E0B85">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sta già implementando le raccomandazioni della TCFD per l'esercizio 2024 attraverso il Rapporto di sostenibilità: la </w:t>
      </w:r>
      <w:proofErr w:type="spellStart"/>
      <w:r w:rsidRPr="004E6E88">
        <w:rPr>
          <w:rFonts w:eastAsia="Times New Roman" w:cs="Arial"/>
          <w:color w:val="000000"/>
          <w:sz w:val="24"/>
          <w:szCs w:val="24"/>
          <w:lang w:val="it-IT" w:eastAsia="it-IT"/>
        </w:rPr>
        <w:t>governance</w:t>
      </w:r>
      <w:proofErr w:type="spellEnd"/>
      <w:r w:rsidRPr="004E6E88">
        <w:rPr>
          <w:rFonts w:eastAsia="Times New Roman" w:cs="Arial"/>
          <w:color w:val="000000"/>
          <w:sz w:val="24"/>
          <w:szCs w:val="24"/>
          <w:lang w:val="it-IT" w:eastAsia="it-IT"/>
        </w:rPr>
        <w:t xml:space="preserve"> dell'organizzazione in relazione ai rischi e alle opportunità legati al clima; la strategia: gli impatti effettivi e potenziali dei rischi e delle opportunità legati al clima sulle attività, sulla strategia e sulla pianificazione finanziaria dell'organizzazione; il </w:t>
      </w:r>
      <w:proofErr w:type="spellStart"/>
      <w:r w:rsidRPr="004E6E88">
        <w:rPr>
          <w:rFonts w:eastAsia="Times New Roman" w:cs="Arial"/>
          <w:color w:val="000000"/>
          <w:sz w:val="24"/>
          <w:szCs w:val="24"/>
          <w:lang w:val="it-IT" w:eastAsia="it-IT"/>
        </w:rPr>
        <w:t>Risk</w:t>
      </w:r>
      <w:proofErr w:type="spellEnd"/>
      <w:r w:rsidRPr="004E6E88">
        <w:rPr>
          <w:rFonts w:eastAsia="Times New Roman" w:cs="Arial"/>
          <w:color w:val="000000"/>
          <w:sz w:val="24"/>
          <w:szCs w:val="24"/>
          <w:lang w:val="it-IT" w:eastAsia="it-IT"/>
        </w:rPr>
        <w:t xml:space="preserve"> Management: i processi impiegati dall'organizzazione per identificare, valutare e gestire i rischi legati al clima; le metriche e gli obiettivi utilizzati per valutare e gestire i rischi e le opportunità legati al clima.</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In particolare la </w:t>
      </w:r>
      <w:proofErr w:type="spellStart"/>
      <w:r w:rsidRPr="004E6E88">
        <w:rPr>
          <w:rFonts w:eastAsia="Times New Roman" w:cs="Arial"/>
          <w:color w:val="000000"/>
          <w:sz w:val="24"/>
          <w:szCs w:val="24"/>
          <w:lang w:val="it-IT" w:eastAsia="it-IT"/>
        </w:rPr>
        <w:t>governance</w:t>
      </w:r>
      <w:proofErr w:type="spellEnd"/>
      <w:r w:rsidRPr="004E6E88">
        <w:rPr>
          <w:rFonts w:eastAsia="Times New Roman" w:cs="Arial"/>
          <w:color w:val="000000"/>
          <w:sz w:val="24"/>
          <w:szCs w:val="24"/>
          <w:lang w:val="it-IT" w:eastAsia="it-IT"/>
        </w:rPr>
        <w:t xml:space="preserve"> dei rischi climatici implica: </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1. </w:t>
      </w:r>
      <w:r w:rsidRPr="004E6E88">
        <w:rPr>
          <w:rFonts w:eastAsia="Times New Roman" w:cs="Arial"/>
          <w:bCs/>
          <w:color w:val="000000"/>
          <w:sz w:val="24"/>
          <w:szCs w:val="24"/>
          <w:lang w:val="it-IT" w:eastAsia="it-IT"/>
        </w:rPr>
        <w:t>Strutture e processi chiari: l</w:t>
      </w:r>
      <w:r w:rsidRPr="004E6E88">
        <w:rPr>
          <w:rFonts w:eastAsia="Times New Roman" w:cs="Arial"/>
          <w:color w:val="000000"/>
          <w:sz w:val="24"/>
          <w:szCs w:val="24"/>
          <w:lang w:val="it-IT" w:eastAsia="it-IT"/>
        </w:rPr>
        <w:t xml:space="preserve">'approccio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al cambiamento climatico e alle opportunità e ai rischi associati è integrato nella sua organizzazione. Le strutture e i processi correlati si trovano in primo luogo nell'ambito della gestione della sostenibilità e in secondo luogo nell'ambito della gestione del rischio.</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2. </w:t>
      </w:r>
      <w:proofErr w:type="spellStart"/>
      <w:r w:rsidRPr="004E6E88">
        <w:rPr>
          <w:rFonts w:eastAsia="Times New Roman" w:cs="Arial"/>
          <w:color w:val="000000"/>
          <w:sz w:val="24"/>
          <w:szCs w:val="24"/>
          <w:lang w:val="it-IT" w:eastAsia="it-IT"/>
        </w:rPr>
        <w:t>Governance</w:t>
      </w:r>
      <w:proofErr w:type="spellEnd"/>
      <w:r w:rsidRPr="004E6E88">
        <w:rPr>
          <w:rFonts w:eastAsia="Times New Roman" w:cs="Arial"/>
          <w:color w:val="000000"/>
          <w:sz w:val="24"/>
          <w:szCs w:val="24"/>
          <w:lang w:val="it-IT" w:eastAsia="it-IT"/>
        </w:rPr>
        <w:t xml:space="preserve"> della sostenibilità legata al clima: la strategia di sostenibilità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considera il cambiamento climatico e la riduzione delle emissioni di gas a effetto serra come un tema rilevante. Il Consiglio di amministrazione approva la strategia di sostenibilità e ne delega alla Direzione generale l'attuazione - comprese tutte le misure per raggiungere gli obiettivi climatici fissati dalla Banca. </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La Direzione generale è responsabile dell'attuazione della strategia di sostenibilità. Essa effettua regolarmente considerazioni strategiche periodiche sulla sostenibilità e si occupa delle opportunità e dei rischi associati. </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lastRenderedPageBreak/>
        <w:t xml:space="preserve">Il Manager della Sostenibilità coordina le attività e riferisce al Presidente della Direzione generale nonché gestisce il processo di sviluppo della strategia di sostenibilità, che comprende anche il processo di formulazione degli obiettivi climatici. </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3. Gestione dei rischi legati al clima: il Consiglio di amministrazione approva la strategia di sostenibilità e gli obiettivi strategici sulle tematiche di sostenibilità (incluse le questioni relative all’ambiente ed al cambiamento climatico) allestiti dalla Direzione generale. Analogamente alle altre attività di vigilanza nel contesto dei rischi, anche i rischi climatici saranno di competenza della Commissione Sorveglianza e Rischi (CSR) del Consiglio di amministrazione. Il monitoraggio dei rischi finanziari legati alla natura e la relazione sul clima avvengono in conformità con la normativa di riferimento e le raccomandazioni della TCFD. Il dipartimento di Gestione rischi identifica e valuta regolarmente i rischi di sostenibilità in relazione ai rischi di mercato, liquidità, credito e rischi operativi mentre il dipartimento di </w:t>
      </w:r>
      <w:proofErr w:type="spellStart"/>
      <w:r w:rsidRPr="004E6E88">
        <w:rPr>
          <w:rFonts w:eastAsia="Times New Roman" w:cs="Arial"/>
          <w:color w:val="000000"/>
          <w:sz w:val="24"/>
          <w:szCs w:val="24"/>
          <w:lang w:val="it-IT" w:eastAsia="it-IT"/>
        </w:rPr>
        <w:t>Compliance</w:t>
      </w:r>
      <w:proofErr w:type="spellEnd"/>
      <w:r w:rsidRPr="004E6E88">
        <w:rPr>
          <w:rFonts w:eastAsia="Times New Roman" w:cs="Arial"/>
          <w:color w:val="000000"/>
          <w:sz w:val="24"/>
          <w:szCs w:val="24"/>
          <w:lang w:val="it-IT" w:eastAsia="it-IT"/>
        </w:rPr>
        <w:t xml:space="preserve"> è responsabile dell'identificazione e della valutazione dei rischi di sostenibilità in relazione ai rischi di condotta, di </w:t>
      </w:r>
      <w:proofErr w:type="spellStart"/>
      <w:r w:rsidRPr="004E6E88">
        <w:rPr>
          <w:rFonts w:eastAsia="Times New Roman" w:cs="Arial"/>
          <w:color w:val="000000"/>
          <w:sz w:val="24"/>
          <w:szCs w:val="24"/>
          <w:lang w:val="it-IT" w:eastAsia="it-IT"/>
        </w:rPr>
        <w:t>compliance</w:t>
      </w:r>
      <w:proofErr w:type="spellEnd"/>
      <w:r w:rsidRPr="004E6E88">
        <w:rPr>
          <w:rFonts w:eastAsia="Times New Roman" w:cs="Arial"/>
          <w:color w:val="000000"/>
          <w:sz w:val="24"/>
          <w:szCs w:val="24"/>
          <w:lang w:val="it-IT" w:eastAsia="it-IT"/>
        </w:rPr>
        <w:t xml:space="preserve"> e rischi regolamentari. </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I fattori ESG devono essere pienamente integrati nel sistema di gestione dei rischi esistente della Banca. Questo si traduce nell'identificazione dei rischi, nella valutazione della rilevanza e nell'analisi di scenari al fine di valutare l’impatto dei rischi ESG sul profilo di rischio della Banca in base a diverse ipotesi plausibili. I risultati delle valutazioni di materialità ed i criteri utilizzati sono documentati e aggiunti al Reporting dei rischi inviato al Comitato Rischi, il cui Presidente le presenta almeno annualmente al Consiglio di Amministrazione.</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Alcuni di questi dati relativi al profilo di rischio climatico della Banca ed i dati relativi alle emissioni finanziate devono essere integrati nella rendicontazione non finanziaria che viene allestita annualmente dal Manager della sostenibilità con il supporto di tutte le parti coinvolte per le diverse sorgenti di informazioni. </w:t>
      </w:r>
    </w:p>
    <w:p w:rsidR="004E6E88" w:rsidRPr="004E6E88" w:rsidRDefault="004E6E88" w:rsidP="006E0B85">
      <w:pPr>
        <w:kinsoku w:val="0"/>
        <w:overflowPunct w:val="0"/>
        <w:ind w:right="147"/>
        <w:rPr>
          <w:rFonts w:eastAsia="Times New Roman" w:cs="Arial"/>
          <w:color w:val="000000"/>
          <w:sz w:val="24"/>
          <w:szCs w:val="24"/>
          <w:lang w:val="it-IT" w:eastAsia="it-IT"/>
        </w:rPr>
      </w:pPr>
    </w:p>
    <w:p w:rsidR="004E6E88" w:rsidRPr="004E6E88" w:rsidRDefault="004E6E88" w:rsidP="006E0B85">
      <w:pPr>
        <w:kinsoku w:val="0"/>
        <w:overflowPunct w:val="0"/>
        <w:spacing w:before="120"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 xml:space="preserve">L'integrazione dei rischi e delle opportunità legate al clima nella politica aziendale.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può influire sul clima, da un lato attraverso le sue attività operative, dall'altro attraverso le sue attività di finanziamento e di investimento.</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In questo contesto, essa desidera impegnarsi per ridurre le emissioni operative di gas a effetto serra e per convogliare i flussi finanziari verso attività rispettose del clima.</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L'obiettivo generale della Banca è quello di raggiungere le emissioni di gas serra «zero netto» entro il 2050 - in tutti e tre gli ambiti, comprese le emissioni finanziate.</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4E6E88">
      <w:pPr>
        <w:kinsoku w:val="0"/>
        <w:overflowPunct w:val="0"/>
        <w:spacing w:line="276" w:lineRule="auto"/>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La protezione del clima quale parte integrante della strategia di sostenibilità</w:t>
      </w:r>
    </w:p>
    <w:p w:rsidR="004E6E88" w:rsidRPr="004E6E88" w:rsidRDefault="004E6E88" w:rsidP="006E0B85">
      <w:pPr>
        <w:kinsoku w:val="0"/>
        <w:overflowPunct w:val="0"/>
        <w:spacing w:before="12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La strategia di sostenibilità nel settore crediti ed investimenti è declinata nella Politica di credito ESG e nella Politica d’investimento ESG, mentre l’area tematica «Clima e ambiente» della strategia di sostenibilità informa a proposito dell'evoluzione legata al consumo e all'approvvigionamento energetico, agli impatti derivanti dalla mobilità aziendale e all’impronta di carbonio prodotta dalla Banca.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6E0B85">
      <w:pPr>
        <w:kinsoku w:val="0"/>
        <w:overflowPunct w:val="0"/>
        <w:spacing w:before="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Evitare e ridurre le emissioni di gas a effetto serra nelle operazioni</w:t>
      </w:r>
    </w:p>
    <w:p w:rsidR="004E6E88" w:rsidRPr="004E6E88" w:rsidRDefault="004E6E88" w:rsidP="006E0B85">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La Banca rileva sistematicamente e da parecchi anni il suo consumo di energia, mentre di recente ha iniziato a rilevare le proprie emissioni operative di gas a effetto serra. Sulla base delle misurazioni eseguite, nel corso dell'ultimo trimestre del 2024 sono state </w:t>
      </w:r>
      <w:r w:rsidRPr="004E6E88">
        <w:rPr>
          <w:rFonts w:eastAsia="Times New Roman" w:cs="Arial"/>
          <w:color w:val="000000"/>
          <w:sz w:val="24"/>
          <w:szCs w:val="24"/>
          <w:lang w:val="it-IT" w:eastAsia="it-IT"/>
        </w:rPr>
        <w:lastRenderedPageBreak/>
        <w:t xml:space="preserve">definite le prime misure atte a ridurre il consumo energetico e le emissioni di gas a effetto serra, con l'obiettivo di verificarne poi l'evoluzione e l'efficacia ogni anno. </w:t>
      </w:r>
    </w:p>
    <w:p w:rsidR="004E6E88" w:rsidRPr="004E6E88" w:rsidRDefault="004E6E88" w:rsidP="006E0B85">
      <w:pPr>
        <w:tabs>
          <w:tab w:val="left" w:pos="5452"/>
        </w:tabs>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eastAsia="it-IT"/>
        </w:rPr>
        <w:t xml:space="preserve">Nel corso della misurazione delle emissioni di gas serra operative, la Banca ha identificato due settori particolarmente rilevanti sui quali investire per ridurne gli impatti. Un primo ambito tratta delle emissioni derivanti dal pendolarismo dei dipendenti della Banca, con particolare riferimento agli spostamenti dal domicilio al posto di lavoro, mentre il secondo ambito si riferisce alle emissioni generate dagli immobili per quanto attiene all’energia necessaria per il loro funzionamento, come pure il riscaldamento e il raffreddamento dei medesimi. </w:t>
      </w:r>
    </w:p>
    <w:p w:rsidR="004E6E88" w:rsidRPr="004E6E88" w:rsidRDefault="004E6E88" w:rsidP="004E6E88">
      <w:pPr>
        <w:tabs>
          <w:tab w:val="left" w:pos="5452"/>
        </w:tabs>
        <w:kinsoku w:val="0"/>
        <w:overflowPunct w:val="0"/>
        <w:spacing w:line="276" w:lineRule="auto"/>
        <w:ind w:right="147"/>
        <w:rPr>
          <w:rFonts w:eastAsia="Times New Roman" w:cs="Arial"/>
          <w:color w:val="000000"/>
          <w:sz w:val="24"/>
          <w:szCs w:val="24"/>
          <w:lang w:eastAsia="it-IT"/>
        </w:rPr>
      </w:pPr>
    </w:p>
    <w:p w:rsidR="004E6E88" w:rsidRPr="004E6E88" w:rsidRDefault="004E6E88" w:rsidP="00AE2F6F">
      <w:pPr>
        <w:tabs>
          <w:tab w:val="left" w:pos="5452"/>
        </w:tabs>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Evitare e ridurre le emissioni di gas serra nel portafoglio di crediti e investimenti</w:t>
      </w:r>
    </w:p>
    <w:p w:rsidR="004E6E88" w:rsidRPr="004E6E88" w:rsidRDefault="004E6E88" w:rsidP="00AE2F6F">
      <w:pPr>
        <w:tabs>
          <w:tab w:val="left" w:pos="5452"/>
        </w:tabs>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Nel corso del 2024, la Banca ha altresì iniziato a calcolare le emissioni di gas a effetto serra che derivano dall'attività di finanziamento e investimento, secondo la metodologia del protocollo sui gas a effetto serra (GHG </w:t>
      </w:r>
      <w:proofErr w:type="spellStart"/>
      <w:r w:rsidRPr="004E6E88">
        <w:rPr>
          <w:rFonts w:eastAsia="Times New Roman" w:cs="Arial"/>
          <w:color w:val="000000"/>
          <w:sz w:val="24"/>
          <w:szCs w:val="24"/>
          <w:lang w:val="it-IT" w:eastAsia="it-IT"/>
        </w:rPr>
        <w:t>Protocol</w:t>
      </w:r>
      <w:proofErr w:type="spellEnd"/>
      <w:r w:rsidRPr="004E6E88">
        <w:rPr>
          <w:rFonts w:eastAsia="Times New Roman" w:cs="Arial"/>
          <w:color w:val="000000"/>
          <w:sz w:val="24"/>
          <w:szCs w:val="24"/>
          <w:lang w:val="it-IT" w:eastAsia="it-IT"/>
        </w:rPr>
        <w:t xml:space="preserve">) e della «Partnership for Carbon Accounting </w:t>
      </w:r>
      <w:proofErr w:type="spellStart"/>
      <w:r w:rsidRPr="004E6E88">
        <w:rPr>
          <w:rFonts w:eastAsia="Times New Roman" w:cs="Arial"/>
          <w:color w:val="000000"/>
          <w:sz w:val="24"/>
          <w:szCs w:val="24"/>
          <w:lang w:val="it-IT" w:eastAsia="it-IT"/>
        </w:rPr>
        <w:t>Financials</w:t>
      </w:r>
      <w:proofErr w:type="spellEnd"/>
      <w:r w:rsidRPr="004E6E88">
        <w:rPr>
          <w:rFonts w:eastAsia="Times New Roman" w:cs="Arial"/>
          <w:color w:val="000000"/>
          <w:sz w:val="24"/>
          <w:szCs w:val="24"/>
          <w:lang w:val="it-IT" w:eastAsia="it-IT"/>
        </w:rPr>
        <w:t>» (PCAF), attività che sarà ulteriormente migliorata nel corso del 2025.</w:t>
      </w:r>
    </w:p>
    <w:p w:rsidR="004E6E88" w:rsidRPr="004E6E88" w:rsidRDefault="004E6E88" w:rsidP="00AE2F6F">
      <w:pPr>
        <w:tabs>
          <w:tab w:val="left" w:pos="5452"/>
        </w:tabs>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Oltre alla misurazione delle emissioni di gas serra e alla definizione delle relative misure di riduzione, la divulgazione di informazioni sul clima costituisce un ulteriore importante aspetto da considerare da parte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w:t>
      </w:r>
    </w:p>
    <w:p w:rsidR="004E6E88" w:rsidRPr="004E6E88" w:rsidRDefault="004E6E88" w:rsidP="00AE2F6F">
      <w:pPr>
        <w:tabs>
          <w:tab w:val="left" w:pos="5452"/>
        </w:tabs>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Il rapporto di sostenibilità si basa sullo standard Global Reporting </w:t>
      </w:r>
      <w:proofErr w:type="spellStart"/>
      <w:r w:rsidRPr="004E6E88">
        <w:rPr>
          <w:rFonts w:eastAsia="Times New Roman" w:cs="Arial"/>
          <w:color w:val="000000"/>
          <w:sz w:val="24"/>
          <w:szCs w:val="24"/>
          <w:lang w:val="it-IT" w:eastAsia="it-IT"/>
        </w:rPr>
        <w:t>Initiative</w:t>
      </w:r>
      <w:proofErr w:type="spellEnd"/>
      <w:r w:rsidRPr="004E6E88">
        <w:rPr>
          <w:rFonts w:eastAsia="Times New Roman" w:cs="Arial"/>
          <w:color w:val="000000"/>
          <w:sz w:val="24"/>
          <w:szCs w:val="24"/>
          <w:lang w:val="it-IT" w:eastAsia="it-IT"/>
        </w:rPr>
        <w:t xml:space="preserve"> (GRI) e nell'evidenziare le opportunità e i rischi legati al cambiamento climatico, essa si basa sule raccomandazioni della Task Force sulle informazioni finanziarie relative al clima (TCFD). </w:t>
      </w:r>
    </w:p>
    <w:p w:rsidR="004E6E88" w:rsidRPr="004E6E88" w:rsidRDefault="004E6E88" w:rsidP="004E6E88">
      <w:pPr>
        <w:tabs>
          <w:tab w:val="left" w:pos="5452"/>
        </w:tabs>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AE2F6F">
      <w:pPr>
        <w:tabs>
          <w:tab w:val="left" w:pos="5452"/>
        </w:tabs>
        <w:kinsoku w:val="0"/>
        <w:overflowPunct w:val="0"/>
        <w:spacing w:after="120"/>
        <w:ind w:right="147"/>
        <w:rPr>
          <w:rFonts w:eastAsia="Times New Roman" w:cs="Arial"/>
          <w:color w:val="000000"/>
          <w:sz w:val="24"/>
          <w:szCs w:val="24"/>
          <w:u w:val="single"/>
          <w:lang w:eastAsia="it-IT"/>
        </w:rPr>
      </w:pPr>
      <w:r w:rsidRPr="004E6E88">
        <w:rPr>
          <w:rFonts w:eastAsia="Times New Roman" w:cs="Arial"/>
          <w:color w:val="000000"/>
          <w:sz w:val="24"/>
          <w:szCs w:val="24"/>
          <w:u w:val="single"/>
          <w:lang w:eastAsia="it-IT"/>
        </w:rPr>
        <w:t xml:space="preserve">Gestione dei rischi: le opportunità legate al clima e il loro impatto </w:t>
      </w:r>
    </w:p>
    <w:p w:rsidR="004E6E88" w:rsidRPr="004E6E88" w:rsidRDefault="004E6E88" w:rsidP="00AE2F6F">
      <w:pPr>
        <w:tabs>
          <w:tab w:val="left" w:pos="5452"/>
        </w:tabs>
        <w:kinsoku w:val="0"/>
        <w:overflowPunct w:val="0"/>
        <w:ind w:right="147"/>
        <w:rPr>
          <w:rFonts w:eastAsia="Times New Roman" w:cs="Arial"/>
          <w:color w:val="000000"/>
          <w:sz w:val="24"/>
          <w:szCs w:val="24"/>
          <w:lang w:val="it-IT" w:eastAsia="it-IT"/>
        </w:rPr>
      </w:pPr>
      <w:r w:rsidRPr="004E6E88">
        <w:rPr>
          <w:rFonts w:eastAsia="Times New Roman" w:cs="Arial"/>
          <w:bCs/>
          <w:color w:val="000000"/>
          <w:sz w:val="24"/>
          <w:szCs w:val="24"/>
          <w:lang w:eastAsia="it-IT"/>
        </w:rPr>
        <w:t xml:space="preserve">La transizione della Svizzera verso un'economia a basse emissioni richiederà investimenti per un totale di quasi 390 miliardi di franchi svizzeri nei prossimi 30 anni. Quattro quinti di essi possono essere coperti attraverso un'offerta bancaria di tipo tradizionale. Ciò offre alle banche svizzere opportunità in termini di concessione di crediti ipotecari e aziendali che sostengono la transizione verso un'economia e una società più rispettose del clima. Nel settore dell'edilizia, sono necessari investimenti per un totale di ben due miliardi di franchi svizzeri all'anno, ad esempio per sostituire i sistemi di riscaldamento o rinnovare gli involucri degli edifici. Il tasso di rinnovamento è attualmente di circa l'1%. </w:t>
      </w:r>
    </w:p>
    <w:p w:rsidR="004E6E88" w:rsidRPr="004E6E88" w:rsidRDefault="004E6E88" w:rsidP="00AE2F6F">
      <w:pPr>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eastAsia="it-IT"/>
        </w:rPr>
        <w:t xml:space="preserve">Il potenziale di investimento è di conseguenza elevato, di cui può beneficiare anche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tra le banche ipotecarie leader nel Cantone; essa offre «Ipoteca Green» e l'«Ipoteca BONUS+ </w:t>
      </w:r>
      <w:proofErr w:type="spellStart"/>
      <w:r w:rsidRPr="004E6E88">
        <w:rPr>
          <w:rFonts w:eastAsia="Times New Roman" w:cs="Arial"/>
          <w:color w:val="000000"/>
          <w:sz w:val="24"/>
          <w:szCs w:val="24"/>
          <w:lang w:eastAsia="it-IT"/>
        </w:rPr>
        <w:t>EcoCasa</w:t>
      </w:r>
      <w:proofErr w:type="spellEnd"/>
      <w:r w:rsidRPr="004E6E88">
        <w:rPr>
          <w:rFonts w:eastAsia="Times New Roman" w:cs="Arial"/>
          <w:color w:val="000000"/>
          <w:sz w:val="24"/>
          <w:szCs w:val="24"/>
          <w:lang w:eastAsia="it-IT"/>
        </w:rPr>
        <w:t xml:space="preserve">». </w:t>
      </w:r>
    </w:p>
    <w:p w:rsidR="004E6E88" w:rsidRPr="004E6E88" w:rsidRDefault="004E6E88" w:rsidP="00AE2F6F">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offre prodotti e servizi sostenibili e desidera ampliare costantemente questa gamma compatibilmente con le richieste della propria clientela. Allo stesso tempo, la Banca eroga in questo contesto una consulenza dedicata in ambito di sostenibilità ai propri clienti, sia nell'attività di finanziamento che in quella di investimento. </w:t>
      </w:r>
    </w:p>
    <w:p w:rsidR="004E6E88" w:rsidRPr="004E6E88" w:rsidRDefault="004E6E88" w:rsidP="004E6E88">
      <w:pPr>
        <w:kinsoku w:val="0"/>
        <w:overflowPunct w:val="0"/>
        <w:spacing w:line="276" w:lineRule="auto"/>
        <w:ind w:right="147"/>
        <w:rPr>
          <w:rFonts w:eastAsia="Times New Roman" w:cs="Arial"/>
          <w:bCs/>
          <w:color w:val="000000"/>
          <w:sz w:val="24"/>
          <w:szCs w:val="24"/>
          <w:lang w:eastAsia="it-IT"/>
        </w:rPr>
      </w:pPr>
    </w:p>
    <w:p w:rsidR="004E6E88" w:rsidRPr="004E6E88" w:rsidRDefault="004E6E88" w:rsidP="00AE2F6F">
      <w:pPr>
        <w:kinsoku w:val="0"/>
        <w:overflowPunct w:val="0"/>
        <w:spacing w:after="120"/>
        <w:ind w:right="147"/>
        <w:rPr>
          <w:rFonts w:eastAsia="Times New Roman" w:cs="Arial"/>
          <w:color w:val="000000"/>
          <w:sz w:val="24"/>
          <w:szCs w:val="24"/>
          <w:u w:val="single"/>
          <w:lang w:eastAsia="it-IT"/>
        </w:rPr>
      </w:pPr>
      <w:r w:rsidRPr="004E6E88">
        <w:rPr>
          <w:rFonts w:eastAsia="Times New Roman" w:cs="Arial"/>
          <w:bCs/>
          <w:color w:val="000000"/>
          <w:sz w:val="24"/>
          <w:szCs w:val="24"/>
          <w:u w:val="single"/>
          <w:lang w:eastAsia="it-IT"/>
        </w:rPr>
        <w:t xml:space="preserve">Efficienza energetica e energie rinnovabili </w:t>
      </w:r>
    </w:p>
    <w:p w:rsidR="004E6E88" w:rsidRPr="004E6E88" w:rsidRDefault="004E6E88" w:rsidP="00AE2F6F">
      <w:pPr>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eastAsia="it-IT"/>
        </w:rPr>
        <w:t xml:space="preserve">In quanto azienda che eroga prestazioni di servizio,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ha un impatto ambientale diretto relativamente ridotto. Tale impatto è principalmente generato dal consumo energetico degli edifici e dagli impianti ad essi collegati, dall'infrastruttura informatica, dal traffico pendolare dei dipendenti, nonché dall'uso e lo smaltimento dei </w:t>
      </w:r>
      <w:r w:rsidRPr="004E6E88">
        <w:rPr>
          <w:rFonts w:eastAsia="Times New Roman" w:cs="Arial"/>
          <w:color w:val="000000"/>
          <w:sz w:val="24"/>
          <w:szCs w:val="24"/>
          <w:lang w:eastAsia="it-IT"/>
        </w:rPr>
        <w:lastRenderedPageBreak/>
        <w:t>materiali d’ufficio. L'uso parsimonioso delle risorse - soprattutto dell'energia - protegge il clima e consente alla Banca di risparmiare sui costi.</w:t>
      </w:r>
    </w:p>
    <w:p w:rsidR="004E6E88" w:rsidRPr="004E6E88" w:rsidRDefault="004E6E88" w:rsidP="00AE2F6F">
      <w:pPr>
        <w:kinsoku w:val="0"/>
        <w:overflowPunct w:val="0"/>
        <w:ind w:right="147"/>
        <w:rPr>
          <w:rFonts w:eastAsia="Times New Roman" w:cs="Arial"/>
          <w:color w:val="000000"/>
          <w:sz w:val="24"/>
          <w:szCs w:val="24"/>
          <w:lang w:eastAsia="it-IT"/>
        </w:rPr>
      </w:pPr>
    </w:p>
    <w:p w:rsidR="004E6E88" w:rsidRPr="004E6E88" w:rsidRDefault="004E6E88" w:rsidP="00AE2F6F">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Gestione dei rischi: i rischi legati al clima e il loro impatto</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Il cambiamento climatico comporta una serie di rischi sia per l'economia, sia per la società.</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 rischi legati al clima generano di norma impatti nel corto termine (0-5 anni), nel medio (5-10 anni) come pure nel lungo termine (10-30 anni) e possono quindi essere suddivisi sulla base di orizzonti temporali ben definiti. </w:t>
      </w:r>
    </w:p>
    <w:p w:rsidR="004E6E88" w:rsidRPr="004E6E88" w:rsidRDefault="004E6E88" w:rsidP="00AE2F6F">
      <w:pPr>
        <w:kinsoku w:val="0"/>
        <w:overflowPunct w:val="0"/>
        <w:ind w:right="147"/>
        <w:rPr>
          <w:rFonts w:eastAsia="Times New Roman" w:cs="Arial"/>
          <w:color w:val="000000"/>
          <w:sz w:val="24"/>
          <w:szCs w:val="24"/>
          <w:lang w:eastAsia="it-IT"/>
        </w:rPr>
      </w:pP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ha proceduto a valutare gli impatti dei rischi climatici per rapporto al proprio modello d'affari e ha eseguito a tale scopo un'analisi qualitativa dei rischi. I rischi legati al clima possono avere un impatto rilevante (alto) sulla reputazione della Banca. </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Le analisi dei rischi indicano un rischio medio legato al clima per la Banca nel medio e lungo termine. Questo vale sia per i rischi di transizione, ossia quelli associati alla transizione verso un'economia e una società rispettose del clima, sia per i rischi fisici. </w:t>
      </w:r>
    </w:p>
    <w:p w:rsidR="004E6E88" w:rsidRPr="004E6E88" w:rsidRDefault="004E6E88" w:rsidP="00AE2F6F">
      <w:pPr>
        <w:kinsoku w:val="0"/>
        <w:overflowPunct w:val="0"/>
        <w:ind w:right="147"/>
        <w:rPr>
          <w:rFonts w:eastAsia="Times New Roman" w:cs="Arial"/>
          <w:color w:val="000000"/>
          <w:sz w:val="24"/>
          <w:szCs w:val="20"/>
          <w:lang w:val="it-IT" w:eastAsia="it-IT"/>
        </w:rPr>
      </w:pPr>
      <w:r w:rsidRPr="004E6E88">
        <w:rPr>
          <w:rFonts w:eastAsia="Times New Roman" w:cs="Arial"/>
          <w:color w:val="000000"/>
          <w:sz w:val="24"/>
          <w:szCs w:val="24"/>
          <w:lang w:eastAsia="it-IT"/>
        </w:rPr>
        <w:t xml:space="preserve">A lungo termine,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prevede che i rischi climatici fisici diventeranno sempre più importanti. Tuttavia, in relazione ad altri rischi non legati al clima e misurati rispetto al bilancio, questi sono attualmente considerati piuttosto bassi. Il fattore più importante per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è l'impatto del cambiamento climatico sui rischi di credito.</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Al contrario, i rischi di mercato, di liquidità e operativi sono medio/bassi perché non sono direttamente influenzati dal cambiamento climatico o lo sono solo in misura marginale.</w:t>
      </w:r>
    </w:p>
    <w:p w:rsidR="004E6E88" w:rsidRPr="004E6E88" w:rsidRDefault="004E6E88" w:rsidP="00AE2F6F">
      <w:pPr>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eastAsia="it-IT"/>
        </w:rPr>
        <w:t xml:space="preserve">Gli impatti climatici devono diventare parte dei processi di gestione del rischio esistenti, al fine di gestire i rischi climatici in modo coerente e duraturo. Nel 2024,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ha compiuto progressi significativi nell'integrazione degli aspetti climatici nel quadro di gestione del rischio, normando i principi di identificazione e misurazione dei rischi, controllo e reporting nei propri regolamenti. </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Il Dipartimento Gestione rischi, in coordinamento con il Manager della sostenibilità, ha definito nel corso del 2024 gli indicatori necessari al monitoraggio dei rischi climatici, nel corso del 2025 tali indicatori saranno oggetto di approvazione da parte degli organi competenti della Banca ed integrati all'interno della reportistica esistente.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AE2F6F">
      <w:pPr>
        <w:kinsoku w:val="0"/>
        <w:overflowPunct w:val="0"/>
        <w:spacing w:after="120"/>
        <w:ind w:right="147"/>
        <w:rPr>
          <w:rFonts w:eastAsia="Times New Roman" w:cs="Arial"/>
          <w:color w:val="000000"/>
          <w:sz w:val="24"/>
          <w:szCs w:val="24"/>
          <w:u w:val="single"/>
          <w:lang w:eastAsia="it-IT"/>
        </w:rPr>
      </w:pPr>
      <w:r w:rsidRPr="004E6E88">
        <w:rPr>
          <w:rFonts w:eastAsia="Times New Roman" w:cs="Arial"/>
          <w:bCs/>
          <w:color w:val="000000"/>
          <w:sz w:val="24"/>
          <w:szCs w:val="24"/>
          <w:u w:val="single"/>
          <w:lang w:eastAsia="it-IT"/>
        </w:rPr>
        <w:t xml:space="preserve">Rischi di credito </w:t>
      </w:r>
    </w:p>
    <w:p w:rsidR="004E6E88" w:rsidRPr="004E6E88" w:rsidRDefault="004E6E88" w:rsidP="00AE2F6F">
      <w:pPr>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eastAsia="it-IT"/>
        </w:rPr>
        <w:t xml:space="preserve">L'attività di finanziamento è di grande importanza per </w:t>
      </w: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in particolare per quanto riguarda la concessione di crediti in relazione a immobili residenziali e commerciali. Le conseguenze del cambiamento climatico sono quindi più evidenti per la Banca sotto forma di rischi di credito. Occorre distinguere tra rischi di transizione - come, ad esempio, l'aumento dei costi legati all'adozione della normativa di riferimento - e rischi fisici - come ad esempio le frane. </w:t>
      </w:r>
    </w:p>
    <w:p w:rsidR="004E6E88" w:rsidRPr="004E6E88" w:rsidRDefault="004E6E88" w:rsidP="00AE2F6F">
      <w:pPr>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eastAsia="it-IT"/>
        </w:rPr>
        <w:t xml:space="preserve">Per quanto riguarda i rischi di transizione per i crediti ipotecari e per gli immobili commerciali, la sempre più severa normativa in materia di ristrutturazioni può portare ad un aumento dei costi di gestione o rendere necessari investimenti che possono comportare riduzioni di prezzo o inadempienze sui crediti. </w:t>
      </w:r>
    </w:p>
    <w:p w:rsidR="004E6E88" w:rsidRPr="004E6E88" w:rsidRDefault="004E6E88" w:rsidP="00AE2F6F">
      <w:pPr>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eastAsia="it-IT"/>
        </w:rPr>
        <w:t xml:space="preserve">Per i rischi fisici relativi alle tipologie di finanziamento suindicate, va rilevato come in Svizzera i danni agli edifici causati ad esempio dalle intemperie sono in gran parte coperti dall'assicurazione obbligatoria degli edifici. Tali eventi non dovrebbero pertanto comportare un aumento delle insolvenze nei crediti a breve e medio termine. </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Nel contesto dei rischi di transizione per i crediti alle imprese,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non partecipa a intermediazioni riguardanti petrolio, non accetta nuova clientela attiva nel trading di </w:t>
      </w:r>
      <w:r w:rsidRPr="004E6E88">
        <w:rPr>
          <w:rFonts w:eastAsia="Times New Roman" w:cs="Arial"/>
          <w:color w:val="000000"/>
          <w:sz w:val="24"/>
          <w:szCs w:val="24"/>
          <w:lang w:val="it-IT" w:eastAsia="it-IT"/>
        </w:rPr>
        <w:lastRenderedPageBreak/>
        <w:t xml:space="preserve">carbone e non finanzia altresì le attività nell'ambito del petrolio grezzo e dei derivati del petrolio. </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Per quanto attiene ai rischi fisici per i crediti alle imprese,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non evidenzia un'alta percentuale di finanziamenti nei settori potenzialmente più colpiti, come l'agricoltura o il turismo, per cui non si prevede un impatto significativo sul portafoglio crediti nel medio-lungo termine.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AE2F6F">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Rischi di mercato e di liquidità</w:t>
      </w:r>
    </w:p>
    <w:p w:rsidR="004E6E88" w:rsidRPr="004E6E88" w:rsidRDefault="004E6E88" w:rsidP="00AE2F6F">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non investe in settori che sono colpiti in maniera importante dal cambiamento climatico da rischi di transizione e/o fisici e si impegna parallelamente a ridurre le esposizioni esistenti attraverso il dialogo con la clientela specifica. </w:t>
      </w:r>
    </w:p>
    <w:p w:rsidR="004E6E88" w:rsidRPr="004E6E88" w:rsidRDefault="004E6E88" w:rsidP="00AE2F6F">
      <w:pPr>
        <w:kinsoku w:val="0"/>
        <w:overflowPunct w:val="0"/>
        <w:ind w:right="147"/>
        <w:rPr>
          <w:rFonts w:eastAsia="Times New Roman" w:cs="Arial"/>
          <w:color w:val="000000"/>
          <w:sz w:val="24"/>
          <w:szCs w:val="24"/>
          <w:lang w:val="it-IT" w:eastAsia="it-IT"/>
        </w:rPr>
      </w:pPr>
    </w:p>
    <w:p w:rsidR="004E6E88" w:rsidRPr="004E6E88" w:rsidRDefault="004E6E88" w:rsidP="00AE2F6F">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Rischi operativi</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Il cambiamento climatico ha un impatto minimo sui rischi operativi della Banca.</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In relazione ai rischi di transizione inerenti alle operazioni bancarie, va rilevato come la crescente sensibilità della società verso le questioni climatiche e l'introduzione di disposizioni normative in materia pongono le aziende di fronte ad ulteriori requisiti di natura gestionale, come ad esempio la raccolta di dati e la rendicontazione non-finanziaria. A causa di questi nuovi requisiti esiste di fatto un rischio operativo per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ad esempio, sotto forma di rischi legali accresciuti. </w:t>
      </w:r>
    </w:p>
    <w:p w:rsidR="004E6E88" w:rsidRPr="004E6E88" w:rsidRDefault="004E6E88" w:rsidP="00AE2F6F">
      <w:pPr>
        <w:kinsoku w:val="0"/>
        <w:overflowPunct w:val="0"/>
        <w:ind w:right="147"/>
        <w:rPr>
          <w:rFonts w:eastAsia="Times New Roman" w:cs="Arial"/>
          <w:color w:val="000000"/>
          <w:sz w:val="24"/>
          <w:szCs w:val="24"/>
          <w:lang w:val="it-IT" w:eastAsia="it-IT"/>
        </w:rPr>
      </w:pPr>
    </w:p>
    <w:p w:rsidR="004E6E88" w:rsidRPr="004E6E88" w:rsidRDefault="004E6E88" w:rsidP="00AE2F6F">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Rischi di reputazione</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Di norma il rischio a livello di reputazione aumenta con la crescente sensibilità di tutti i gruppi di stakeholder della Banca alle questioni climatiche. In taluni casi le aspettative disattese di alcuni stakeholder potrebbero portare ad accuse – giustificate o ingiustificate – verso la Banca. Poiché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attribuisce grande importanza alla sostenibilità e fornisce informazioni trasparenti, considera il rischio di reputazione nel complesso relativamente basso. </w:t>
      </w:r>
    </w:p>
    <w:p w:rsidR="004E6E88" w:rsidRPr="004E6E88" w:rsidRDefault="004E6E88" w:rsidP="00AE2F6F">
      <w:pPr>
        <w:kinsoku w:val="0"/>
        <w:overflowPunct w:val="0"/>
        <w:ind w:right="147"/>
        <w:rPr>
          <w:rFonts w:eastAsia="Times New Roman" w:cs="Arial"/>
          <w:color w:val="000000"/>
          <w:sz w:val="24"/>
          <w:szCs w:val="24"/>
          <w:lang w:val="it-IT" w:eastAsia="it-IT"/>
        </w:rPr>
      </w:pPr>
    </w:p>
    <w:p w:rsidR="004E6E88" w:rsidRPr="004E6E88" w:rsidRDefault="004E6E88" w:rsidP="00AE2F6F">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Resilienza della strategia della Banca al cambiamento climatico</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Attualmente la Banca considera prioritariamente l'aspetto della resilienza climatica per quanto attiene alle garanzie immobiliari, in considerazione del fatto che il portafoglio crediti ipotecari ha evidentemente una rilevanza materiale.</w:t>
      </w:r>
      <w:r w:rsidRPr="004E6E88">
        <w:rPr>
          <w:rFonts w:ascii="Arial Narrow" w:eastAsia="Times New Roman" w:hAnsi="Arial Narrow" w:cs="Times New Roman"/>
          <w:color w:val="000000"/>
          <w:sz w:val="24"/>
          <w:szCs w:val="20"/>
          <w:lang w:val="it-IT" w:eastAsia="it-IT"/>
        </w:rPr>
        <w:t xml:space="preserve"> </w:t>
      </w:r>
      <w:r w:rsidRPr="004E6E88">
        <w:rPr>
          <w:rFonts w:eastAsia="Times New Roman" w:cs="Arial"/>
          <w:color w:val="000000"/>
          <w:sz w:val="24"/>
          <w:szCs w:val="24"/>
          <w:lang w:val="it-IT" w:eastAsia="it-IT"/>
        </w:rPr>
        <w:t xml:space="preserve">Tale attività viene già svolta nel contesto della stima del pegno immobiliare e deve essere perfezionata per quanto riguarda la base dei dati. </w:t>
      </w:r>
    </w:p>
    <w:p w:rsidR="004E6E88" w:rsidRPr="004E6E88" w:rsidRDefault="004E6E88" w:rsidP="00AE2F6F">
      <w:pPr>
        <w:kinsoku w:val="0"/>
        <w:overflowPunct w:val="0"/>
        <w:ind w:right="147"/>
        <w:rPr>
          <w:rFonts w:eastAsia="Times New Roman" w:cs="Arial"/>
          <w:color w:val="000000"/>
          <w:sz w:val="24"/>
          <w:szCs w:val="24"/>
          <w:lang w:val="it-IT" w:eastAsia="it-IT"/>
        </w:rPr>
      </w:pPr>
    </w:p>
    <w:p w:rsidR="004E6E88" w:rsidRPr="004E6E88" w:rsidRDefault="004E6E88" w:rsidP="00AE2F6F">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Misurazione e monitoraggio delle emissioni</w:t>
      </w:r>
    </w:p>
    <w:p w:rsidR="004E6E88" w:rsidRPr="004E6E88" w:rsidRDefault="004E6E88" w:rsidP="00AE2F6F">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sta compiendo passi significativi per rafforzare il monitoraggio e la gestione delle emissioni di gas a effetto serra. Nel 2024 la Banca ha iniziato un ambizioso progetto di monitoraggio di tali emissioni, con lo scopo di definire gli obiettivi, le misure e il percorso di riduzione che le permettano di raggiungere gli obiettivi «net-zero» entro il 2050. </w:t>
      </w: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Nel corso del 2024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ha misurato per la seconda volta le proprie emissioni di carbonio operative (Scope 1, Scope 2 e Scope 3) in conformità con gli standard del Protocollo sui gas a effetto serra (GHG </w:t>
      </w:r>
      <w:proofErr w:type="spellStart"/>
      <w:r w:rsidRPr="004E6E88">
        <w:rPr>
          <w:rFonts w:eastAsia="Times New Roman" w:cs="Arial"/>
          <w:color w:val="000000"/>
          <w:sz w:val="24"/>
          <w:szCs w:val="24"/>
          <w:lang w:val="it-IT" w:eastAsia="it-IT"/>
        </w:rPr>
        <w:t>Protocol</w:t>
      </w:r>
      <w:proofErr w:type="spellEnd"/>
      <w:r w:rsidRPr="004E6E88">
        <w:rPr>
          <w:rFonts w:eastAsia="Times New Roman" w:cs="Arial"/>
          <w:color w:val="000000"/>
          <w:sz w:val="24"/>
          <w:szCs w:val="24"/>
          <w:lang w:val="it-IT" w:eastAsia="it-IT"/>
        </w:rPr>
        <w:t xml:space="preserve"> - Corporate Standard). Secondo il protocollo sui gas a effetto serra vengono identificate tre tipologie di emissioni: 1) «Scope 1», ossia le emissioni «dirette, derivanti dall'attività operativa di un'azienda (ad esempio impianti, veicoli e processi dell'azienda); 2) «Scope 2», in questo caso le emissioni </w:t>
      </w:r>
      <w:r w:rsidRPr="004E6E88">
        <w:rPr>
          <w:rFonts w:eastAsia="Times New Roman" w:cs="Arial"/>
          <w:color w:val="000000"/>
          <w:sz w:val="24"/>
          <w:szCs w:val="24"/>
          <w:lang w:val="it-IT" w:eastAsia="it-IT"/>
        </w:rPr>
        <w:lastRenderedPageBreak/>
        <w:t>«indirette», derivanti ad esempio dall'acquisto di elettricità e dell'energia destinata al riscaldamento e al raffreddamento di edifici ad uso proprio; 3) «Scope 3», vale a dire le emissioni provenienti dalla catena del valore dell'azienda, a monte e a valle dell'attività che essa svolge. Tra queste figurano – a titolo d'esempio - le emissioni indirette derivanti dalla produzione dei beni o servizi che la banca acquista da terzi o subappalta ad altre entità.</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AE2F6F">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Emissioni di CO2 operative</w:t>
      </w:r>
    </w:p>
    <w:p w:rsid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La misurazione delle emissioni di gas serra e la definizione delle misure di riduzione rientrano in un processo ben definito, il quale persegue lo scopo di determinare gli obiettivi di riduzione attraverso i quali la Banca può contribuire a raggiungere gli obiettivi «net-zero» del Consiglio federale nel contesto della sua strategia climatica di lungo periodo 2050. </w:t>
      </w:r>
    </w:p>
    <w:p w:rsidR="007A39CE" w:rsidRPr="004E6E88" w:rsidRDefault="007A39CE" w:rsidP="00AE2F6F">
      <w:pPr>
        <w:kinsoku w:val="0"/>
        <w:overflowPunct w:val="0"/>
        <w:ind w:right="147"/>
        <w:rPr>
          <w:rFonts w:eastAsia="Times New Roman" w:cs="Arial"/>
          <w:color w:val="000000"/>
          <w:sz w:val="24"/>
          <w:szCs w:val="24"/>
          <w:lang w:val="it-IT" w:eastAsia="it-IT"/>
        </w:rPr>
      </w:pPr>
    </w:p>
    <w:p w:rsid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Conformemente al protocollo GHG relativo alla misurazione dei gas serra, il primo passo per procedere con il rilevamento dell'impronta di carbonio aziendale operativa consiste nel definire il perimetro di riferimento (i confini del sistema) sul quale basare l'analisi. Tale definizione va altresì adottata identificando la materialità degli oggetti presi in considerazione per la misurazione. Nel 2023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aveva quindi definito tale perimetro rilevando i dati dei sette edifici principali di proprietà della Banca: Bellinzona, Viale H. </w:t>
      </w:r>
      <w:proofErr w:type="spellStart"/>
      <w:r w:rsidRPr="004E6E88">
        <w:rPr>
          <w:rFonts w:eastAsia="Times New Roman" w:cs="Arial"/>
          <w:color w:val="000000"/>
          <w:sz w:val="24"/>
          <w:szCs w:val="24"/>
          <w:lang w:val="it-IT" w:eastAsia="it-IT"/>
        </w:rPr>
        <w:t>Guisan</w:t>
      </w:r>
      <w:proofErr w:type="spellEnd"/>
      <w:r w:rsidRPr="004E6E88">
        <w:rPr>
          <w:rFonts w:eastAsia="Times New Roman" w:cs="Arial"/>
          <w:color w:val="000000"/>
          <w:sz w:val="24"/>
          <w:szCs w:val="24"/>
          <w:lang w:val="it-IT" w:eastAsia="it-IT"/>
        </w:rPr>
        <w:t xml:space="preserve"> 5 (Sede principale) e Piazza Collegiata; Chiasso: Corso San Gottardo 4; Locarno: Via Naviglio Vecchio 4; Lugano: Via Pioda 7, Piazza Riforma, Viale Stefano </w:t>
      </w:r>
      <w:proofErr w:type="spellStart"/>
      <w:r w:rsidRPr="004E6E88">
        <w:rPr>
          <w:rFonts w:eastAsia="Times New Roman" w:cs="Arial"/>
          <w:color w:val="000000"/>
          <w:sz w:val="24"/>
          <w:szCs w:val="24"/>
          <w:lang w:val="it-IT" w:eastAsia="it-IT"/>
        </w:rPr>
        <w:t>Franscini</w:t>
      </w:r>
      <w:proofErr w:type="spellEnd"/>
      <w:r w:rsidRPr="004E6E88">
        <w:rPr>
          <w:rFonts w:eastAsia="Times New Roman" w:cs="Arial"/>
          <w:color w:val="000000"/>
          <w:sz w:val="24"/>
          <w:szCs w:val="24"/>
          <w:lang w:val="it-IT" w:eastAsia="it-IT"/>
        </w:rPr>
        <w:t xml:space="preserve"> 22.  Con riferimento a questi edifici nel periodo di riferimento, il 2024,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ha generato </w:t>
      </w:r>
      <w:proofErr w:type="spellStart"/>
      <w:r w:rsidRPr="004E6E88">
        <w:rPr>
          <w:rFonts w:eastAsia="Times New Roman" w:cs="Arial"/>
          <w:color w:val="000000"/>
          <w:sz w:val="24"/>
          <w:szCs w:val="24"/>
          <w:lang w:val="it-IT" w:eastAsia="it-IT"/>
        </w:rPr>
        <w:t>ca</w:t>
      </w:r>
      <w:proofErr w:type="spellEnd"/>
      <w:r w:rsidRPr="004E6E88">
        <w:rPr>
          <w:rFonts w:eastAsia="Times New Roman" w:cs="Arial"/>
          <w:color w:val="000000"/>
          <w:sz w:val="24"/>
          <w:szCs w:val="24"/>
          <w:lang w:val="it-IT" w:eastAsia="it-IT"/>
        </w:rPr>
        <w:t xml:space="preserve">. 1'593 tonnellate di CO2 equivalente, contro le 1'039 emesse nel 2023. L'aumento del 44% è da attribuire al fatto che la Banca, nel 2024, ha potuto raccogliere e impiegare più dati per rapporto a quanto rilevato nell'anno precedente, andando parallelamente a migliorare la qualità dei dati. </w:t>
      </w:r>
    </w:p>
    <w:p w:rsidR="007A39CE" w:rsidRPr="004E6E88" w:rsidRDefault="007A39CE" w:rsidP="00AE2F6F">
      <w:pPr>
        <w:kinsoku w:val="0"/>
        <w:overflowPunct w:val="0"/>
        <w:ind w:right="147"/>
        <w:rPr>
          <w:rFonts w:eastAsia="Times New Roman" w:cs="Arial"/>
          <w:color w:val="000000"/>
          <w:sz w:val="24"/>
          <w:szCs w:val="24"/>
          <w:lang w:val="it-IT" w:eastAsia="it-IT"/>
        </w:rPr>
      </w:pPr>
    </w:p>
    <w:p w:rsid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Rispetto al periodo precedente, le emissioni dirette di Scope 1 sono leggermente diminuite, passando dalle circa 196 tonnellate di CO2 equivalente del 2023 alle 183 del 2024. Le emissioni indirette di Scope 2 si attestavano nel 2024 a circa 202 tonnellate di CO2 equivalente, mentre quelle indirette di Scope 3 – generate per la maggior parte dal traffico pendolare del personale, dall'acquisto di beni e servizi e dalle spese per beni d'investimento – si situano a 1'208 t di CO2 equivalente.</w:t>
      </w:r>
      <w:r w:rsidRPr="004E6E88">
        <w:rPr>
          <w:rFonts w:ascii="Arial Narrow" w:eastAsia="Times New Roman" w:hAnsi="Arial Narrow" w:cs="Times New Roman"/>
          <w:color w:val="000000"/>
          <w:sz w:val="24"/>
          <w:szCs w:val="20"/>
          <w:lang w:val="it-IT" w:eastAsia="it-IT"/>
        </w:rPr>
        <w:t xml:space="preserve"> </w:t>
      </w:r>
      <w:r w:rsidRPr="004E6E88">
        <w:rPr>
          <w:rFonts w:eastAsia="Times New Roman" w:cs="Arial"/>
          <w:color w:val="000000"/>
          <w:sz w:val="24"/>
          <w:szCs w:val="24"/>
          <w:lang w:val="it-IT" w:eastAsia="it-IT"/>
        </w:rPr>
        <w:t>Un paragone di queste due ultime categorie con il 2023 non è di fatto significativo (66 tonnellate di CO2 equivalente per le emissioni indirette di Scope 2 e 777 tonnellate di CO2 equivalente per quelle indirette di Scope 3), proprio in virtù del miglioramento e dell'ottimizzazione della base dati.</w:t>
      </w:r>
    </w:p>
    <w:p w:rsidR="007A39CE" w:rsidRPr="004E6E88" w:rsidRDefault="007A39CE" w:rsidP="00AE2F6F">
      <w:pPr>
        <w:kinsoku w:val="0"/>
        <w:overflowPunct w:val="0"/>
        <w:ind w:right="147"/>
        <w:rPr>
          <w:rFonts w:eastAsia="Times New Roman" w:cs="Arial"/>
          <w:color w:val="000000"/>
          <w:sz w:val="24"/>
          <w:szCs w:val="24"/>
          <w:lang w:val="it-IT" w:eastAsia="it-IT"/>
        </w:rPr>
      </w:pPr>
    </w:p>
    <w:p w:rsidR="004E6E88" w:rsidRPr="004E6E88" w:rsidRDefault="004E6E88" w:rsidP="00AE2F6F">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Per queste ultime categorie di emissioni la misurazione del 2024 rappresenta più fedelmente la situazione reale della Banca e può quindi fungere da valore di riferimento sul quale definire gli obiettivi futuri di riduzione delle emissioni. </w:t>
      </w:r>
    </w:p>
    <w:p w:rsidR="004E6E88" w:rsidRPr="004E6E88" w:rsidRDefault="004E6E88" w:rsidP="00AE2F6F">
      <w:pPr>
        <w:kinsoku w:val="0"/>
        <w:overflowPunct w:val="0"/>
        <w:ind w:right="147"/>
        <w:rPr>
          <w:rFonts w:eastAsia="Times New Roman" w:cs="Arial"/>
          <w:color w:val="000000"/>
          <w:sz w:val="24"/>
          <w:szCs w:val="24"/>
          <w:lang w:val="it-IT" w:eastAsia="it-IT"/>
        </w:rPr>
      </w:pP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r w:rsidRPr="004E6E88">
        <w:rPr>
          <w:rFonts w:eastAsia="Times New Roman" w:cs="Arial"/>
          <w:noProof/>
          <w:color w:val="000000"/>
          <w:sz w:val="24"/>
          <w:szCs w:val="24"/>
          <w:lang w:eastAsia="it-CH"/>
        </w:rPr>
        <w:lastRenderedPageBreak/>
        <w:drawing>
          <wp:inline distT="0" distB="0" distL="0" distR="0" wp14:anchorId="03BFEB9E" wp14:editId="74BEBE86">
            <wp:extent cx="6120130" cy="3419981"/>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130" cy="3419981"/>
                    </a:xfrm>
                    <a:prstGeom prst="rect">
                      <a:avLst/>
                    </a:prstGeom>
                    <a:noFill/>
                    <a:ln>
                      <a:noFill/>
                    </a:ln>
                  </pic:spPr>
                </pic:pic>
              </a:graphicData>
            </a:graphic>
          </wp:inline>
        </w:drawing>
      </w:r>
    </w:p>
    <w:p w:rsidR="004E6E88" w:rsidRPr="004E6E88" w:rsidRDefault="004E6E88" w:rsidP="004E6E88">
      <w:pPr>
        <w:kinsoku w:val="0"/>
        <w:overflowPunct w:val="0"/>
        <w:spacing w:line="276" w:lineRule="auto"/>
        <w:ind w:right="147"/>
        <w:rPr>
          <w:rFonts w:eastAsia="Times New Roman" w:cs="Arial"/>
          <w:i/>
          <w:color w:val="000000"/>
          <w:lang w:val="it-IT" w:eastAsia="it-IT"/>
        </w:rPr>
      </w:pPr>
      <w:r w:rsidRPr="004E6E88">
        <w:rPr>
          <w:rFonts w:eastAsia="Times New Roman" w:cs="Arial"/>
          <w:i/>
          <w:color w:val="000000"/>
          <w:lang w:val="it-IT" w:eastAsia="it-IT"/>
        </w:rPr>
        <w:t xml:space="preserve">Rapporto di sostenibilità, p. 118.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7A39CE">
      <w:pPr>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eastAsia="it-IT"/>
        </w:rPr>
        <w:t>Nel 2024 la Banca ha affrontato le prime due fasi del processo, mentre nel 2025 essa si concentrerà principalmente sulla definizione della strategia climatica, degli obiettivi di riduzione delle emissioni di gas serra e di una «</w:t>
      </w:r>
      <w:proofErr w:type="spellStart"/>
      <w:r w:rsidRPr="004E6E88">
        <w:rPr>
          <w:rFonts w:eastAsia="Times New Roman" w:cs="Arial"/>
          <w:color w:val="000000"/>
          <w:sz w:val="24"/>
          <w:szCs w:val="24"/>
          <w:lang w:eastAsia="it-IT"/>
        </w:rPr>
        <w:t>roadmap</w:t>
      </w:r>
      <w:proofErr w:type="spellEnd"/>
      <w:r w:rsidRPr="004E6E88">
        <w:rPr>
          <w:rFonts w:eastAsia="Times New Roman" w:cs="Arial"/>
          <w:color w:val="000000"/>
          <w:sz w:val="24"/>
          <w:szCs w:val="24"/>
          <w:lang w:eastAsia="it-IT"/>
        </w:rPr>
        <w:t xml:space="preserve">» climatica nella quale saranno incluse le relative misure di riduzione. </w:t>
      </w:r>
    </w:p>
    <w:p w:rsidR="004E6E88" w:rsidRPr="004E6E88" w:rsidRDefault="004E6E88" w:rsidP="007A39CE">
      <w:pPr>
        <w:kinsoku w:val="0"/>
        <w:overflowPunct w:val="0"/>
        <w:ind w:right="147"/>
        <w:rPr>
          <w:rFonts w:eastAsia="Times New Roman" w:cs="Arial"/>
          <w:color w:val="000000"/>
          <w:sz w:val="24"/>
          <w:szCs w:val="24"/>
          <w:lang w:eastAsia="it-IT"/>
        </w:rPr>
      </w:pPr>
    </w:p>
    <w:p w:rsidR="004E6E88" w:rsidRPr="004E6E88" w:rsidRDefault="004E6E88" w:rsidP="007A39CE">
      <w:pPr>
        <w:kinsoku w:val="0"/>
        <w:overflowPunct w:val="0"/>
        <w:spacing w:after="120"/>
        <w:ind w:right="147"/>
        <w:rPr>
          <w:rFonts w:eastAsia="Times New Roman" w:cs="Arial"/>
          <w:color w:val="000000"/>
          <w:sz w:val="24"/>
          <w:szCs w:val="24"/>
          <w:u w:val="single"/>
          <w:lang w:eastAsia="it-IT"/>
        </w:rPr>
      </w:pPr>
      <w:r w:rsidRPr="004E6E88">
        <w:rPr>
          <w:rFonts w:eastAsia="Times New Roman" w:cs="Arial"/>
          <w:bCs/>
          <w:color w:val="000000"/>
          <w:sz w:val="24"/>
          <w:szCs w:val="24"/>
          <w:u w:val="single"/>
          <w:lang w:eastAsia="it-IT"/>
        </w:rPr>
        <w:t xml:space="preserve">Promozione della mobilità aziendale </w:t>
      </w:r>
    </w:p>
    <w:p w:rsidR="004E6E88" w:rsidRPr="004E6E88" w:rsidRDefault="004E6E88" w:rsidP="007A39CE">
      <w:pPr>
        <w:kinsoku w:val="0"/>
        <w:overflowPunct w:val="0"/>
        <w:ind w:right="147"/>
        <w:rPr>
          <w:rFonts w:eastAsia="Times New Roman" w:cs="Arial"/>
          <w:color w:val="000000"/>
          <w:sz w:val="24"/>
          <w:szCs w:val="24"/>
          <w:lang w:eastAsia="it-IT"/>
        </w:rPr>
      </w:pPr>
      <w:r w:rsidRPr="004E6E88">
        <w:rPr>
          <w:rFonts w:eastAsia="Times New Roman" w:cs="Arial"/>
          <w:color w:val="000000"/>
          <w:sz w:val="24"/>
          <w:szCs w:val="24"/>
          <w:lang w:eastAsia="it-IT"/>
        </w:rPr>
        <w:t xml:space="preserve">Nell’ambito della mobilità aziendale, la Banca incentiva da tempo l'impiego di mezzi pubblici, grazie anche all'accordo siglato con le Ferrovie Federali Svizzere. </w:t>
      </w:r>
    </w:p>
    <w:p w:rsidR="004E6E88" w:rsidRPr="004E6E88" w:rsidRDefault="004E6E88" w:rsidP="007A39CE">
      <w:pPr>
        <w:kinsoku w:val="0"/>
        <w:overflowPunct w:val="0"/>
        <w:ind w:right="147"/>
        <w:rPr>
          <w:rFonts w:eastAsia="Times New Roman" w:cs="Arial"/>
          <w:color w:val="000000"/>
          <w:sz w:val="24"/>
          <w:szCs w:val="24"/>
          <w:lang w:val="it-IT" w:eastAsia="it-IT"/>
        </w:rPr>
      </w:pPr>
    </w:p>
    <w:p w:rsidR="004E6E88" w:rsidRPr="004E6E88" w:rsidRDefault="004E6E88" w:rsidP="007A39CE">
      <w:pPr>
        <w:kinsoku w:val="0"/>
        <w:overflowPunct w:val="0"/>
        <w:spacing w:after="120"/>
        <w:ind w:right="147"/>
        <w:rPr>
          <w:rFonts w:eastAsia="Times New Roman" w:cs="Arial"/>
          <w:color w:val="000000"/>
          <w:sz w:val="24"/>
          <w:szCs w:val="24"/>
          <w:u w:val="single"/>
          <w:lang w:eastAsia="it-IT"/>
        </w:rPr>
      </w:pPr>
      <w:r w:rsidRPr="004E6E88">
        <w:rPr>
          <w:rFonts w:eastAsia="Times New Roman" w:cs="Arial"/>
          <w:color w:val="000000"/>
          <w:sz w:val="24"/>
          <w:szCs w:val="24"/>
          <w:u w:val="single"/>
          <w:lang w:eastAsia="it-IT"/>
        </w:rPr>
        <w:t>Consumo di energia</w:t>
      </w:r>
    </w:p>
    <w:p w:rsidR="004E6E88" w:rsidRPr="004E6E88" w:rsidRDefault="004E6E88" w:rsidP="007A39CE">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ambisce alla costante riduzione del proprio consumo energetico e in particolare alla r</w:t>
      </w:r>
      <w:r w:rsidRPr="004E6E88">
        <w:rPr>
          <w:rFonts w:eastAsia="Times New Roman" w:cs="Arial"/>
          <w:bCs/>
          <w:color w:val="000000"/>
          <w:sz w:val="24"/>
          <w:szCs w:val="24"/>
          <w:lang w:eastAsia="it-IT"/>
        </w:rPr>
        <w:t xml:space="preserve">iduzione costante nel tempo dell'olio da riscaldamento. </w:t>
      </w:r>
    </w:p>
    <w:p w:rsidR="004E6E88" w:rsidRPr="004E6E88" w:rsidRDefault="004E6E88" w:rsidP="007A39CE">
      <w:pPr>
        <w:kinsoku w:val="0"/>
        <w:overflowPunct w:val="0"/>
        <w:ind w:right="147"/>
        <w:rPr>
          <w:rFonts w:eastAsia="Times New Roman" w:cs="Arial"/>
          <w:color w:val="000000"/>
          <w:sz w:val="24"/>
          <w:szCs w:val="24"/>
          <w:u w:val="single"/>
          <w:lang w:val="it-IT" w:eastAsia="it-IT"/>
        </w:rPr>
      </w:pPr>
    </w:p>
    <w:p w:rsidR="004E6E88" w:rsidRPr="004E6E88" w:rsidRDefault="004E6E88" w:rsidP="007A39CE">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Consumo di acqua</w:t>
      </w:r>
    </w:p>
    <w:p w:rsidR="004E6E88" w:rsidRPr="004E6E88" w:rsidRDefault="004E6E88" w:rsidP="007A39CE">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eastAsia="it-IT"/>
        </w:rPr>
        <w:t>BancaStato</w:t>
      </w:r>
      <w:proofErr w:type="spellEnd"/>
      <w:r w:rsidRPr="004E6E88">
        <w:rPr>
          <w:rFonts w:eastAsia="Times New Roman" w:cs="Arial"/>
          <w:color w:val="000000"/>
          <w:sz w:val="24"/>
          <w:szCs w:val="24"/>
          <w:lang w:eastAsia="it-IT"/>
        </w:rPr>
        <w:t xml:space="preserve"> monitora e rende pubblici i consumi di acqua già dal 2019, con particolare riferimento all'acqua potabile e all'acqua industriale. </w:t>
      </w:r>
    </w:p>
    <w:p w:rsidR="004E6E88" w:rsidRPr="004E6E88" w:rsidRDefault="004E6E88" w:rsidP="007A39CE">
      <w:pPr>
        <w:kinsoku w:val="0"/>
        <w:overflowPunct w:val="0"/>
        <w:ind w:right="147"/>
        <w:rPr>
          <w:rFonts w:eastAsia="Times New Roman" w:cs="Arial"/>
          <w:color w:val="000000"/>
          <w:sz w:val="24"/>
          <w:szCs w:val="24"/>
          <w:lang w:val="it-IT" w:eastAsia="it-IT"/>
        </w:rPr>
      </w:pPr>
    </w:p>
    <w:p w:rsidR="004E6E88" w:rsidRPr="004E6E88" w:rsidRDefault="004E6E88" w:rsidP="007A39CE">
      <w:pPr>
        <w:kinsoku w:val="0"/>
        <w:overflowPunct w:val="0"/>
        <w:spacing w:after="120"/>
        <w:ind w:right="147"/>
        <w:rPr>
          <w:rFonts w:eastAsia="Times New Roman" w:cs="Arial"/>
          <w:color w:val="000000"/>
          <w:sz w:val="24"/>
          <w:szCs w:val="24"/>
          <w:u w:val="single"/>
          <w:lang w:eastAsia="it-IT"/>
        </w:rPr>
      </w:pPr>
      <w:r w:rsidRPr="004E6E88">
        <w:rPr>
          <w:rFonts w:eastAsia="Times New Roman" w:cs="Arial"/>
          <w:color w:val="000000"/>
          <w:sz w:val="24"/>
          <w:szCs w:val="24"/>
          <w:u w:val="single"/>
          <w:lang w:eastAsia="it-IT"/>
        </w:rPr>
        <w:t>Consumo di carta, gestione e smaltimento dei rifiuti</w:t>
      </w:r>
    </w:p>
    <w:p w:rsidR="004E6E88" w:rsidRPr="004E6E88" w:rsidRDefault="004E6E88" w:rsidP="007A39CE">
      <w:pPr>
        <w:kinsoku w:val="0"/>
        <w:overflowPunct w:val="0"/>
        <w:ind w:right="147"/>
        <w:rPr>
          <w:rFonts w:eastAsia="Times New Roman" w:cs="Arial"/>
          <w:color w:val="000000"/>
          <w:sz w:val="24"/>
          <w:szCs w:val="24"/>
          <w:lang w:val="it-IT" w:eastAsia="it-IT"/>
        </w:rPr>
      </w:pPr>
      <w:proofErr w:type="spellStart"/>
      <w:r w:rsidRPr="004E6E88">
        <w:rPr>
          <w:rFonts w:eastAsia="Times New Roman" w:cs="Arial"/>
          <w:bCs/>
          <w:color w:val="000000"/>
          <w:sz w:val="24"/>
          <w:szCs w:val="24"/>
          <w:lang w:eastAsia="it-IT"/>
        </w:rPr>
        <w:t>BancaStato</w:t>
      </w:r>
      <w:proofErr w:type="spellEnd"/>
      <w:r w:rsidRPr="004E6E88">
        <w:rPr>
          <w:rFonts w:eastAsia="Times New Roman" w:cs="Arial"/>
          <w:bCs/>
          <w:color w:val="000000"/>
          <w:sz w:val="24"/>
          <w:szCs w:val="24"/>
          <w:lang w:eastAsia="it-IT"/>
        </w:rPr>
        <w:t xml:space="preserve"> da anni compie sforzi per ridurre il consumo di carta e in generale di rifiuti.  Inoltre, </w:t>
      </w:r>
      <w:r w:rsidRPr="004E6E88">
        <w:rPr>
          <w:rFonts w:eastAsia="Times New Roman" w:cs="Arial"/>
          <w:color w:val="000000"/>
          <w:sz w:val="24"/>
          <w:szCs w:val="24"/>
          <w:lang w:val="it-IT" w:eastAsia="it-IT"/>
        </w:rPr>
        <w:t xml:space="preserve">si sta impegnando a digitalizzare ulteriormente i suoi processi di lavoro, per ridurre il consumo di carta. </w:t>
      </w:r>
    </w:p>
    <w:p w:rsidR="007A39CE" w:rsidRDefault="007A39CE">
      <w:pPr>
        <w:rPr>
          <w:rFonts w:eastAsia="Times New Roman" w:cs="Arial"/>
          <w:color w:val="000000"/>
          <w:sz w:val="24"/>
          <w:szCs w:val="24"/>
          <w:lang w:val="it-IT" w:eastAsia="it-IT"/>
        </w:rPr>
      </w:pPr>
      <w:r>
        <w:rPr>
          <w:rFonts w:eastAsia="Times New Roman" w:cs="Arial"/>
          <w:color w:val="000000"/>
          <w:sz w:val="24"/>
          <w:szCs w:val="24"/>
          <w:lang w:val="it-IT" w:eastAsia="it-IT"/>
        </w:rPr>
        <w:br w:type="page"/>
      </w:r>
    </w:p>
    <w:p w:rsidR="004E6E88" w:rsidRPr="007A39CE" w:rsidRDefault="004E6E88" w:rsidP="007A39CE">
      <w:pPr>
        <w:pStyle w:val="Titolo2"/>
        <w:numPr>
          <w:ilvl w:val="0"/>
          <w:numId w:val="0"/>
        </w:numPr>
        <w:tabs>
          <w:tab w:val="left" w:pos="567"/>
        </w:tabs>
        <w:spacing w:before="0" w:after="120"/>
        <w:jc w:val="both"/>
        <w:rPr>
          <w:rFonts w:eastAsia="Calibri" w:cs="Times New Roman"/>
          <w:sz w:val="24"/>
          <w:lang w:val="it-IT" w:eastAsia="it-IT"/>
        </w:rPr>
      </w:pPr>
      <w:r w:rsidRPr="007A39CE">
        <w:rPr>
          <w:rFonts w:eastAsia="Calibri" w:cs="Times New Roman"/>
          <w:sz w:val="24"/>
          <w:lang w:val="it-IT" w:eastAsia="it-IT"/>
        </w:rPr>
        <w:lastRenderedPageBreak/>
        <w:t xml:space="preserve">3.3 </w:t>
      </w:r>
      <w:r w:rsidR="007A39CE">
        <w:rPr>
          <w:rFonts w:eastAsia="Calibri" w:cs="Times New Roman"/>
          <w:sz w:val="24"/>
          <w:lang w:val="it-IT" w:eastAsia="it-IT"/>
        </w:rPr>
        <w:tab/>
      </w:r>
      <w:r w:rsidRPr="007A39CE">
        <w:rPr>
          <w:rFonts w:eastAsia="Calibri" w:cs="Times New Roman"/>
          <w:sz w:val="24"/>
          <w:lang w:val="it-IT" w:eastAsia="it-IT"/>
        </w:rPr>
        <w:t xml:space="preserve">Gli Obiettivi di Sviluppo Sostenibile (OSS) rilevanti per </w:t>
      </w:r>
      <w:proofErr w:type="spellStart"/>
      <w:r w:rsidRPr="007A39CE">
        <w:rPr>
          <w:rFonts w:eastAsia="Calibri" w:cs="Times New Roman"/>
          <w:sz w:val="24"/>
          <w:lang w:val="it-IT" w:eastAsia="it-IT"/>
        </w:rPr>
        <w:t>BancaStato</w:t>
      </w:r>
      <w:proofErr w:type="spellEnd"/>
      <w:r w:rsidRPr="007A39CE">
        <w:rPr>
          <w:rFonts w:eastAsia="Calibri" w:cs="Times New Roman"/>
          <w:sz w:val="24"/>
          <w:lang w:val="it-IT" w:eastAsia="it-IT"/>
        </w:rPr>
        <w:t xml:space="preserve"> </w:t>
      </w:r>
    </w:p>
    <w:p w:rsidR="004E6E88" w:rsidRDefault="004E6E88" w:rsidP="007A39CE">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eastAsia="it-CH"/>
        </w:rPr>
        <w:t xml:space="preserve">Gli Obiettivi di Sviluppo Sostenibile (OSS) sono al centro dell'Agenda 2030, adottata dalle Nazioni Unite nell'autunno 2015. Essi definiscono le tappe ambientali, sociali e di </w:t>
      </w:r>
      <w:proofErr w:type="spellStart"/>
      <w:r w:rsidRPr="004E6E88">
        <w:rPr>
          <w:rFonts w:eastAsia="Times New Roman" w:cs="Arial"/>
          <w:color w:val="000000"/>
          <w:sz w:val="24"/>
          <w:szCs w:val="24"/>
          <w:lang w:eastAsia="it-CH"/>
        </w:rPr>
        <w:t>governance</w:t>
      </w:r>
      <w:proofErr w:type="spellEnd"/>
      <w:r w:rsidRPr="004E6E88">
        <w:rPr>
          <w:rFonts w:eastAsia="Times New Roman" w:cs="Arial"/>
          <w:color w:val="000000"/>
          <w:sz w:val="24"/>
          <w:szCs w:val="24"/>
          <w:lang w:eastAsia="it-CH"/>
        </w:rPr>
        <w:t xml:space="preserve"> da raggiungere entro il 2030, per le quali le aziende possono dare un contributo decisivo.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è consapevole delle proprie responsabilità e ha creato le basi necessarie per allineare sempre più la propria gestione della sostenibilità e il proprio «core business» agli OSS, in particolare creando un gruppo di lavoro formato da una quindicina di collaboratrici e collaboratori che hanno identificato, tra i diciassette OSS, gli otto sui quali il modello d'affari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ha un impatto: parità di genere, energia pulita e accessibile, lavoro dignitoso e crescita economica, imprese, innovazione e infrastrutture, ridurre le disuguaglianze, consumo e produzione responsabili e lotta al cambiamento climatico. </w:t>
      </w:r>
    </w:p>
    <w:p w:rsidR="007A39CE" w:rsidRPr="004E6E88" w:rsidRDefault="007A39CE" w:rsidP="007A39CE">
      <w:pPr>
        <w:kinsoku w:val="0"/>
        <w:overflowPunct w:val="0"/>
        <w:ind w:right="147"/>
        <w:rPr>
          <w:rFonts w:eastAsia="Times New Roman" w:cs="Arial"/>
          <w:color w:val="000000"/>
          <w:sz w:val="24"/>
          <w:szCs w:val="24"/>
          <w:lang w:val="it-IT" w:eastAsia="it-IT"/>
        </w:rPr>
      </w:pPr>
    </w:p>
    <w:p w:rsidR="004E6E88" w:rsidRDefault="004E6E88" w:rsidP="007A39CE">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Nello specifico,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è attiva per:</w:t>
      </w:r>
    </w:p>
    <w:p w:rsidR="007A39CE" w:rsidRPr="004E6E88" w:rsidRDefault="007A39CE" w:rsidP="007A39CE">
      <w:pPr>
        <w:kinsoku w:val="0"/>
        <w:overflowPunct w:val="0"/>
        <w:ind w:right="147"/>
        <w:rPr>
          <w:rFonts w:eastAsia="Times New Roman" w:cs="Arial"/>
          <w:color w:val="000000"/>
          <w:sz w:val="24"/>
          <w:szCs w:val="24"/>
          <w:lang w:val="it-IT" w:eastAsia="it-IT"/>
        </w:rPr>
      </w:pPr>
    </w:p>
    <w:p w:rsidR="004E6E88" w:rsidRPr="004E6E88" w:rsidRDefault="004E6E88" w:rsidP="007A39CE">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1) </w:t>
      </w:r>
      <w:r w:rsidRPr="004E6E88">
        <w:rPr>
          <w:rFonts w:eastAsia="Times New Roman" w:cs="Arial"/>
          <w:color w:val="000000"/>
          <w:sz w:val="24"/>
          <w:szCs w:val="24"/>
          <w:u w:val="single"/>
          <w:lang w:val="it-IT" w:eastAsia="it-IT"/>
        </w:rPr>
        <w:t>OSS 5: Uguaglianza di genere</w:t>
      </w:r>
      <w:r w:rsidRPr="004E6E88">
        <w:rPr>
          <w:rFonts w:eastAsia="Times New Roman" w:cs="Arial"/>
          <w:color w:val="000000"/>
          <w:sz w:val="24"/>
          <w:szCs w:val="24"/>
          <w:lang w:val="it-IT" w:eastAsia="it-IT"/>
        </w:rPr>
        <w:t xml:space="preserve">: pari opportunità e diversità: </w:t>
      </w:r>
    </w:p>
    <w:p w:rsidR="004E6E88" w:rsidRPr="007A39CE" w:rsidRDefault="004E6E88" w:rsidP="007A39CE">
      <w:pPr>
        <w:pStyle w:val="Paragrafoelenco"/>
        <w:numPr>
          <w:ilvl w:val="2"/>
          <w:numId w:val="34"/>
        </w:numPr>
        <w:tabs>
          <w:tab w:val="left" w:pos="567"/>
        </w:tabs>
        <w:kinsoku w:val="0"/>
        <w:overflowPunct w:val="0"/>
        <w:spacing w:before="80"/>
        <w:ind w:left="284" w:right="147" w:firstLine="0"/>
        <w:contextualSpacing w:val="0"/>
        <w:rPr>
          <w:rFonts w:eastAsia="Times New Roman" w:cs="Arial"/>
          <w:color w:val="000000"/>
          <w:sz w:val="24"/>
          <w:szCs w:val="24"/>
          <w:lang w:val="it-IT" w:eastAsia="it-IT"/>
        </w:rPr>
      </w:pPr>
      <w:r w:rsidRPr="007A39CE">
        <w:rPr>
          <w:rFonts w:eastAsia="Times New Roman" w:cs="Arial"/>
          <w:color w:val="000000"/>
          <w:sz w:val="24"/>
          <w:szCs w:val="24"/>
          <w:lang w:val="it-IT" w:eastAsia="it-IT"/>
        </w:rPr>
        <w:t xml:space="preserve">Rispetto dei requisiti federali in materia di parità salariale e certificazione </w:t>
      </w:r>
      <w:proofErr w:type="spellStart"/>
      <w:r w:rsidRPr="007A39CE">
        <w:rPr>
          <w:rFonts w:eastAsia="Times New Roman" w:cs="Arial"/>
          <w:color w:val="000000"/>
          <w:sz w:val="24"/>
          <w:szCs w:val="24"/>
          <w:lang w:val="it-IT" w:eastAsia="it-IT"/>
        </w:rPr>
        <w:t>Equal</w:t>
      </w:r>
      <w:proofErr w:type="spellEnd"/>
      <w:r w:rsidRPr="007A39CE">
        <w:rPr>
          <w:rFonts w:eastAsia="Times New Roman" w:cs="Arial"/>
          <w:color w:val="000000"/>
          <w:sz w:val="24"/>
          <w:szCs w:val="24"/>
          <w:lang w:val="it-IT" w:eastAsia="it-IT"/>
        </w:rPr>
        <w:t>-</w:t>
      </w:r>
      <w:r w:rsidR="007A39CE">
        <w:rPr>
          <w:rFonts w:eastAsia="Times New Roman" w:cs="Arial"/>
          <w:color w:val="000000"/>
          <w:sz w:val="24"/>
          <w:szCs w:val="24"/>
          <w:lang w:val="it-IT" w:eastAsia="it-IT"/>
        </w:rPr>
        <w:tab/>
      </w:r>
      <w:proofErr w:type="spellStart"/>
      <w:r w:rsidRPr="007A39CE">
        <w:rPr>
          <w:rFonts w:eastAsia="Times New Roman" w:cs="Arial"/>
          <w:color w:val="000000"/>
          <w:sz w:val="24"/>
          <w:szCs w:val="24"/>
          <w:lang w:val="it-IT" w:eastAsia="it-IT"/>
        </w:rPr>
        <w:t>Salary</w:t>
      </w:r>
      <w:proofErr w:type="spellEnd"/>
      <w:r w:rsidRPr="007A39CE">
        <w:rPr>
          <w:rFonts w:eastAsia="Times New Roman" w:cs="Arial"/>
          <w:color w:val="000000"/>
          <w:sz w:val="24"/>
          <w:szCs w:val="24"/>
          <w:lang w:val="it-IT" w:eastAsia="it-IT"/>
        </w:rPr>
        <w:t xml:space="preserve"> che attesta la volontà di rispettare tale parità nel tempo</w:t>
      </w:r>
    </w:p>
    <w:p w:rsidR="004E6E88" w:rsidRPr="007A39CE" w:rsidRDefault="004E6E88" w:rsidP="007A39CE">
      <w:pPr>
        <w:pStyle w:val="Paragrafoelenco"/>
        <w:numPr>
          <w:ilvl w:val="2"/>
          <w:numId w:val="34"/>
        </w:numPr>
        <w:tabs>
          <w:tab w:val="left" w:pos="567"/>
        </w:tabs>
        <w:kinsoku w:val="0"/>
        <w:overflowPunct w:val="0"/>
        <w:spacing w:before="80"/>
        <w:ind w:left="284" w:right="147" w:firstLine="0"/>
        <w:contextualSpacing w:val="0"/>
        <w:rPr>
          <w:rFonts w:eastAsia="Times New Roman" w:cs="Arial"/>
          <w:color w:val="000000"/>
          <w:sz w:val="24"/>
          <w:szCs w:val="24"/>
          <w:lang w:val="it-IT" w:eastAsia="it-IT"/>
        </w:rPr>
      </w:pPr>
      <w:r w:rsidRPr="007A39CE">
        <w:rPr>
          <w:rFonts w:eastAsia="Times New Roman" w:cs="Arial"/>
          <w:color w:val="000000"/>
          <w:sz w:val="24"/>
          <w:szCs w:val="24"/>
          <w:lang w:val="it-IT" w:eastAsia="it-IT"/>
        </w:rPr>
        <w:t>Misure di conciliabilità vita-lavoro con possibilità di usufruire del lavoro da casa</w:t>
      </w:r>
    </w:p>
    <w:p w:rsidR="004E6E88" w:rsidRDefault="004E6E88" w:rsidP="007A39CE">
      <w:pPr>
        <w:pStyle w:val="Paragrafoelenco"/>
        <w:numPr>
          <w:ilvl w:val="2"/>
          <w:numId w:val="34"/>
        </w:numPr>
        <w:tabs>
          <w:tab w:val="left" w:pos="567"/>
        </w:tabs>
        <w:kinsoku w:val="0"/>
        <w:overflowPunct w:val="0"/>
        <w:spacing w:before="80"/>
        <w:ind w:left="284" w:right="147" w:firstLine="0"/>
        <w:contextualSpacing w:val="0"/>
        <w:rPr>
          <w:rFonts w:eastAsia="Times New Roman" w:cs="Arial"/>
          <w:color w:val="000000"/>
          <w:sz w:val="24"/>
          <w:szCs w:val="24"/>
          <w:lang w:val="it-IT" w:eastAsia="it-IT"/>
        </w:rPr>
      </w:pPr>
      <w:r w:rsidRPr="007A39CE">
        <w:rPr>
          <w:rFonts w:eastAsia="Times New Roman" w:cs="Arial"/>
          <w:color w:val="000000"/>
          <w:sz w:val="24"/>
          <w:szCs w:val="24"/>
          <w:lang w:val="it-IT" w:eastAsia="it-IT"/>
        </w:rPr>
        <w:t>Istituzione della consulente esterna per le violazioni dell'integrità personale</w:t>
      </w:r>
    </w:p>
    <w:p w:rsidR="007A39CE" w:rsidRPr="007A39CE" w:rsidRDefault="007A39CE" w:rsidP="007A39CE">
      <w:pPr>
        <w:pStyle w:val="Paragrafoelenco"/>
        <w:tabs>
          <w:tab w:val="left" w:pos="567"/>
        </w:tabs>
        <w:kinsoku w:val="0"/>
        <w:overflowPunct w:val="0"/>
        <w:spacing w:before="80"/>
        <w:ind w:left="284" w:right="147"/>
        <w:contextualSpacing w:val="0"/>
        <w:rPr>
          <w:rFonts w:eastAsia="Times New Roman" w:cs="Arial"/>
          <w:color w:val="000000"/>
          <w:sz w:val="24"/>
          <w:szCs w:val="24"/>
          <w:lang w:val="it-IT" w:eastAsia="it-IT"/>
        </w:rPr>
      </w:pP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2)</w:t>
      </w:r>
      <w:r w:rsidRPr="00413674">
        <w:rPr>
          <w:rFonts w:eastAsia="Times New Roman" w:cs="Arial"/>
          <w:color w:val="000000"/>
          <w:sz w:val="24"/>
          <w:szCs w:val="24"/>
          <w:lang w:val="it-IT" w:eastAsia="it-IT"/>
        </w:rPr>
        <w:t xml:space="preserve"> </w:t>
      </w:r>
      <w:r w:rsidRPr="004E6E88">
        <w:rPr>
          <w:rFonts w:eastAsia="Times New Roman" w:cs="Arial"/>
          <w:color w:val="000000"/>
          <w:sz w:val="24"/>
          <w:szCs w:val="24"/>
          <w:u w:val="single"/>
          <w:lang w:val="it-IT" w:eastAsia="it-IT"/>
        </w:rPr>
        <w:t>OSS 7: Energia pulita e accessibile</w:t>
      </w:r>
      <w:r w:rsidRPr="004E6E88">
        <w:rPr>
          <w:rFonts w:eastAsia="Times New Roman" w:cs="Arial"/>
          <w:color w:val="000000"/>
          <w:sz w:val="24"/>
          <w:szCs w:val="24"/>
          <w:lang w:val="it-IT" w:eastAsia="it-IT"/>
        </w:rPr>
        <w:t>: transizione energetica:</w:t>
      </w:r>
    </w:p>
    <w:p w:rsidR="004E6E88" w:rsidRPr="004E6E88" w:rsidRDefault="004E6E88" w:rsidP="007A39CE">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Ipoteca Green con riduzione dello 0.50% sul tasso finale e partnership con Ticino Energia</w:t>
      </w:r>
    </w:p>
    <w:p w:rsidR="004E6E88" w:rsidRPr="004E6E88" w:rsidRDefault="004E6E88" w:rsidP="007A39CE">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attraverso la sua «Bussola Energia», la consulenza energetica a casa propria completamente gratuita</w:t>
      </w:r>
    </w:p>
    <w:p w:rsidR="004E6E88" w:rsidRDefault="004E6E88" w:rsidP="007A39CE">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Informazioni e consulenza di base sul tema delle ristrutturazioni energetiche durante la</w:t>
      </w:r>
      <w:r w:rsidR="007A39CE">
        <w:rPr>
          <w:rFonts w:eastAsia="Times New Roman" w:cs="Arial"/>
          <w:color w:val="000000"/>
          <w:sz w:val="24"/>
          <w:szCs w:val="24"/>
          <w:lang w:val="it-IT" w:eastAsia="it-IT"/>
        </w:rPr>
        <w:t xml:space="preserve"> </w:t>
      </w:r>
      <w:r w:rsidRPr="007A39CE">
        <w:rPr>
          <w:rFonts w:eastAsia="Times New Roman" w:cs="Arial"/>
          <w:color w:val="000000"/>
          <w:sz w:val="24"/>
          <w:szCs w:val="24"/>
          <w:lang w:val="it-IT" w:eastAsia="it-IT"/>
        </w:rPr>
        <w:t>consulenza in ambito ipotecario</w:t>
      </w:r>
    </w:p>
    <w:p w:rsidR="007A39CE" w:rsidRPr="007A39CE" w:rsidRDefault="007A39CE" w:rsidP="007A39CE">
      <w:pPr>
        <w:pStyle w:val="Paragrafoelenco"/>
        <w:tabs>
          <w:tab w:val="left" w:pos="567"/>
        </w:tabs>
        <w:kinsoku w:val="0"/>
        <w:overflowPunct w:val="0"/>
        <w:spacing w:before="80"/>
        <w:ind w:left="284" w:right="147"/>
        <w:contextualSpacing w:val="0"/>
        <w:rPr>
          <w:rFonts w:eastAsia="Times New Roman" w:cs="Arial"/>
          <w:color w:val="000000"/>
          <w:sz w:val="24"/>
          <w:szCs w:val="24"/>
          <w:lang w:val="it-IT" w:eastAsia="it-IT"/>
        </w:rPr>
      </w:pPr>
    </w:p>
    <w:p w:rsidR="004E6E88" w:rsidRPr="004E6E88" w:rsidRDefault="004E6E88" w:rsidP="007A39CE">
      <w:pPr>
        <w:kinsoku w:val="0"/>
        <w:overflowPunct w:val="0"/>
        <w:spacing w:after="12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3) </w:t>
      </w:r>
      <w:r w:rsidRPr="004E6E88">
        <w:rPr>
          <w:rFonts w:eastAsia="Times New Roman" w:cs="Arial"/>
          <w:color w:val="000000"/>
          <w:sz w:val="24"/>
          <w:szCs w:val="24"/>
          <w:u w:val="single"/>
          <w:lang w:val="it-IT" w:eastAsia="it-IT"/>
        </w:rPr>
        <w:t>OSS 8: Lavoro dignitoso e crescita economica</w:t>
      </w:r>
      <w:r w:rsidRPr="004E6E88">
        <w:rPr>
          <w:rFonts w:eastAsia="Times New Roman" w:cs="Arial"/>
          <w:color w:val="000000"/>
          <w:sz w:val="24"/>
          <w:szCs w:val="24"/>
          <w:lang w:val="it-IT" w:eastAsia="it-IT"/>
        </w:rPr>
        <w:t xml:space="preserve">: partner delle imprese e dei cittadini: </w:t>
      </w:r>
    </w:p>
    <w:p w:rsidR="004E6E88" w:rsidRPr="004E6E88" w:rsidRDefault="004E6E88" w:rsidP="007A39CE">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Fitta rete di agenzie sul territorio cantonale</w:t>
      </w:r>
    </w:p>
    <w:p w:rsidR="007A39CE" w:rsidRDefault="004E6E88" w:rsidP="007A39CE">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Profilo di rischio moderato in linea con la sua missione cantonale</w:t>
      </w:r>
    </w:p>
    <w:p w:rsidR="007A39CE" w:rsidRPr="004E6E88" w:rsidRDefault="007A39CE" w:rsidP="004E6E88">
      <w:pPr>
        <w:kinsoku w:val="0"/>
        <w:overflowPunct w:val="0"/>
        <w:spacing w:after="120" w:line="276" w:lineRule="auto"/>
        <w:ind w:right="147"/>
        <w:rPr>
          <w:rFonts w:eastAsia="Times New Roman" w:cs="Arial"/>
          <w:color w:val="000000"/>
          <w:sz w:val="24"/>
          <w:szCs w:val="24"/>
          <w:lang w:val="it-IT" w:eastAsia="it-IT"/>
        </w:rPr>
      </w:pP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4) </w:t>
      </w:r>
      <w:r w:rsidRPr="004E6E88">
        <w:rPr>
          <w:rFonts w:eastAsia="Times New Roman" w:cs="Arial"/>
          <w:color w:val="000000"/>
          <w:sz w:val="24"/>
          <w:szCs w:val="24"/>
          <w:u w:val="single"/>
          <w:lang w:val="it-IT" w:eastAsia="it-IT"/>
        </w:rPr>
        <w:t>OSS 9: Industria, innovazione e infrastrutture</w:t>
      </w:r>
      <w:r w:rsidRPr="004E6E88">
        <w:rPr>
          <w:rFonts w:eastAsia="Times New Roman" w:cs="Arial"/>
          <w:color w:val="000000"/>
          <w:sz w:val="24"/>
          <w:szCs w:val="24"/>
          <w:lang w:val="it-IT" w:eastAsia="it-IT"/>
        </w:rPr>
        <w:t>: al fianco di imprenditrici e imprenditori:</w:t>
      </w:r>
    </w:p>
    <w:p w:rsidR="004E6E88" w:rsidRPr="004E6E88" w:rsidRDefault="004E6E88" w:rsidP="007A39CE">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Impegno (2022) con </w:t>
      </w:r>
      <w:proofErr w:type="spellStart"/>
      <w:r w:rsidRPr="004E6E88">
        <w:rPr>
          <w:rFonts w:eastAsia="Times New Roman" w:cs="Arial"/>
          <w:color w:val="000000"/>
          <w:sz w:val="24"/>
          <w:szCs w:val="24"/>
          <w:lang w:val="it-IT" w:eastAsia="it-IT"/>
        </w:rPr>
        <w:t>TiVentures</w:t>
      </w:r>
      <w:proofErr w:type="spellEnd"/>
      <w:r w:rsidRPr="004E6E88">
        <w:rPr>
          <w:rFonts w:eastAsia="Times New Roman" w:cs="Arial"/>
          <w:color w:val="000000"/>
          <w:sz w:val="24"/>
          <w:szCs w:val="24"/>
          <w:lang w:val="it-IT" w:eastAsia="it-IT"/>
        </w:rPr>
        <w:t xml:space="preserve"> SA con ulteriori cinque milioni di franchi destinati a identificare e sviluppare </w:t>
      </w:r>
      <w:proofErr w:type="gramStart"/>
      <w:r w:rsidRPr="004E6E88">
        <w:rPr>
          <w:rFonts w:eastAsia="Times New Roman" w:cs="Arial"/>
          <w:color w:val="000000"/>
          <w:sz w:val="24"/>
          <w:szCs w:val="24"/>
          <w:lang w:val="it-IT" w:eastAsia="it-IT"/>
        </w:rPr>
        <w:t>le start-up</w:t>
      </w:r>
      <w:proofErr w:type="gramEnd"/>
      <w:r w:rsidRPr="004E6E88">
        <w:rPr>
          <w:rFonts w:eastAsia="Times New Roman" w:cs="Arial"/>
          <w:color w:val="000000"/>
          <w:sz w:val="24"/>
          <w:szCs w:val="24"/>
          <w:lang w:val="it-IT" w:eastAsia="it-IT"/>
        </w:rPr>
        <w:t xml:space="preserve"> ticinesi ad alto contenuto tecnologico e con un chiaro orientamento alla promozione della sostenibilità, tramite la sua Fondazione del Centenario, in aggiunta al supporto continuo alla Fondazione Agire</w:t>
      </w:r>
    </w:p>
    <w:p w:rsidR="004E6E88" w:rsidRPr="004E6E88" w:rsidRDefault="004E6E88" w:rsidP="007A39CE">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Istituzione del Premio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per la Sostenibilità Aziendale dotato di 80'000 franchi</w:t>
      </w:r>
    </w:p>
    <w:p w:rsidR="004E6E88" w:rsidRDefault="004E6E88" w:rsidP="007A39CE">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Collaborazione con le associazioni economiche di categoria e promozione del rapporto di sostenibilità semplificato (Cc-Ti) e del rapporto CSR di territorio (AITI) </w:t>
      </w:r>
    </w:p>
    <w:p w:rsidR="007A39CE" w:rsidRPr="004E6E88" w:rsidRDefault="007A39CE" w:rsidP="007A39CE">
      <w:pPr>
        <w:pStyle w:val="Paragrafoelenco"/>
        <w:tabs>
          <w:tab w:val="left" w:pos="567"/>
        </w:tabs>
        <w:kinsoku w:val="0"/>
        <w:overflowPunct w:val="0"/>
        <w:spacing w:before="80"/>
        <w:ind w:left="567" w:right="147"/>
        <w:contextualSpacing w:val="0"/>
        <w:rPr>
          <w:rFonts w:eastAsia="Times New Roman" w:cs="Arial"/>
          <w:color w:val="000000"/>
          <w:sz w:val="24"/>
          <w:szCs w:val="24"/>
          <w:lang w:val="it-IT" w:eastAsia="it-IT"/>
        </w:rPr>
      </w:pPr>
    </w:p>
    <w:p w:rsidR="004E6E88" w:rsidRPr="004E6E88" w:rsidRDefault="004E6E88" w:rsidP="00413674">
      <w:pPr>
        <w:kinsoku w:val="0"/>
        <w:overflowPunct w:val="0"/>
        <w:spacing w:line="276" w:lineRule="auto"/>
        <w:ind w:left="284" w:right="147" w:hanging="284"/>
        <w:rPr>
          <w:rFonts w:eastAsia="Times New Roman" w:cs="Arial"/>
          <w:color w:val="000000"/>
          <w:sz w:val="24"/>
          <w:szCs w:val="24"/>
          <w:lang w:val="it-IT" w:eastAsia="it-IT"/>
        </w:rPr>
      </w:pPr>
      <w:r w:rsidRPr="00413674">
        <w:rPr>
          <w:rFonts w:eastAsia="Times New Roman" w:cs="Arial"/>
          <w:color w:val="000000"/>
          <w:sz w:val="24"/>
          <w:szCs w:val="24"/>
          <w:lang w:val="it-IT" w:eastAsia="it-IT"/>
        </w:rPr>
        <w:lastRenderedPageBreak/>
        <w:t xml:space="preserve">5) </w:t>
      </w:r>
      <w:r w:rsidRPr="004E6E88">
        <w:rPr>
          <w:rFonts w:eastAsia="Times New Roman" w:cs="Arial"/>
          <w:color w:val="000000"/>
          <w:sz w:val="24"/>
          <w:szCs w:val="24"/>
          <w:u w:val="single"/>
          <w:lang w:val="it-IT" w:eastAsia="it-IT"/>
        </w:rPr>
        <w:t>OSS 10: Ridurre le disuguaglianze</w:t>
      </w:r>
      <w:r w:rsidRPr="004E6E88">
        <w:rPr>
          <w:rFonts w:eastAsia="Times New Roman" w:cs="Arial"/>
          <w:color w:val="000000"/>
          <w:sz w:val="24"/>
          <w:szCs w:val="24"/>
          <w:lang w:val="it-IT" w:eastAsia="it-IT"/>
        </w:rPr>
        <w:t xml:space="preserve">: Inclusione, parità di genere e rispetto dell'integrità personale: </w:t>
      </w:r>
    </w:p>
    <w:p w:rsidR="004E6E88" w:rsidRPr="00413674" w:rsidRDefault="004E6E88" w:rsidP="00413674">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13674">
        <w:rPr>
          <w:rFonts w:eastAsia="Times New Roman" w:cs="Arial"/>
          <w:color w:val="000000"/>
          <w:sz w:val="24"/>
          <w:szCs w:val="24"/>
          <w:lang w:val="it-IT" w:eastAsia="it-IT"/>
        </w:rPr>
        <w:t>Sostegno di iniziative di promozione e formazione nel contesto dell'imprenditorialità femminile</w:t>
      </w:r>
    </w:p>
    <w:p w:rsidR="004E6E88" w:rsidRDefault="004E6E88" w:rsidP="00413674">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13674">
        <w:rPr>
          <w:rFonts w:eastAsia="Times New Roman" w:cs="Arial"/>
          <w:color w:val="000000"/>
          <w:sz w:val="24"/>
          <w:szCs w:val="24"/>
          <w:lang w:val="it-IT" w:eastAsia="it-IT"/>
        </w:rPr>
        <w:t xml:space="preserve">Sensibilizzazione del personale nel rispetto dell’integrità personale, attraverso la formazione per il personale, l'integrazione nel codice di condotta e nella normativa interna di tali principi e la designazione di una persona di fiducia esterna a disposizione di collaboratrici e collaboratori. </w:t>
      </w:r>
    </w:p>
    <w:p w:rsidR="00413674" w:rsidRPr="00413674" w:rsidRDefault="00413674" w:rsidP="00413674">
      <w:pPr>
        <w:pStyle w:val="Paragrafoelenco"/>
        <w:tabs>
          <w:tab w:val="left" w:pos="567"/>
        </w:tabs>
        <w:kinsoku w:val="0"/>
        <w:overflowPunct w:val="0"/>
        <w:spacing w:before="80"/>
        <w:ind w:left="567" w:right="147"/>
        <w:contextualSpacing w:val="0"/>
        <w:rPr>
          <w:rFonts w:eastAsia="Times New Roman" w:cs="Arial"/>
          <w:color w:val="000000"/>
          <w:sz w:val="24"/>
          <w:szCs w:val="24"/>
          <w:lang w:val="it-IT" w:eastAsia="it-IT"/>
        </w:rPr>
      </w:pP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r w:rsidRPr="00413674">
        <w:rPr>
          <w:rFonts w:eastAsia="Times New Roman" w:cs="Arial"/>
          <w:color w:val="000000"/>
          <w:sz w:val="24"/>
          <w:szCs w:val="24"/>
          <w:lang w:val="it-IT" w:eastAsia="it-IT"/>
        </w:rPr>
        <w:t xml:space="preserve">6) </w:t>
      </w:r>
      <w:r w:rsidRPr="004E6E88">
        <w:rPr>
          <w:rFonts w:eastAsia="Times New Roman" w:cs="Arial"/>
          <w:color w:val="000000"/>
          <w:sz w:val="24"/>
          <w:szCs w:val="24"/>
          <w:u w:val="single"/>
          <w:lang w:val="it-IT" w:eastAsia="it-IT"/>
        </w:rPr>
        <w:t>OSS 12: Consumo e produzione responsabili</w:t>
      </w:r>
      <w:r w:rsidRPr="004E6E88">
        <w:rPr>
          <w:rFonts w:eastAsia="Times New Roman" w:cs="Arial"/>
          <w:color w:val="000000"/>
          <w:sz w:val="24"/>
          <w:szCs w:val="24"/>
          <w:lang w:val="it-IT" w:eastAsia="it-IT"/>
        </w:rPr>
        <w:t xml:space="preserve">: Crediti e politica ESG: </w:t>
      </w:r>
    </w:p>
    <w:p w:rsidR="004E6E88" w:rsidRPr="004E6E88" w:rsidRDefault="004E6E88" w:rsidP="00413674">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Nessun finanziamento di progetti di centrali termiche a carbone o di miniere di carbone e riduzione, in linea con l'Accordo di Parigi, dell'esposizione al carbone nelle attività di </w:t>
      </w:r>
      <w:proofErr w:type="spellStart"/>
      <w:r w:rsidRPr="004E6E88">
        <w:rPr>
          <w:rFonts w:eastAsia="Times New Roman" w:cs="Arial"/>
          <w:color w:val="000000"/>
          <w:sz w:val="24"/>
          <w:szCs w:val="24"/>
          <w:lang w:val="it-IT" w:eastAsia="it-IT"/>
        </w:rPr>
        <w:t>Trade</w:t>
      </w:r>
      <w:proofErr w:type="spellEnd"/>
      <w:r w:rsidRPr="004E6E88">
        <w:rPr>
          <w:rFonts w:eastAsia="Times New Roman" w:cs="Arial"/>
          <w:color w:val="000000"/>
          <w:sz w:val="24"/>
          <w:szCs w:val="24"/>
          <w:lang w:val="it-IT" w:eastAsia="it-IT"/>
        </w:rPr>
        <w:t xml:space="preserve"> Finance</w:t>
      </w:r>
    </w:p>
    <w:p w:rsidR="004E6E88" w:rsidRPr="004E6E88" w:rsidRDefault="004E6E88" w:rsidP="00413674">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Nessun finanziamento di petrolio greggio, residui petroliferi, gas di scisto o progetti di economia forestale o di pesca non sostenibili </w:t>
      </w:r>
    </w:p>
    <w:p w:rsidR="004E6E88" w:rsidRDefault="004E6E88" w:rsidP="00413674">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Gestione e monitoraggio dei rischi legati al clima</w:t>
      </w:r>
    </w:p>
    <w:p w:rsidR="00413674" w:rsidRPr="004E6E88" w:rsidRDefault="00413674" w:rsidP="00413674">
      <w:pPr>
        <w:pStyle w:val="Paragrafoelenco"/>
        <w:tabs>
          <w:tab w:val="left" w:pos="567"/>
        </w:tabs>
        <w:kinsoku w:val="0"/>
        <w:overflowPunct w:val="0"/>
        <w:spacing w:before="80"/>
        <w:ind w:left="567" w:right="147"/>
        <w:contextualSpacing w:val="0"/>
        <w:rPr>
          <w:rFonts w:eastAsia="Times New Roman" w:cs="Arial"/>
          <w:color w:val="000000"/>
          <w:sz w:val="24"/>
          <w:szCs w:val="24"/>
          <w:lang w:val="it-IT" w:eastAsia="it-IT"/>
        </w:rPr>
      </w:pP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r w:rsidRPr="00413674">
        <w:rPr>
          <w:rFonts w:eastAsia="Times New Roman" w:cs="Arial"/>
          <w:color w:val="000000"/>
          <w:sz w:val="24"/>
          <w:szCs w:val="24"/>
          <w:lang w:val="it-IT" w:eastAsia="it-IT"/>
        </w:rPr>
        <w:t xml:space="preserve">7) </w:t>
      </w:r>
      <w:r w:rsidRPr="004E6E88">
        <w:rPr>
          <w:rFonts w:eastAsia="Times New Roman" w:cs="Arial"/>
          <w:color w:val="000000"/>
          <w:sz w:val="24"/>
          <w:szCs w:val="24"/>
          <w:u w:val="single"/>
          <w:lang w:val="it-IT" w:eastAsia="it-IT"/>
        </w:rPr>
        <w:t>OSS 12: Consumo e produzione responsabili</w:t>
      </w:r>
      <w:r w:rsidRPr="004E6E88">
        <w:rPr>
          <w:rFonts w:eastAsia="Times New Roman" w:cs="Arial"/>
          <w:color w:val="000000"/>
          <w:sz w:val="24"/>
          <w:szCs w:val="24"/>
          <w:lang w:val="it-IT" w:eastAsia="it-IT"/>
        </w:rPr>
        <w:t xml:space="preserve">: Investimenti e politica ESG: </w:t>
      </w:r>
    </w:p>
    <w:p w:rsidR="004E6E88" w:rsidRPr="004E6E88" w:rsidRDefault="004E6E88" w:rsidP="00413674">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Investimenti tematici disponibili per tutta la clientela</w:t>
      </w:r>
    </w:p>
    <w:p w:rsidR="004E6E88" w:rsidRDefault="004E6E88" w:rsidP="00413674">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Integrazione delle preferenze della clientela in materia di criteri ESG nel processo di</w:t>
      </w:r>
      <w:r w:rsidR="00413674">
        <w:rPr>
          <w:rFonts w:eastAsia="Times New Roman" w:cs="Arial"/>
          <w:color w:val="000000"/>
          <w:sz w:val="24"/>
          <w:szCs w:val="24"/>
          <w:lang w:val="it-IT" w:eastAsia="it-IT"/>
        </w:rPr>
        <w:t xml:space="preserve"> </w:t>
      </w:r>
      <w:r w:rsidRPr="00413674">
        <w:rPr>
          <w:rFonts w:eastAsia="Times New Roman" w:cs="Arial"/>
          <w:color w:val="000000"/>
          <w:sz w:val="24"/>
          <w:szCs w:val="24"/>
          <w:lang w:val="it-IT" w:eastAsia="it-IT"/>
        </w:rPr>
        <w:t>consulenza in materia di investimenti</w:t>
      </w:r>
    </w:p>
    <w:p w:rsidR="00413674" w:rsidRPr="00413674" w:rsidRDefault="00413674" w:rsidP="00413674">
      <w:pPr>
        <w:pStyle w:val="Paragrafoelenco"/>
        <w:tabs>
          <w:tab w:val="left" w:pos="567"/>
        </w:tabs>
        <w:kinsoku w:val="0"/>
        <w:overflowPunct w:val="0"/>
        <w:spacing w:before="80"/>
        <w:ind w:left="567" w:right="147"/>
        <w:contextualSpacing w:val="0"/>
        <w:rPr>
          <w:rFonts w:eastAsia="Times New Roman" w:cs="Arial"/>
          <w:color w:val="000000"/>
          <w:sz w:val="24"/>
          <w:szCs w:val="24"/>
          <w:lang w:val="it-IT" w:eastAsia="it-IT"/>
        </w:rPr>
      </w:pPr>
    </w:p>
    <w:p w:rsidR="004E6E88" w:rsidRPr="004E6E88" w:rsidRDefault="004E6E88" w:rsidP="00413674">
      <w:pPr>
        <w:tabs>
          <w:tab w:val="left" w:pos="284"/>
        </w:tabs>
        <w:kinsoku w:val="0"/>
        <w:overflowPunct w:val="0"/>
        <w:spacing w:line="276" w:lineRule="auto"/>
        <w:ind w:right="147"/>
        <w:rPr>
          <w:rFonts w:eastAsia="Times New Roman" w:cs="Arial"/>
          <w:color w:val="000000"/>
          <w:sz w:val="24"/>
          <w:szCs w:val="24"/>
          <w:lang w:val="it-IT" w:eastAsia="it-IT"/>
        </w:rPr>
      </w:pPr>
      <w:r w:rsidRPr="00413674">
        <w:rPr>
          <w:rFonts w:eastAsia="Times New Roman" w:cs="Arial"/>
          <w:color w:val="000000"/>
          <w:sz w:val="24"/>
          <w:szCs w:val="24"/>
          <w:lang w:val="it-IT" w:eastAsia="it-IT"/>
        </w:rPr>
        <w:t xml:space="preserve">8) </w:t>
      </w:r>
      <w:r w:rsidRPr="004E6E88">
        <w:rPr>
          <w:rFonts w:eastAsia="Times New Roman" w:cs="Arial"/>
          <w:color w:val="000000"/>
          <w:sz w:val="24"/>
          <w:szCs w:val="24"/>
          <w:u w:val="single"/>
          <w:lang w:val="it-IT" w:eastAsia="it-IT"/>
        </w:rPr>
        <w:t>OSS 13: Agire per il clima</w:t>
      </w:r>
      <w:r w:rsidRPr="004E6E88">
        <w:rPr>
          <w:rFonts w:eastAsia="Times New Roman" w:cs="Arial"/>
          <w:color w:val="000000"/>
          <w:sz w:val="24"/>
          <w:szCs w:val="24"/>
          <w:lang w:val="it-IT" w:eastAsia="it-IT"/>
        </w:rPr>
        <w:t xml:space="preserve">: Impegnata a ridurre l'impronta di carbonio legata al suo </w:t>
      </w:r>
      <w:r w:rsidR="00413674">
        <w:rPr>
          <w:rFonts w:eastAsia="Times New Roman" w:cs="Arial"/>
          <w:color w:val="000000"/>
          <w:sz w:val="24"/>
          <w:szCs w:val="24"/>
          <w:lang w:val="it-IT" w:eastAsia="it-IT"/>
        </w:rPr>
        <w:tab/>
      </w:r>
      <w:r w:rsidRPr="004E6E88">
        <w:rPr>
          <w:rFonts w:eastAsia="Times New Roman" w:cs="Arial"/>
          <w:color w:val="000000"/>
          <w:sz w:val="24"/>
          <w:szCs w:val="24"/>
          <w:lang w:val="it-IT" w:eastAsia="it-IT"/>
        </w:rPr>
        <w:t>funzionamento:</w:t>
      </w:r>
    </w:p>
    <w:p w:rsidR="004E6E88" w:rsidRPr="004E6E88" w:rsidRDefault="004E6E88" w:rsidP="00413674">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Obiettivo «net-zero» 2050 e riduzione delle emissioni di carbonio operative</w:t>
      </w:r>
    </w:p>
    <w:p w:rsidR="004E6E88" w:rsidRPr="004E6E88" w:rsidRDefault="004E6E88" w:rsidP="00413674">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Investimento in misure per migliorare l'efficienza energetica degli edifici grazie alla sua strategia immobiliare e alla prossima ristrutturazione della Sede centrale</w:t>
      </w:r>
    </w:p>
    <w:p w:rsidR="004E6E88" w:rsidRPr="004E6E88" w:rsidRDefault="004E6E88" w:rsidP="00413674">
      <w:pPr>
        <w:pStyle w:val="Paragrafoelenco"/>
        <w:numPr>
          <w:ilvl w:val="2"/>
          <w:numId w:val="35"/>
        </w:numPr>
        <w:tabs>
          <w:tab w:val="left" w:pos="567"/>
        </w:tabs>
        <w:kinsoku w:val="0"/>
        <w:overflowPunct w:val="0"/>
        <w:spacing w:before="80"/>
        <w:ind w:left="567" w:right="147" w:hanging="283"/>
        <w:contextualSpacing w:val="0"/>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Partecipazione alle spese di mobilità delle collaboratrici e dei collaboratori attraverso l’abbonamento. </w:t>
      </w:r>
    </w:p>
    <w:p w:rsidR="004E6E88" w:rsidRDefault="004E6E88" w:rsidP="004E6E88">
      <w:pPr>
        <w:kinsoku w:val="0"/>
        <w:overflowPunct w:val="0"/>
        <w:spacing w:line="276" w:lineRule="auto"/>
        <w:ind w:right="147"/>
        <w:rPr>
          <w:rFonts w:eastAsia="Times New Roman" w:cs="Arial"/>
          <w:color w:val="000000"/>
          <w:sz w:val="24"/>
          <w:szCs w:val="24"/>
          <w:lang w:val="it-IT" w:eastAsia="it-IT"/>
        </w:rPr>
      </w:pPr>
    </w:p>
    <w:p w:rsidR="00413674" w:rsidRPr="004E6E88" w:rsidRDefault="00413674" w:rsidP="004E6E88">
      <w:pPr>
        <w:kinsoku w:val="0"/>
        <w:overflowPunct w:val="0"/>
        <w:spacing w:line="276" w:lineRule="auto"/>
        <w:ind w:right="147"/>
        <w:rPr>
          <w:rFonts w:eastAsia="Times New Roman" w:cs="Arial"/>
          <w:color w:val="000000"/>
          <w:sz w:val="24"/>
          <w:szCs w:val="24"/>
          <w:lang w:val="it-IT" w:eastAsia="it-IT"/>
        </w:rPr>
      </w:pPr>
    </w:p>
    <w:p w:rsidR="004E6E88" w:rsidRPr="00413674" w:rsidRDefault="004E6E88" w:rsidP="00413674">
      <w:pPr>
        <w:pStyle w:val="Titolo1"/>
        <w:tabs>
          <w:tab w:val="left" w:pos="567"/>
        </w:tabs>
        <w:spacing w:before="0"/>
        <w:ind w:left="567" w:hanging="567"/>
        <w:jc w:val="both"/>
        <w:rPr>
          <w:rFonts w:eastAsia="Calibri" w:cs="Times New Roman"/>
          <w:caps/>
          <w:sz w:val="24"/>
          <w:szCs w:val="24"/>
          <w:lang w:val="it-IT" w:eastAsia="it-IT"/>
        </w:rPr>
      </w:pPr>
      <w:r w:rsidRPr="00413674">
        <w:rPr>
          <w:rFonts w:eastAsia="Calibri" w:cs="Times New Roman"/>
          <w:caps/>
          <w:sz w:val="24"/>
          <w:szCs w:val="24"/>
          <w:lang w:val="it-IT" w:eastAsia="it-IT"/>
        </w:rPr>
        <w:t xml:space="preserve">4. </w:t>
      </w:r>
      <w:r w:rsidR="00413674">
        <w:rPr>
          <w:rFonts w:eastAsia="Calibri" w:cs="Times New Roman"/>
          <w:caps/>
          <w:sz w:val="24"/>
          <w:szCs w:val="24"/>
          <w:lang w:val="it-IT" w:eastAsia="it-IT"/>
        </w:rPr>
        <w:tab/>
      </w:r>
      <w:r w:rsidRPr="00413674">
        <w:rPr>
          <w:rFonts w:eastAsia="Calibri" w:cs="Times New Roman"/>
          <w:caps/>
          <w:sz w:val="24"/>
          <w:szCs w:val="24"/>
          <w:lang w:val="it-IT" w:eastAsia="it-IT"/>
        </w:rPr>
        <w:t>PREAVVISO ALLA COMMISSIONE DELLA GESTIONE E DELLE FINANZE (CGF)</w:t>
      </w:r>
    </w:p>
    <w:p w:rsidR="004E6E88" w:rsidRPr="00413674" w:rsidRDefault="004E6E88" w:rsidP="00413674">
      <w:pPr>
        <w:pStyle w:val="Titolo2"/>
        <w:numPr>
          <w:ilvl w:val="0"/>
          <w:numId w:val="0"/>
        </w:numPr>
        <w:tabs>
          <w:tab w:val="left" w:pos="567"/>
        </w:tabs>
        <w:spacing w:before="0" w:after="120"/>
        <w:jc w:val="both"/>
        <w:rPr>
          <w:rFonts w:eastAsia="Calibri" w:cs="Times New Roman"/>
          <w:sz w:val="24"/>
          <w:lang w:val="it-IT" w:eastAsia="it-IT"/>
        </w:rPr>
      </w:pPr>
      <w:r w:rsidRPr="00413674">
        <w:rPr>
          <w:rFonts w:eastAsia="Calibri" w:cs="Times New Roman"/>
          <w:sz w:val="24"/>
          <w:lang w:val="it-IT" w:eastAsia="it-IT"/>
        </w:rPr>
        <w:t xml:space="preserve">Premessa  </w:t>
      </w:r>
    </w:p>
    <w:p w:rsidR="004E6E88" w:rsidRPr="004E6E88" w:rsidRDefault="004E6E88" w:rsidP="00C9581B">
      <w:pPr>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Il Consiglio d'Amministrazione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evidenzia nel suo Rapporto Annuale che i risultati 2024 si rivelano essere i secondi migliori di sempre, dopo quelli del 2023 che è stato da record, con conferma della crescita pluriennale.  </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Il versamento al Cantone ha raggiunto quota 60.1 milioni di franchi, una cifra considerevole (negli ultimi dieci anni l'importo destinato alle casse pubbliche ha oltrepassato i 440 milioni). Questo importante contributo è stato reso possibile dal solido risultato di esercizio di 146 milioni, con un'attribuzione di 60 milioni a riserve per rischi bancari generali e un utile di Gruppo che raggiunge 83 milioni di franchi. </w:t>
      </w:r>
    </w:p>
    <w:p w:rsidR="00413674" w:rsidRDefault="00413674">
      <w:pPr>
        <w:rPr>
          <w:rFonts w:eastAsia="Times New Roman" w:cs="Arial"/>
          <w:color w:val="000000"/>
          <w:sz w:val="24"/>
          <w:szCs w:val="24"/>
          <w:lang w:val="it-IT" w:eastAsia="it-IT"/>
        </w:rPr>
      </w:pPr>
      <w:r>
        <w:rPr>
          <w:rFonts w:eastAsia="Times New Roman" w:cs="Arial"/>
          <w:color w:val="000000"/>
          <w:sz w:val="24"/>
          <w:szCs w:val="24"/>
          <w:lang w:val="it-IT" w:eastAsia="it-IT"/>
        </w:rPr>
        <w:br w:type="page"/>
      </w:r>
    </w:p>
    <w:p w:rsidR="004E6E88" w:rsidRPr="00C9581B" w:rsidRDefault="004E6E88" w:rsidP="00C9581B">
      <w:pPr>
        <w:pStyle w:val="Titolo2"/>
        <w:numPr>
          <w:ilvl w:val="0"/>
          <w:numId w:val="0"/>
        </w:numPr>
        <w:tabs>
          <w:tab w:val="left" w:pos="567"/>
        </w:tabs>
        <w:spacing w:before="0" w:after="120"/>
        <w:jc w:val="both"/>
        <w:rPr>
          <w:rFonts w:eastAsia="Calibri" w:cs="Times New Roman"/>
          <w:sz w:val="24"/>
          <w:lang w:val="it-IT" w:eastAsia="it-IT"/>
        </w:rPr>
      </w:pPr>
      <w:r w:rsidRPr="00C9581B">
        <w:rPr>
          <w:rFonts w:eastAsia="Calibri" w:cs="Times New Roman"/>
          <w:sz w:val="24"/>
          <w:lang w:val="it-IT" w:eastAsia="it-IT"/>
        </w:rPr>
        <w:lastRenderedPageBreak/>
        <w:t>4.1</w:t>
      </w:r>
      <w:r w:rsidRPr="00C9581B">
        <w:rPr>
          <w:rFonts w:eastAsia="Calibri" w:cs="Times New Roman"/>
          <w:sz w:val="24"/>
          <w:lang w:val="it-IT" w:eastAsia="it-IT"/>
        </w:rPr>
        <w:tab/>
        <w:t xml:space="preserve">Indicatori sociali </w:t>
      </w:r>
    </w:p>
    <w:p w:rsidR="004E6E88" w:rsidRPr="004E6E88" w:rsidRDefault="004E6E88" w:rsidP="004E6E88">
      <w:pPr>
        <w:kinsoku w:val="0"/>
        <w:overflowPunct w:val="0"/>
        <w:spacing w:line="276" w:lineRule="auto"/>
        <w:ind w:right="147"/>
        <w:rPr>
          <w:rFonts w:eastAsia="Times New Roman" w:cs="Arial"/>
          <w:b/>
          <w:color w:val="000000"/>
          <w:sz w:val="24"/>
          <w:szCs w:val="24"/>
          <w:lang w:val="it-IT" w:eastAsia="it-IT"/>
        </w:rPr>
      </w:pPr>
    </w:p>
    <w:p w:rsidR="004E6E88" w:rsidRPr="004E6E88" w:rsidRDefault="00C9581B" w:rsidP="00C9581B">
      <w:pPr>
        <w:numPr>
          <w:ilvl w:val="0"/>
          <w:numId w:val="24"/>
        </w:numPr>
        <w:tabs>
          <w:tab w:val="left" w:pos="567"/>
        </w:tabs>
        <w:kinsoku w:val="0"/>
        <w:overflowPunct w:val="0"/>
        <w:spacing w:after="120" w:line="276" w:lineRule="auto"/>
        <w:ind w:right="147"/>
        <w:rPr>
          <w:rFonts w:eastAsia="Times New Roman" w:cs="Arial"/>
          <w:b/>
          <w:color w:val="000000"/>
          <w:sz w:val="24"/>
          <w:szCs w:val="24"/>
          <w:lang w:val="it-IT" w:eastAsia="it-IT"/>
        </w:rPr>
      </w:pPr>
      <w:r>
        <w:rPr>
          <w:rFonts w:eastAsia="Times New Roman" w:cs="Arial"/>
          <w:b/>
          <w:color w:val="000000"/>
          <w:sz w:val="24"/>
          <w:szCs w:val="24"/>
          <w:lang w:val="it-IT" w:eastAsia="it-IT"/>
        </w:rPr>
        <w:tab/>
      </w:r>
      <w:r w:rsidR="004E6E88" w:rsidRPr="004E6E88">
        <w:rPr>
          <w:rFonts w:eastAsia="Times New Roman" w:cs="Arial"/>
          <w:b/>
          <w:color w:val="000000"/>
          <w:sz w:val="24"/>
          <w:szCs w:val="24"/>
          <w:lang w:val="it-IT" w:eastAsia="it-IT"/>
        </w:rPr>
        <w:t xml:space="preserve">Organizzazione e collaboratori </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A fine 2024 il Gruppo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dà lavoro a 632 persone (con una crescita del 13% rispetto al 2023), corrispondenti a </w:t>
      </w:r>
      <w:r w:rsidRPr="004E6E88">
        <w:rPr>
          <w:rFonts w:eastAsia="Times New Roman" w:cs="Arial"/>
          <w:color w:val="000000"/>
          <w:sz w:val="24"/>
          <w:szCs w:val="24"/>
          <w:lang w:eastAsia="it-IT"/>
        </w:rPr>
        <w:t>581.25 unità di personale</w:t>
      </w:r>
      <w:r w:rsidRPr="004E6E88">
        <w:rPr>
          <w:rFonts w:eastAsia="Times New Roman" w:cs="Arial"/>
          <w:color w:val="000000"/>
          <w:sz w:val="24"/>
          <w:szCs w:val="24"/>
          <w:lang w:val="it-IT" w:eastAsia="it-IT"/>
        </w:rPr>
        <w:t xml:space="preserve">, di cui il 39% è composto da donne e il 61% da uomini e 38 persone in formazione. Questi dati ne confermano l'importanza quale datore di lavoro a livello cantonale. </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Le principali informazioni strategiche e gli obiettivi del mandato pubblico sono noti, condivisi e diffusi in seno all'organizzazione e questo ispira tutte le collaboratrici e tutti i collaboratori a perseguire, anche nel loro agire quotidiano e indipendentemente dall'area d'affari di appartenenza, gli obiettivi che caratterizzano la natura stessa dell'Istituto. </w:t>
      </w:r>
    </w:p>
    <w:p w:rsidR="004E6E88" w:rsidRPr="004E6E88" w:rsidRDefault="004E6E88" w:rsidP="004E6E88">
      <w:pPr>
        <w:spacing w:after="240" w:line="276" w:lineRule="auto"/>
        <w:rPr>
          <w:rFonts w:eastAsia="Times New Roman" w:cs="Arial"/>
          <w:color w:val="000000"/>
          <w:sz w:val="24"/>
          <w:szCs w:val="24"/>
          <w:lang w:val="it-IT" w:eastAsia="it-CH"/>
        </w:rPr>
      </w:pPr>
      <w:r w:rsidRPr="004E6E88">
        <w:rPr>
          <w:rFonts w:eastAsia="Times New Roman" w:cs="Arial"/>
          <w:noProof/>
          <w:color w:val="000000"/>
          <w:sz w:val="24"/>
          <w:szCs w:val="24"/>
          <w:lang w:eastAsia="it-CH"/>
        </w:rPr>
        <w:drawing>
          <wp:inline distT="0" distB="0" distL="0" distR="0" wp14:anchorId="54A00860" wp14:editId="1A6E21B8">
            <wp:extent cx="6120130" cy="2254285"/>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130" cy="2254285"/>
                    </a:xfrm>
                    <a:prstGeom prst="rect">
                      <a:avLst/>
                    </a:prstGeom>
                    <a:noFill/>
                    <a:ln>
                      <a:noFill/>
                    </a:ln>
                  </pic:spPr>
                </pic:pic>
              </a:graphicData>
            </a:graphic>
          </wp:inline>
        </w:drawing>
      </w:r>
    </w:p>
    <w:p w:rsidR="004E6E88" w:rsidRPr="004E6E88" w:rsidRDefault="004E6E88" w:rsidP="004E6E88">
      <w:pPr>
        <w:spacing w:after="240" w:line="276" w:lineRule="auto"/>
        <w:rPr>
          <w:rFonts w:eastAsia="Times New Roman" w:cs="Arial"/>
          <w:i/>
          <w:color w:val="000000"/>
          <w:lang w:val="it-IT" w:eastAsia="it-CH"/>
        </w:rPr>
      </w:pPr>
      <w:r w:rsidRPr="004E6E88">
        <w:rPr>
          <w:rFonts w:eastAsia="Times New Roman" w:cs="Arial"/>
          <w:i/>
          <w:color w:val="000000"/>
          <w:lang w:val="it-IT" w:eastAsia="it-CH"/>
        </w:rPr>
        <w:t xml:space="preserve">Rapporto sulla sostenibilità (Evoluzione degli effettivi), pagina 77. </w:t>
      </w:r>
    </w:p>
    <w:p w:rsidR="004E6E88" w:rsidRPr="004E6E88" w:rsidRDefault="004E6E88" w:rsidP="00C9581B">
      <w:pPr>
        <w:rPr>
          <w:rFonts w:eastAsia="Times New Roman" w:cs="Arial"/>
          <w:color w:val="000000"/>
          <w:sz w:val="24"/>
          <w:szCs w:val="24"/>
          <w:lang w:val="it-IT" w:eastAsia="it-CH"/>
        </w:rPr>
      </w:pPr>
      <w:r w:rsidRPr="004E6E88">
        <w:rPr>
          <w:rFonts w:eastAsia="Times New Roman" w:cs="Arial"/>
          <w:color w:val="000000"/>
          <w:sz w:val="24"/>
          <w:szCs w:val="24"/>
          <w:lang w:val="it-IT" w:eastAsia="it-CH"/>
        </w:rPr>
        <w:t>Le partenze sono state complessivamente 20, mentre gli arrivi 90. Questo conferma la soddisfazione dei collaboratori come risultava dal sondaggio del 2024 "</w:t>
      </w:r>
      <w:proofErr w:type="spellStart"/>
      <w:r w:rsidRPr="004E6E88">
        <w:rPr>
          <w:rFonts w:eastAsia="Times New Roman" w:cs="Arial"/>
          <w:color w:val="000000"/>
          <w:sz w:val="24"/>
          <w:szCs w:val="24"/>
          <w:lang w:val="it-IT" w:eastAsia="it-CH"/>
        </w:rPr>
        <w:t>Swiss</w:t>
      </w:r>
      <w:proofErr w:type="spellEnd"/>
      <w:r w:rsidRPr="004E6E88">
        <w:rPr>
          <w:rFonts w:eastAsia="Times New Roman" w:cs="Arial"/>
          <w:color w:val="000000"/>
          <w:sz w:val="24"/>
          <w:szCs w:val="24"/>
          <w:lang w:val="it-IT" w:eastAsia="it-CH"/>
        </w:rPr>
        <w:t xml:space="preserve"> </w:t>
      </w:r>
      <w:proofErr w:type="spellStart"/>
      <w:r w:rsidRPr="004E6E88">
        <w:rPr>
          <w:rFonts w:eastAsia="Times New Roman" w:cs="Arial"/>
          <w:color w:val="000000"/>
          <w:sz w:val="24"/>
          <w:szCs w:val="24"/>
          <w:lang w:val="it-IT" w:eastAsia="it-CH"/>
        </w:rPr>
        <w:t>Arbeitgeber</w:t>
      </w:r>
      <w:proofErr w:type="spellEnd"/>
      <w:r w:rsidRPr="004E6E88">
        <w:rPr>
          <w:rFonts w:eastAsia="Times New Roman" w:cs="Arial"/>
          <w:color w:val="000000"/>
          <w:sz w:val="24"/>
          <w:szCs w:val="24"/>
          <w:lang w:val="it-IT" w:eastAsia="it-CH"/>
        </w:rPr>
        <w:t xml:space="preserve"> Awards 3". Infatti, anche nel 2024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si è confermata quale datore di lavoro all'avanguardia e i risultati emersi dal più grande sondaggio rivolto in Svizzera ai dipendenti aziendali, che in questa edizione ha coinvolto 51'000 collaboratrici e collaboratori di 149 aziende, lo mostrano chiaramente: chi lavora in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continua a essere particolarmente soddisfatto del proprio posto di lavoro e anche i valori relativi alla dedizione e all'attrattiva della Banca in qualità di datore di lavoro si riconfermano molto alti. </w:t>
      </w:r>
    </w:p>
    <w:p w:rsidR="004E6E88" w:rsidRPr="004E6E88" w:rsidRDefault="004E6E88" w:rsidP="00C9581B">
      <w:pPr>
        <w:spacing w:after="240"/>
        <w:rPr>
          <w:rFonts w:eastAsia="Times New Roman" w:cs="Arial"/>
          <w:color w:val="000000"/>
          <w:sz w:val="24"/>
          <w:szCs w:val="24"/>
          <w:lang w:val="it-IT" w:eastAsia="it-CH"/>
        </w:rPr>
      </w:pPr>
      <w:r w:rsidRPr="004E6E88">
        <w:rPr>
          <w:rFonts w:eastAsia="Times New Roman" w:cs="Arial"/>
          <w:color w:val="000000"/>
          <w:sz w:val="24"/>
          <w:szCs w:val="24"/>
          <w:lang w:val="it-IT" w:eastAsia="it-CH"/>
        </w:rPr>
        <w:t>Realizzato dall'istituto specializzato «</w:t>
      </w:r>
      <w:proofErr w:type="spellStart"/>
      <w:r w:rsidRPr="004E6E88">
        <w:rPr>
          <w:rFonts w:eastAsia="Times New Roman" w:cs="Arial"/>
          <w:color w:val="000000"/>
          <w:sz w:val="24"/>
          <w:szCs w:val="24"/>
          <w:lang w:val="it-IT" w:eastAsia="it-CH"/>
        </w:rPr>
        <w:t>iCommit</w:t>
      </w:r>
      <w:proofErr w:type="spellEnd"/>
      <w:r w:rsidRPr="004E6E88">
        <w:rPr>
          <w:rFonts w:eastAsia="Times New Roman" w:cs="Arial"/>
          <w:color w:val="000000"/>
          <w:sz w:val="24"/>
          <w:szCs w:val="24"/>
          <w:lang w:val="it-IT" w:eastAsia="it-CH"/>
        </w:rPr>
        <w:t xml:space="preserve">», il sondaggio di settembre 2024 ha offerto anche alle collaboratrici e ai collaboratori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la possibilità di esprimersi in maniera completamente libera e anonima in merito alle condizioni di lavoro e ad altri molteplici aspetti offerti dall'Istituto cantonale. La Banca si è classificata settima su 47 aziende della medesima categoria (250 - 999 dipendenti) e ha ottenuto la 29° posizione considerando tutte le 149 aziende partecipanti. </w:t>
      </w:r>
    </w:p>
    <w:p w:rsidR="004E6E88" w:rsidRPr="004E6E88" w:rsidRDefault="004E6E88" w:rsidP="00C9581B">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La Commissione presta particolare attenzione all'analisi dettagliata del monitoraggio dell'evoluzione del personale e constata la sensibilità della Direzione e del Consiglio di amministrazione in merito all'importanza del potenziale umano, attuando una politica aziendale che valorizza i collaboratori. </w:t>
      </w:r>
    </w:p>
    <w:p w:rsidR="004E6E88" w:rsidRPr="004E6E88" w:rsidRDefault="004E6E88" w:rsidP="004E6E88">
      <w:pPr>
        <w:spacing w:line="276" w:lineRule="auto"/>
        <w:rPr>
          <w:rFonts w:eastAsia="Times New Roman" w:cs="Arial"/>
          <w:color w:val="000000"/>
          <w:sz w:val="24"/>
          <w:szCs w:val="24"/>
          <w:lang w:val="it-IT" w:eastAsia="it-CH"/>
        </w:rPr>
      </w:pP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lastRenderedPageBreak/>
        <w:t xml:space="preserve">Al 31.12.2024, la proporzione di genere nell'alta direzione del Gruppo (Consiglio di amministrazione) è del 16.7% di donne (due) e dell'83.3% di uomini (dieci).  </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Degli undici membri delle due Direzioni generali dei due Istituti facenti parte del Gruppo, un unico membro della Direzione generale della casa madre è donna, mentre i rimanenti dieci membri sono uomini, in linea con la situazione del 2023.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r w:rsidRPr="004E6E88">
        <w:rPr>
          <w:rFonts w:eastAsia="Times New Roman" w:cs="Arial"/>
          <w:noProof/>
          <w:color w:val="000000"/>
          <w:sz w:val="24"/>
          <w:szCs w:val="24"/>
          <w:lang w:eastAsia="it-CH"/>
        </w:rPr>
        <w:drawing>
          <wp:inline distT="0" distB="0" distL="0" distR="0" wp14:anchorId="0E105754" wp14:editId="23F2EFEF">
            <wp:extent cx="6120130" cy="1767870"/>
            <wp:effectExtent l="0" t="0" r="0" b="381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1767870"/>
                    </a:xfrm>
                    <a:prstGeom prst="rect">
                      <a:avLst/>
                    </a:prstGeom>
                    <a:noFill/>
                    <a:ln>
                      <a:noFill/>
                    </a:ln>
                  </pic:spPr>
                </pic:pic>
              </a:graphicData>
            </a:graphic>
          </wp:inline>
        </w:drawing>
      </w:r>
    </w:p>
    <w:p w:rsidR="004E6E88" w:rsidRPr="004E6E88" w:rsidRDefault="004E6E88" w:rsidP="004E6E88">
      <w:pPr>
        <w:kinsoku w:val="0"/>
        <w:overflowPunct w:val="0"/>
        <w:spacing w:line="276" w:lineRule="auto"/>
        <w:ind w:right="147"/>
        <w:rPr>
          <w:rFonts w:eastAsia="Times New Roman" w:cs="Arial"/>
          <w:i/>
          <w:color w:val="000000"/>
          <w:lang w:val="it-IT" w:eastAsia="it-IT"/>
        </w:rPr>
      </w:pPr>
      <w:r w:rsidRPr="004E6E88">
        <w:rPr>
          <w:rFonts w:eastAsia="Times New Roman" w:cs="Arial"/>
          <w:i/>
          <w:color w:val="000000"/>
          <w:lang w:val="it-IT" w:eastAsia="it-IT"/>
        </w:rPr>
        <w:t xml:space="preserve">Rapporto sulla sostenibilità, p. 79.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Per coprire le posizioni nel Consiglio di amministrazione e nella Direzione generale, il gruppo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attinge quasi esclusivamente a risorse umane provenienti dal territorio cantonale. In relazione a questo aspetto la Legge sulla Banca dello Stato del Cantone Ticino prevede che il Consiglio di amministrazione sia composto da sette membri di nazionalità svizzera, di cui almeno sei domiciliati nel Cantone (art. 19). </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La particolare attenzione posta da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ai profili femminili nel contesto dei reclutamenti esterni sta iniziando a portare i suoi frutti e tale evoluzione a livello di quadri consentirà di portare a termine un incremento anche a livello di Direzione. </w:t>
      </w:r>
    </w:p>
    <w:p w:rsidR="004E6E88" w:rsidRPr="004E6E88" w:rsidRDefault="004E6E88" w:rsidP="00C9581B">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non è vincolata ad alcun contratto collettivo di lavoro. Oltre alle disposizioni di legge, i contratti di lavoro di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si rifanno volontariamente alle disposizioni contemplate dalla Convenzione relativa alle Condizioni di lavoro degli Impiegati di Banca (CCIB) nella versione vigente, pur senza che la Banca ne sia firmataria.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C9581B">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t>Parità di genere e parità salariale: certificazione rinnovata nel 2024</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A luglio 2020 sono entrate in vigore alcune modifiche alla Legge sulla parità dei sessi; tra di esse vi è l'obbligo, per le aziende con più di cento dipendenti, di verificare la parità salariale tra collaboratrici e collaboratori.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nel 2018 ha deciso di intraprendere il percorso per ottenere il certificato «</w:t>
      </w:r>
      <w:proofErr w:type="spellStart"/>
      <w:r w:rsidRPr="004E6E88">
        <w:rPr>
          <w:rFonts w:eastAsia="Times New Roman" w:cs="Arial"/>
          <w:color w:val="000000"/>
          <w:sz w:val="24"/>
          <w:szCs w:val="24"/>
          <w:lang w:val="it-IT" w:eastAsia="it-IT"/>
        </w:rPr>
        <w:t>Equal</w:t>
      </w:r>
      <w:proofErr w:type="spellEnd"/>
      <w:r w:rsidRPr="004E6E88">
        <w:rPr>
          <w:rFonts w:eastAsia="Times New Roman" w:cs="Arial"/>
          <w:color w:val="000000"/>
          <w:sz w:val="24"/>
          <w:szCs w:val="24"/>
          <w:lang w:val="it-IT" w:eastAsia="it-IT"/>
        </w:rPr>
        <w:t xml:space="preserve"> </w:t>
      </w:r>
      <w:proofErr w:type="spellStart"/>
      <w:r w:rsidRPr="004E6E88">
        <w:rPr>
          <w:rFonts w:eastAsia="Times New Roman" w:cs="Arial"/>
          <w:color w:val="000000"/>
          <w:sz w:val="24"/>
          <w:szCs w:val="24"/>
          <w:lang w:val="it-IT" w:eastAsia="it-IT"/>
        </w:rPr>
        <w:t>Salary</w:t>
      </w:r>
      <w:proofErr w:type="spellEnd"/>
      <w:r w:rsidRPr="004E6E88">
        <w:rPr>
          <w:rFonts w:eastAsia="Times New Roman" w:cs="Arial"/>
          <w:color w:val="000000"/>
          <w:sz w:val="24"/>
          <w:szCs w:val="24"/>
          <w:lang w:val="it-IT" w:eastAsia="it-IT"/>
        </w:rPr>
        <w:t xml:space="preserve">», rilasciato dall'omonima Fondazione e coordinato dalla società </w:t>
      </w:r>
      <w:proofErr w:type="spellStart"/>
      <w:r w:rsidRPr="004E6E88">
        <w:rPr>
          <w:rFonts w:eastAsia="Times New Roman" w:cs="Arial"/>
          <w:color w:val="000000"/>
          <w:sz w:val="24"/>
          <w:szCs w:val="24"/>
          <w:lang w:val="it-IT" w:eastAsia="it-IT"/>
        </w:rPr>
        <w:t>PricewaterhouseCoopers</w:t>
      </w:r>
      <w:proofErr w:type="spellEnd"/>
      <w:r w:rsidRPr="004E6E88">
        <w:rPr>
          <w:rFonts w:eastAsia="Times New Roman" w:cs="Arial"/>
          <w:color w:val="000000"/>
          <w:sz w:val="24"/>
          <w:szCs w:val="24"/>
          <w:lang w:val="it-IT" w:eastAsia="it-IT"/>
        </w:rPr>
        <w:t xml:space="preserve"> SA (</w:t>
      </w:r>
      <w:proofErr w:type="spellStart"/>
      <w:r w:rsidRPr="004E6E88">
        <w:rPr>
          <w:rFonts w:eastAsia="Times New Roman" w:cs="Arial"/>
          <w:color w:val="000000"/>
          <w:sz w:val="24"/>
          <w:szCs w:val="24"/>
          <w:lang w:val="it-IT" w:eastAsia="it-IT"/>
        </w:rPr>
        <w:t>PwC</w:t>
      </w:r>
      <w:proofErr w:type="spellEnd"/>
      <w:r w:rsidRPr="004E6E88">
        <w:rPr>
          <w:rFonts w:eastAsia="Times New Roman" w:cs="Arial"/>
          <w:color w:val="000000"/>
          <w:sz w:val="24"/>
          <w:szCs w:val="24"/>
          <w:lang w:val="it-IT" w:eastAsia="it-IT"/>
        </w:rPr>
        <w:t>), con lo scopo di accertare che non sussistano disparità salariali di genere. «</w:t>
      </w:r>
      <w:proofErr w:type="spellStart"/>
      <w:r w:rsidRPr="004E6E88">
        <w:rPr>
          <w:rFonts w:eastAsia="Times New Roman" w:cs="Arial"/>
          <w:color w:val="000000"/>
          <w:sz w:val="24"/>
          <w:szCs w:val="24"/>
          <w:lang w:val="it-IT" w:eastAsia="it-IT"/>
        </w:rPr>
        <w:t>Equal</w:t>
      </w:r>
      <w:proofErr w:type="spellEnd"/>
      <w:r w:rsidRPr="004E6E88">
        <w:rPr>
          <w:rFonts w:eastAsia="Times New Roman" w:cs="Arial"/>
          <w:color w:val="000000"/>
          <w:sz w:val="24"/>
          <w:szCs w:val="24"/>
          <w:lang w:val="it-IT" w:eastAsia="it-IT"/>
        </w:rPr>
        <w:t xml:space="preserve"> </w:t>
      </w:r>
      <w:proofErr w:type="spellStart"/>
      <w:r w:rsidRPr="004E6E88">
        <w:rPr>
          <w:rFonts w:eastAsia="Times New Roman" w:cs="Arial"/>
          <w:color w:val="000000"/>
          <w:sz w:val="24"/>
          <w:szCs w:val="24"/>
          <w:lang w:val="it-IT" w:eastAsia="it-IT"/>
        </w:rPr>
        <w:t>Salary</w:t>
      </w:r>
      <w:proofErr w:type="spellEnd"/>
      <w:r w:rsidRPr="004E6E88">
        <w:rPr>
          <w:rFonts w:eastAsia="Times New Roman" w:cs="Arial"/>
          <w:color w:val="000000"/>
          <w:sz w:val="24"/>
          <w:szCs w:val="24"/>
          <w:lang w:val="it-IT" w:eastAsia="it-IT"/>
        </w:rPr>
        <w:t xml:space="preserve">» prevede che il processo di certificazione sia rinnovato ogni tre anni e che tra due cicli di certificazione siano effettuati due audit a distanza di un anno l'uno dall'altro. Tale approccio consente di monitorare costantemente la situazione e assicurarsi di continuare a mantenere la rotta giusta. </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Specificatamente per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lo studio si è concluso per la prima volta nei primi mesi 2020 con l'ottenimento della certificazione. Successivamente, a giugno 2021 e a giugno 2022, si sono svolti i primi audit intermedi, i cui esiti sono stati positivi. Nel 2023 le analisi hanno ripercorso le fasi già contemplate nel 2020, concludendosi nuovamente – a inizio 2024 – con il rinnovo della certificazione.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C9581B">
      <w:pPr>
        <w:kinsoku w:val="0"/>
        <w:overflowPunct w:val="0"/>
        <w:spacing w:after="120"/>
        <w:ind w:right="147"/>
        <w:rPr>
          <w:rFonts w:eastAsia="Times New Roman" w:cs="Arial"/>
          <w:color w:val="000000"/>
          <w:sz w:val="24"/>
          <w:szCs w:val="24"/>
          <w:u w:val="single"/>
          <w:lang w:val="it-IT" w:eastAsia="it-IT"/>
        </w:rPr>
      </w:pPr>
      <w:r w:rsidRPr="004E6E88">
        <w:rPr>
          <w:rFonts w:eastAsia="Times New Roman" w:cs="Arial"/>
          <w:color w:val="000000"/>
          <w:sz w:val="24"/>
          <w:szCs w:val="24"/>
          <w:u w:val="single"/>
          <w:lang w:val="it-IT" w:eastAsia="it-IT"/>
        </w:rPr>
        <w:lastRenderedPageBreak/>
        <w:t>Congedo di maternità, di paternità e di adozione</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Nel corso del 2024 le collaboratrici e i collaboratori che hanno usufruito di un congedo di maternità, di paternità e di adozione sono stati diciassette, rientrati in seguito nell'esercizio delle loro rispettive funzioni. </w:t>
      </w:r>
    </w:p>
    <w:p w:rsidR="004E6E88" w:rsidRPr="004E6E88" w:rsidRDefault="004E6E88" w:rsidP="004E6E88">
      <w:pPr>
        <w:spacing w:line="276" w:lineRule="auto"/>
        <w:rPr>
          <w:rFonts w:eastAsia="Times New Roman" w:cs="Arial"/>
          <w:color w:val="000000"/>
          <w:sz w:val="24"/>
          <w:szCs w:val="24"/>
          <w:lang w:val="it-IT" w:eastAsia="it-CH"/>
        </w:rPr>
      </w:pPr>
    </w:p>
    <w:p w:rsidR="004E6E88" w:rsidRPr="004E6E88" w:rsidRDefault="004E6E88" w:rsidP="00C9581B">
      <w:pPr>
        <w:tabs>
          <w:tab w:val="left" w:pos="567"/>
        </w:tabs>
        <w:spacing w:after="120" w:line="276" w:lineRule="auto"/>
        <w:rPr>
          <w:rFonts w:eastAsia="Times New Roman" w:cs="Arial"/>
          <w:color w:val="000000"/>
          <w:sz w:val="24"/>
          <w:szCs w:val="24"/>
          <w:lang w:val="it-IT" w:eastAsia="it-CH"/>
        </w:rPr>
      </w:pPr>
      <w:r w:rsidRPr="004E6E88">
        <w:rPr>
          <w:rFonts w:eastAsia="Times New Roman" w:cs="Arial"/>
          <w:b/>
          <w:color w:val="000000"/>
          <w:sz w:val="24"/>
          <w:szCs w:val="24"/>
          <w:lang w:val="it-IT" w:eastAsia="it-CH"/>
        </w:rPr>
        <w:t xml:space="preserve">B. </w:t>
      </w:r>
      <w:r w:rsidR="00C9581B">
        <w:rPr>
          <w:rFonts w:eastAsia="Times New Roman" w:cs="Arial"/>
          <w:b/>
          <w:color w:val="000000"/>
          <w:sz w:val="24"/>
          <w:szCs w:val="24"/>
          <w:lang w:val="it-IT" w:eastAsia="it-CH"/>
        </w:rPr>
        <w:tab/>
      </w:r>
      <w:r w:rsidRPr="004E6E88">
        <w:rPr>
          <w:rFonts w:eastAsia="Times New Roman" w:cs="Arial"/>
          <w:b/>
          <w:color w:val="000000"/>
          <w:sz w:val="24"/>
          <w:szCs w:val="24"/>
          <w:lang w:val="it-IT" w:eastAsia="it-CH"/>
        </w:rPr>
        <w:t>Formazione</w:t>
      </w:r>
    </w:p>
    <w:p w:rsidR="004E6E88" w:rsidRPr="004E6E88" w:rsidRDefault="004E6E88" w:rsidP="00C9581B">
      <w:pPr>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accorda un posto di rilievo alla formazione: per mantenere una vera competitività aziendale sostenibile nel tempo occorre poter contare su un personale ben formato e motivato. In tal senso, la parola d'ordine è formazione continua. </w:t>
      </w:r>
    </w:p>
    <w:p w:rsidR="004E6E88" w:rsidRPr="004E6E88" w:rsidRDefault="004E6E88" w:rsidP="00C9581B">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Lo scopo è di permettere di mantenere aggiornate le proprie conoscenze e competenze. Il perfezionamento, realizzato a tutti i livelli, assicura a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collaboratrici e collaboratori in grado di fornire alla clientela un servizio professionale e di alta qualità. </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Con oltre 21'000 ore di formazione erogate, anche nel 2024 la Banca ha rafforzato ulteriormente il proprio impegno nel mantenimento e nello sviluppo delle competenze del personale. Il Gruppo ha quindi confermato il proprio approccio nel considerare la formazione un vero e proprio investimento sulle persone, un fattore strategico distintivo sul mercato, soprattutto alla luce dell'evoluzione relativa alle esigenze della clientela e della crescente complessità dell'attività bancaria. La formazione erogata nel 2024 ha coinvolto il personale in diversi ambiti, tra cui la tecnica bancaria (l'88% delle ore), lo sviluppo personale (7.7%) e la conduzione (4.6%). Nell'ambito della tecnica bancaria, la maggior parte delle ore di formazione (55%) era destinata ai consulenti alla clientela. </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In media, nel 2024 ogni dipendente del Gruppo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ha partecipato a circa otto giornate di formazione, equivalenti a 66 ore.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r w:rsidRPr="004E6E88">
        <w:rPr>
          <w:rFonts w:eastAsia="Times New Roman" w:cs="Arial"/>
          <w:noProof/>
          <w:color w:val="000000"/>
          <w:sz w:val="24"/>
          <w:szCs w:val="24"/>
          <w:lang w:eastAsia="it-CH"/>
        </w:rPr>
        <w:drawing>
          <wp:inline distT="0" distB="0" distL="0" distR="0" wp14:anchorId="39EB6310" wp14:editId="16444258">
            <wp:extent cx="6120130" cy="2264759"/>
            <wp:effectExtent l="0" t="0" r="0" b="254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2264759"/>
                    </a:xfrm>
                    <a:prstGeom prst="rect">
                      <a:avLst/>
                    </a:prstGeom>
                    <a:noFill/>
                    <a:ln>
                      <a:noFill/>
                    </a:ln>
                  </pic:spPr>
                </pic:pic>
              </a:graphicData>
            </a:graphic>
          </wp:inline>
        </w:drawing>
      </w:r>
    </w:p>
    <w:p w:rsidR="004E6E88" w:rsidRPr="004E6E88" w:rsidRDefault="004E6E88" w:rsidP="004E6E88">
      <w:pPr>
        <w:kinsoku w:val="0"/>
        <w:overflowPunct w:val="0"/>
        <w:spacing w:line="276" w:lineRule="auto"/>
        <w:ind w:right="147"/>
        <w:rPr>
          <w:rFonts w:eastAsia="Times New Roman" w:cs="Arial"/>
          <w:i/>
          <w:color w:val="000000"/>
          <w:lang w:val="it-IT" w:eastAsia="it-IT"/>
        </w:rPr>
      </w:pPr>
      <w:r w:rsidRPr="004E6E88">
        <w:rPr>
          <w:rFonts w:eastAsia="Times New Roman" w:cs="Arial"/>
          <w:i/>
          <w:color w:val="000000"/>
          <w:lang w:val="it-IT" w:eastAsia="it-IT"/>
        </w:rPr>
        <w:t xml:space="preserve">Rapporto sulla sostenibilità, p. 85.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C9581B">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offre a collaboratrici e collaboratori la possibilità di lavorare anche con contratti a tempo parziale. Questa opportunità e stata scelta da quasi il 20% del personale, mentre l'80% è attualmente impiegato con un contratto a tempo pieno. </w:t>
      </w:r>
    </w:p>
    <w:p w:rsidR="004E6E88" w:rsidRPr="004E6E88" w:rsidRDefault="004E6E88" w:rsidP="00C9581B">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La promozione della salute e della sicurezza rappresenta un aspetto fondamentale per il benessere individuale e collettivo del personale all'interno della Banca. Laddove possibile e nei limiti previsti dalla legge è estesa al personale esterno, ai fornitori e alla clientela. </w:t>
      </w:r>
    </w:p>
    <w:p w:rsidR="00C9581B" w:rsidRDefault="00C9581B">
      <w:pPr>
        <w:rPr>
          <w:rFonts w:eastAsia="Times New Roman" w:cs="Arial"/>
          <w:color w:val="000000"/>
          <w:sz w:val="24"/>
          <w:szCs w:val="24"/>
          <w:lang w:val="it-IT" w:eastAsia="it-CH"/>
        </w:rPr>
      </w:pPr>
      <w:r>
        <w:rPr>
          <w:rFonts w:eastAsia="Times New Roman" w:cs="Arial"/>
          <w:color w:val="000000"/>
          <w:sz w:val="24"/>
          <w:szCs w:val="24"/>
          <w:lang w:val="it-IT" w:eastAsia="it-CH"/>
        </w:rPr>
        <w:br w:type="page"/>
      </w:r>
    </w:p>
    <w:p w:rsidR="004E6E88" w:rsidRPr="004E6E88" w:rsidRDefault="004E6E88" w:rsidP="00C9581B">
      <w:pPr>
        <w:tabs>
          <w:tab w:val="left" w:pos="567"/>
        </w:tabs>
        <w:spacing w:after="120" w:line="276" w:lineRule="auto"/>
        <w:rPr>
          <w:rFonts w:eastAsia="Times New Roman" w:cs="Arial"/>
          <w:b/>
          <w:color w:val="000000"/>
          <w:sz w:val="24"/>
          <w:szCs w:val="24"/>
          <w:lang w:val="it-IT" w:eastAsia="it-CH"/>
        </w:rPr>
      </w:pPr>
      <w:r w:rsidRPr="004E6E88">
        <w:rPr>
          <w:rFonts w:eastAsia="Times New Roman" w:cs="Arial"/>
          <w:b/>
          <w:color w:val="000000"/>
          <w:sz w:val="24"/>
          <w:szCs w:val="24"/>
          <w:lang w:val="it-IT" w:eastAsia="it-CH"/>
        </w:rPr>
        <w:lastRenderedPageBreak/>
        <w:t xml:space="preserve">C. </w:t>
      </w:r>
      <w:r w:rsidR="00C9581B">
        <w:rPr>
          <w:rFonts w:eastAsia="Times New Roman" w:cs="Arial"/>
          <w:b/>
          <w:color w:val="000000"/>
          <w:sz w:val="24"/>
          <w:szCs w:val="24"/>
          <w:lang w:val="it-IT" w:eastAsia="it-CH"/>
        </w:rPr>
        <w:tab/>
      </w:r>
      <w:r w:rsidRPr="004E6E88">
        <w:rPr>
          <w:rFonts w:eastAsia="Times New Roman" w:cs="Arial"/>
          <w:b/>
          <w:color w:val="000000"/>
          <w:sz w:val="24"/>
          <w:szCs w:val="24"/>
          <w:lang w:val="it-IT" w:eastAsia="it-CH"/>
        </w:rPr>
        <w:t xml:space="preserve">Clienti e partner commerciali </w:t>
      </w:r>
    </w:p>
    <w:p w:rsidR="004E6E88" w:rsidRPr="004E6E88" w:rsidRDefault="004E6E88" w:rsidP="00C958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Uno degli indicatori rappresentativi dell'evoluzione dell'attività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è da sempre la concessione di crediti ipotecari, che registra una crescita continua negli ultimi anni, a dimostrazione che la Banca sostiene concretamente l'economia ticinese. </w:t>
      </w:r>
    </w:p>
    <w:p w:rsidR="004E6E88" w:rsidRPr="004E6E88" w:rsidRDefault="004E6E88" w:rsidP="00C958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Nel 2024 il volume ipotecario del Gruppo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ha continuato ad evolvere positivamente, passando a </w:t>
      </w:r>
      <w:r w:rsidRPr="004E6E88">
        <w:rPr>
          <w:rFonts w:eastAsia="Times New Roman" w:cs="Arial"/>
          <w:bCs/>
          <w:color w:val="000000"/>
          <w:sz w:val="24"/>
          <w:szCs w:val="24"/>
          <w:lang w:eastAsia="it-CH"/>
        </w:rPr>
        <w:t>12.4</w:t>
      </w:r>
      <w:r w:rsidRPr="004E6E88">
        <w:rPr>
          <w:rFonts w:eastAsia="Times New Roman" w:cs="Arial"/>
          <w:color w:val="000000"/>
          <w:sz w:val="24"/>
          <w:szCs w:val="24"/>
          <w:lang w:val="it-IT" w:eastAsia="it-CH"/>
        </w:rPr>
        <w:t xml:space="preserve"> miliardi di franchi, con una crescita </w:t>
      </w:r>
      <w:r w:rsidRPr="004E6E88">
        <w:rPr>
          <w:rFonts w:eastAsia="Times New Roman" w:cs="Arial"/>
          <w:bCs/>
          <w:color w:val="000000"/>
          <w:sz w:val="24"/>
          <w:szCs w:val="24"/>
          <w:lang w:eastAsia="it-CH"/>
        </w:rPr>
        <w:t>di 554.6 milioni (+</w:t>
      </w:r>
      <w:r w:rsidRPr="004E6E88">
        <w:rPr>
          <w:rFonts w:eastAsia="Times New Roman" w:cs="Arial"/>
          <w:color w:val="000000"/>
          <w:sz w:val="24"/>
          <w:szCs w:val="24"/>
          <w:lang w:val="it-IT" w:eastAsia="it-CH"/>
        </w:rPr>
        <w:t xml:space="preserve"> 4.7%). </w:t>
      </w:r>
    </w:p>
    <w:p w:rsidR="004E6E88" w:rsidRPr="004E6E88" w:rsidRDefault="004E6E88" w:rsidP="00C958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Per quel che concerne la gestione del rischio di credito, occorre rilevare che la politica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è contraddistinta da un approccio particolarmente prudenziale. La quasi totalità dei crediti ipotecari (il 94.9%) ha un grado di anticipo in "primo rango".  </w:t>
      </w:r>
    </w:p>
    <w:p w:rsidR="004E6E88" w:rsidRPr="004E6E88" w:rsidRDefault="004E6E88" w:rsidP="00C958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I Crediti privati e aziendali (Enti pubblici esclusi) crescono del 9.4% (+160.9 milioni), raggiungendo quota 1.9 miliardi di franchi, così come i crediti nei confronti degli enti pubblici raggiungendo 882.4 milioni (+1.2%, +10.6 milioni).  </w:t>
      </w:r>
    </w:p>
    <w:p w:rsidR="004E6E88" w:rsidRDefault="004E6E88" w:rsidP="00C9581B">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Tra i valori principali della Banca vi è la vicinanza alla clientela, garantita grazie all'importante presenza su tutto il territorio cantonale: il 57.5% delle persone impiegate è attiva nella Regione di Bellinzona (anche in considerazione delle funzioni centrali esercitate dalla Sede di Bellinzona), mentre il 30.4% del personale opera nella regione di Lugano, 46 impiegati (7.3%) nella regione di Locarno e 31 persone (4.9%) nella regione di Chiasso. </w:t>
      </w:r>
    </w:p>
    <w:p w:rsidR="00680EAA" w:rsidRPr="004E6E88" w:rsidRDefault="00680EAA" w:rsidP="00C9581B">
      <w:pPr>
        <w:rPr>
          <w:rFonts w:eastAsia="Times New Roman" w:cs="Arial"/>
          <w:color w:val="000000"/>
          <w:sz w:val="24"/>
          <w:szCs w:val="24"/>
          <w:lang w:val="it-IT" w:eastAsia="it-CH"/>
        </w:rPr>
      </w:pPr>
    </w:p>
    <w:p w:rsidR="004E6E88" w:rsidRPr="004E6E88" w:rsidRDefault="004E6E88" w:rsidP="00C9581B">
      <w:pPr>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sostiene le PMI attivamente nella loro capacità di rinnovarsi e di proporre prodotti nuovi, tecnologie e servizi tali da mantenere e consolidare la base economica del nostro Cantone.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offre alle aziende diverse possibilità di finanziamento quali crediti commerciali, crediti documentari, cauzioni, garanzie e crediti. È inoltre attenta e attiva nelle pratiche di successione aziendale, al fine di mantenere sul territorio aziende e posti di lavoro. </w:t>
      </w:r>
    </w:p>
    <w:p w:rsidR="004E6E88" w:rsidRPr="004E6E88" w:rsidRDefault="004E6E88" w:rsidP="004E6E88">
      <w:pPr>
        <w:spacing w:line="276" w:lineRule="auto"/>
        <w:rPr>
          <w:rFonts w:eastAsia="Times New Roman" w:cs="Arial"/>
          <w:color w:val="000000"/>
          <w:sz w:val="24"/>
          <w:szCs w:val="24"/>
          <w:lang w:val="it-IT" w:eastAsia="it-CH"/>
        </w:rPr>
      </w:pPr>
    </w:p>
    <w:p w:rsidR="004E6E88" w:rsidRPr="00680EAA" w:rsidRDefault="004E6E88" w:rsidP="00680EAA">
      <w:pPr>
        <w:pStyle w:val="Titolo2"/>
        <w:numPr>
          <w:ilvl w:val="0"/>
          <w:numId w:val="0"/>
        </w:numPr>
        <w:tabs>
          <w:tab w:val="left" w:pos="567"/>
        </w:tabs>
        <w:spacing w:before="0" w:after="120"/>
        <w:jc w:val="both"/>
        <w:rPr>
          <w:rFonts w:eastAsia="Calibri" w:cs="Times New Roman"/>
          <w:sz w:val="24"/>
          <w:lang w:val="it-IT" w:eastAsia="it-IT"/>
        </w:rPr>
      </w:pPr>
      <w:r w:rsidRPr="00680EAA">
        <w:rPr>
          <w:rFonts w:eastAsia="Calibri" w:cs="Times New Roman"/>
          <w:sz w:val="24"/>
          <w:lang w:val="it-IT" w:eastAsia="it-IT"/>
        </w:rPr>
        <w:t xml:space="preserve">4.2 </w:t>
      </w:r>
      <w:r w:rsidR="00680EAA">
        <w:rPr>
          <w:rFonts w:eastAsia="Calibri" w:cs="Times New Roman"/>
          <w:sz w:val="24"/>
          <w:lang w:val="it-IT" w:eastAsia="it-IT"/>
        </w:rPr>
        <w:tab/>
      </w:r>
      <w:r w:rsidRPr="00680EAA">
        <w:rPr>
          <w:rFonts w:eastAsia="Calibri" w:cs="Times New Roman"/>
          <w:sz w:val="24"/>
          <w:lang w:val="it-IT" w:eastAsia="it-IT"/>
        </w:rPr>
        <w:t>Sostegno a iniziative sociali, culturali e sportive</w:t>
      </w:r>
    </w:p>
    <w:p w:rsidR="004E6E88" w:rsidRPr="004E6E88" w:rsidRDefault="004E6E88" w:rsidP="00680EAA">
      <w:pPr>
        <w:kinsoku w:val="0"/>
        <w:overflowPunct w:val="0"/>
        <w:ind w:right="147"/>
        <w:rPr>
          <w:rFonts w:eastAsia="Times New Roman" w:cs="Arial"/>
          <w:color w:val="000000"/>
          <w:sz w:val="24"/>
          <w:szCs w:val="24"/>
          <w:lang w:val="it-IT" w:eastAsia="it-IT"/>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supporta attivamente centinaia di società e associazioni sportive, culturali e di beneficenza del Cantone, in particolare si focalizza su </w:t>
      </w:r>
      <w:r w:rsidRPr="004E6E88">
        <w:rPr>
          <w:rFonts w:eastAsia="Times New Roman" w:cs="Arial"/>
          <w:color w:val="000000"/>
          <w:sz w:val="24"/>
          <w:szCs w:val="24"/>
          <w:lang w:val="it-IT" w:eastAsia="it-IT"/>
        </w:rPr>
        <w:t xml:space="preserve">collaborazioni locali e nel supporto attraverso la sponsorizzazione di numerose associazioni ed enti del territorio ticinese operanti nei settori culturali, sociali e sportive con oltre 4.5 milioni di franchi versati nel 2024: il sostegno a iniziative nei campi della musica, della cultura e della socialità rappresenta circa il 53% del totale delle iniziative sostenute; quello per eventi sportivi corrisponde al 38.5%; quello per le iniziative in ambito di ricerca, formazione e sviluppo economico rappresentano circa l'8%. </w:t>
      </w:r>
    </w:p>
    <w:p w:rsidR="004E6E88" w:rsidRPr="004E6E88" w:rsidRDefault="004E6E88" w:rsidP="00680EAA">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Per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lo sviluppo economico del Cantone è una priorità e, per questo, la Banca è particolarmente sensibile a iniziative e manifestazioni negli ambiti della ricerca e della formazione continua e sostiene due importanti centri formativi ticinesi, la Scuola Universitaria Professionale della Svizzera italiana (SUPSI) e il Centro Studi Villa Negroni. </w:t>
      </w:r>
    </w:p>
    <w:p w:rsidR="004E6E88" w:rsidRPr="004E6E88" w:rsidRDefault="004E6E88" w:rsidP="00680EAA">
      <w:pPr>
        <w:kinsoku w:val="0"/>
        <w:overflowPunct w:val="0"/>
        <w:ind w:right="147"/>
        <w:rPr>
          <w:rFonts w:ascii="Arial Narrow" w:eastAsia="Times New Roman" w:hAnsi="Arial Narrow" w:cs="Arial"/>
          <w:color w:val="000000"/>
          <w:sz w:val="24"/>
          <w:szCs w:val="24"/>
          <w:lang w:val="it-IT" w:eastAsia="it-CH"/>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nell'ambito delle sponsorizzazioni segue la filosofia del mandato pubblico. L'Istituto pone particolare attenzione al tema della sostenibilità sociale e aziendale, sia in riferimento al proprio agire che a quello delle realtà sostenute: oltre 600 società e associazioni supportate, oltre 1'400 giovani sostenuti in tutta la Svizzera attraverso associazioni studentesche ticinesi fuori Cantone. </w:t>
      </w:r>
      <w:r w:rsidRPr="004E6E88">
        <w:rPr>
          <w:rFonts w:eastAsia="Times New Roman" w:cs="Arial"/>
          <w:color w:val="000000"/>
          <w:sz w:val="24"/>
          <w:szCs w:val="24"/>
          <w:lang w:val="it-IT" w:eastAsia="it-CH"/>
        </w:rPr>
        <w:t xml:space="preserve">Fornisce un supporto non solo in termini economici ma anche a livello di know-how, contribuendo a un consolidamento delle attività sportive e culturali. </w:t>
      </w:r>
    </w:p>
    <w:p w:rsidR="004E6E88" w:rsidRPr="004E6E88" w:rsidRDefault="004E6E88" w:rsidP="00680EAA">
      <w:pPr>
        <w:kinsoku w:val="0"/>
        <w:overflowPunct w:val="0"/>
        <w:ind w:right="147"/>
        <w:rPr>
          <w:rFonts w:ascii="Arial Narrow" w:eastAsia="Times New Roman" w:hAnsi="Arial Narrow" w:cs="Arial"/>
          <w:color w:val="000000"/>
          <w:sz w:val="24"/>
          <w:szCs w:val="24"/>
          <w:lang w:val="it-IT" w:eastAsia="it-CH"/>
        </w:rPr>
      </w:pPr>
    </w:p>
    <w:p w:rsidR="004E6E88" w:rsidRPr="00680EAA" w:rsidRDefault="004E6E88" w:rsidP="00680EAA">
      <w:pPr>
        <w:pStyle w:val="Titolo2"/>
        <w:numPr>
          <w:ilvl w:val="0"/>
          <w:numId w:val="0"/>
        </w:numPr>
        <w:tabs>
          <w:tab w:val="left" w:pos="567"/>
        </w:tabs>
        <w:spacing w:before="0" w:after="120"/>
        <w:jc w:val="both"/>
        <w:rPr>
          <w:rFonts w:eastAsia="Calibri" w:cs="Times New Roman"/>
          <w:sz w:val="24"/>
          <w:lang w:val="it-IT" w:eastAsia="it-IT"/>
        </w:rPr>
      </w:pPr>
      <w:r w:rsidRPr="00680EAA">
        <w:rPr>
          <w:rFonts w:eastAsia="Calibri" w:cs="Times New Roman"/>
          <w:sz w:val="24"/>
          <w:lang w:val="it-IT" w:eastAsia="it-IT"/>
        </w:rPr>
        <w:lastRenderedPageBreak/>
        <w:t>4.3 Indicatori ambientali</w:t>
      </w:r>
    </w:p>
    <w:p w:rsidR="004E6E88" w:rsidRPr="004E6E88" w:rsidRDefault="004E6E88" w:rsidP="00680EAA">
      <w:pPr>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ha intrapreso da anni la strada della gestione sostenibile, impegnandosi a ridurre gli impatti ambientali connessi con lo svolgimento delle proprie attività, con particolare attenzione agli sprechi di risorse, all'ottimizzazione dei consumi di energia e acqua, alla gestione dei rifiuti, all'utilizzo delle materie prime e dei materiali di lavoro ricorrendo, quando possibile, a prodotti ecocompatibili. </w:t>
      </w:r>
    </w:p>
    <w:p w:rsidR="004E6E88" w:rsidRPr="004E6E88" w:rsidRDefault="004E6E88" w:rsidP="00680EAA">
      <w:pPr>
        <w:spacing w:after="240"/>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è pure particolarmente attenta a sviluppare relazioni commerciali con partner, aziende e fornitori sulla base di parametri etici, sociali e ambientali elevati.</w:t>
      </w:r>
    </w:p>
    <w:p w:rsidR="004E6E88" w:rsidRPr="00680EAA" w:rsidRDefault="004E6E88" w:rsidP="00680EAA">
      <w:pPr>
        <w:pStyle w:val="Titolo3"/>
        <w:numPr>
          <w:ilvl w:val="0"/>
          <w:numId w:val="0"/>
        </w:numPr>
        <w:tabs>
          <w:tab w:val="left" w:pos="709"/>
        </w:tabs>
        <w:spacing w:after="120"/>
        <w:jc w:val="both"/>
        <w:rPr>
          <w:rFonts w:eastAsia="Calibri" w:cs="Times New Roman"/>
          <w:i/>
          <w:sz w:val="23"/>
          <w:szCs w:val="23"/>
          <w:lang w:val="it-IT" w:eastAsia="it-IT"/>
        </w:rPr>
      </w:pPr>
      <w:r w:rsidRPr="00680EAA">
        <w:rPr>
          <w:rFonts w:eastAsia="Calibri" w:cs="Times New Roman"/>
          <w:i/>
          <w:sz w:val="23"/>
          <w:szCs w:val="23"/>
          <w:lang w:val="it-IT" w:eastAsia="it-IT"/>
        </w:rPr>
        <w:t>4.3.1</w:t>
      </w:r>
      <w:r w:rsidRPr="00680EAA">
        <w:rPr>
          <w:rFonts w:eastAsia="Calibri" w:cs="Times New Roman"/>
          <w:i/>
          <w:sz w:val="23"/>
          <w:szCs w:val="23"/>
          <w:lang w:val="it-IT" w:eastAsia="it-IT"/>
        </w:rPr>
        <w:tab/>
        <w:t>Consumo e riciclaggio della carta e smaltimento dei rifiuti</w:t>
      </w:r>
    </w:p>
    <w:p w:rsidR="004E6E88" w:rsidRPr="004E6E88" w:rsidRDefault="004E6E88" w:rsidP="00680EAA">
      <w:pPr>
        <w:kinsoku w:val="0"/>
        <w:overflowPunct w:val="0"/>
        <w:ind w:right="147"/>
        <w:rPr>
          <w:rFonts w:eastAsia="Times New Roman" w:cs="Arial"/>
          <w:color w:val="000000"/>
          <w:sz w:val="24"/>
          <w:szCs w:val="24"/>
          <w:lang w:val="it-IT" w:eastAsia="it-IT"/>
        </w:rPr>
      </w:pPr>
      <w:r w:rsidRPr="004E6E88">
        <w:rPr>
          <w:rFonts w:eastAsia="Times New Roman" w:cs="Arial"/>
          <w:bCs/>
          <w:color w:val="000000"/>
          <w:sz w:val="24"/>
          <w:szCs w:val="24"/>
          <w:lang w:eastAsia="it-IT"/>
        </w:rPr>
        <w:t xml:space="preserve">Nel corso del 2024 il consumo totale di carta (solo per </w:t>
      </w:r>
      <w:proofErr w:type="spellStart"/>
      <w:r w:rsidRPr="004E6E88">
        <w:rPr>
          <w:rFonts w:eastAsia="Times New Roman" w:cs="Arial"/>
          <w:bCs/>
          <w:color w:val="000000"/>
          <w:sz w:val="24"/>
          <w:szCs w:val="24"/>
          <w:lang w:eastAsia="it-IT"/>
        </w:rPr>
        <w:t>BancaStato</w:t>
      </w:r>
      <w:proofErr w:type="spellEnd"/>
      <w:r w:rsidRPr="004E6E88">
        <w:rPr>
          <w:rFonts w:eastAsia="Times New Roman" w:cs="Arial"/>
          <w:bCs/>
          <w:color w:val="000000"/>
          <w:sz w:val="24"/>
          <w:szCs w:val="24"/>
          <w:lang w:eastAsia="it-IT"/>
        </w:rPr>
        <w:t xml:space="preserve">, senza </w:t>
      </w:r>
      <w:proofErr w:type="spellStart"/>
      <w:r w:rsidRPr="004E6E88">
        <w:rPr>
          <w:rFonts w:eastAsia="Times New Roman" w:cs="Arial"/>
          <w:bCs/>
          <w:color w:val="000000"/>
          <w:sz w:val="24"/>
          <w:szCs w:val="24"/>
          <w:lang w:eastAsia="it-IT"/>
        </w:rPr>
        <w:t>Axion</w:t>
      </w:r>
      <w:proofErr w:type="spellEnd"/>
      <w:r w:rsidRPr="004E6E88">
        <w:rPr>
          <w:rFonts w:eastAsia="Times New Roman" w:cs="Arial"/>
          <w:bCs/>
          <w:color w:val="000000"/>
          <w:sz w:val="24"/>
          <w:szCs w:val="24"/>
          <w:lang w:eastAsia="it-IT"/>
        </w:rPr>
        <w:t xml:space="preserve"> SWISS </w:t>
      </w:r>
      <w:proofErr w:type="spellStart"/>
      <w:r w:rsidRPr="004E6E88">
        <w:rPr>
          <w:rFonts w:eastAsia="Times New Roman" w:cs="Arial"/>
          <w:bCs/>
          <w:color w:val="000000"/>
          <w:sz w:val="24"/>
          <w:szCs w:val="24"/>
          <w:lang w:eastAsia="it-IT"/>
        </w:rPr>
        <w:t>Bank</w:t>
      </w:r>
      <w:proofErr w:type="spellEnd"/>
      <w:r w:rsidRPr="004E6E88">
        <w:rPr>
          <w:rFonts w:eastAsia="Times New Roman" w:cs="Arial"/>
          <w:bCs/>
          <w:color w:val="000000"/>
          <w:sz w:val="24"/>
          <w:szCs w:val="24"/>
          <w:lang w:eastAsia="it-IT"/>
        </w:rPr>
        <w:t xml:space="preserve"> SA) è rimasto fedele al «trend» degli scorsi anni, facendo segnare una riduzione dell'11% rispetto al 2023. I rifiuti cartacei risultano in calo del -24.5% rispetto al 2023, anche in relazione ad un maggior utilizzo digitale dei documenti. Nel 2024 la Banca ha provveduto a eliminare circa 16.9 tonnellate di rifiuti cartacei, di cui il 14% di esse riguardava l'usuale rimozione annuale degli archivi cartacei nel rispetto dei termini di legge.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r w:rsidRPr="004E6E88">
        <w:rPr>
          <w:rFonts w:eastAsia="Times New Roman" w:cs="Arial"/>
          <w:noProof/>
          <w:color w:val="000000"/>
          <w:sz w:val="24"/>
          <w:szCs w:val="24"/>
          <w:lang w:eastAsia="it-CH"/>
        </w:rPr>
        <w:drawing>
          <wp:inline distT="0" distB="0" distL="0" distR="0" wp14:anchorId="53B1E22A" wp14:editId="6A3E47F0">
            <wp:extent cx="6120130" cy="3860803"/>
            <wp:effectExtent l="0" t="0" r="0" b="635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3860803"/>
                    </a:xfrm>
                    <a:prstGeom prst="rect">
                      <a:avLst/>
                    </a:prstGeom>
                    <a:noFill/>
                    <a:ln>
                      <a:noFill/>
                    </a:ln>
                  </pic:spPr>
                </pic:pic>
              </a:graphicData>
            </a:graphic>
          </wp:inline>
        </w:drawing>
      </w:r>
    </w:p>
    <w:p w:rsidR="004E6E88" w:rsidRPr="004E6E88" w:rsidRDefault="004E6E88" w:rsidP="004E6E88">
      <w:pPr>
        <w:rPr>
          <w:rFonts w:eastAsia="Times New Roman" w:cs="Arial"/>
          <w:i/>
          <w:color w:val="000000"/>
          <w:lang w:val="it-IT" w:eastAsia="it-IT"/>
        </w:rPr>
      </w:pPr>
      <w:r w:rsidRPr="004E6E88">
        <w:rPr>
          <w:rFonts w:eastAsia="Times New Roman" w:cs="Arial"/>
          <w:i/>
          <w:color w:val="000000"/>
          <w:lang w:val="it-IT" w:eastAsia="it-IT"/>
        </w:rPr>
        <w:t xml:space="preserve">Rapporto di sostenibilità, p. 125.  </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4E6E88" w:rsidRDefault="004E6E88" w:rsidP="00680EAA">
      <w:pPr>
        <w:rPr>
          <w:rFonts w:eastAsia="Times New Roman" w:cs="Arial"/>
          <w:color w:val="000000"/>
          <w:sz w:val="24"/>
          <w:szCs w:val="24"/>
          <w:lang w:val="it-IT" w:eastAsia="it-CH"/>
        </w:rPr>
      </w:pP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si sta impegnando a digitalizzare ulteriormente i suoi processi di lavoro.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ha continuato a sensibilizzare la clientela in merito alla possibilità di ricevere la documentazione relativa alle proprie relazioni unicamente in modalità elettronica. </w:t>
      </w:r>
    </w:p>
    <w:p w:rsidR="004E6E88" w:rsidRPr="004E6E88" w:rsidRDefault="004E6E88" w:rsidP="00680EAA">
      <w:pPr>
        <w:kinsoku w:val="0"/>
        <w:overflowPunct w:val="0"/>
        <w:ind w:right="147"/>
        <w:rPr>
          <w:rFonts w:eastAsia="Times New Roman" w:cs="Arial"/>
          <w:color w:val="000000"/>
          <w:sz w:val="24"/>
          <w:szCs w:val="24"/>
          <w:lang w:val="it-IT" w:eastAsia="it-IT"/>
        </w:rPr>
      </w:pPr>
    </w:p>
    <w:p w:rsidR="004E6E88" w:rsidRPr="004E6E88" w:rsidRDefault="004E6E88" w:rsidP="00680EAA">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Oltre alla generazione di un danno ambientale, una gestione inefficiente e dispendiosa dei rifiuti e delle risorse può comportare costi elevati o addirittura danneggiare la </w:t>
      </w:r>
      <w:r w:rsidRPr="004E6E88">
        <w:rPr>
          <w:rFonts w:eastAsia="Times New Roman" w:cs="Arial"/>
          <w:color w:val="000000"/>
          <w:sz w:val="24"/>
          <w:szCs w:val="24"/>
          <w:lang w:val="it-IT" w:eastAsia="it-IT"/>
        </w:rPr>
        <w:lastRenderedPageBreak/>
        <w:t xml:space="preserve">reputazione della Banca. Pertanto,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si adopera per mantenere il consumo di risorse il più basso possibile.</w:t>
      </w:r>
    </w:p>
    <w:p w:rsidR="004E6E88" w:rsidRPr="004E6E88" w:rsidRDefault="004E6E88" w:rsidP="004E6E88">
      <w:pPr>
        <w:kinsoku w:val="0"/>
        <w:overflowPunct w:val="0"/>
        <w:spacing w:line="276" w:lineRule="auto"/>
        <w:ind w:right="147"/>
        <w:rPr>
          <w:rFonts w:eastAsia="Times New Roman" w:cs="Arial"/>
          <w:color w:val="000000"/>
          <w:sz w:val="24"/>
          <w:szCs w:val="24"/>
          <w:lang w:val="it-IT" w:eastAsia="it-IT"/>
        </w:rPr>
      </w:pPr>
    </w:p>
    <w:p w:rsidR="004E6E88" w:rsidRPr="00680EAA" w:rsidRDefault="004E6E88" w:rsidP="00680EAA">
      <w:pPr>
        <w:pStyle w:val="Titolo2"/>
        <w:numPr>
          <w:ilvl w:val="0"/>
          <w:numId w:val="0"/>
        </w:numPr>
        <w:tabs>
          <w:tab w:val="left" w:pos="567"/>
        </w:tabs>
        <w:spacing w:before="0" w:after="120"/>
        <w:jc w:val="both"/>
        <w:rPr>
          <w:rFonts w:eastAsia="Calibri" w:cs="Times New Roman"/>
          <w:sz w:val="24"/>
          <w:lang w:val="it-IT" w:eastAsia="it-IT"/>
        </w:rPr>
      </w:pPr>
      <w:r w:rsidRPr="00680EAA">
        <w:rPr>
          <w:rFonts w:eastAsia="Calibri" w:cs="Times New Roman"/>
          <w:sz w:val="24"/>
          <w:lang w:val="it-IT" w:eastAsia="it-IT"/>
        </w:rPr>
        <w:t>4.3.2</w:t>
      </w:r>
      <w:r w:rsidRPr="00680EAA">
        <w:rPr>
          <w:rFonts w:eastAsia="Calibri" w:cs="Times New Roman"/>
          <w:sz w:val="24"/>
          <w:lang w:val="it-IT" w:eastAsia="it-IT"/>
        </w:rPr>
        <w:tab/>
      </w:r>
      <w:r w:rsidR="00680EAA">
        <w:rPr>
          <w:rFonts w:eastAsia="Calibri" w:cs="Times New Roman"/>
          <w:sz w:val="24"/>
          <w:lang w:val="it-IT" w:eastAsia="it-IT"/>
        </w:rPr>
        <w:tab/>
      </w:r>
      <w:r w:rsidRPr="00680EAA">
        <w:rPr>
          <w:rFonts w:eastAsia="Calibri" w:cs="Times New Roman"/>
          <w:sz w:val="24"/>
          <w:lang w:val="it-IT" w:eastAsia="it-IT"/>
        </w:rPr>
        <w:t xml:space="preserve">Gestione del consumo energetico </w:t>
      </w:r>
    </w:p>
    <w:p w:rsidR="004E6E88" w:rsidRPr="004E6E88" w:rsidRDefault="004E6E88" w:rsidP="00680EAA">
      <w:pPr>
        <w:rPr>
          <w:rFonts w:eastAsia="Times New Roman" w:cs="Arial"/>
          <w:color w:val="000000"/>
          <w:sz w:val="24"/>
          <w:szCs w:val="24"/>
          <w:lang w:eastAsia="it-CH"/>
        </w:rPr>
      </w:pPr>
      <w:proofErr w:type="spellStart"/>
      <w:r w:rsidRPr="004E6E88">
        <w:rPr>
          <w:rFonts w:eastAsia="Times New Roman" w:cs="Arial"/>
          <w:color w:val="000000"/>
          <w:sz w:val="24"/>
          <w:szCs w:val="24"/>
          <w:lang w:eastAsia="it-CH"/>
        </w:rPr>
        <w:t>BancaStato</w:t>
      </w:r>
      <w:proofErr w:type="spellEnd"/>
      <w:r w:rsidRPr="004E6E88">
        <w:rPr>
          <w:rFonts w:eastAsia="Times New Roman" w:cs="Arial"/>
          <w:color w:val="000000"/>
          <w:sz w:val="24"/>
          <w:szCs w:val="24"/>
          <w:lang w:eastAsia="it-CH"/>
        </w:rPr>
        <w:t xml:space="preserve"> ambisce alla costante riduzione del proprio consumo energetico, così come alla riduzione della sua dipendenza da combustibili fossili. L'approvvigionamento di elettricità avviene prevalentemente da energia idroelettrica svizzera.</w:t>
      </w:r>
    </w:p>
    <w:p w:rsidR="004E6E88" w:rsidRPr="004E6E88" w:rsidRDefault="004E6E88" w:rsidP="00680EAA">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Nel 2024 il consumo di olio combustibile è stato ulteriormente ridotto in maniera sensibile, circa -7'400 litri rispetto all’anno precedente. </w:t>
      </w:r>
      <w:r w:rsidRPr="004E6E88">
        <w:rPr>
          <w:rFonts w:eastAsia="Times New Roman" w:cs="Arial"/>
          <w:color w:val="000000"/>
          <w:sz w:val="24"/>
          <w:szCs w:val="24"/>
          <w:lang w:eastAsia="it-CH"/>
        </w:rPr>
        <w:t>Tali misure hanno inevitabilmente condotto ad un maggiore fabbisogno di energia proveniente dal teleriscaldamento (+16%), dal gas industriale (+15%), mentre il consumo di elettricità è cresciuto complessivamente del 4.6%.</w:t>
      </w:r>
    </w:p>
    <w:p w:rsidR="004E6E88" w:rsidRPr="004E6E88" w:rsidRDefault="004E6E88" w:rsidP="004E6E88">
      <w:pPr>
        <w:spacing w:line="276" w:lineRule="auto"/>
        <w:rPr>
          <w:rFonts w:eastAsia="Times New Roman" w:cs="Arial"/>
          <w:color w:val="000000"/>
          <w:sz w:val="24"/>
          <w:szCs w:val="24"/>
          <w:lang w:val="it-IT" w:eastAsia="it-CH"/>
        </w:rPr>
      </w:pPr>
      <w:r w:rsidRPr="004E6E88">
        <w:rPr>
          <w:rFonts w:eastAsia="Times New Roman" w:cs="Arial"/>
          <w:noProof/>
          <w:color w:val="000000"/>
          <w:sz w:val="24"/>
          <w:szCs w:val="24"/>
          <w:lang w:eastAsia="it-CH"/>
        </w:rPr>
        <w:drawing>
          <wp:inline distT="0" distB="0" distL="0" distR="0" wp14:anchorId="725AA47E" wp14:editId="1A655B9B">
            <wp:extent cx="4067175" cy="2574925"/>
            <wp:effectExtent l="0" t="0" r="9525"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67175" cy="2574925"/>
                    </a:xfrm>
                    <a:prstGeom prst="rect">
                      <a:avLst/>
                    </a:prstGeom>
                    <a:noFill/>
                    <a:ln>
                      <a:noFill/>
                    </a:ln>
                  </pic:spPr>
                </pic:pic>
              </a:graphicData>
            </a:graphic>
          </wp:inline>
        </w:drawing>
      </w:r>
    </w:p>
    <w:p w:rsidR="004E6E88" w:rsidRPr="004E6E88" w:rsidRDefault="004E6E88" w:rsidP="004E6E88">
      <w:pPr>
        <w:spacing w:line="276" w:lineRule="auto"/>
        <w:rPr>
          <w:rFonts w:eastAsia="Times New Roman" w:cs="Arial"/>
          <w:color w:val="000000"/>
          <w:sz w:val="24"/>
          <w:szCs w:val="24"/>
          <w:lang w:val="it-IT" w:eastAsia="it-CH"/>
        </w:rPr>
      </w:pPr>
    </w:p>
    <w:p w:rsidR="004E6E88" w:rsidRPr="004E6E88" w:rsidRDefault="004E6E88" w:rsidP="004E6E88">
      <w:pPr>
        <w:spacing w:line="276" w:lineRule="auto"/>
        <w:rPr>
          <w:rFonts w:eastAsia="Times New Roman" w:cs="Arial"/>
          <w:color w:val="000000"/>
          <w:sz w:val="24"/>
          <w:szCs w:val="24"/>
          <w:lang w:val="it-IT" w:eastAsia="it-CH"/>
        </w:rPr>
      </w:pPr>
      <w:r w:rsidRPr="004E6E88">
        <w:rPr>
          <w:rFonts w:eastAsia="Times New Roman" w:cs="Arial"/>
          <w:noProof/>
          <w:color w:val="000000"/>
          <w:sz w:val="24"/>
          <w:szCs w:val="24"/>
          <w:lang w:eastAsia="it-CH"/>
        </w:rPr>
        <w:drawing>
          <wp:inline distT="0" distB="0" distL="0" distR="0" wp14:anchorId="3D77F717" wp14:editId="3E4F0685">
            <wp:extent cx="6120130" cy="2088918"/>
            <wp:effectExtent l="0" t="0" r="0" b="6985"/>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2088918"/>
                    </a:xfrm>
                    <a:prstGeom prst="rect">
                      <a:avLst/>
                    </a:prstGeom>
                    <a:noFill/>
                    <a:ln>
                      <a:noFill/>
                    </a:ln>
                  </pic:spPr>
                </pic:pic>
              </a:graphicData>
            </a:graphic>
          </wp:inline>
        </w:drawing>
      </w:r>
    </w:p>
    <w:p w:rsidR="004E6E88" w:rsidRPr="004E6E88" w:rsidRDefault="004E6E88" w:rsidP="004E6E88">
      <w:pPr>
        <w:spacing w:line="276" w:lineRule="auto"/>
        <w:rPr>
          <w:rFonts w:eastAsia="Times New Roman" w:cs="Arial"/>
          <w:i/>
          <w:color w:val="000000"/>
          <w:lang w:val="it-IT" w:eastAsia="it-CH"/>
        </w:rPr>
      </w:pPr>
      <w:r w:rsidRPr="004E6E88">
        <w:rPr>
          <w:rFonts w:eastAsia="Times New Roman" w:cs="Arial"/>
          <w:i/>
          <w:color w:val="000000"/>
          <w:lang w:val="it-IT" w:eastAsia="it-CH"/>
        </w:rPr>
        <w:t xml:space="preserve">Rapporto di sostenibilità, p. 121.  </w:t>
      </w:r>
    </w:p>
    <w:p w:rsidR="004E6E88" w:rsidRPr="004E6E88" w:rsidRDefault="004E6E88" w:rsidP="004E6E88">
      <w:pPr>
        <w:spacing w:line="276" w:lineRule="auto"/>
        <w:rPr>
          <w:rFonts w:eastAsia="Times New Roman" w:cs="Arial"/>
          <w:color w:val="000000"/>
          <w:sz w:val="24"/>
          <w:szCs w:val="24"/>
          <w:u w:val="single"/>
          <w:lang w:val="it-IT" w:eastAsia="it-CH"/>
        </w:rPr>
      </w:pPr>
    </w:p>
    <w:p w:rsidR="004E6E88" w:rsidRPr="004E6E88" w:rsidRDefault="004E6E88" w:rsidP="00CD0BB6">
      <w:pPr>
        <w:spacing w:after="120"/>
        <w:rPr>
          <w:rFonts w:eastAsia="Times New Roman" w:cs="Arial"/>
          <w:color w:val="000000"/>
          <w:sz w:val="24"/>
          <w:szCs w:val="24"/>
          <w:u w:val="single"/>
          <w:lang w:val="it-IT" w:eastAsia="it-CH"/>
        </w:rPr>
      </w:pPr>
      <w:r w:rsidRPr="004E6E88">
        <w:rPr>
          <w:rFonts w:eastAsia="Times New Roman" w:cs="Arial"/>
          <w:color w:val="000000"/>
          <w:sz w:val="24"/>
          <w:szCs w:val="24"/>
          <w:u w:val="single"/>
          <w:lang w:val="it-IT" w:eastAsia="it-CH"/>
        </w:rPr>
        <w:t>Consumo di acqua</w:t>
      </w:r>
    </w:p>
    <w:p w:rsidR="004E6E88" w:rsidRPr="004E6E88" w:rsidRDefault="004E6E88" w:rsidP="00CD0BB6">
      <w:pPr>
        <w:rPr>
          <w:rFonts w:eastAsia="Times New Roman" w:cs="Arial"/>
          <w:bCs/>
          <w:color w:val="000000"/>
          <w:sz w:val="24"/>
          <w:szCs w:val="24"/>
          <w:lang w:eastAsia="it-CH"/>
        </w:rPr>
      </w:pPr>
      <w:r w:rsidRPr="004E6E88">
        <w:rPr>
          <w:rFonts w:eastAsia="Times New Roman" w:cs="Arial"/>
          <w:bCs/>
          <w:color w:val="000000"/>
          <w:sz w:val="24"/>
          <w:szCs w:val="24"/>
          <w:lang w:eastAsia="it-CH"/>
        </w:rPr>
        <w:t xml:space="preserve">L'acqua è una delle risorse più importanti per la vita e l'economia. È indispensabile sotto forma di acqua potabile, necessaria per l'irrigazione, per la produzione di energia o nell'industria. A causa dei cambiamenti climatici, sia la disponibilità che il fabbisogno di acqua per i più svariati usi cambieranno. Una base di dati adeguata sull'uso dell'acqua è essenziale per garantire una gestione sostenibile dell'acqua quando le risorse idriche diventano più scarse. </w:t>
      </w:r>
    </w:p>
    <w:p w:rsidR="004E6E88" w:rsidRPr="004E6E88" w:rsidRDefault="004E6E88" w:rsidP="00CD0BB6">
      <w:pPr>
        <w:rPr>
          <w:rFonts w:eastAsia="Times New Roman" w:cs="Arial"/>
          <w:color w:val="000000"/>
          <w:sz w:val="24"/>
          <w:szCs w:val="24"/>
          <w:lang w:val="it-IT" w:eastAsia="it-CH"/>
        </w:rPr>
      </w:pPr>
      <w:proofErr w:type="spellStart"/>
      <w:r w:rsidRPr="004E6E88">
        <w:rPr>
          <w:rFonts w:eastAsia="Times New Roman" w:cs="Arial"/>
          <w:color w:val="000000"/>
          <w:sz w:val="24"/>
          <w:szCs w:val="24"/>
          <w:lang w:eastAsia="it-CH"/>
        </w:rPr>
        <w:lastRenderedPageBreak/>
        <w:t>BancaStato</w:t>
      </w:r>
      <w:proofErr w:type="spellEnd"/>
      <w:r w:rsidRPr="004E6E88">
        <w:rPr>
          <w:rFonts w:eastAsia="Times New Roman" w:cs="Arial"/>
          <w:color w:val="000000"/>
          <w:sz w:val="24"/>
          <w:szCs w:val="24"/>
          <w:lang w:eastAsia="it-CH"/>
        </w:rPr>
        <w:t xml:space="preserve"> monitora e rende pubblici i consumi di acqua già dal 2019, con particolare riferimento all'acqua potabile e all'acqua industriale: malgrado la crescita del personale impiegato, nel 2024 la Banca ha visto diminuire il consumo di acqua potabile dell'8.8%, mentre quello relativo all'acqua industriale ha fatto segnare un aumento di circa il 21.5%, a causa di un maggiore fabbisogno legato alla gestione della temperatura dei locali alimentati con pompe di calore. </w:t>
      </w:r>
    </w:p>
    <w:p w:rsidR="004E6E88" w:rsidRPr="004E6E88" w:rsidRDefault="004E6E88" w:rsidP="004E6E88">
      <w:pPr>
        <w:spacing w:line="276" w:lineRule="auto"/>
        <w:rPr>
          <w:rFonts w:eastAsia="Times New Roman" w:cs="Arial"/>
          <w:color w:val="000000"/>
          <w:sz w:val="24"/>
          <w:szCs w:val="24"/>
          <w:lang w:val="it-IT" w:eastAsia="it-CH"/>
        </w:rPr>
      </w:pPr>
    </w:p>
    <w:p w:rsidR="004E6E88" w:rsidRPr="004E6E88" w:rsidRDefault="004E6E88" w:rsidP="004E6E88">
      <w:pPr>
        <w:spacing w:line="276" w:lineRule="auto"/>
        <w:rPr>
          <w:rFonts w:eastAsia="Times New Roman" w:cs="Arial"/>
          <w:color w:val="000000"/>
          <w:sz w:val="24"/>
          <w:szCs w:val="24"/>
          <w:lang w:val="it-IT" w:eastAsia="it-CH"/>
        </w:rPr>
      </w:pPr>
      <w:r w:rsidRPr="004E6E88">
        <w:rPr>
          <w:rFonts w:eastAsia="Times New Roman" w:cs="Arial"/>
          <w:noProof/>
          <w:color w:val="000000"/>
          <w:sz w:val="24"/>
          <w:szCs w:val="24"/>
          <w:lang w:eastAsia="it-CH"/>
        </w:rPr>
        <w:drawing>
          <wp:inline distT="0" distB="0" distL="0" distR="0" wp14:anchorId="78B9FBFF" wp14:editId="1205641E">
            <wp:extent cx="4220845" cy="2231390"/>
            <wp:effectExtent l="0" t="0" r="8255"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20845" cy="2231390"/>
                    </a:xfrm>
                    <a:prstGeom prst="rect">
                      <a:avLst/>
                    </a:prstGeom>
                    <a:noFill/>
                    <a:ln>
                      <a:noFill/>
                    </a:ln>
                  </pic:spPr>
                </pic:pic>
              </a:graphicData>
            </a:graphic>
          </wp:inline>
        </w:drawing>
      </w:r>
    </w:p>
    <w:p w:rsidR="004E6E88" w:rsidRPr="004E6E88" w:rsidRDefault="004E6E88" w:rsidP="004E6E88">
      <w:pPr>
        <w:spacing w:line="276" w:lineRule="auto"/>
        <w:rPr>
          <w:rFonts w:eastAsia="Times New Roman" w:cs="Arial"/>
          <w:color w:val="000000"/>
          <w:sz w:val="24"/>
          <w:szCs w:val="24"/>
          <w:lang w:val="it-IT" w:eastAsia="it-CH"/>
        </w:rPr>
      </w:pPr>
    </w:p>
    <w:p w:rsidR="004E6E88" w:rsidRPr="004E6E88" w:rsidRDefault="004E6E88" w:rsidP="004E6E88">
      <w:pPr>
        <w:spacing w:line="276" w:lineRule="auto"/>
        <w:rPr>
          <w:rFonts w:eastAsia="Times New Roman" w:cs="Arial"/>
          <w:color w:val="000000"/>
          <w:sz w:val="24"/>
          <w:szCs w:val="24"/>
          <w:lang w:val="it-IT" w:eastAsia="it-CH"/>
        </w:rPr>
      </w:pPr>
      <w:r w:rsidRPr="004E6E88">
        <w:rPr>
          <w:rFonts w:eastAsia="Times New Roman" w:cs="Arial"/>
          <w:noProof/>
          <w:color w:val="000000"/>
          <w:sz w:val="24"/>
          <w:szCs w:val="24"/>
          <w:lang w:eastAsia="it-CH"/>
        </w:rPr>
        <w:drawing>
          <wp:inline distT="0" distB="0" distL="0" distR="0" wp14:anchorId="73DE9DC0" wp14:editId="3E56BA33">
            <wp:extent cx="6120130" cy="1612983"/>
            <wp:effectExtent l="0" t="0" r="0" b="635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1612983"/>
                    </a:xfrm>
                    <a:prstGeom prst="rect">
                      <a:avLst/>
                    </a:prstGeom>
                    <a:noFill/>
                    <a:ln>
                      <a:noFill/>
                    </a:ln>
                  </pic:spPr>
                </pic:pic>
              </a:graphicData>
            </a:graphic>
          </wp:inline>
        </w:drawing>
      </w:r>
    </w:p>
    <w:p w:rsidR="004E6E88" w:rsidRPr="004E6E88" w:rsidRDefault="004E6E88" w:rsidP="004E6E88">
      <w:pPr>
        <w:spacing w:line="276" w:lineRule="auto"/>
        <w:rPr>
          <w:rFonts w:eastAsia="Times New Roman" w:cs="Arial"/>
          <w:i/>
          <w:color w:val="000000"/>
          <w:lang w:val="it-IT" w:eastAsia="it-CH"/>
        </w:rPr>
      </w:pPr>
      <w:r w:rsidRPr="004E6E88">
        <w:rPr>
          <w:rFonts w:eastAsia="Times New Roman" w:cs="Arial"/>
          <w:i/>
          <w:color w:val="000000"/>
          <w:lang w:val="it-IT" w:eastAsia="it-CH"/>
        </w:rPr>
        <w:t xml:space="preserve">Rapporto di sostenibilità, p. 122.  </w:t>
      </w:r>
    </w:p>
    <w:p w:rsidR="004E6E88" w:rsidRPr="004E6E88" w:rsidRDefault="004E6E88" w:rsidP="004E6E88">
      <w:pPr>
        <w:spacing w:line="276" w:lineRule="auto"/>
        <w:rPr>
          <w:rFonts w:eastAsia="Times New Roman" w:cs="Arial"/>
          <w:b/>
          <w:i/>
          <w:color w:val="000000"/>
          <w:sz w:val="24"/>
          <w:szCs w:val="24"/>
          <w:lang w:val="it-IT" w:eastAsia="it-CH"/>
        </w:rPr>
      </w:pPr>
    </w:p>
    <w:p w:rsidR="004E6E88" w:rsidRPr="00CD0BB6" w:rsidRDefault="004E6E88" w:rsidP="00CD0BB6">
      <w:pPr>
        <w:pStyle w:val="Titolo3"/>
        <w:numPr>
          <w:ilvl w:val="0"/>
          <w:numId w:val="0"/>
        </w:numPr>
        <w:tabs>
          <w:tab w:val="left" w:pos="709"/>
        </w:tabs>
        <w:spacing w:after="120"/>
        <w:jc w:val="both"/>
        <w:rPr>
          <w:rFonts w:eastAsia="Calibri" w:cs="Times New Roman"/>
          <w:i/>
          <w:sz w:val="23"/>
          <w:szCs w:val="23"/>
          <w:lang w:val="it-IT" w:eastAsia="it-IT"/>
        </w:rPr>
      </w:pPr>
      <w:r w:rsidRPr="00CD0BB6">
        <w:rPr>
          <w:rFonts w:eastAsia="Calibri" w:cs="Times New Roman"/>
          <w:i/>
          <w:sz w:val="23"/>
          <w:szCs w:val="23"/>
          <w:lang w:val="it-IT" w:eastAsia="it-IT"/>
        </w:rPr>
        <w:t>4.3.3</w:t>
      </w:r>
      <w:r w:rsidRPr="00CD0BB6">
        <w:rPr>
          <w:rFonts w:eastAsia="Calibri" w:cs="Times New Roman"/>
          <w:i/>
          <w:sz w:val="23"/>
          <w:szCs w:val="23"/>
          <w:lang w:val="it-IT" w:eastAsia="it-IT"/>
        </w:rPr>
        <w:tab/>
        <w:t>Promozione della mobilità aziendale</w:t>
      </w:r>
    </w:p>
    <w:p w:rsidR="004E6E88" w:rsidRPr="004E6E88" w:rsidRDefault="004E6E88" w:rsidP="00CD0BB6">
      <w:pPr>
        <w:rPr>
          <w:rFonts w:eastAsia="Times New Roman" w:cs="Arial"/>
          <w:color w:val="000000"/>
          <w:sz w:val="24"/>
          <w:szCs w:val="24"/>
          <w:lang w:eastAsia="it-CH"/>
        </w:rPr>
      </w:pPr>
      <w:r w:rsidRPr="004E6E88">
        <w:rPr>
          <w:rFonts w:eastAsia="Times New Roman" w:cs="Arial"/>
          <w:color w:val="000000"/>
          <w:sz w:val="24"/>
          <w:szCs w:val="24"/>
          <w:lang w:eastAsia="it-CH"/>
        </w:rPr>
        <w:t xml:space="preserve">Nell'ambito della mobilità aziendale, la Banca incentiva da tempo l'impiego di mezzi pubblici, grazie anche all'accordo siglato con le Ferrovie Federali Svizzere. L'accordo, confermato anche nel 2024, prevede che le collaboratrici e i collaboratori della Banca possano beneficiare di uno sconto puntuale alla sottoscrizione di un abbonamento Arcobaleno aziendale annuale. Lo sconto complessivo a favore del personale raggiunge il 30%, rendendo l'adesione alla suddetta opzione di trasporto molto conveniente: 161 collaboratrici e collaboratori hanno ottenuto lo sconto sull'abbonamento Arcobaleno aziendale, in forte crescita per rapporto all'anno precedente. Si tratta dunque di persone che, presumibilmente, hanno deciso di optare principalmente per il trasporto pubblico nell'affrontare la trasferta casa-lavoro. La quota dei detentori di abbonamenti aziendali rispetto al totale complessivo di collaboratrici e collaboratori attivi in </w:t>
      </w:r>
      <w:proofErr w:type="spellStart"/>
      <w:r w:rsidRPr="004E6E88">
        <w:rPr>
          <w:rFonts w:eastAsia="Times New Roman" w:cs="Arial"/>
          <w:color w:val="000000"/>
          <w:sz w:val="24"/>
          <w:szCs w:val="24"/>
          <w:lang w:eastAsia="it-CH"/>
        </w:rPr>
        <w:t>BancaStato</w:t>
      </w:r>
      <w:proofErr w:type="spellEnd"/>
      <w:r w:rsidRPr="004E6E88">
        <w:rPr>
          <w:rFonts w:eastAsia="Times New Roman" w:cs="Arial"/>
          <w:color w:val="000000"/>
          <w:sz w:val="24"/>
          <w:szCs w:val="24"/>
          <w:lang w:eastAsia="it-CH"/>
        </w:rPr>
        <w:t xml:space="preserve"> corrisponde a circa il 25%. Grazie all'eco calcolatore FFS è possibile stimare l'impatto ambientale legato a tale dato: complessivamente le 161 persone hanno evitato di generare 324 tonnellate di emissioni di CO2, corrispondente ad un risparmio equivalente a </w:t>
      </w:r>
      <w:proofErr w:type="spellStart"/>
      <w:r w:rsidRPr="004E6E88">
        <w:rPr>
          <w:rFonts w:eastAsia="Times New Roman" w:cs="Arial"/>
          <w:color w:val="000000"/>
          <w:sz w:val="24"/>
          <w:szCs w:val="24"/>
          <w:lang w:eastAsia="it-CH"/>
        </w:rPr>
        <w:t>ca</w:t>
      </w:r>
      <w:proofErr w:type="spellEnd"/>
      <w:r w:rsidRPr="004E6E88">
        <w:rPr>
          <w:rFonts w:eastAsia="Times New Roman" w:cs="Arial"/>
          <w:color w:val="000000"/>
          <w:sz w:val="24"/>
          <w:szCs w:val="24"/>
          <w:lang w:eastAsia="it-CH"/>
        </w:rPr>
        <w:t xml:space="preserve">. 139'000 litri di carburante. </w:t>
      </w:r>
    </w:p>
    <w:p w:rsidR="004E6E88" w:rsidRPr="00D25517" w:rsidRDefault="004E6E88" w:rsidP="00D25517">
      <w:pPr>
        <w:pStyle w:val="Titolo3"/>
        <w:numPr>
          <w:ilvl w:val="0"/>
          <w:numId w:val="0"/>
        </w:numPr>
        <w:tabs>
          <w:tab w:val="left" w:pos="709"/>
        </w:tabs>
        <w:spacing w:after="120"/>
        <w:jc w:val="both"/>
        <w:rPr>
          <w:rFonts w:eastAsia="Calibri" w:cs="Times New Roman"/>
          <w:i/>
          <w:sz w:val="23"/>
          <w:szCs w:val="23"/>
          <w:lang w:val="it-IT" w:eastAsia="it-IT"/>
        </w:rPr>
      </w:pPr>
      <w:r w:rsidRPr="00D25517">
        <w:rPr>
          <w:rFonts w:eastAsia="Calibri" w:cs="Times New Roman"/>
          <w:i/>
          <w:sz w:val="23"/>
          <w:szCs w:val="23"/>
          <w:lang w:val="it-IT" w:eastAsia="it-IT"/>
        </w:rPr>
        <w:lastRenderedPageBreak/>
        <w:t xml:space="preserve">4.3.4 Offerta alla clientela di investimenti ecologici </w:t>
      </w:r>
    </w:p>
    <w:p w:rsidR="004E6E88" w:rsidRPr="004E6E88" w:rsidRDefault="004E6E88" w:rsidP="00D25517">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A livello di attività creditizia con riferimento ai criteri legati all'ecologia e all'ambito sociale per l'erogazione dei crediti,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ha adottato una «Politica di credito ESG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a complemento delle direttive ASB sull'efficienza energetica (dal 1° gennaio 2024); essa contempla aspetti riconducibili alle dimensioni ambientale, sociale e di </w:t>
      </w:r>
      <w:proofErr w:type="spellStart"/>
      <w:r w:rsidRPr="004E6E88">
        <w:rPr>
          <w:rFonts w:eastAsia="Times New Roman" w:cs="Arial"/>
          <w:color w:val="000000"/>
          <w:sz w:val="24"/>
          <w:szCs w:val="24"/>
          <w:lang w:val="it-IT" w:eastAsia="it-CH"/>
        </w:rPr>
        <w:t>governance</w:t>
      </w:r>
      <w:proofErr w:type="spellEnd"/>
      <w:r w:rsidRPr="004E6E88">
        <w:rPr>
          <w:rFonts w:eastAsia="Times New Roman" w:cs="Arial"/>
          <w:color w:val="000000"/>
          <w:sz w:val="24"/>
          <w:szCs w:val="24"/>
          <w:lang w:val="it-IT" w:eastAsia="it-CH"/>
        </w:rPr>
        <w:t xml:space="preserve">. </w:t>
      </w:r>
    </w:p>
    <w:p w:rsidR="004E6E88" w:rsidRPr="004E6E88" w:rsidRDefault="004E6E88" w:rsidP="00D25517">
      <w:pPr>
        <w:rPr>
          <w:rFonts w:eastAsia="Times New Roman" w:cs="Arial"/>
          <w:color w:val="000000"/>
          <w:sz w:val="24"/>
          <w:szCs w:val="24"/>
          <w:lang w:eastAsia="it-CH"/>
        </w:rPr>
      </w:pPr>
      <w:r w:rsidRPr="004E6E88">
        <w:rPr>
          <w:rFonts w:eastAsia="Times New Roman" w:cs="Arial"/>
          <w:color w:val="000000"/>
          <w:sz w:val="24"/>
          <w:szCs w:val="24"/>
          <w:lang w:val="it-IT" w:eastAsia="it-CH"/>
        </w:rPr>
        <w:t>In merito alla politica di investimento ESG, che si inserisce nell'ambito della promozione della finanza sostenibile, la Banca mira a generare rendimenti competitivi a lungo termine, favorendo al contempo lo sviluppo sostenibile della società. Per</w:t>
      </w:r>
      <w:r w:rsidRPr="004E6E88">
        <w:rPr>
          <w:rFonts w:eastAsia="Times New Roman" w:cs="Arial"/>
          <w:color w:val="000000"/>
          <w:sz w:val="24"/>
          <w:szCs w:val="24"/>
          <w:lang w:eastAsia="it-CH"/>
        </w:rPr>
        <w:t xml:space="preserve"> gestire al meglio i rischi ESG, l'Istituto integra gli aspetti ESG nella propria politica d'investimento tradizionale e si prefigge i seguenti obiettivi: ottimizzazione dell'offerta di strumenti finanziari proposti alla clientela e integrazione di criteri ESG all'interno della politica d'investimento tradizionale; esercizio dei diritti di voto alle assemblee generali sulla base dei principi ESG nell'ambito dei fondi ESG del Gruppo </w:t>
      </w:r>
      <w:proofErr w:type="spellStart"/>
      <w:r w:rsidRPr="004E6E88">
        <w:rPr>
          <w:rFonts w:eastAsia="Times New Roman" w:cs="Arial"/>
          <w:color w:val="000000"/>
          <w:sz w:val="24"/>
          <w:szCs w:val="24"/>
          <w:lang w:eastAsia="it-CH"/>
        </w:rPr>
        <w:t>BancaStato</w:t>
      </w:r>
      <w:proofErr w:type="spellEnd"/>
      <w:r w:rsidRPr="004E6E88">
        <w:rPr>
          <w:rFonts w:eastAsia="Times New Roman" w:cs="Arial"/>
          <w:color w:val="000000"/>
          <w:sz w:val="24"/>
          <w:szCs w:val="24"/>
          <w:lang w:eastAsia="it-CH"/>
        </w:rPr>
        <w:t xml:space="preserve">; gestione dei rischi finanziari più consapevole, rispetto delle esigenze in termini di sostenibilità della clientela e offerta di soluzioni adeguate attraverso approcci diversificati; a parità di rapporto rischio/rendimento, promozione di investimenti in soluzioni sostenibili nei mandati di consulenza e nella Gestione Patrimoniale. Le leve utilizzate dal Gruppo </w:t>
      </w:r>
      <w:proofErr w:type="spellStart"/>
      <w:r w:rsidRPr="004E6E88">
        <w:rPr>
          <w:rFonts w:eastAsia="Times New Roman" w:cs="Arial"/>
          <w:color w:val="000000"/>
          <w:sz w:val="24"/>
          <w:szCs w:val="24"/>
          <w:lang w:eastAsia="it-CH"/>
        </w:rPr>
        <w:t>BancaStato</w:t>
      </w:r>
      <w:proofErr w:type="spellEnd"/>
      <w:r w:rsidRPr="004E6E88">
        <w:rPr>
          <w:rFonts w:eastAsia="Times New Roman" w:cs="Arial"/>
          <w:color w:val="000000"/>
          <w:sz w:val="24"/>
          <w:szCs w:val="24"/>
          <w:lang w:eastAsia="it-CH"/>
        </w:rPr>
        <w:t xml:space="preserve"> per integrare i fattori di sostenibilità nella selezione e nella gestione degli investimenti si basano sui seguenti approcci: l'esclusione («Negative Screening»), l'aderenza a norme internazionali («</w:t>
      </w:r>
      <w:proofErr w:type="spellStart"/>
      <w:r w:rsidRPr="004E6E88">
        <w:rPr>
          <w:rFonts w:eastAsia="Times New Roman" w:cs="Arial"/>
          <w:color w:val="000000"/>
          <w:sz w:val="24"/>
          <w:szCs w:val="24"/>
          <w:lang w:eastAsia="it-CH"/>
        </w:rPr>
        <w:t>Norm-based</w:t>
      </w:r>
      <w:proofErr w:type="spellEnd"/>
      <w:r w:rsidRPr="004E6E88">
        <w:rPr>
          <w:rFonts w:eastAsia="Times New Roman" w:cs="Arial"/>
          <w:color w:val="000000"/>
          <w:sz w:val="24"/>
          <w:szCs w:val="24"/>
          <w:lang w:eastAsia="it-CH"/>
        </w:rPr>
        <w:t xml:space="preserve"> Screening»), lo «screening» positivo («ESG Rating»), l'azionariato attivo («Active </w:t>
      </w:r>
      <w:proofErr w:type="spellStart"/>
      <w:r w:rsidRPr="004E6E88">
        <w:rPr>
          <w:rFonts w:eastAsia="Times New Roman" w:cs="Arial"/>
          <w:color w:val="000000"/>
          <w:sz w:val="24"/>
          <w:szCs w:val="24"/>
          <w:lang w:eastAsia="it-CH"/>
        </w:rPr>
        <w:t>Ownership</w:t>
      </w:r>
      <w:proofErr w:type="spellEnd"/>
      <w:r w:rsidRPr="004E6E88">
        <w:rPr>
          <w:rFonts w:eastAsia="Times New Roman" w:cs="Arial"/>
          <w:color w:val="000000"/>
          <w:sz w:val="24"/>
          <w:szCs w:val="24"/>
          <w:lang w:eastAsia="it-CH"/>
        </w:rPr>
        <w:t xml:space="preserve">»), attualmente in vigore per i fondi d'investimento «Vita». Presso </w:t>
      </w:r>
      <w:proofErr w:type="spellStart"/>
      <w:r w:rsidRPr="004E6E88">
        <w:rPr>
          <w:rFonts w:eastAsia="Times New Roman" w:cs="Arial"/>
          <w:color w:val="000000"/>
          <w:sz w:val="24"/>
          <w:szCs w:val="24"/>
          <w:lang w:eastAsia="it-CH"/>
        </w:rPr>
        <w:t>BancaStato</w:t>
      </w:r>
      <w:proofErr w:type="spellEnd"/>
      <w:r w:rsidRPr="004E6E88">
        <w:rPr>
          <w:rFonts w:eastAsia="Times New Roman" w:cs="Arial"/>
          <w:color w:val="000000"/>
          <w:sz w:val="24"/>
          <w:szCs w:val="24"/>
          <w:lang w:eastAsia="it-CH"/>
        </w:rPr>
        <w:t xml:space="preserve"> il 13% della clientela</w:t>
      </w:r>
      <w:r w:rsidRPr="004E6E88">
        <w:rPr>
          <w:rFonts w:eastAsia="Times New Roman" w:cs="Arial"/>
          <w:color w:val="000000"/>
          <w:sz w:val="24"/>
          <w:szCs w:val="24"/>
          <w:lang w:val="it-IT" w:eastAsia="it-CH"/>
        </w:rPr>
        <w:t xml:space="preserve"> </w:t>
      </w:r>
      <w:r w:rsidRPr="004E6E88">
        <w:rPr>
          <w:rFonts w:eastAsia="Times New Roman" w:cs="Arial"/>
          <w:color w:val="000000"/>
          <w:sz w:val="24"/>
          <w:szCs w:val="24"/>
          <w:lang w:eastAsia="it-CH"/>
        </w:rPr>
        <w:t xml:space="preserve">titolare di un mandato di gestione patrimoniale o di consulenza (oltre 600 clienti) ha espresso la propria preferenza per gli investimenti ESG, mentre presso </w:t>
      </w:r>
      <w:proofErr w:type="spellStart"/>
      <w:r w:rsidRPr="004E6E88">
        <w:rPr>
          <w:rFonts w:eastAsia="Times New Roman" w:cs="Arial"/>
          <w:color w:val="000000"/>
          <w:sz w:val="24"/>
          <w:szCs w:val="24"/>
          <w:lang w:eastAsia="it-CH"/>
        </w:rPr>
        <w:t>Axion</w:t>
      </w:r>
      <w:proofErr w:type="spellEnd"/>
      <w:r w:rsidRPr="004E6E88">
        <w:rPr>
          <w:rFonts w:eastAsia="Times New Roman" w:cs="Arial"/>
          <w:color w:val="000000"/>
          <w:sz w:val="24"/>
          <w:szCs w:val="24"/>
          <w:lang w:eastAsia="it-CH"/>
        </w:rPr>
        <w:t xml:space="preserve"> SWISS </w:t>
      </w:r>
      <w:proofErr w:type="spellStart"/>
      <w:r w:rsidRPr="004E6E88">
        <w:rPr>
          <w:rFonts w:eastAsia="Times New Roman" w:cs="Arial"/>
          <w:color w:val="000000"/>
          <w:sz w:val="24"/>
          <w:szCs w:val="24"/>
          <w:lang w:eastAsia="it-CH"/>
        </w:rPr>
        <w:t>Bank</w:t>
      </w:r>
      <w:proofErr w:type="spellEnd"/>
      <w:r w:rsidRPr="004E6E88">
        <w:rPr>
          <w:rFonts w:eastAsia="Times New Roman" w:cs="Arial"/>
          <w:color w:val="000000"/>
          <w:sz w:val="24"/>
          <w:szCs w:val="24"/>
          <w:lang w:eastAsia="it-CH"/>
        </w:rPr>
        <w:t xml:space="preserve"> tale percentuale complessiva si attesta a circa il 26% (85 clienti). </w:t>
      </w:r>
    </w:p>
    <w:p w:rsidR="004E6E88" w:rsidRPr="004E6E88" w:rsidRDefault="004E6E88" w:rsidP="00D25517">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A proposito dei fondi d'investimento ESG del Gruppo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grazie alla collaborazione con </w:t>
      </w:r>
      <w:proofErr w:type="spellStart"/>
      <w:r w:rsidRPr="004E6E88">
        <w:rPr>
          <w:rFonts w:eastAsia="Times New Roman" w:cs="Arial"/>
          <w:color w:val="000000"/>
          <w:sz w:val="24"/>
          <w:szCs w:val="24"/>
          <w:lang w:val="it-IT" w:eastAsia="it-CH"/>
        </w:rPr>
        <w:t>Axion</w:t>
      </w:r>
      <w:proofErr w:type="spellEnd"/>
      <w:r w:rsidRPr="004E6E88">
        <w:rPr>
          <w:rFonts w:eastAsia="Times New Roman" w:cs="Arial"/>
          <w:color w:val="000000"/>
          <w:sz w:val="24"/>
          <w:szCs w:val="24"/>
          <w:lang w:val="it-IT" w:eastAsia="it-CH"/>
        </w:rPr>
        <w:t xml:space="preserve"> SWISS </w:t>
      </w:r>
      <w:proofErr w:type="spellStart"/>
      <w:r w:rsidRPr="004E6E88">
        <w:rPr>
          <w:rFonts w:eastAsia="Times New Roman" w:cs="Arial"/>
          <w:color w:val="000000"/>
          <w:sz w:val="24"/>
          <w:szCs w:val="24"/>
          <w:lang w:val="it-IT" w:eastAsia="it-CH"/>
        </w:rPr>
        <w:t>Bank</w:t>
      </w:r>
      <w:proofErr w:type="spellEnd"/>
      <w:r w:rsidRPr="004E6E88">
        <w:rPr>
          <w:rFonts w:eastAsia="Times New Roman" w:cs="Arial"/>
          <w:color w:val="000000"/>
          <w:sz w:val="24"/>
          <w:szCs w:val="24"/>
          <w:lang w:val="it-IT" w:eastAsia="it-CH"/>
        </w:rPr>
        <w:t xml:space="preserve">, la Banca offre una gamma di fondi di investimento versatili e diversificati, suddivisi tra fondi monetari, obbligazionari, misti e azionari. Conscia del suo ruolo di riferimento in Ticino, con la volontà di promuovere la sostenibilità anche attraverso soluzioni d'investimento dedicate, dal 2024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offre alla clientela i propri fondi d'investimento ESG «Vita», tre fondi d'investimento strategici previdenziali e ESG per chi è attento alla sostenibilità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ESG Vita 10 Class CHF,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ESG Vita 25 Class CHF,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ESG Vita 60 Class CHF). Le performance del 2024 hanno fatto segnare un +3.27% per il fondo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ESG Vita 10», un +4.52% per il fondo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ESG Vita 25» e un +6.20% per il fondo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ESG Vita 60». </w:t>
      </w:r>
    </w:p>
    <w:p w:rsidR="004E6E88" w:rsidRPr="004E6E88" w:rsidRDefault="004E6E88" w:rsidP="00D25517">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La clientela della Banca interessata agli investimenti ESG ha apprezzato questa nuova offerta di fondi sostenibili, sottoscrivendo oltre 35 milioni di franchi svizzeri nei fondi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ESG Vita. </w:t>
      </w:r>
    </w:p>
    <w:p w:rsidR="004E6E88" w:rsidRPr="004E6E88" w:rsidRDefault="004E6E88" w:rsidP="00D25517">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Un aspetto rilevante in questo ambito è costituito dal «Proxy </w:t>
      </w:r>
      <w:proofErr w:type="spellStart"/>
      <w:r w:rsidRPr="004E6E88">
        <w:rPr>
          <w:rFonts w:eastAsia="Times New Roman" w:cs="Arial"/>
          <w:color w:val="000000"/>
          <w:sz w:val="24"/>
          <w:szCs w:val="24"/>
          <w:lang w:val="it-IT" w:eastAsia="it-CH"/>
        </w:rPr>
        <w:t>Voting</w:t>
      </w:r>
      <w:proofErr w:type="spellEnd"/>
      <w:r w:rsidRPr="004E6E88">
        <w:rPr>
          <w:rFonts w:eastAsia="Times New Roman" w:cs="Arial"/>
          <w:color w:val="000000"/>
          <w:sz w:val="24"/>
          <w:szCs w:val="24"/>
          <w:lang w:val="it-IT" w:eastAsia="it-CH"/>
        </w:rPr>
        <w:t xml:space="preserve">» o la pratica dell'esercizio dei diritti di voto: esercitare il diritto di voto per le azioni che compongono i fondi offerti alla clientela non è solo un dovere, ma anche un importante elemento della responsabilità assunto dal Gruppo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nell'ambito dell'offerta dei fondi previdenziali e ESG «Vita».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offre e gestisce questi fondi tramite la controllata </w:t>
      </w:r>
      <w:proofErr w:type="spellStart"/>
      <w:r w:rsidRPr="004E6E88">
        <w:rPr>
          <w:rFonts w:eastAsia="Times New Roman" w:cs="Arial"/>
          <w:color w:val="000000"/>
          <w:sz w:val="24"/>
          <w:szCs w:val="24"/>
          <w:lang w:val="it-IT" w:eastAsia="it-CH"/>
        </w:rPr>
        <w:t>Axion</w:t>
      </w:r>
      <w:proofErr w:type="spellEnd"/>
      <w:r w:rsidRPr="004E6E88">
        <w:rPr>
          <w:rFonts w:eastAsia="Times New Roman" w:cs="Arial"/>
          <w:color w:val="000000"/>
          <w:sz w:val="24"/>
          <w:szCs w:val="24"/>
          <w:lang w:val="it-IT" w:eastAsia="it-CH"/>
        </w:rPr>
        <w:t xml:space="preserve"> SWISS </w:t>
      </w:r>
      <w:proofErr w:type="spellStart"/>
      <w:r w:rsidRPr="004E6E88">
        <w:rPr>
          <w:rFonts w:eastAsia="Times New Roman" w:cs="Arial"/>
          <w:color w:val="000000"/>
          <w:sz w:val="24"/>
          <w:szCs w:val="24"/>
          <w:lang w:val="it-IT" w:eastAsia="it-CH"/>
        </w:rPr>
        <w:t>Bank</w:t>
      </w:r>
      <w:proofErr w:type="spellEnd"/>
      <w:r w:rsidRPr="004E6E88">
        <w:rPr>
          <w:rFonts w:eastAsia="Times New Roman" w:cs="Arial"/>
          <w:color w:val="000000"/>
          <w:sz w:val="24"/>
          <w:szCs w:val="24"/>
          <w:lang w:val="it-IT" w:eastAsia="it-CH"/>
        </w:rPr>
        <w:t xml:space="preserve">, la quale – in qualità di gestore di fondi – ha la possibilità di influenzare attivamente le decisioni delle società in cui i fondi investono, proprio attraverso l'esercizio attivo dei diritti di voto alle assemblee generali. Per farlo, il Gruppo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si affida alla Fondazione Ethos, il cui obiettivo principale è quello aiutare i fondi pensione o gli investitori istituzionali a investire in modo sostenibile e responsabile, tenendo conto dei criteri ambientali, sociali e di </w:t>
      </w:r>
      <w:proofErr w:type="spellStart"/>
      <w:r w:rsidRPr="004E6E88">
        <w:rPr>
          <w:rFonts w:eastAsia="Times New Roman" w:cs="Arial"/>
          <w:color w:val="000000"/>
          <w:sz w:val="24"/>
          <w:szCs w:val="24"/>
          <w:lang w:val="it-IT" w:eastAsia="it-CH"/>
        </w:rPr>
        <w:t>governance</w:t>
      </w:r>
      <w:proofErr w:type="spellEnd"/>
      <w:r w:rsidRPr="004E6E88">
        <w:rPr>
          <w:rFonts w:eastAsia="Times New Roman" w:cs="Arial"/>
          <w:color w:val="000000"/>
          <w:sz w:val="24"/>
          <w:szCs w:val="24"/>
          <w:lang w:val="it-IT" w:eastAsia="it-CH"/>
        </w:rPr>
        <w:t xml:space="preserve"> (ESG). La fondazione Ethos ha definito chiare </w:t>
      </w:r>
      <w:r w:rsidRPr="004E6E88">
        <w:rPr>
          <w:rFonts w:eastAsia="Times New Roman" w:cs="Arial"/>
          <w:color w:val="000000"/>
          <w:sz w:val="24"/>
          <w:szCs w:val="24"/>
          <w:lang w:val="it-IT" w:eastAsia="it-CH"/>
        </w:rPr>
        <w:lastRenderedPageBreak/>
        <w:t xml:space="preserve">linee guida per l'esercizio dei diritti di voto e i suoi principi di corporate </w:t>
      </w:r>
      <w:proofErr w:type="spellStart"/>
      <w:r w:rsidRPr="004E6E88">
        <w:rPr>
          <w:rFonts w:eastAsia="Times New Roman" w:cs="Arial"/>
          <w:color w:val="000000"/>
          <w:sz w:val="24"/>
          <w:szCs w:val="24"/>
          <w:lang w:val="it-IT" w:eastAsia="it-CH"/>
        </w:rPr>
        <w:t>governance</w:t>
      </w:r>
      <w:proofErr w:type="spellEnd"/>
      <w:r w:rsidRPr="004E6E88">
        <w:rPr>
          <w:rFonts w:eastAsia="Times New Roman" w:cs="Arial"/>
          <w:color w:val="000000"/>
          <w:sz w:val="24"/>
          <w:szCs w:val="24"/>
          <w:lang w:val="it-IT" w:eastAsia="it-CH"/>
        </w:rPr>
        <w:t xml:space="preserve"> si basano sui più importanti codici nazionali e internazionali di best </w:t>
      </w:r>
      <w:proofErr w:type="spellStart"/>
      <w:r w:rsidRPr="004E6E88">
        <w:rPr>
          <w:rFonts w:eastAsia="Times New Roman" w:cs="Arial"/>
          <w:color w:val="000000"/>
          <w:sz w:val="24"/>
          <w:szCs w:val="24"/>
          <w:lang w:val="it-IT" w:eastAsia="it-CH"/>
        </w:rPr>
        <w:t>practice</w:t>
      </w:r>
      <w:proofErr w:type="spellEnd"/>
      <w:r w:rsidRPr="004E6E88">
        <w:rPr>
          <w:rFonts w:eastAsia="Times New Roman" w:cs="Arial"/>
          <w:color w:val="000000"/>
          <w:sz w:val="24"/>
          <w:szCs w:val="24"/>
          <w:lang w:val="it-IT" w:eastAsia="it-CH"/>
        </w:rPr>
        <w:t xml:space="preserve"> in materia. </w:t>
      </w:r>
    </w:p>
    <w:p w:rsidR="004E6E88" w:rsidRPr="004E6E88" w:rsidRDefault="004E6E88" w:rsidP="00D25517">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La Banca non concede per esempio finanziamenti nell'ambito delle intermediazioni riguardanti diamanti, pietre preziose, uranio, olio di palma, petrolio, legni pregiati, animali vivi, metalli rari, oggetti d'arte, tappeti, sigarette, oggetti da collezione o armi. </w:t>
      </w:r>
    </w:p>
    <w:p w:rsidR="004E6E88" w:rsidRPr="004E6E88" w:rsidRDefault="004E6E88" w:rsidP="00D25517">
      <w:pPr>
        <w:rPr>
          <w:rFonts w:eastAsia="Times New Roman" w:cs="Arial"/>
          <w:color w:val="000000"/>
          <w:sz w:val="24"/>
          <w:szCs w:val="24"/>
          <w:lang w:val="it-IT" w:eastAsia="it-CH"/>
        </w:rPr>
      </w:pPr>
      <w:r w:rsidRPr="004E6E88">
        <w:rPr>
          <w:rFonts w:eastAsia="Times New Roman" w:cs="Arial"/>
          <w:color w:val="000000"/>
          <w:sz w:val="24"/>
          <w:szCs w:val="24"/>
          <w:lang w:val="it-IT" w:eastAsia="it-CH"/>
        </w:rPr>
        <w:t>Non vengono concessi crediti per finanziare impianti energetici fondati su combustibili fossili.</w:t>
      </w:r>
    </w:p>
    <w:p w:rsidR="004E6E88" w:rsidRPr="004E6E88" w:rsidRDefault="004E6E88" w:rsidP="004E6E88">
      <w:pPr>
        <w:spacing w:line="276" w:lineRule="auto"/>
        <w:rPr>
          <w:rFonts w:eastAsia="Times New Roman" w:cs="Arial"/>
          <w:color w:val="000000"/>
          <w:sz w:val="24"/>
          <w:szCs w:val="24"/>
          <w:lang w:val="it-IT" w:eastAsia="it-CH"/>
        </w:rPr>
      </w:pPr>
    </w:p>
    <w:p w:rsidR="004E6E88" w:rsidRPr="00D25517" w:rsidRDefault="004E6E88" w:rsidP="00D25517">
      <w:pPr>
        <w:pStyle w:val="Titolo2"/>
        <w:numPr>
          <w:ilvl w:val="0"/>
          <w:numId w:val="0"/>
        </w:numPr>
        <w:tabs>
          <w:tab w:val="left" w:pos="567"/>
        </w:tabs>
        <w:spacing w:before="0" w:after="120"/>
        <w:jc w:val="both"/>
        <w:rPr>
          <w:rFonts w:eastAsia="Calibri" w:cs="Times New Roman"/>
          <w:sz w:val="24"/>
          <w:lang w:val="it-IT" w:eastAsia="it-IT"/>
        </w:rPr>
      </w:pPr>
      <w:r w:rsidRPr="00D25517">
        <w:rPr>
          <w:rFonts w:eastAsia="Calibri" w:cs="Times New Roman"/>
          <w:sz w:val="24"/>
          <w:lang w:val="it-IT" w:eastAsia="it-IT"/>
        </w:rPr>
        <w:t xml:space="preserve">4.4 </w:t>
      </w:r>
      <w:r w:rsidR="00D25517">
        <w:rPr>
          <w:rFonts w:eastAsia="Calibri" w:cs="Times New Roman"/>
          <w:sz w:val="24"/>
          <w:lang w:val="it-IT" w:eastAsia="it-IT"/>
        </w:rPr>
        <w:tab/>
      </w:r>
      <w:r w:rsidRPr="00D25517">
        <w:rPr>
          <w:rFonts w:eastAsia="Calibri" w:cs="Times New Roman"/>
          <w:sz w:val="24"/>
          <w:lang w:val="it-IT" w:eastAsia="it-IT"/>
        </w:rPr>
        <w:t xml:space="preserve">Indicatori economici </w:t>
      </w:r>
    </w:p>
    <w:p w:rsidR="004E6E88" w:rsidRPr="004E6E88" w:rsidRDefault="004E6E88" w:rsidP="00D25517">
      <w:pPr>
        <w:kinsoku w:val="0"/>
        <w:overflowPunct w:val="0"/>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Dal Rapporto Annuale 2024, si evince che </w:t>
      </w:r>
      <w:r w:rsidRPr="004E6E88">
        <w:rPr>
          <w:rFonts w:eastAsia="Times New Roman" w:cs="Arial"/>
          <w:color w:val="000000"/>
          <w:sz w:val="24"/>
          <w:szCs w:val="24"/>
          <w:lang w:eastAsia="it-CH"/>
        </w:rPr>
        <w:t xml:space="preserve">il 2024 sancisce il consolidamento della crescita pluriennale dei risultati: è il secondo miglior anno di sempre, confermando l'eccellente trend di sviluppo e solidità finanziaria dell'istituto. </w:t>
      </w:r>
    </w:p>
    <w:p w:rsidR="004E6E88" w:rsidRPr="004E6E88" w:rsidRDefault="004E6E88" w:rsidP="00D25517">
      <w:pPr>
        <w:kinsoku w:val="0"/>
        <w:overflowPunct w:val="0"/>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A livello individuale l'utile </w:t>
      </w:r>
      <w:r w:rsidRPr="004E6E88">
        <w:rPr>
          <w:rFonts w:eastAsia="Times New Roman" w:cs="Arial"/>
          <w:color w:val="000000"/>
          <w:sz w:val="24"/>
          <w:szCs w:val="24"/>
          <w:lang w:eastAsia="it-CH"/>
        </w:rPr>
        <w:t>netto raggiunge i</w:t>
      </w:r>
      <w:r w:rsidRPr="004E6E88">
        <w:rPr>
          <w:rFonts w:eastAsia="Times New Roman" w:cs="Arial"/>
          <w:color w:val="000000"/>
          <w:sz w:val="24"/>
          <w:szCs w:val="24"/>
          <w:lang w:val="it-IT" w:eastAsia="it-CH"/>
        </w:rPr>
        <w:t xml:space="preserve"> </w:t>
      </w:r>
      <w:r w:rsidRPr="004E6E88">
        <w:rPr>
          <w:rFonts w:eastAsia="Times New Roman" w:cs="Arial"/>
          <w:color w:val="000000"/>
          <w:sz w:val="24"/>
          <w:szCs w:val="24"/>
          <w:lang w:eastAsia="it-CH"/>
        </w:rPr>
        <w:t>77.7 milioni</w:t>
      </w:r>
      <w:r w:rsidRPr="004E6E88">
        <w:rPr>
          <w:rFonts w:eastAsia="Times New Roman" w:cs="Arial"/>
          <w:color w:val="000000"/>
          <w:sz w:val="24"/>
          <w:szCs w:val="24"/>
          <w:lang w:val="it-IT" w:eastAsia="it-CH"/>
        </w:rPr>
        <w:t xml:space="preserve"> di franchi. La redditività della Banca si attesta al 9.5%. </w:t>
      </w:r>
      <w:r w:rsidRPr="004E6E88">
        <w:rPr>
          <w:rFonts w:eastAsia="Times New Roman" w:cs="Arial"/>
          <w:color w:val="000000"/>
          <w:sz w:val="24"/>
          <w:szCs w:val="24"/>
          <w:lang w:eastAsia="it-CH"/>
        </w:rPr>
        <w:t>Le Riserve per rischi bancari generali raggiungono 58 milioni di franchi (+7.4%). Il versamento nelle casse cantonali per il 2024 è pari a 60.1 milioni, in calo di 5 milioni rispetto al 2023 (-7.7%).</w:t>
      </w:r>
    </w:p>
    <w:p w:rsidR="004E6E88" w:rsidRPr="004E6E88" w:rsidRDefault="004E6E88" w:rsidP="00D25517">
      <w:pPr>
        <w:autoSpaceDE w:val="0"/>
        <w:autoSpaceDN w:val="0"/>
        <w:adjustRightInd w:val="0"/>
        <w:rPr>
          <w:rFonts w:eastAsia="Times New Roman" w:cs="Arial"/>
          <w:color w:val="000000"/>
          <w:sz w:val="24"/>
          <w:szCs w:val="24"/>
          <w:lang w:val="it-IT" w:eastAsia="it-CH"/>
        </w:rPr>
      </w:pPr>
      <w:r w:rsidRPr="004E6E88">
        <w:rPr>
          <w:rFonts w:eastAsia="Times New Roman" w:cs="Arial"/>
          <w:color w:val="000000"/>
          <w:sz w:val="24"/>
          <w:szCs w:val="24"/>
          <w:lang w:eastAsia="it-CH"/>
        </w:rPr>
        <w:t>Per quanto attiene agli indicatori di efficienza (</w:t>
      </w:r>
      <w:proofErr w:type="spellStart"/>
      <w:r w:rsidRPr="004E6E88">
        <w:rPr>
          <w:rFonts w:eastAsia="Times New Roman" w:cs="Arial"/>
          <w:color w:val="000000"/>
          <w:sz w:val="24"/>
          <w:szCs w:val="24"/>
          <w:lang w:eastAsia="it-CH"/>
        </w:rPr>
        <w:t>Cost</w:t>
      </w:r>
      <w:proofErr w:type="spellEnd"/>
      <w:r w:rsidRPr="004E6E88">
        <w:rPr>
          <w:rFonts w:eastAsia="Times New Roman" w:cs="Arial"/>
          <w:color w:val="000000"/>
          <w:sz w:val="24"/>
          <w:szCs w:val="24"/>
          <w:lang w:eastAsia="it-CH"/>
        </w:rPr>
        <w:t>/</w:t>
      </w:r>
      <w:proofErr w:type="spellStart"/>
      <w:r w:rsidRPr="004E6E88">
        <w:rPr>
          <w:rFonts w:eastAsia="Times New Roman" w:cs="Arial"/>
          <w:color w:val="000000"/>
          <w:sz w:val="24"/>
          <w:szCs w:val="24"/>
          <w:lang w:eastAsia="it-CH"/>
        </w:rPr>
        <w:t>Income</w:t>
      </w:r>
      <w:proofErr w:type="spellEnd"/>
      <w:r w:rsidRPr="004E6E88">
        <w:rPr>
          <w:rFonts w:eastAsia="Times New Roman" w:cs="Arial"/>
          <w:color w:val="000000"/>
          <w:sz w:val="24"/>
          <w:szCs w:val="24"/>
          <w:lang w:eastAsia="it-CH"/>
        </w:rPr>
        <w:t xml:space="preserve"> I e II), la Banca ha consolidato la progressiva evoluzione positiva evidenziata a partire dal 2014. Il </w:t>
      </w:r>
      <w:proofErr w:type="spellStart"/>
      <w:r w:rsidRPr="004E6E88">
        <w:rPr>
          <w:rFonts w:eastAsia="Times New Roman" w:cs="Arial"/>
          <w:color w:val="000000"/>
          <w:sz w:val="24"/>
          <w:szCs w:val="24"/>
          <w:lang w:eastAsia="it-CH"/>
        </w:rPr>
        <w:t>Cost</w:t>
      </w:r>
      <w:proofErr w:type="spellEnd"/>
      <w:r w:rsidRPr="004E6E88">
        <w:rPr>
          <w:rFonts w:eastAsia="Times New Roman" w:cs="Arial"/>
          <w:color w:val="000000"/>
          <w:sz w:val="24"/>
          <w:szCs w:val="24"/>
          <w:lang w:eastAsia="it-CH"/>
        </w:rPr>
        <w:t>/</w:t>
      </w:r>
      <w:proofErr w:type="spellStart"/>
      <w:r w:rsidRPr="004E6E88">
        <w:rPr>
          <w:rFonts w:eastAsia="Times New Roman" w:cs="Arial"/>
          <w:color w:val="000000"/>
          <w:sz w:val="24"/>
          <w:szCs w:val="24"/>
          <w:lang w:eastAsia="it-CH"/>
        </w:rPr>
        <w:t>Income</w:t>
      </w:r>
      <w:proofErr w:type="spellEnd"/>
      <w:r w:rsidRPr="004E6E88">
        <w:rPr>
          <w:rFonts w:eastAsia="Times New Roman" w:cs="Arial"/>
          <w:color w:val="000000"/>
          <w:sz w:val="24"/>
          <w:szCs w:val="24"/>
          <w:lang w:eastAsia="it-CH"/>
        </w:rPr>
        <w:t xml:space="preserve"> I (che non considera ammortamenti e accantonamenti per altri rischi d'esercizio operati durante l'anno) segna un incremento rispetto al 2023 passando dal 48.1% del 2023 al 54.4% nel 2024 (a fronte di un indicatore del 59.1% nel 2014). Il </w:t>
      </w:r>
      <w:proofErr w:type="spellStart"/>
      <w:r w:rsidRPr="004E6E88">
        <w:rPr>
          <w:rFonts w:eastAsia="Times New Roman" w:cs="Arial"/>
          <w:color w:val="000000"/>
          <w:sz w:val="24"/>
          <w:szCs w:val="24"/>
          <w:lang w:eastAsia="it-CH"/>
        </w:rPr>
        <w:t>Cost</w:t>
      </w:r>
      <w:proofErr w:type="spellEnd"/>
      <w:r w:rsidRPr="004E6E88">
        <w:rPr>
          <w:rFonts w:eastAsia="Times New Roman" w:cs="Arial"/>
          <w:color w:val="000000"/>
          <w:sz w:val="24"/>
          <w:szCs w:val="24"/>
          <w:lang w:eastAsia="it-CH"/>
        </w:rPr>
        <w:t>/</w:t>
      </w:r>
      <w:proofErr w:type="spellStart"/>
      <w:r w:rsidRPr="004E6E88">
        <w:rPr>
          <w:rFonts w:eastAsia="Times New Roman" w:cs="Arial"/>
          <w:color w:val="000000"/>
          <w:sz w:val="24"/>
          <w:szCs w:val="24"/>
          <w:lang w:eastAsia="it-CH"/>
        </w:rPr>
        <w:t>Income</w:t>
      </w:r>
      <w:proofErr w:type="spellEnd"/>
      <w:r w:rsidRPr="004E6E88">
        <w:rPr>
          <w:rFonts w:eastAsia="Times New Roman" w:cs="Arial"/>
          <w:color w:val="000000"/>
          <w:sz w:val="24"/>
          <w:szCs w:val="24"/>
          <w:lang w:eastAsia="it-CH"/>
        </w:rPr>
        <w:t xml:space="preserve"> II (che considera tutti i costi, ammortamenti e accantonamenti sostenuti nell'anno) evidenzia la stessa tendenza e passa dal 53.2% del 2023 al 58.4% nel 2024. La variazione degli indici </w:t>
      </w:r>
      <w:proofErr w:type="spellStart"/>
      <w:r w:rsidRPr="004E6E88">
        <w:rPr>
          <w:rFonts w:eastAsia="Times New Roman" w:cs="Arial"/>
          <w:color w:val="000000"/>
          <w:sz w:val="24"/>
          <w:szCs w:val="24"/>
          <w:lang w:eastAsia="it-CH"/>
        </w:rPr>
        <w:t>Cost</w:t>
      </w:r>
      <w:proofErr w:type="spellEnd"/>
      <w:r w:rsidRPr="004E6E88">
        <w:rPr>
          <w:rFonts w:eastAsia="Times New Roman" w:cs="Arial"/>
          <w:color w:val="000000"/>
          <w:sz w:val="24"/>
          <w:szCs w:val="24"/>
          <w:lang w:eastAsia="it-CH"/>
        </w:rPr>
        <w:t xml:space="preserve"> </w:t>
      </w:r>
      <w:proofErr w:type="spellStart"/>
      <w:r w:rsidRPr="004E6E88">
        <w:rPr>
          <w:rFonts w:eastAsia="Times New Roman" w:cs="Arial"/>
          <w:color w:val="000000"/>
          <w:sz w:val="24"/>
          <w:szCs w:val="24"/>
          <w:lang w:eastAsia="it-CH"/>
        </w:rPr>
        <w:t>Income</w:t>
      </w:r>
      <w:proofErr w:type="spellEnd"/>
      <w:r w:rsidRPr="004E6E88">
        <w:rPr>
          <w:rFonts w:eastAsia="Times New Roman" w:cs="Arial"/>
          <w:color w:val="000000"/>
          <w:sz w:val="24"/>
          <w:szCs w:val="24"/>
          <w:lang w:eastAsia="it-CH"/>
        </w:rPr>
        <w:t xml:space="preserve"> I e II è dovuta prevalentemente all'aumento dei costi d'esercizio causati dalla crescita dell'organico al fine di rafforzare le strutture di controllo e gestione del rischio all'interno della Banca. </w:t>
      </w:r>
      <w:r w:rsidRPr="004E6E88">
        <w:rPr>
          <w:rFonts w:eastAsia="Times New Roman" w:cs="Arial"/>
          <w:color w:val="000000"/>
          <w:sz w:val="24"/>
          <w:szCs w:val="24"/>
          <w:lang w:val="it-IT" w:eastAsia="it-CH"/>
        </w:rPr>
        <w:t xml:space="preserve">Le misure strategiche messe in atto dalla Banca nell'ultimo decennio hanno consentito di far decollare la redditività dell'Istituto, il cui risultato d'esercizio è quasi raddoppiato nell'arco di dieci anni (da 39 milioni di franchi nel 2014 a 77.7 milioni di franchi nel 2024). </w:t>
      </w:r>
    </w:p>
    <w:p w:rsidR="004E6E88" w:rsidRPr="004E6E88" w:rsidRDefault="004E6E88" w:rsidP="00D25517">
      <w:pPr>
        <w:kinsoku w:val="0"/>
        <w:overflowPunct w:val="0"/>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Al 31 dicembre 2024 la solidità della Banca dello Stato del Cantone Ticino, misurata in termini di rapporto fra i fondi propri necessari e i fondi propri disponibili secondo i canoni di Basilea III, era al 228.7%. </w:t>
      </w:r>
    </w:p>
    <w:p w:rsidR="004E6E88" w:rsidRPr="004E6E88" w:rsidRDefault="004E6E88" w:rsidP="00D25517">
      <w:pPr>
        <w:autoSpaceDE w:val="0"/>
        <w:autoSpaceDN w:val="0"/>
        <w:adjustRightInd w:val="0"/>
        <w:rPr>
          <w:rFonts w:eastAsia="Times New Roman" w:cs="Arial"/>
          <w:color w:val="000000"/>
          <w:sz w:val="24"/>
          <w:szCs w:val="24"/>
          <w:lang w:eastAsia="it-CH"/>
        </w:rPr>
      </w:pPr>
      <w:r w:rsidRPr="004E6E88">
        <w:rPr>
          <w:rFonts w:eastAsia="Times New Roman" w:cs="Arial"/>
          <w:color w:val="000000"/>
          <w:sz w:val="24"/>
          <w:szCs w:val="24"/>
          <w:lang w:eastAsia="it-CH"/>
        </w:rPr>
        <w:t xml:space="preserve">Contestualmente alla costante crescita degli affari, il Gruppo ha mantenuto la solidità ben al di sopra dell'obiettivo fissato dalla FINMA: il totale dei fondi propri regolamentari è al 18.3%, quando la soglia minima per il Gruppo imposta dalla FINMA è 12.9%. </w:t>
      </w:r>
    </w:p>
    <w:p w:rsidR="004E6E88" w:rsidRPr="004E6E88" w:rsidRDefault="004E6E88" w:rsidP="004E6E88">
      <w:pPr>
        <w:autoSpaceDE w:val="0"/>
        <w:autoSpaceDN w:val="0"/>
        <w:adjustRightInd w:val="0"/>
        <w:rPr>
          <w:rFonts w:eastAsia="Times New Roman" w:cs="Arial"/>
          <w:color w:val="000000"/>
          <w:sz w:val="24"/>
          <w:szCs w:val="24"/>
          <w:lang w:val="it-IT" w:eastAsia="it-CH"/>
        </w:rPr>
      </w:pPr>
    </w:p>
    <w:p w:rsidR="004E6E88" w:rsidRPr="004E6E88" w:rsidRDefault="004E6E88" w:rsidP="00D25517">
      <w:pPr>
        <w:autoSpaceDE w:val="0"/>
        <w:autoSpaceDN w:val="0"/>
        <w:adjustRightInd w:val="0"/>
        <w:spacing w:after="120"/>
        <w:rPr>
          <w:rFonts w:eastAsia="Times New Roman" w:cs="Arial"/>
          <w:b/>
          <w:color w:val="000000"/>
          <w:sz w:val="24"/>
          <w:szCs w:val="24"/>
          <w:lang w:val="it-IT" w:eastAsia="it-CH"/>
        </w:rPr>
      </w:pPr>
      <w:r w:rsidRPr="004E6E88">
        <w:rPr>
          <w:rFonts w:eastAsia="Times New Roman" w:cs="Arial"/>
          <w:b/>
          <w:color w:val="000000"/>
          <w:sz w:val="24"/>
          <w:szCs w:val="24"/>
          <w:lang w:val="it-IT" w:eastAsia="it-CH"/>
        </w:rPr>
        <w:t>Calcolo e ripartizione del valore aggiunto</w:t>
      </w:r>
    </w:p>
    <w:p w:rsidR="004E6E88" w:rsidRPr="004E6E88" w:rsidRDefault="004E6E88" w:rsidP="00D25517">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Il valore aggiunto di un'impresa rappresenta la ricchezza prodotta dall'azienda nell'esercizio, individuabile come differenza tra la produzione lorda e il consumo di beni e</w:t>
      </w:r>
      <w:r w:rsidR="00D25517">
        <w:rPr>
          <w:rFonts w:eastAsia="Times New Roman" w:cs="Arial"/>
          <w:color w:val="000000"/>
          <w:sz w:val="24"/>
          <w:szCs w:val="24"/>
          <w:lang w:val="it-IT" w:eastAsia="it-IT"/>
        </w:rPr>
        <w:t xml:space="preserve"> </w:t>
      </w:r>
      <w:r w:rsidRPr="004E6E88">
        <w:rPr>
          <w:rFonts w:eastAsia="Times New Roman" w:cs="Arial"/>
          <w:color w:val="000000"/>
          <w:sz w:val="24"/>
          <w:szCs w:val="24"/>
          <w:lang w:val="it-IT" w:eastAsia="it-IT"/>
        </w:rPr>
        <w:t>servizi. La determinazione di questo valore assume un significato importante poiché rappresenta il legame contabile tra il conto d'esercizio e il rapporto di sostenibilità, fornendo</w:t>
      </w:r>
    </w:p>
    <w:p w:rsidR="004E6E88" w:rsidRPr="004E6E88" w:rsidRDefault="004E6E88" w:rsidP="00D25517">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una misura del valore generato e reinvestito nel territorio. Nel 2024 la Banca ha ottenuto un valore aggiunto globale netto di oltre 209 milioni di franchi. Il valore globale lordo generato ammonta invece a oltre 223 milioni di franchi. Oltre un quarto del valore aggiunto viene versato al Cantone, proprietario della Banca. Più della metà della ricchezza prodotta viene destinata al personale attraverso salari, benefit e formazione. </w:t>
      </w:r>
      <w:r w:rsidRPr="004E6E88">
        <w:rPr>
          <w:rFonts w:eastAsia="Times New Roman" w:cs="Arial"/>
          <w:color w:val="000000"/>
          <w:sz w:val="24"/>
          <w:szCs w:val="24"/>
          <w:lang w:val="it-IT" w:eastAsia="it-IT"/>
        </w:rPr>
        <w:lastRenderedPageBreak/>
        <w:t xml:space="preserve">Infine, oltre il 3% viene ulteriormente distribuito alla collettività (Stato ed enti pubblici) tramite le imposte. </w:t>
      </w:r>
    </w:p>
    <w:p w:rsidR="004E6E88" w:rsidRPr="004E6E88" w:rsidRDefault="004E6E88" w:rsidP="00D25517">
      <w:pPr>
        <w:kinsoku w:val="0"/>
        <w:overflowPunct w:val="0"/>
        <w:ind w:right="147"/>
        <w:rPr>
          <w:rFonts w:eastAsia="Times New Roman" w:cs="Arial"/>
          <w:color w:val="000000"/>
          <w:sz w:val="24"/>
          <w:szCs w:val="24"/>
          <w:lang w:val="it-IT" w:eastAsia="it-IT"/>
        </w:rPr>
      </w:pPr>
      <w:r w:rsidRPr="004E6E88">
        <w:rPr>
          <w:rFonts w:eastAsia="Times New Roman" w:cs="Arial"/>
          <w:color w:val="000000"/>
          <w:sz w:val="24"/>
          <w:szCs w:val="24"/>
          <w:lang w:val="it-IT" w:eastAsia="it-IT"/>
        </w:rPr>
        <w:t xml:space="preserve">L'Istituto, a differenza delle altre banche, è esonerato dal pagamento dell'imposta cantonale e federale poiché la Banca è di proprietà dello Stato.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è anche «esonerata dall'imposta comunale, eccezion fatta per gli immobili di sua proprietà, nei comuni ove sono situati, per un importo di sostanza pari al valore di stima ufficiale e per un reddito netto del 3% di detto valore» (art. 1 del Decreto Legislativo concernente il regime fiscale della Banca dello Stato del Cantone Ticino del 19 maggio 1952). </w:t>
      </w:r>
    </w:p>
    <w:p w:rsidR="004E6E88" w:rsidRPr="004E6E88" w:rsidRDefault="004E6E88" w:rsidP="00D25517">
      <w:pPr>
        <w:kinsoku w:val="0"/>
        <w:overflowPunct w:val="0"/>
        <w:ind w:right="147"/>
        <w:rPr>
          <w:rFonts w:ascii="Arial Narrow" w:eastAsia="Times New Roman" w:hAnsi="Arial Narrow" w:cs="Arial"/>
          <w:color w:val="000000"/>
          <w:sz w:val="24"/>
          <w:szCs w:val="24"/>
          <w:lang w:val="it-IT" w:eastAsia="it-CH"/>
        </w:rPr>
      </w:pPr>
      <w:r w:rsidRPr="004E6E88">
        <w:rPr>
          <w:rFonts w:eastAsia="Times New Roman" w:cs="Arial"/>
          <w:color w:val="000000"/>
          <w:sz w:val="24"/>
          <w:szCs w:val="24"/>
          <w:lang w:val="it-IT" w:eastAsia="it-IT"/>
        </w:rPr>
        <w:t xml:space="preserve">A seguito del violento nubifragio che ha colpito l'Alta Vallemaggia, </w:t>
      </w:r>
      <w:proofErr w:type="spellStart"/>
      <w:r w:rsidRPr="004E6E88">
        <w:rPr>
          <w:rFonts w:eastAsia="Times New Roman" w:cs="Arial"/>
          <w:color w:val="000000"/>
          <w:sz w:val="24"/>
          <w:szCs w:val="24"/>
          <w:lang w:val="it-IT" w:eastAsia="it-IT"/>
        </w:rPr>
        <w:t>BancaStato</w:t>
      </w:r>
      <w:proofErr w:type="spellEnd"/>
      <w:r w:rsidRPr="004E6E88">
        <w:rPr>
          <w:rFonts w:eastAsia="Times New Roman" w:cs="Arial"/>
          <w:color w:val="000000"/>
          <w:sz w:val="24"/>
          <w:szCs w:val="24"/>
          <w:lang w:val="it-IT" w:eastAsia="it-IT"/>
        </w:rPr>
        <w:t xml:space="preserve"> ha avviato una raccolta fondi in collaborazione con l'Associazione dei Comuni della Vallemaggia, contribuendo con 200'000 franchi e coinvolgendo ben 172 finanziatori. L'iniziativa ha raggiunto oltre 350'000 franchi.</w:t>
      </w:r>
      <w:r w:rsidRPr="004E6E88">
        <w:rPr>
          <w:rFonts w:ascii="Arial Narrow" w:eastAsia="Times New Roman" w:hAnsi="Arial Narrow" w:cs="Arial"/>
          <w:color w:val="000000"/>
          <w:sz w:val="24"/>
          <w:szCs w:val="24"/>
          <w:lang w:val="it-IT" w:eastAsia="it-CH"/>
        </w:rPr>
        <w:t xml:space="preserve"> </w:t>
      </w:r>
    </w:p>
    <w:p w:rsidR="004E6E88" w:rsidRDefault="004E6E88" w:rsidP="004E6E88">
      <w:pPr>
        <w:kinsoku w:val="0"/>
        <w:overflowPunct w:val="0"/>
        <w:spacing w:line="276" w:lineRule="auto"/>
        <w:ind w:right="147"/>
        <w:rPr>
          <w:rFonts w:eastAsia="Times New Roman" w:cs="Arial"/>
          <w:color w:val="000000"/>
          <w:sz w:val="24"/>
          <w:szCs w:val="24"/>
          <w:lang w:val="it-IT" w:eastAsia="it-IT"/>
        </w:rPr>
      </w:pPr>
    </w:p>
    <w:p w:rsidR="00D25517" w:rsidRPr="004E6E88" w:rsidRDefault="00D25517" w:rsidP="004E6E88">
      <w:pPr>
        <w:kinsoku w:val="0"/>
        <w:overflowPunct w:val="0"/>
        <w:spacing w:line="276" w:lineRule="auto"/>
        <w:ind w:right="147"/>
        <w:rPr>
          <w:rFonts w:eastAsia="Times New Roman" w:cs="Arial"/>
          <w:color w:val="000000"/>
          <w:sz w:val="24"/>
          <w:szCs w:val="24"/>
          <w:lang w:val="it-IT" w:eastAsia="it-IT"/>
        </w:rPr>
      </w:pPr>
    </w:p>
    <w:p w:rsidR="004E6E88" w:rsidRPr="00D25517" w:rsidRDefault="004E6E88" w:rsidP="00D25517">
      <w:pPr>
        <w:pStyle w:val="Titolo1"/>
        <w:tabs>
          <w:tab w:val="left" w:pos="567"/>
        </w:tabs>
        <w:spacing w:before="0"/>
        <w:ind w:left="567" w:hanging="567"/>
        <w:jc w:val="both"/>
        <w:rPr>
          <w:rFonts w:eastAsia="Calibri" w:cs="Times New Roman"/>
          <w:caps/>
          <w:sz w:val="24"/>
          <w:szCs w:val="24"/>
          <w:lang w:val="it-IT" w:eastAsia="it-IT"/>
        </w:rPr>
      </w:pPr>
      <w:r w:rsidRPr="00D25517">
        <w:rPr>
          <w:rFonts w:eastAsia="Calibri" w:cs="Times New Roman"/>
          <w:caps/>
          <w:sz w:val="24"/>
          <w:szCs w:val="24"/>
          <w:lang w:val="it-IT" w:eastAsia="it-IT"/>
        </w:rPr>
        <w:t xml:space="preserve">5. </w:t>
      </w:r>
      <w:r w:rsidR="00D819AA">
        <w:rPr>
          <w:rFonts w:eastAsia="Calibri" w:cs="Times New Roman"/>
          <w:caps/>
          <w:sz w:val="24"/>
          <w:szCs w:val="24"/>
          <w:lang w:val="it-IT" w:eastAsia="it-IT"/>
        </w:rPr>
        <w:tab/>
      </w:r>
      <w:r w:rsidRPr="00D25517">
        <w:rPr>
          <w:rFonts w:eastAsia="Calibri" w:cs="Times New Roman"/>
          <w:caps/>
          <w:sz w:val="24"/>
          <w:szCs w:val="24"/>
          <w:lang w:val="it-IT" w:eastAsia="it-IT"/>
        </w:rPr>
        <w:t>CASO HOSPITA E MEMBRO DEL CDA di BS ENEA PETRINI</w:t>
      </w:r>
    </w:p>
    <w:p w:rsidR="004E6E88" w:rsidRDefault="004E6E88" w:rsidP="004B4F00">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La scrivente Commissione è stata, in un primo tempo, messa al corrente del "caso </w:t>
      </w:r>
      <w:proofErr w:type="spellStart"/>
      <w:r w:rsidRPr="004E6E88">
        <w:rPr>
          <w:rFonts w:eastAsia="Times New Roman" w:cs="Arial"/>
          <w:color w:val="000000"/>
          <w:sz w:val="24"/>
          <w:szCs w:val="24"/>
          <w:lang w:val="it-IT" w:eastAsia="it-CH"/>
        </w:rPr>
        <w:t>Hospita</w:t>
      </w:r>
      <w:proofErr w:type="spellEnd"/>
      <w:r w:rsidRPr="004E6E88">
        <w:rPr>
          <w:rFonts w:eastAsia="Times New Roman" w:cs="Arial"/>
          <w:color w:val="000000"/>
          <w:sz w:val="24"/>
          <w:szCs w:val="24"/>
          <w:lang w:val="it-IT" w:eastAsia="it-CH"/>
        </w:rPr>
        <w:t xml:space="preserve">" che ha visto anche il coinvolgimento del membro del Consiglio di amministrazione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avv. Enea Petrini da parte di una delegazione della Direzione generale (DG) e del Consiglio di amministrazione (</w:t>
      </w:r>
      <w:proofErr w:type="spellStart"/>
      <w:r w:rsidRPr="004E6E88">
        <w:rPr>
          <w:rFonts w:eastAsia="Times New Roman" w:cs="Arial"/>
          <w:color w:val="000000"/>
          <w:sz w:val="24"/>
          <w:szCs w:val="24"/>
          <w:lang w:val="it-IT" w:eastAsia="it-CH"/>
        </w:rPr>
        <w:t>CdA</w:t>
      </w:r>
      <w:proofErr w:type="spellEnd"/>
      <w:r w:rsidRPr="004E6E88">
        <w:rPr>
          <w:rFonts w:eastAsia="Times New Roman" w:cs="Arial"/>
          <w:color w:val="000000"/>
          <w:sz w:val="24"/>
          <w:szCs w:val="24"/>
          <w:lang w:val="it-IT" w:eastAsia="it-CH"/>
        </w:rPr>
        <w:t xml:space="preserve">)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nel corso di un incontro avvenuto il 16 settembre 2025 e, in un secondo tempo, ha ricevuto documentazione (esposto e relativa documentazione) inerente il medesimo tema in data 10 ottobre 2025 dal rappresentante legale del dr. </w:t>
      </w:r>
      <w:proofErr w:type="spellStart"/>
      <w:r w:rsidRPr="004E6E88">
        <w:rPr>
          <w:rFonts w:eastAsia="Times New Roman" w:cs="Arial"/>
          <w:color w:val="000000"/>
          <w:sz w:val="24"/>
          <w:szCs w:val="24"/>
          <w:lang w:val="it-IT" w:eastAsia="it-CH"/>
        </w:rPr>
        <w:t>Camponovo</w:t>
      </w:r>
      <w:proofErr w:type="spellEnd"/>
      <w:r w:rsidRPr="004E6E88">
        <w:rPr>
          <w:rFonts w:eastAsia="Times New Roman" w:cs="Arial"/>
          <w:color w:val="000000"/>
          <w:sz w:val="24"/>
          <w:szCs w:val="24"/>
          <w:lang w:val="it-IT" w:eastAsia="it-CH"/>
        </w:rPr>
        <w:t xml:space="preserve">. </w:t>
      </w:r>
    </w:p>
    <w:p w:rsidR="004B4F00" w:rsidRPr="004E6E88" w:rsidRDefault="004B4F00" w:rsidP="004B4F00">
      <w:pPr>
        <w:rPr>
          <w:rFonts w:eastAsia="Times New Roman" w:cs="Arial"/>
          <w:color w:val="000000"/>
          <w:sz w:val="24"/>
          <w:szCs w:val="24"/>
          <w:lang w:val="it-IT" w:eastAsia="it-CH"/>
        </w:rPr>
      </w:pPr>
    </w:p>
    <w:p w:rsidR="004E6E88" w:rsidRDefault="004E6E88" w:rsidP="004B4F00">
      <w:pPr>
        <w:rPr>
          <w:rFonts w:eastAsia="Times New Roman" w:cs="Arial"/>
          <w:color w:val="000000"/>
          <w:sz w:val="24"/>
          <w:szCs w:val="24"/>
          <w:lang w:val="it-IT" w:eastAsia="it-CH"/>
        </w:rPr>
      </w:pPr>
      <w:r w:rsidRPr="004E6E88">
        <w:rPr>
          <w:rFonts w:eastAsia="Times New Roman" w:cs="Arial"/>
          <w:color w:val="000000"/>
          <w:sz w:val="24"/>
          <w:szCs w:val="24"/>
          <w:lang w:val="it-IT" w:eastAsia="it-CH"/>
        </w:rPr>
        <w:t>In seguito, per ulteriori approfondimenti, la Commissione ha incontrato:</w:t>
      </w:r>
      <w:r w:rsidRPr="004E6E88">
        <w:rPr>
          <w:rFonts w:eastAsia="Times New Roman" w:cs="Times New Roman"/>
          <w:sz w:val="24"/>
          <w:szCs w:val="20"/>
          <w:lang w:val="it-IT" w:eastAsia="it-IT"/>
        </w:rPr>
        <w:t xml:space="preserve"> </w:t>
      </w:r>
      <w:r w:rsidRPr="004E6E88">
        <w:rPr>
          <w:rFonts w:eastAsia="Times New Roman" w:cs="Arial"/>
          <w:color w:val="000000"/>
          <w:sz w:val="24"/>
          <w:szCs w:val="24"/>
          <w:lang w:val="it-IT" w:eastAsia="it-CH"/>
        </w:rPr>
        <w:t xml:space="preserve">la Presidente del </w:t>
      </w:r>
      <w:proofErr w:type="spellStart"/>
      <w:r w:rsidRPr="004E6E88">
        <w:rPr>
          <w:rFonts w:eastAsia="Times New Roman" w:cs="Arial"/>
          <w:color w:val="000000"/>
          <w:sz w:val="24"/>
          <w:szCs w:val="24"/>
          <w:lang w:val="it-IT" w:eastAsia="it-CH"/>
        </w:rPr>
        <w:t>CdA</w:t>
      </w:r>
      <w:proofErr w:type="spellEnd"/>
      <w:r w:rsidRPr="004E6E88">
        <w:rPr>
          <w:rFonts w:eastAsia="Times New Roman" w:cs="Arial"/>
          <w:color w:val="000000"/>
          <w:sz w:val="24"/>
          <w:szCs w:val="24"/>
          <w:lang w:val="it-IT" w:eastAsia="it-CH"/>
        </w:rPr>
        <w:t xml:space="preserve"> e il Presidente della DG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in data 24 novembre 2025; una delegazione del Consiglio di Stato in data 28 novembre; la Presidente del </w:t>
      </w:r>
      <w:proofErr w:type="spellStart"/>
      <w:r w:rsidRPr="004E6E88">
        <w:rPr>
          <w:rFonts w:eastAsia="Times New Roman" w:cs="Arial"/>
          <w:color w:val="000000"/>
          <w:sz w:val="24"/>
          <w:szCs w:val="24"/>
          <w:lang w:val="it-IT" w:eastAsia="it-CH"/>
        </w:rPr>
        <w:t>CdA</w:t>
      </w:r>
      <w:proofErr w:type="spellEnd"/>
      <w:r w:rsidRPr="004E6E88">
        <w:rPr>
          <w:rFonts w:eastAsia="Times New Roman" w:cs="Arial"/>
          <w:color w:val="000000"/>
          <w:sz w:val="24"/>
          <w:szCs w:val="24"/>
          <w:lang w:val="it-IT" w:eastAsia="it-CH"/>
        </w:rPr>
        <w:t xml:space="preserve"> e il Presidente della DG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assieme a una delegazione del Consiglio di Stato in data 1° dicembre 2025; il 2 e il 16 dicembre il Consulente giuridico del Gran Consiglio.  </w:t>
      </w:r>
    </w:p>
    <w:p w:rsidR="00D819AA" w:rsidRPr="004E6E88" w:rsidRDefault="00D819AA" w:rsidP="004B4F00">
      <w:pPr>
        <w:rPr>
          <w:rFonts w:eastAsia="Times New Roman" w:cs="Arial"/>
          <w:color w:val="000000"/>
          <w:sz w:val="24"/>
          <w:szCs w:val="24"/>
          <w:lang w:val="it-IT" w:eastAsia="it-CH"/>
        </w:rPr>
      </w:pPr>
    </w:p>
    <w:p w:rsidR="004E6E88" w:rsidRDefault="004E6E88" w:rsidP="004B4F00">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La Commissione ha approfondito la fattispecie alla luce della Legge sulla Banca dello Stato del Cantone Ticino (del 25 ottobre 1988) e del Regolamento della Commissione del controllo del mandato pubblico della Banca dello Stato del Cantone Ticino (del 13 aprile 2010). In virtù dell'art. 3a cpv. 3 e dell'art. 35 della Legge Banca Stato, la Commissione è incaricata di vigilare sull'adempimento del mandato pubblico affidato alla Banca, verificando che l'azione dell'istituto sia conforme allo scopo istituzionale e agli obiettivi strategici stabiliti dagli organi competenti. Tale vigilanza ha carattere funzionale e sistemico e non si estende al controllo della gestione operativa né alla vigilanza prudenziale. Il Regolamento precisa inoltre che restano escluse dalle sue competenze le verifiche riservate alla FINMA e all'ufficio di revisione esterno, in particolare quelle concernenti l'idoneità, l'onorabilità, l'indipendenza e l'assenza di conflitti di interesse dei membri del Consiglio di amministrazione. </w:t>
      </w:r>
    </w:p>
    <w:p w:rsidR="00D819AA" w:rsidRPr="004E6E88" w:rsidRDefault="00D819AA" w:rsidP="004B4F00">
      <w:pPr>
        <w:rPr>
          <w:rFonts w:eastAsia="Times New Roman" w:cs="Arial"/>
          <w:color w:val="000000"/>
          <w:sz w:val="24"/>
          <w:szCs w:val="24"/>
          <w:lang w:val="it-IT" w:eastAsia="it-CH"/>
        </w:rPr>
      </w:pPr>
    </w:p>
    <w:p w:rsidR="004E6E88" w:rsidRDefault="004E6E88" w:rsidP="00D819AA">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Dagli incontri avuti con il Consiglio di amministrazione e la Direzione generale di </w:t>
      </w:r>
      <w:proofErr w:type="spellStart"/>
      <w:r w:rsidRPr="004E6E88">
        <w:rPr>
          <w:rFonts w:eastAsia="Times New Roman" w:cs="Arial"/>
          <w:color w:val="000000"/>
          <w:sz w:val="24"/>
          <w:szCs w:val="24"/>
          <w:lang w:val="it-IT" w:eastAsia="it-CH"/>
        </w:rPr>
        <w:t>BancaStato</w:t>
      </w:r>
      <w:proofErr w:type="spellEnd"/>
      <w:r w:rsidRPr="004E6E88">
        <w:rPr>
          <w:rFonts w:eastAsia="Times New Roman" w:cs="Arial"/>
          <w:color w:val="000000"/>
          <w:sz w:val="24"/>
          <w:szCs w:val="24"/>
          <w:lang w:val="it-IT" w:eastAsia="it-CH"/>
        </w:rPr>
        <w:t xml:space="preserve"> è emerso che la dirigenza della Banca ha esaminato la fattispecie procedendo a una verifica approfondita, anche mediante il ricorso a una revisione esterna indipendente, dalla quale non sono emerse criticità in relazione al rispetto dei principi di indipendenza, imparzialità e buona </w:t>
      </w:r>
      <w:proofErr w:type="spellStart"/>
      <w:r w:rsidRPr="004E6E88">
        <w:rPr>
          <w:rFonts w:eastAsia="Times New Roman" w:cs="Arial"/>
          <w:color w:val="000000"/>
          <w:sz w:val="24"/>
          <w:szCs w:val="24"/>
          <w:lang w:val="it-IT" w:eastAsia="it-CH"/>
        </w:rPr>
        <w:t>governance</w:t>
      </w:r>
      <w:proofErr w:type="spellEnd"/>
      <w:r w:rsidRPr="004E6E88">
        <w:rPr>
          <w:rFonts w:eastAsia="Times New Roman" w:cs="Arial"/>
          <w:color w:val="000000"/>
          <w:sz w:val="24"/>
          <w:szCs w:val="24"/>
          <w:lang w:val="it-IT" w:eastAsia="it-CH"/>
        </w:rPr>
        <w:t xml:space="preserve">. Tali accertamenti rientrano – come esposto precedentemente – nella sfera di competenza propria del Consiglio di </w:t>
      </w:r>
      <w:r w:rsidRPr="004E6E88">
        <w:rPr>
          <w:rFonts w:eastAsia="Times New Roman" w:cs="Arial"/>
          <w:color w:val="000000"/>
          <w:sz w:val="24"/>
          <w:szCs w:val="24"/>
          <w:lang w:val="it-IT" w:eastAsia="it-CH"/>
        </w:rPr>
        <w:lastRenderedPageBreak/>
        <w:t xml:space="preserve">amministrazione e, per quanto concerne i requisiti personali dei membri degli organi, nella vigilanza prudenziale della FINMA. La Commissione non dispone della competenza per rimettere in discussione tali valutazioni né per procedere a un riesame sostanziale delle conclusioni cui è pervenuto il Consiglio di amministrazione. </w:t>
      </w:r>
    </w:p>
    <w:p w:rsidR="00D819AA" w:rsidRPr="004E6E88" w:rsidRDefault="00D819AA" w:rsidP="00D819AA">
      <w:pPr>
        <w:rPr>
          <w:rFonts w:eastAsia="Times New Roman" w:cs="Arial"/>
          <w:color w:val="000000"/>
          <w:sz w:val="24"/>
          <w:szCs w:val="24"/>
          <w:lang w:val="it-IT" w:eastAsia="it-CH"/>
        </w:rPr>
      </w:pPr>
    </w:p>
    <w:p w:rsidR="004E6E88" w:rsidRDefault="004E6E88" w:rsidP="004B4F00">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La scrivente Commissione resta a disposizione della CPI, nel caso quest'ultima venisse istituita, per valutare, trasmettere e condividere gli approfondimenti fatti e i documenti ricevuti. </w:t>
      </w:r>
    </w:p>
    <w:p w:rsidR="00D819AA" w:rsidRPr="004E6E88" w:rsidRDefault="00D819AA" w:rsidP="004B4F00">
      <w:pPr>
        <w:rPr>
          <w:rFonts w:eastAsia="Times New Roman" w:cs="Arial"/>
          <w:color w:val="000000"/>
          <w:sz w:val="24"/>
          <w:szCs w:val="24"/>
          <w:lang w:val="it-IT" w:eastAsia="it-CH"/>
        </w:rPr>
      </w:pPr>
    </w:p>
    <w:p w:rsidR="004E6E88" w:rsidRDefault="004E6E88" w:rsidP="004B4F00">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Per quanto riguarda le valutazioni dell'opportunità politica, esse potranno venire esposte e discusse durante il dibattito parlamentare o durante i lavori dell'eventuale CPI. </w:t>
      </w:r>
    </w:p>
    <w:p w:rsidR="00D819AA" w:rsidRPr="004E6E88" w:rsidRDefault="00D819AA" w:rsidP="004B4F00">
      <w:pPr>
        <w:rPr>
          <w:rFonts w:eastAsia="Times New Roman" w:cs="Arial"/>
          <w:color w:val="000000"/>
          <w:sz w:val="24"/>
          <w:szCs w:val="24"/>
          <w:lang w:val="it-IT" w:eastAsia="it-CH"/>
        </w:rPr>
      </w:pPr>
    </w:p>
    <w:p w:rsidR="004E6E88" w:rsidRPr="004E6E88" w:rsidRDefault="004E6E88" w:rsidP="004B4F00">
      <w:pPr>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Dal lavoro di verifica e di approfondimento è parimenti emersa la necessità di proporre, attraverso un atto parlamentare, modifiche puntuali alla Legge sulla Banca dello Stato del Cantone Ticino e al Regolamento della Commissione del controllo del mandato pubblico della Banca dello Stato del Cantone Ticino, datati e non aggiornati rispetto all'evoluzione conosciuta dal settore bancario. </w:t>
      </w:r>
    </w:p>
    <w:p w:rsidR="004E6E88" w:rsidRDefault="004E6E88" w:rsidP="004E6E88">
      <w:pPr>
        <w:spacing w:line="276" w:lineRule="auto"/>
        <w:rPr>
          <w:rFonts w:eastAsia="Times New Roman" w:cs="Arial"/>
          <w:color w:val="000000"/>
          <w:sz w:val="24"/>
          <w:szCs w:val="24"/>
          <w:lang w:val="it-IT" w:eastAsia="it-CH"/>
        </w:rPr>
      </w:pPr>
    </w:p>
    <w:p w:rsidR="00D819AA" w:rsidRPr="004E6E88" w:rsidRDefault="00D819AA" w:rsidP="004E6E88">
      <w:pPr>
        <w:spacing w:line="276" w:lineRule="auto"/>
        <w:rPr>
          <w:rFonts w:eastAsia="Times New Roman" w:cs="Arial"/>
          <w:color w:val="000000"/>
          <w:sz w:val="24"/>
          <w:szCs w:val="24"/>
          <w:lang w:val="it-IT" w:eastAsia="it-CH"/>
        </w:rPr>
      </w:pPr>
    </w:p>
    <w:p w:rsidR="004E6E88" w:rsidRPr="00D819AA" w:rsidRDefault="004E6E88" w:rsidP="00D819AA">
      <w:pPr>
        <w:pStyle w:val="Titolo1"/>
        <w:tabs>
          <w:tab w:val="left" w:pos="567"/>
        </w:tabs>
        <w:spacing w:before="0"/>
        <w:ind w:left="567" w:hanging="567"/>
        <w:jc w:val="both"/>
        <w:rPr>
          <w:rFonts w:eastAsia="Calibri" w:cs="Times New Roman"/>
          <w:caps/>
          <w:sz w:val="24"/>
          <w:szCs w:val="24"/>
          <w:lang w:val="it-IT" w:eastAsia="it-IT"/>
        </w:rPr>
      </w:pPr>
      <w:r w:rsidRPr="00D819AA">
        <w:rPr>
          <w:rFonts w:eastAsia="Calibri" w:cs="Times New Roman"/>
          <w:caps/>
          <w:sz w:val="24"/>
          <w:szCs w:val="24"/>
          <w:lang w:val="it-IT" w:eastAsia="it-IT"/>
        </w:rPr>
        <w:t xml:space="preserve">6. </w:t>
      </w:r>
      <w:r w:rsidR="00D819AA">
        <w:rPr>
          <w:rFonts w:eastAsia="Calibri" w:cs="Times New Roman"/>
          <w:caps/>
          <w:sz w:val="24"/>
          <w:szCs w:val="24"/>
          <w:lang w:val="it-IT" w:eastAsia="it-IT"/>
        </w:rPr>
        <w:tab/>
      </w:r>
      <w:r w:rsidRPr="00D819AA">
        <w:rPr>
          <w:rFonts w:eastAsia="Calibri" w:cs="Times New Roman"/>
          <w:caps/>
          <w:sz w:val="24"/>
          <w:szCs w:val="24"/>
          <w:lang w:val="it-IT" w:eastAsia="it-IT"/>
        </w:rPr>
        <w:t>CONCLUSIONI</w:t>
      </w:r>
    </w:p>
    <w:p w:rsidR="004E6E88" w:rsidRPr="004E6E88" w:rsidRDefault="004E6E88" w:rsidP="00D819AA">
      <w:pPr>
        <w:kinsoku w:val="0"/>
        <w:overflowPunct w:val="0"/>
        <w:ind w:right="147"/>
        <w:rPr>
          <w:rFonts w:eastAsia="Times New Roman" w:cs="Arial"/>
          <w:sz w:val="24"/>
          <w:szCs w:val="24"/>
          <w:lang w:val="it-IT" w:eastAsia="it-IT"/>
        </w:rPr>
      </w:pPr>
      <w:r w:rsidRPr="004E6E88">
        <w:rPr>
          <w:rFonts w:eastAsia="Times New Roman" w:cs="Arial"/>
          <w:sz w:val="24"/>
          <w:szCs w:val="24"/>
          <w:lang w:val="it-IT" w:eastAsia="it-IT"/>
        </w:rPr>
        <w:t xml:space="preserve">La scrivente Commissione rileva che il 2024 è risultato un anno molto buono, che conferma la tendenza positiva per la banca e, di conseguenza, per il Cantone, e valuta con favore il passaggio dal Bilancio sociale e ambientale al Rapporto di sostenibilità. Quest'ultimo fornisce le principali informazioni inerenti al mandato pubblico della Banca e scaturisce dalla volontà della sua dirigenza di definire un nuovo concetto di sostenibilità, legato all'evoluzione della rendicontazione non-finanziaria delle imprese dal punto di vista normativo e delle linee guida di riferimento. Il grande lavoro intrapreso da </w:t>
      </w:r>
      <w:proofErr w:type="spellStart"/>
      <w:r w:rsidRPr="004E6E88">
        <w:rPr>
          <w:rFonts w:eastAsia="Times New Roman" w:cs="Arial"/>
          <w:sz w:val="24"/>
          <w:szCs w:val="24"/>
          <w:lang w:val="it-IT" w:eastAsia="it-IT"/>
        </w:rPr>
        <w:t>BancaStato</w:t>
      </w:r>
      <w:proofErr w:type="spellEnd"/>
      <w:r w:rsidRPr="004E6E88">
        <w:rPr>
          <w:rFonts w:eastAsia="Times New Roman" w:cs="Arial"/>
          <w:sz w:val="24"/>
          <w:szCs w:val="24"/>
          <w:lang w:val="it-IT" w:eastAsia="it-IT"/>
        </w:rPr>
        <w:t xml:space="preserve"> è in fase di concretizzazione e si protrarrà nei prossimi anni. </w:t>
      </w:r>
    </w:p>
    <w:p w:rsidR="004E6E88" w:rsidRPr="004E6E88" w:rsidRDefault="004E6E88" w:rsidP="00D819AA">
      <w:pPr>
        <w:kinsoku w:val="0"/>
        <w:overflowPunct w:val="0"/>
        <w:ind w:right="147"/>
        <w:rPr>
          <w:rFonts w:eastAsia="Times New Roman" w:cs="Arial"/>
          <w:sz w:val="24"/>
          <w:szCs w:val="24"/>
          <w:lang w:val="it-IT" w:eastAsia="it-IT"/>
        </w:rPr>
      </w:pPr>
    </w:p>
    <w:p w:rsidR="004E6E88" w:rsidRPr="004E6E88" w:rsidRDefault="004E6E88" w:rsidP="00D819AA">
      <w:pPr>
        <w:kinsoku w:val="0"/>
        <w:overflowPunct w:val="0"/>
        <w:ind w:right="147"/>
        <w:rPr>
          <w:rFonts w:eastAsia="Times New Roman" w:cs="Arial"/>
          <w:sz w:val="24"/>
          <w:szCs w:val="24"/>
          <w:lang w:val="it-IT" w:eastAsia="it-IT"/>
        </w:rPr>
      </w:pPr>
      <w:proofErr w:type="spellStart"/>
      <w:r w:rsidRPr="004E6E88">
        <w:rPr>
          <w:rFonts w:eastAsia="Times New Roman" w:cs="Arial"/>
          <w:sz w:val="24"/>
          <w:szCs w:val="24"/>
          <w:lang w:val="it-IT" w:eastAsia="it-IT"/>
        </w:rPr>
        <w:t>BancaStato</w:t>
      </w:r>
      <w:proofErr w:type="spellEnd"/>
      <w:r w:rsidRPr="004E6E88">
        <w:rPr>
          <w:rFonts w:eastAsia="Times New Roman" w:cs="Arial"/>
          <w:sz w:val="24"/>
          <w:szCs w:val="24"/>
          <w:lang w:val="it-IT" w:eastAsia="it-IT"/>
        </w:rPr>
        <w:t xml:space="preserve"> nel contesto cantonale rappresenta una realtà importante sia in termini di occupazione che di sostegno all'economia. Riesce a soddisfare la clientela di ogni fascia d’età come pure di patrimonio, nel sostegno del Cantone e della sua sostenibilità. </w:t>
      </w:r>
    </w:p>
    <w:p w:rsidR="004E6E88" w:rsidRPr="004E6E88" w:rsidRDefault="004E6E88" w:rsidP="00D819AA">
      <w:pPr>
        <w:kinsoku w:val="0"/>
        <w:overflowPunct w:val="0"/>
        <w:ind w:right="147"/>
        <w:rPr>
          <w:rFonts w:eastAsia="Times New Roman" w:cs="Arial"/>
          <w:sz w:val="24"/>
          <w:szCs w:val="24"/>
          <w:lang w:val="it-IT" w:eastAsia="it-IT"/>
        </w:rPr>
      </w:pPr>
    </w:p>
    <w:p w:rsidR="004E6E88" w:rsidRPr="004E6E88" w:rsidRDefault="004E6E88" w:rsidP="00D819AA">
      <w:pPr>
        <w:kinsoku w:val="0"/>
        <w:overflowPunct w:val="0"/>
        <w:ind w:right="147"/>
        <w:rPr>
          <w:rFonts w:eastAsia="Times New Roman" w:cs="Arial"/>
          <w:sz w:val="24"/>
          <w:szCs w:val="24"/>
          <w:lang w:val="it-IT" w:eastAsia="it-IT"/>
        </w:rPr>
      </w:pPr>
      <w:r w:rsidRPr="004E6E88">
        <w:rPr>
          <w:rFonts w:eastAsia="Times New Roman" w:cs="Arial"/>
          <w:sz w:val="24"/>
          <w:szCs w:val="24"/>
          <w:lang w:val="it-IT" w:eastAsia="it-IT"/>
        </w:rPr>
        <w:t xml:space="preserve">La Commissione del controllo del mandato pubblico valuta positivamente l'operato dell'Istituto, della sua dirigenza e dei suoi collaboratori, che dimostrano impegno e serietà, e propone di approvare il conto economico e il bilancio al 31 dicembre 2024, con relativa destinazione dell'utile, dando discarico al Consiglio di amministrazione e alla Direzione della Banca. </w:t>
      </w:r>
    </w:p>
    <w:p w:rsidR="004E6E88" w:rsidRDefault="004E6E88" w:rsidP="00D819AA">
      <w:pPr>
        <w:spacing w:line="276" w:lineRule="auto"/>
        <w:rPr>
          <w:rFonts w:eastAsia="Times New Roman" w:cs="Arial"/>
          <w:sz w:val="24"/>
          <w:szCs w:val="24"/>
          <w:lang w:val="it-IT" w:eastAsia="it-CH"/>
        </w:rPr>
      </w:pPr>
    </w:p>
    <w:p w:rsidR="00D819AA" w:rsidRPr="004E6E88" w:rsidRDefault="00D819AA" w:rsidP="00D819AA">
      <w:pPr>
        <w:spacing w:line="276" w:lineRule="auto"/>
        <w:rPr>
          <w:rFonts w:eastAsia="Times New Roman" w:cs="Arial"/>
          <w:sz w:val="24"/>
          <w:szCs w:val="24"/>
          <w:lang w:val="it-IT" w:eastAsia="it-CH"/>
        </w:rPr>
      </w:pPr>
    </w:p>
    <w:p w:rsidR="004E6E88" w:rsidRPr="004E6E88" w:rsidRDefault="004E6E88" w:rsidP="00D819AA">
      <w:pPr>
        <w:spacing w:after="120"/>
        <w:rPr>
          <w:rFonts w:eastAsia="Times New Roman" w:cs="Arial"/>
          <w:color w:val="000000"/>
          <w:sz w:val="24"/>
          <w:szCs w:val="24"/>
          <w:lang w:val="it-IT" w:eastAsia="it-CH"/>
        </w:rPr>
      </w:pPr>
      <w:r w:rsidRPr="004E6E88">
        <w:rPr>
          <w:rFonts w:eastAsia="Times New Roman" w:cs="Arial"/>
          <w:color w:val="000000"/>
          <w:sz w:val="24"/>
          <w:szCs w:val="24"/>
          <w:lang w:val="it-IT" w:eastAsia="it-CH"/>
        </w:rPr>
        <w:t xml:space="preserve">Per la Commissione del controllo del mandato pubblico: </w:t>
      </w:r>
    </w:p>
    <w:p w:rsidR="004E6E88" w:rsidRPr="004E6E88" w:rsidRDefault="004E6E88" w:rsidP="00D819AA">
      <w:pPr>
        <w:tabs>
          <w:tab w:val="left" w:pos="2127"/>
          <w:tab w:val="left" w:pos="2268"/>
        </w:tabs>
        <w:rPr>
          <w:rFonts w:eastAsia="Times New Roman" w:cs="Arial"/>
          <w:color w:val="000000"/>
          <w:sz w:val="24"/>
          <w:szCs w:val="24"/>
          <w:lang w:val="it-IT" w:eastAsia="it-CH"/>
        </w:rPr>
      </w:pPr>
      <w:r w:rsidRPr="004E6E88">
        <w:rPr>
          <w:rFonts w:eastAsia="Times New Roman" w:cs="Arial"/>
          <w:color w:val="000000"/>
          <w:sz w:val="24"/>
          <w:szCs w:val="24"/>
          <w:lang w:val="it-IT" w:eastAsia="it-CH"/>
        </w:rPr>
        <w:t>Il Presidente:</w:t>
      </w:r>
      <w:r w:rsidRPr="004E6E88">
        <w:rPr>
          <w:rFonts w:eastAsia="Times New Roman" w:cs="Arial"/>
          <w:color w:val="000000"/>
          <w:sz w:val="24"/>
          <w:szCs w:val="24"/>
          <w:lang w:val="it-IT" w:eastAsia="it-CH"/>
        </w:rPr>
        <w:tab/>
      </w:r>
      <w:r w:rsidRPr="004E6E88">
        <w:rPr>
          <w:rFonts w:eastAsia="Times New Roman" w:cs="Arial"/>
          <w:color w:val="000000"/>
          <w:sz w:val="24"/>
          <w:szCs w:val="24"/>
          <w:lang w:val="it-IT" w:eastAsia="it-CH"/>
        </w:rPr>
        <w:tab/>
        <w:t xml:space="preserve">Fiorenzo Dadò </w:t>
      </w:r>
    </w:p>
    <w:p w:rsidR="004E6E88" w:rsidRPr="004E6E88" w:rsidRDefault="004E6E88" w:rsidP="00D819AA">
      <w:pPr>
        <w:tabs>
          <w:tab w:val="left" w:pos="2268"/>
          <w:tab w:val="center" w:pos="5032"/>
        </w:tabs>
        <w:rPr>
          <w:rFonts w:eastAsia="Times New Roman" w:cs="Arial"/>
          <w:color w:val="000000"/>
          <w:sz w:val="24"/>
          <w:szCs w:val="24"/>
          <w:lang w:val="it-IT" w:eastAsia="it-CH"/>
        </w:rPr>
      </w:pPr>
      <w:r w:rsidRPr="004E6E88">
        <w:rPr>
          <w:rFonts w:eastAsia="Times New Roman" w:cs="Arial"/>
          <w:color w:val="000000"/>
          <w:sz w:val="24"/>
          <w:szCs w:val="24"/>
          <w:lang w:val="it-IT" w:eastAsia="it-CH"/>
        </w:rPr>
        <w:t>Il Vicepresidente:</w:t>
      </w:r>
      <w:r w:rsidRPr="004E6E88">
        <w:rPr>
          <w:rFonts w:eastAsia="Times New Roman" w:cs="Arial"/>
          <w:color w:val="000000"/>
          <w:sz w:val="24"/>
          <w:szCs w:val="24"/>
          <w:lang w:val="it-IT" w:eastAsia="it-CH"/>
        </w:rPr>
        <w:tab/>
        <w:t xml:space="preserve">Tiziano Galeazzi </w:t>
      </w:r>
    </w:p>
    <w:p w:rsidR="004E6E88" w:rsidRPr="004E6E88" w:rsidRDefault="004E6E88" w:rsidP="00D819AA">
      <w:pPr>
        <w:tabs>
          <w:tab w:val="left" w:pos="2127"/>
          <w:tab w:val="left" w:pos="2268"/>
        </w:tabs>
        <w:ind w:left="2268" w:hanging="2268"/>
        <w:rPr>
          <w:rFonts w:eastAsia="Times New Roman" w:cs="Arial"/>
          <w:color w:val="000000"/>
          <w:sz w:val="24"/>
          <w:szCs w:val="24"/>
          <w:lang w:val="it-IT" w:eastAsia="it-IT"/>
        </w:rPr>
      </w:pPr>
      <w:r w:rsidRPr="004E6E88">
        <w:rPr>
          <w:rFonts w:eastAsia="Times New Roman" w:cs="Arial"/>
          <w:color w:val="000000"/>
          <w:sz w:val="24"/>
          <w:szCs w:val="24"/>
          <w:lang w:val="it-IT" w:eastAsia="it-CH"/>
        </w:rPr>
        <w:t xml:space="preserve">I membri: </w:t>
      </w:r>
      <w:r w:rsidRPr="004E6E88">
        <w:rPr>
          <w:rFonts w:eastAsia="Times New Roman" w:cs="Arial"/>
          <w:color w:val="000000"/>
          <w:sz w:val="24"/>
          <w:szCs w:val="24"/>
          <w:lang w:val="it-IT" w:eastAsia="it-CH"/>
        </w:rPr>
        <w:tab/>
      </w:r>
      <w:r w:rsidRPr="004E6E88">
        <w:rPr>
          <w:rFonts w:eastAsia="Times New Roman" w:cs="Arial"/>
          <w:color w:val="000000"/>
          <w:sz w:val="24"/>
          <w:szCs w:val="24"/>
          <w:lang w:val="it-IT" w:eastAsia="it-CH"/>
        </w:rPr>
        <w:tab/>
        <w:t>Samantha Bourgoin, Omar Balli, Cristina Maderni e Fabrizio Sirica</w:t>
      </w:r>
    </w:p>
    <w:p w:rsidR="008F52AF" w:rsidRPr="004E6E88" w:rsidRDefault="008F52AF" w:rsidP="00D33940">
      <w:pPr>
        <w:pStyle w:val="StandardRisoluzionedelConsigliodiStato"/>
        <w:ind w:right="-1"/>
        <w:rPr>
          <w:lang w:val="it-IT"/>
        </w:rPr>
      </w:pPr>
    </w:p>
    <w:p w:rsidR="00D649A8" w:rsidRPr="004E6E88" w:rsidRDefault="00D649A8" w:rsidP="00D33940">
      <w:pPr>
        <w:pStyle w:val="StandardRisoluzionedelConsigliodiStato"/>
        <w:ind w:right="-1"/>
      </w:pPr>
    </w:p>
    <w:p w:rsidR="00D649A8" w:rsidRPr="004E6E88" w:rsidRDefault="00D649A8" w:rsidP="00D33940">
      <w:pPr>
        <w:pStyle w:val="StandardRisoluzionedelConsigliodiStato"/>
        <w:ind w:right="-1"/>
      </w:pPr>
    </w:p>
    <w:sectPr w:rsidR="00D649A8" w:rsidRPr="004E6E88" w:rsidSect="00AE2F6F">
      <w:headerReference w:type="default" r:id="rId24"/>
      <w:footerReference w:type="default" r:id="rId25"/>
      <w:headerReference w:type="first" r:id="rId26"/>
      <w:footerReference w:type="first" r:id="rId2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F6F" w:rsidRDefault="00AE2F6F" w:rsidP="00F657BF">
      <w:r>
        <w:separator/>
      </w:r>
    </w:p>
  </w:endnote>
  <w:endnote w:type="continuationSeparator" w:id="0">
    <w:p w:rsidR="00AE2F6F" w:rsidRDefault="00AE2F6F"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utura LT Pro Book">
    <w:altName w:val="Futura LT Pro Book"/>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AE2F6F" w:rsidRPr="003D1008" w:rsidTr="00AE2F6F">
      <w:trPr>
        <w:trHeight w:hRule="exact" w:val="737"/>
      </w:trPr>
      <w:tc>
        <w:tcPr>
          <w:tcW w:w="4695" w:type="dxa"/>
        </w:tcPr>
        <w:p w:rsidR="00AE2F6F" w:rsidRPr="003D1008" w:rsidRDefault="00AE2F6F" w:rsidP="00AE2F6F">
          <w:pPr>
            <w:tabs>
              <w:tab w:val="center" w:pos="2382"/>
            </w:tabs>
          </w:pPr>
        </w:p>
      </w:tc>
      <w:tc>
        <w:tcPr>
          <w:tcW w:w="721" w:type="dxa"/>
        </w:tcPr>
        <w:p w:rsidR="00AE2F6F" w:rsidRPr="003D1008" w:rsidRDefault="00AE2F6F" w:rsidP="00AE2F6F">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AE2F6F" w:rsidRPr="003D1008" w:rsidRDefault="00AE2F6F" w:rsidP="00AE2F6F">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AE2F6F" w:rsidRPr="003D1008" w:rsidRDefault="00AE2F6F" w:rsidP="00AE2F6F"/>
      </w:tc>
    </w:tr>
  </w:tbl>
  <w:p w:rsidR="00AE2F6F" w:rsidRDefault="00AE2F6F" w:rsidP="00AE2F6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F6F" w:rsidRDefault="00AE2F6F">
    <w:pPr>
      <w:pStyle w:val="Pidipagina"/>
      <w:jc w:val="center"/>
    </w:pPr>
  </w:p>
  <w:p w:rsidR="00AE2F6F" w:rsidRPr="008C6C46" w:rsidRDefault="00AE2F6F" w:rsidP="00AE2F6F">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F6F" w:rsidRDefault="00AE2F6F" w:rsidP="00F657BF">
      <w:r>
        <w:separator/>
      </w:r>
    </w:p>
  </w:footnote>
  <w:footnote w:type="continuationSeparator" w:id="0">
    <w:p w:rsidR="00AE2F6F" w:rsidRDefault="00AE2F6F" w:rsidP="00F657BF">
      <w:r>
        <w:continuationSeparator/>
      </w:r>
    </w:p>
  </w:footnote>
  <w:footnote w:id="1">
    <w:p w:rsidR="00AE2F6F" w:rsidRPr="004E6E88" w:rsidRDefault="00AE2F6F" w:rsidP="004E6E88">
      <w:pPr>
        <w:pStyle w:val="Testonotaapidipagina"/>
        <w:rPr>
          <w:rFonts w:ascii="Arial" w:hAnsi="Arial" w:cs="Arial"/>
          <w:sz w:val="20"/>
          <w:lang w:val="it-CH"/>
        </w:rPr>
      </w:pPr>
      <w:r w:rsidRPr="004E6E88">
        <w:rPr>
          <w:rStyle w:val="Rimandonotaapidipagina"/>
          <w:rFonts w:cs="Arial"/>
          <w:sz w:val="20"/>
        </w:rPr>
        <w:footnoteRef/>
      </w:r>
      <w:r w:rsidRPr="004E6E88">
        <w:rPr>
          <w:rFonts w:ascii="Arial" w:hAnsi="Arial" w:cs="Arial"/>
          <w:sz w:val="20"/>
        </w:rPr>
        <w:t xml:space="preserve"> </w:t>
      </w:r>
      <w:hyperlink r:id="rId1" w:history="1">
        <w:r w:rsidRPr="004E6E88">
          <w:rPr>
            <w:rStyle w:val="Collegamentoipertestuale"/>
            <w:rFonts w:ascii="Arial" w:hAnsi="Arial" w:cs="Arial"/>
            <w:sz w:val="20"/>
          </w:rPr>
          <w:t>https://www.bancastato.ch/DMS/chisiamo/PUBLIC-factsheet_mandatopubblico.pdf</w:t>
        </w:r>
      </w:hyperlink>
      <w:r w:rsidRPr="004E6E88">
        <w:rPr>
          <w:rFonts w:ascii="Arial" w:hAnsi="Arial" w:cs="Arial"/>
          <w:sz w:val="20"/>
        </w:rPr>
        <w:t xml:space="preserve"> </w:t>
      </w:r>
    </w:p>
  </w:footnote>
  <w:footnote w:id="2">
    <w:p w:rsidR="00AE2F6F" w:rsidRPr="00E37F4F" w:rsidRDefault="00AE2F6F" w:rsidP="004E6E88">
      <w:pPr>
        <w:pStyle w:val="Testonotaapidipagina"/>
        <w:rPr>
          <w:rFonts w:ascii="Arial" w:hAnsi="Arial" w:cs="Arial"/>
          <w:lang w:val="it-CH"/>
        </w:rPr>
      </w:pPr>
      <w:r w:rsidRPr="004E6E88">
        <w:rPr>
          <w:rStyle w:val="Rimandonotaapidipagina"/>
          <w:sz w:val="20"/>
        </w:rPr>
        <w:footnoteRef/>
      </w:r>
      <w:r w:rsidRPr="004E6E88">
        <w:rPr>
          <w:sz w:val="20"/>
          <w:lang w:val="it-CH"/>
        </w:rPr>
        <w:t xml:space="preserve"> </w:t>
      </w:r>
      <w:hyperlink r:id="rId2" w:history="1">
        <w:r w:rsidRPr="004E6E88">
          <w:rPr>
            <w:rStyle w:val="Collegamentoipertestuale"/>
            <w:rFonts w:ascii="Arial" w:hAnsi="Arial" w:cs="Arial"/>
            <w:sz w:val="20"/>
            <w:lang w:val="it-CH"/>
          </w:rPr>
          <w:t>https://www.bancastato.ch/su-di-noi/cifre-e-pubblicazioni/rapporti-di-esercizio/Rapporto-di-sostenibilit--2024.html</w:t>
        </w:r>
      </w:hyperlink>
      <w:r w:rsidRPr="004E6E88">
        <w:rPr>
          <w:rFonts w:ascii="Arial" w:hAnsi="Arial" w:cs="Arial"/>
          <w:lang w:val="it-CH"/>
        </w:rPr>
        <w:t xml:space="preserve"> </w:t>
      </w:r>
    </w:p>
  </w:footnote>
  <w:footnote w:id="3">
    <w:p w:rsidR="00AE2F6F" w:rsidRPr="00465A74" w:rsidRDefault="00AE2F6F" w:rsidP="004E6E88">
      <w:pPr>
        <w:pStyle w:val="Testonotaapidipagina"/>
        <w:rPr>
          <w:sz w:val="20"/>
          <w:lang w:val="it-CH"/>
        </w:rPr>
      </w:pPr>
      <w:r w:rsidRPr="00465A74">
        <w:rPr>
          <w:rStyle w:val="Rimandonotaapidipagina"/>
          <w:sz w:val="20"/>
        </w:rPr>
        <w:footnoteRef/>
      </w:r>
      <w:r w:rsidRPr="00465A74">
        <w:rPr>
          <w:sz w:val="20"/>
          <w:lang w:val="it-CH"/>
        </w:rPr>
        <w:t xml:space="preserve"> </w:t>
      </w:r>
      <w:r w:rsidRPr="00465A74">
        <w:rPr>
          <w:rFonts w:ascii="Arial" w:hAnsi="Arial" w:cs="Arial"/>
          <w:sz w:val="20"/>
          <w:lang w:val="it-CH"/>
        </w:rPr>
        <w:t xml:space="preserve">Obiettivi sul mandato pubblico - Documento del Consiglio d’amministrazione della Banca dello Stato del Cantone Ticino all’attenzione del Consiglio di Stato della Repubblica e Cantone Ticino - </w:t>
      </w:r>
      <w:proofErr w:type="gramStart"/>
      <w:r w:rsidRPr="00465A74">
        <w:rPr>
          <w:rFonts w:ascii="Arial" w:hAnsi="Arial" w:cs="Arial"/>
          <w:sz w:val="20"/>
          <w:lang w:val="it-CH"/>
        </w:rPr>
        <w:t>Dicembre</w:t>
      </w:r>
      <w:proofErr w:type="gramEnd"/>
      <w:r w:rsidRPr="00465A74">
        <w:rPr>
          <w:rFonts w:ascii="Arial" w:hAnsi="Arial" w:cs="Arial"/>
          <w:sz w:val="20"/>
          <w:lang w:val="it-CH"/>
        </w:rPr>
        <w:t xml:space="preserve"> 2004. </w:t>
      </w:r>
    </w:p>
  </w:footnote>
  <w:footnote w:id="4">
    <w:p w:rsidR="00AE2F6F" w:rsidRPr="00F23786" w:rsidRDefault="00AE2F6F" w:rsidP="004E6E88">
      <w:pPr>
        <w:pStyle w:val="Testonotaapidipagina"/>
        <w:rPr>
          <w:rFonts w:ascii="Arial" w:hAnsi="Arial" w:cs="Arial"/>
          <w:sz w:val="20"/>
          <w:lang w:val="it-CH"/>
        </w:rPr>
      </w:pPr>
      <w:r w:rsidRPr="00F23786">
        <w:rPr>
          <w:rStyle w:val="Rimandonotaapidipagina"/>
          <w:rFonts w:cs="Arial"/>
          <w:sz w:val="20"/>
        </w:rPr>
        <w:footnoteRef/>
      </w:r>
      <w:r w:rsidRPr="00F23786">
        <w:rPr>
          <w:rFonts w:ascii="Arial" w:hAnsi="Arial" w:cs="Arial"/>
          <w:sz w:val="20"/>
          <w:lang w:val="it-CH"/>
        </w:rPr>
        <w:t xml:space="preserve"> </w:t>
      </w:r>
      <w:hyperlink r:id="rId3" w:history="1">
        <w:r w:rsidRPr="00F23786">
          <w:rPr>
            <w:rStyle w:val="Collegamentoipertestuale"/>
            <w:rFonts w:ascii="Arial" w:hAnsi="Arial" w:cs="Arial"/>
            <w:sz w:val="20"/>
            <w:lang w:val="it-CH"/>
          </w:rPr>
          <w:t>https://www.globalreporting.org/how-to-use-the-gri-standards/gri-standards-italian-translations/</w:t>
        </w:r>
      </w:hyperlink>
      <w:r w:rsidRPr="00F23786">
        <w:rPr>
          <w:rFonts w:ascii="Arial" w:hAnsi="Arial" w:cs="Arial"/>
          <w:sz w:val="20"/>
          <w:lang w:val="it-CH"/>
        </w:rPr>
        <w:t xml:space="preserve"> </w:t>
      </w:r>
    </w:p>
  </w:footnote>
  <w:footnote w:id="5">
    <w:p w:rsidR="00AE2F6F" w:rsidRPr="006C5F8D" w:rsidRDefault="00AE2F6F" w:rsidP="004E6E88">
      <w:pPr>
        <w:pStyle w:val="Testonotaapidipagina"/>
        <w:rPr>
          <w:lang w:val="it-CH"/>
        </w:rPr>
      </w:pPr>
      <w:r w:rsidRPr="00F23786">
        <w:rPr>
          <w:rStyle w:val="Rimandonotaapidipagina"/>
          <w:rFonts w:cs="Arial"/>
          <w:sz w:val="20"/>
        </w:rPr>
        <w:footnoteRef/>
      </w:r>
      <w:r w:rsidRPr="00F23786">
        <w:rPr>
          <w:rFonts w:ascii="Arial" w:hAnsi="Arial" w:cs="Arial"/>
          <w:sz w:val="20"/>
          <w:lang w:val="it-CH"/>
        </w:rPr>
        <w:t xml:space="preserve"> </w:t>
      </w:r>
      <w:hyperlink r:id="rId4" w:history="1">
        <w:r w:rsidRPr="00F23786">
          <w:rPr>
            <w:rStyle w:val="Collegamentoipertestuale"/>
            <w:rFonts w:ascii="Arial" w:hAnsi="Arial" w:cs="Arial"/>
            <w:sz w:val="20"/>
            <w:lang w:val="it-CH"/>
          </w:rPr>
          <w:t>https://www.fsb-tcfd.org/</w:t>
        </w:r>
      </w:hyperlink>
      <w:r w:rsidRPr="004E6E88">
        <w:rPr>
          <w:rFonts w:ascii="Arial" w:hAnsi="Arial" w:cs="Arial"/>
          <w:lang w:val="it-CH"/>
        </w:rPr>
        <w:t xml:space="preserve"> </w:t>
      </w:r>
    </w:p>
  </w:footnote>
  <w:footnote w:id="6">
    <w:p w:rsidR="00AE2F6F" w:rsidRPr="00F23786" w:rsidRDefault="00AE2F6F" w:rsidP="004E6E88">
      <w:pPr>
        <w:pStyle w:val="Testonotaapidipagina"/>
        <w:rPr>
          <w:sz w:val="20"/>
          <w:lang w:val="it-CH"/>
        </w:rPr>
      </w:pPr>
      <w:r w:rsidRPr="00F23786">
        <w:rPr>
          <w:rStyle w:val="Rimandonotaapidipagina"/>
          <w:sz w:val="20"/>
        </w:rPr>
        <w:footnoteRef/>
      </w:r>
      <w:r w:rsidRPr="00F23786">
        <w:rPr>
          <w:sz w:val="20"/>
          <w:lang w:val="it-CH"/>
        </w:rPr>
        <w:t xml:space="preserve"> La proprietà (Consiglio di Stato e Gran Consiglio); il regolatore (FINMA, BNS); il personale; la clientela; l'opinione pubblica; le associazioni di categoria, incluse quelle attive nelle tematiche dello sviluppo sostenibile; le associazioni culturali e sportive e altri enti presenti nella comunità in cui opera la Banca; l'Unione delle Banche Cantonali Svizzere (UBCS) e le singole banche cantonali; gli istituti universitari cantonali (USI, SUPSI); i fornitori; i concorrenti; i media. </w:t>
      </w:r>
    </w:p>
  </w:footnote>
  <w:footnote w:id="7">
    <w:p w:rsidR="00AE2F6F" w:rsidRPr="00940095" w:rsidRDefault="00AE2F6F" w:rsidP="004E6E88">
      <w:pPr>
        <w:pStyle w:val="Testonotaapidipagina"/>
        <w:rPr>
          <w:sz w:val="20"/>
          <w:lang w:val="it-CH"/>
        </w:rPr>
      </w:pPr>
      <w:r w:rsidRPr="00940095">
        <w:rPr>
          <w:rStyle w:val="Rimandonotaapidipagina"/>
          <w:sz w:val="20"/>
        </w:rPr>
        <w:footnoteRef/>
      </w:r>
      <w:r w:rsidRPr="00940095">
        <w:rPr>
          <w:sz w:val="20"/>
          <w:lang w:val="it-CH"/>
        </w:rPr>
        <w:t xml:space="preserve"> I criteri ESG costituiscono i tre pilastri dell'analisi non-finanziaria applicata nell'ambito dei cosiddetti investimenti responsabili (per i quali, oltre ai classici criteri di valutazione di un investimento, vengono presi in esame temi ambientali, sociali e di conduzione d’impresa o </w:t>
      </w:r>
      <w:proofErr w:type="spellStart"/>
      <w:r w:rsidRPr="00940095">
        <w:rPr>
          <w:sz w:val="20"/>
          <w:lang w:val="it-CH"/>
        </w:rPr>
        <w:t>governance</w:t>
      </w:r>
      <w:proofErr w:type="spellEnd"/>
      <w:r w:rsidRPr="00940095">
        <w:rPr>
          <w:sz w:val="20"/>
          <w:lang w:val="it-CH"/>
        </w:rPr>
        <w:t xml:space="preserve">, meglio conosciuti in inglese attraverso l'acronimo E, S, G. </w:t>
      </w:r>
    </w:p>
  </w:footnote>
  <w:footnote w:id="8">
    <w:p w:rsidR="00AE2F6F" w:rsidRPr="002F015F" w:rsidRDefault="00AE2F6F" w:rsidP="004E6E88">
      <w:pPr>
        <w:pStyle w:val="Testonotaapidipagina"/>
        <w:rPr>
          <w:lang w:val="it-CH"/>
        </w:rPr>
      </w:pPr>
      <w:r w:rsidRPr="00940095">
        <w:rPr>
          <w:rStyle w:val="Rimandonotaapidipagina"/>
          <w:sz w:val="20"/>
        </w:rPr>
        <w:footnoteRef/>
      </w:r>
      <w:r w:rsidRPr="00940095">
        <w:rPr>
          <w:sz w:val="20"/>
          <w:lang w:val="it-CH"/>
        </w:rPr>
        <w:t xml:space="preserve"> Per selezionare gli strumenti finanziari con rating sufficientemente elevati e in linea con la propria politica d’investimento ESG, il gruppo </w:t>
      </w:r>
      <w:proofErr w:type="spellStart"/>
      <w:r w:rsidRPr="00940095">
        <w:rPr>
          <w:sz w:val="20"/>
          <w:lang w:val="it-CH"/>
        </w:rPr>
        <w:t>BancaStato</w:t>
      </w:r>
      <w:proofErr w:type="spellEnd"/>
      <w:r w:rsidRPr="00940095">
        <w:rPr>
          <w:sz w:val="20"/>
          <w:lang w:val="it-CH"/>
        </w:rPr>
        <w:t xml:space="preserve"> fa riferimento ai servizi del provider esterno «Morgan Stanley Capital International (MSCI)».</w:t>
      </w:r>
      <w:r w:rsidRPr="004E6E88">
        <w:rPr>
          <w:lang w:val="it-CH"/>
        </w:rPr>
        <w:t xml:space="preserve"> </w:t>
      </w:r>
    </w:p>
  </w:footnote>
  <w:footnote w:id="9">
    <w:p w:rsidR="00AE2F6F" w:rsidRPr="00940095" w:rsidRDefault="00AE2F6F" w:rsidP="004E6E88">
      <w:pPr>
        <w:pStyle w:val="Testonotaapidipagina"/>
        <w:rPr>
          <w:sz w:val="20"/>
          <w:lang w:val="it-CH"/>
        </w:rPr>
      </w:pPr>
      <w:r w:rsidRPr="00940095">
        <w:rPr>
          <w:rStyle w:val="Rimandonotaapidipagina"/>
          <w:sz w:val="20"/>
        </w:rPr>
        <w:footnoteRef/>
      </w:r>
      <w:r w:rsidRPr="00940095">
        <w:rPr>
          <w:sz w:val="20"/>
          <w:lang w:val="it-CH"/>
        </w:rPr>
        <w:t xml:space="preserve"> Riprendiamo e sviluppiamo il tema nel capitolo 4.3.4 Offerta alla clientela di investimenti ecologici, pag. 34 e segg. del presente Rapporto.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AE2F6F" w:rsidRPr="002747E7" w:rsidTr="00AE2F6F">
      <w:trPr>
        <w:trHeight w:val="562"/>
      </w:trPr>
      <w:tc>
        <w:tcPr>
          <w:tcW w:w="8383" w:type="dxa"/>
          <w:tcBorders>
            <w:left w:val="single" w:sz="4" w:space="0" w:color="auto"/>
            <w:bottom w:val="single" w:sz="4" w:space="0" w:color="auto"/>
          </w:tcBorders>
          <w:tcMar>
            <w:left w:w="142" w:type="dxa"/>
          </w:tcMar>
          <w:vAlign w:val="bottom"/>
        </w:tcPr>
        <w:p w:rsidR="00AE2F6F" w:rsidRDefault="007A58E8" w:rsidP="00AE2F6F">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216097F-CF03-4800-8514-4DB9AD97B7B5}"/>
              <w:text w:multiLine="1"/>
            </w:sdtPr>
            <w:sdtEndPr/>
            <w:sdtContent>
              <w:r w:rsidR="00AE2F6F">
                <w:rPr>
                  <w:rFonts w:ascii="Gill Alt One MT Light" w:hAnsi="Gill Alt One MT Light"/>
                  <w:sz w:val="16"/>
                  <w:szCs w:val="16"/>
                </w:rPr>
                <w:t>Repubblica e Cantone Ticino</w:t>
              </w:r>
            </w:sdtContent>
          </w:sdt>
        </w:p>
        <w:p w:rsidR="00AE2F6F" w:rsidRPr="00E8185F" w:rsidRDefault="007A58E8" w:rsidP="00AE2F6F">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216097F-CF03-4800-8514-4DB9AD97B7B5}"/>
              <w:text w:multiLine="1"/>
            </w:sdtPr>
            <w:sdtEndPr/>
            <w:sdtContent>
              <w:r w:rsidR="00AE2F6F">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rsidR="00AE2F6F" w:rsidRPr="004204CB" w:rsidRDefault="00AE2F6F" w:rsidP="00AE2F6F">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65FBC">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65FBC">
            <w:rPr>
              <w:noProof/>
              <w:sz w:val="24"/>
            </w:rPr>
            <w:t>32</w:t>
          </w:r>
          <w:r w:rsidRPr="004204CB">
            <w:rPr>
              <w:noProof/>
              <w:sz w:val="24"/>
            </w:rPr>
            <w:fldChar w:fldCharType="end"/>
          </w:r>
        </w:p>
      </w:tc>
    </w:tr>
    <w:tr w:rsidR="00AE2F6F" w:rsidRPr="009E444B" w:rsidTr="00AE2F6F">
      <w:trPr>
        <w:trHeight w:val="334"/>
      </w:trPr>
      <w:sdt>
        <w:sdtPr>
          <w:rPr>
            <w:rFonts w:ascii="Gill Sans Display MT Pro BdCn" w:hAnsi="Gill Sans Display MT Pro BdCn"/>
            <w:sz w:val="18"/>
            <w:szCs w:val="18"/>
          </w:rPr>
          <w:alias w:val="CustomElements.Fields.Titolo2"/>
          <w:id w:val="48588533"/>
          <w:dataBinding w:xpath="//Text[@id='CustomElements.Fields.Titolo2']" w:storeItemID="{3216097F-CF03-4800-8514-4DB9AD97B7B5}"/>
          <w:text w:multiLine="1"/>
        </w:sdtPr>
        <w:sdtEndPr/>
        <w:sdtContent>
          <w:tc>
            <w:tcPr>
              <w:tcW w:w="8383" w:type="dxa"/>
              <w:tcBorders>
                <w:left w:val="single" w:sz="4" w:space="0" w:color="auto"/>
              </w:tcBorders>
              <w:tcMar>
                <w:top w:w="0" w:type="dxa"/>
                <w:left w:w="142" w:type="dxa"/>
              </w:tcMar>
            </w:tcPr>
            <w:p w:rsidR="00AE2F6F" w:rsidRPr="004E6E88" w:rsidRDefault="00AE2F6F" w:rsidP="00AE2F6F">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8567 R del 17 dicembre 2025</w:t>
              </w:r>
            </w:p>
          </w:tc>
        </w:sdtContent>
      </w:sdt>
      <w:tc>
        <w:tcPr>
          <w:tcW w:w="1710" w:type="dxa"/>
          <w:tcBorders>
            <w:top w:val="single" w:sz="4" w:space="0" w:color="auto"/>
          </w:tcBorders>
        </w:tcPr>
        <w:p w:rsidR="00AE2F6F" w:rsidRPr="004E6E88" w:rsidRDefault="00AE2F6F" w:rsidP="00AE2F6F">
          <w:pPr>
            <w:pStyle w:val="InvisibleLine"/>
            <w:rPr>
              <w:lang w:val="it-CH"/>
            </w:rPr>
          </w:pPr>
        </w:p>
      </w:tc>
    </w:tr>
  </w:tbl>
  <w:p w:rsidR="00AE2F6F" w:rsidRPr="00980362" w:rsidRDefault="00AE2F6F" w:rsidP="00AE2F6F">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216097F-CF03-4800-8514-4DB9AD97B7B5}"/>
                            <w:text w:multiLine="1"/>
                          </w:sdtPr>
                          <w:sdtEndPr/>
                          <w:sdtContent>
                            <w:p w:rsidR="00AE2F6F" w:rsidRPr="00411371" w:rsidRDefault="00AE2F6F" w:rsidP="00AE2F6F">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6418A05-424B-4420-A71D-E958277C004E}"/>
                      <w:text w:multiLine="1"/>
                    </w:sdtPr>
                    <w:sdtContent>
                      <w:p w:rsidR="00AE2F6F" w:rsidRPr="00411371" w:rsidRDefault="00AE2F6F" w:rsidP="00AE2F6F">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AE2F6F" w:rsidRPr="0004624C" w:rsidTr="00AE2F6F">
      <w:trPr>
        <w:trHeight w:hRule="exact" w:val="584"/>
      </w:trPr>
      <w:tc>
        <w:tcPr>
          <w:tcW w:w="2440" w:type="pct"/>
          <w:gridSpan w:val="3"/>
          <w:tcBorders>
            <w:top w:val="nil"/>
            <w:left w:val="nil"/>
            <w:bottom w:val="single" w:sz="4" w:space="0" w:color="auto"/>
          </w:tcBorders>
        </w:tcPr>
        <w:p w:rsidR="00AE2F6F" w:rsidRDefault="00AE2F6F" w:rsidP="00AE2F6F">
          <w:pPr>
            <w:pStyle w:val="InvisibleLine"/>
            <w:spacing w:line="240" w:lineRule="auto"/>
            <w:ind w:left="15"/>
            <w:rPr>
              <w:rFonts w:ascii="Gill Alt One MT Light" w:hAnsi="Gill Alt One MT Light"/>
              <w:sz w:val="16"/>
              <w:lang w:val="it-CH"/>
            </w:rPr>
          </w:pPr>
        </w:p>
        <w:p w:rsidR="00AE2F6F" w:rsidRDefault="00AE2F6F" w:rsidP="00AE2F6F">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AE2F6F" w:rsidRPr="008966E7" w:rsidRDefault="00AE2F6F" w:rsidP="00AE2F6F">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AE2F6F" w:rsidRPr="003108C0" w:rsidRDefault="00AE2F6F" w:rsidP="00AE2F6F">
          <w:pPr>
            <w:pStyle w:val="Level"/>
            <w:ind w:left="150"/>
            <w:rPr>
              <w:sz w:val="16"/>
            </w:rPr>
          </w:pPr>
        </w:p>
      </w:tc>
      <w:tc>
        <w:tcPr>
          <w:tcW w:w="209" w:type="pct"/>
          <w:tcBorders>
            <w:top w:val="nil"/>
            <w:bottom w:val="single" w:sz="4" w:space="0" w:color="auto"/>
          </w:tcBorders>
        </w:tcPr>
        <w:p w:rsidR="00AE2F6F" w:rsidRDefault="00AE2F6F" w:rsidP="00AE2F6F">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30090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AE2F6F" w:rsidRPr="004E6E88" w:rsidRDefault="00AE2F6F" w:rsidP="00AE2F6F">
          <w:pPr>
            <w:pStyle w:val="HeaderDecisione"/>
            <w:spacing w:after="60"/>
            <w:ind w:left="150"/>
            <w:jc w:val="right"/>
            <w:rPr>
              <w:rFonts w:ascii="Calibri" w:hAnsi="Calibri" w:cs="Calibri"/>
              <w:sz w:val="24"/>
            </w:rPr>
          </w:pPr>
          <w:r w:rsidRPr="004E6E88">
            <w:rPr>
              <w:rFonts w:ascii="Calibri" w:hAnsi="Calibri" w:cs="Calibri"/>
              <w:sz w:val="24"/>
            </w:rPr>
            <w:fldChar w:fldCharType="begin"/>
          </w:r>
          <w:r w:rsidRPr="004E6E88">
            <w:rPr>
              <w:rFonts w:ascii="Calibri" w:hAnsi="Calibri" w:cs="Calibri"/>
              <w:sz w:val="24"/>
            </w:rPr>
            <w:instrText xml:space="preserve"> PAGE   \* MERGEFORMAT </w:instrText>
          </w:r>
          <w:r w:rsidRPr="004E6E88">
            <w:rPr>
              <w:rFonts w:ascii="Calibri" w:hAnsi="Calibri" w:cs="Calibri"/>
              <w:sz w:val="24"/>
            </w:rPr>
            <w:fldChar w:fldCharType="separate"/>
          </w:r>
          <w:r w:rsidR="00865FBC">
            <w:rPr>
              <w:rFonts w:ascii="Calibri" w:hAnsi="Calibri" w:cs="Calibri"/>
              <w:noProof/>
              <w:sz w:val="24"/>
            </w:rPr>
            <w:t>1</w:t>
          </w:r>
          <w:r w:rsidRPr="004E6E88">
            <w:rPr>
              <w:rFonts w:ascii="Calibri" w:hAnsi="Calibri" w:cs="Calibri"/>
              <w:sz w:val="24"/>
            </w:rPr>
            <w:fldChar w:fldCharType="end"/>
          </w:r>
          <w:r w:rsidRPr="004E6E88">
            <w:rPr>
              <w:rFonts w:ascii="Calibri" w:hAnsi="Calibri" w:cs="Calibri"/>
              <w:sz w:val="24"/>
            </w:rPr>
            <w:t xml:space="preserve"> di </w:t>
          </w:r>
          <w:r w:rsidRPr="004E6E88">
            <w:rPr>
              <w:rFonts w:ascii="Calibri" w:hAnsi="Calibri" w:cs="Calibri"/>
              <w:sz w:val="24"/>
            </w:rPr>
            <w:fldChar w:fldCharType="begin"/>
          </w:r>
          <w:r w:rsidRPr="004E6E88">
            <w:rPr>
              <w:rFonts w:ascii="Calibri" w:hAnsi="Calibri" w:cs="Calibri"/>
              <w:sz w:val="24"/>
            </w:rPr>
            <w:instrText xml:space="preserve"> NUMPAGES   \* MERGEFORMAT </w:instrText>
          </w:r>
          <w:r w:rsidRPr="004E6E88">
            <w:rPr>
              <w:rFonts w:ascii="Calibri" w:hAnsi="Calibri" w:cs="Calibri"/>
              <w:sz w:val="24"/>
            </w:rPr>
            <w:fldChar w:fldCharType="separate"/>
          </w:r>
          <w:r w:rsidR="00865FBC">
            <w:rPr>
              <w:rFonts w:ascii="Calibri" w:hAnsi="Calibri" w:cs="Calibri"/>
              <w:noProof/>
              <w:sz w:val="24"/>
            </w:rPr>
            <w:t>32</w:t>
          </w:r>
          <w:r w:rsidRPr="004E6E88">
            <w:rPr>
              <w:rFonts w:ascii="Calibri" w:hAnsi="Calibri" w:cs="Calibri"/>
              <w:noProof/>
              <w:sz w:val="24"/>
            </w:rPr>
            <w:fldChar w:fldCharType="end"/>
          </w:r>
        </w:p>
      </w:tc>
    </w:tr>
    <w:tr w:rsidR="00AE2F6F" w:rsidRPr="0004624C" w:rsidTr="00AE2F6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216097F-CF03-4800-8514-4DB9AD97B7B5}"/>
          <w:text w:multiLine="1"/>
        </w:sdtPr>
        <w:sdtEndPr/>
        <w:sdtContent>
          <w:tc>
            <w:tcPr>
              <w:tcW w:w="5000" w:type="pct"/>
              <w:gridSpan w:val="6"/>
              <w:tcBorders>
                <w:left w:val="nil"/>
                <w:right w:val="nil"/>
              </w:tcBorders>
              <w:noWrap/>
              <w:tcMar>
                <w:top w:w="0" w:type="dxa"/>
              </w:tcMar>
              <w:vAlign w:val="bottom"/>
            </w:tcPr>
            <w:p w:rsidR="00AE2F6F" w:rsidRPr="008C03B5" w:rsidRDefault="00AE2F6F" w:rsidP="00AE2F6F">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AE2F6F" w:rsidRPr="0004624C" w:rsidTr="00AE2F6F">
      <w:trPr>
        <w:trHeight w:hRule="exact" w:val="306"/>
      </w:trPr>
      <w:tc>
        <w:tcPr>
          <w:tcW w:w="670" w:type="pct"/>
          <w:tcBorders>
            <w:left w:val="nil"/>
            <w:bottom w:val="nil"/>
          </w:tcBorders>
          <w:noWrap/>
          <w:tcMar>
            <w:top w:w="57" w:type="dxa"/>
            <w:left w:w="142" w:type="dxa"/>
          </w:tcMar>
        </w:tcPr>
        <w:p w:rsidR="00AE2F6F" w:rsidRPr="00C7320A" w:rsidRDefault="00AE2F6F" w:rsidP="00AE2F6F">
          <w:pPr>
            <w:pStyle w:val="Level"/>
            <w:spacing w:before="60"/>
            <w:rPr>
              <w:rFonts w:ascii="Gill Alt One MT Light" w:hAnsi="Gill Alt One MT Light"/>
              <w:sz w:val="16"/>
            </w:rPr>
          </w:pPr>
          <w:r w:rsidRPr="00C7320A">
            <w:rPr>
              <w:rFonts w:ascii="Gill Alt One MT Light" w:hAnsi="Gill Alt One MT Light"/>
              <w:sz w:val="16"/>
            </w:rPr>
            <w:t>numero</w:t>
          </w:r>
        </w:p>
        <w:p w:rsidR="00AE2F6F" w:rsidRPr="00C7320A" w:rsidRDefault="00AE2F6F" w:rsidP="00AE2F6F">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AE2F6F" w:rsidRPr="00C7320A" w:rsidRDefault="00AE2F6F" w:rsidP="00AE2F6F">
          <w:pPr>
            <w:pStyle w:val="Level"/>
            <w:spacing w:before="60"/>
            <w:rPr>
              <w:rFonts w:ascii="Gill Alt One MT Light" w:hAnsi="Gill Alt One MT Light"/>
              <w:sz w:val="16"/>
            </w:rPr>
          </w:pPr>
          <w:r w:rsidRPr="00C7320A">
            <w:rPr>
              <w:rFonts w:ascii="Gill Alt One MT Light" w:hAnsi="Gill Alt One MT Light"/>
              <w:sz w:val="16"/>
            </w:rPr>
            <w:t>data</w:t>
          </w:r>
        </w:p>
        <w:p w:rsidR="00AE2F6F" w:rsidRPr="00C7320A" w:rsidRDefault="00AE2F6F" w:rsidP="00AE2F6F">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AE2F6F" w:rsidRPr="00C7320A" w:rsidRDefault="00AE2F6F" w:rsidP="00AE2F6F">
          <w:pPr>
            <w:pStyle w:val="Level"/>
            <w:spacing w:before="60"/>
            <w:rPr>
              <w:rFonts w:ascii="Gill Alt One MT Light" w:hAnsi="Gill Alt One MT Light"/>
              <w:sz w:val="16"/>
            </w:rPr>
          </w:pPr>
          <w:r>
            <w:rPr>
              <w:rFonts w:ascii="Gill Alt One MT Light" w:hAnsi="Gill Alt One MT Light"/>
              <w:sz w:val="16"/>
            </w:rPr>
            <w:t>competenza</w:t>
          </w:r>
        </w:p>
        <w:p w:rsidR="00AE2F6F" w:rsidRPr="008C03B5" w:rsidRDefault="00AE2F6F" w:rsidP="00AE2F6F">
          <w:pPr>
            <w:pStyle w:val="Level"/>
            <w:spacing w:before="60" w:line="240" w:lineRule="auto"/>
            <w:rPr>
              <w:rFonts w:ascii="Gill Alt One MT Light" w:hAnsi="Gill Alt One MT Light"/>
              <w:sz w:val="16"/>
            </w:rPr>
          </w:pPr>
        </w:p>
      </w:tc>
    </w:tr>
    <w:tr w:rsidR="00AE2F6F" w:rsidRPr="0004624C" w:rsidTr="00AE2F6F">
      <w:trPr>
        <w:trHeight w:hRule="exact" w:val="699"/>
      </w:trPr>
      <w:tc>
        <w:tcPr>
          <w:tcW w:w="670" w:type="pct"/>
          <w:tcBorders>
            <w:top w:val="nil"/>
            <w:left w:val="nil"/>
            <w:bottom w:val="single" w:sz="4" w:space="0" w:color="auto"/>
            <w:right w:val="nil"/>
          </w:tcBorders>
          <w:noWrap/>
          <w:tcMar>
            <w:top w:w="0" w:type="dxa"/>
          </w:tcMar>
        </w:tcPr>
        <w:p w:rsidR="00AE2F6F" w:rsidRPr="004E6E88" w:rsidRDefault="007A58E8" w:rsidP="00AE2F6F">
          <w:pPr>
            <w:pStyle w:val="InvisibleLine"/>
            <w:spacing w:line="280" w:lineRule="exact"/>
            <w:rPr>
              <w:rFonts w:cs="Calibri"/>
              <w:b/>
              <w:sz w:val="24"/>
              <w:szCs w:val="24"/>
            </w:rPr>
          </w:pPr>
          <w:sdt>
            <w:sdtPr>
              <w:rPr>
                <w:rFonts w:cs="Calibri"/>
                <w:b/>
                <w:sz w:val="24"/>
                <w:szCs w:val="24"/>
              </w:rPr>
              <w:alias w:val="DocParam.Number"/>
              <w:id w:val="614175640"/>
              <w:dataBinding w:xpath="//Text[@id='DocParam.Number']" w:storeItemID="{3216097F-CF03-4800-8514-4DB9AD97B7B5}"/>
              <w:text w:multiLine="1"/>
            </w:sdtPr>
            <w:sdtEndPr>
              <w:rPr>
                <w:rFonts w:cstheme="minorBidi"/>
              </w:rPr>
            </w:sdtEndPr>
            <w:sdtContent>
              <w:r w:rsidR="00AE2F6F" w:rsidRPr="004E6E88">
                <w:rPr>
                  <w:b/>
                  <w:sz w:val="24"/>
                  <w:szCs w:val="24"/>
                </w:rPr>
                <w:t>8567 R</w:t>
              </w:r>
            </w:sdtContent>
          </w:sdt>
        </w:p>
      </w:tc>
      <w:sdt>
        <w:sdtPr>
          <w:rPr>
            <w:sz w:val="24"/>
          </w:rPr>
          <w:alias w:val="DocParam.Date"/>
          <w:id w:val="-464426178"/>
          <w:dataBinding w:xpath="//DateTime[@id='DocParam.Date']" w:storeItemID="{3216097F-CF03-4800-8514-4DB9AD97B7B5}"/>
          <w:date w:fullDate="2025-12-1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AE2F6F" w:rsidRPr="002A0371" w:rsidRDefault="00AE2F6F" w:rsidP="00AE2F6F">
              <w:pPr>
                <w:pStyle w:val="Data"/>
              </w:pPr>
              <w:r>
                <w:rPr>
                  <w:sz w:val="24"/>
                </w:rPr>
                <w:t>17 dicembre 2025</w:t>
              </w:r>
            </w:p>
          </w:tc>
        </w:sdtContent>
      </w:sdt>
      <w:tc>
        <w:tcPr>
          <w:tcW w:w="3218" w:type="pct"/>
          <w:gridSpan w:val="4"/>
          <w:tcBorders>
            <w:top w:val="nil"/>
            <w:left w:val="nil"/>
            <w:bottom w:val="nil"/>
            <w:right w:val="nil"/>
          </w:tcBorders>
        </w:tcPr>
        <w:p w:rsidR="00AE2F6F" w:rsidRPr="004E6E88" w:rsidRDefault="007A58E8" w:rsidP="00AE2F6F">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3216097F-CF03-4800-8514-4DB9AD97B7B5}"/>
              <w:text w:multiLine="1"/>
            </w:sdtPr>
            <w:sdtEndPr/>
            <w:sdtContent>
              <w:r w:rsidR="00AE2F6F">
                <w:rPr>
                  <w:smallCaps/>
                  <w:sz w:val="23"/>
                  <w:szCs w:val="23"/>
                </w:rPr>
                <w:t>Dipartimento delle finanze e dell’economia</w:t>
              </w:r>
            </w:sdtContent>
          </w:sdt>
        </w:p>
      </w:tc>
    </w:tr>
    <w:tr w:rsidR="00AE2F6F" w:rsidRPr="00C63927" w:rsidTr="00AE2F6F">
      <w:trPr>
        <w:trHeight w:hRule="exact" w:val="198"/>
      </w:trPr>
      <w:tc>
        <w:tcPr>
          <w:tcW w:w="5000" w:type="pct"/>
          <w:gridSpan w:val="6"/>
          <w:tcBorders>
            <w:left w:val="nil"/>
            <w:bottom w:val="nil"/>
            <w:right w:val="nil"/>
          </w:tcBorders>
          <w:noWrap/>
          <w:tcMar>
            <w:top w:w="57" w:type="dxa"/>
            <w:left w:w="85" w:type="dxa"/>
            <w:bottom w:w="170" w:type="dxa"/>
          </w:tcMar>
        </w:tcPr>
        <w:p w:rsidR="00AE2F6F" w:rsidRPr="00C7320A" w:rsidRDefault="00AE2F6F" w:rsidP="00AE2F6F">
          <w:pPr>
            <w:pStyle w:val="Level"/>
            <w:ind w:left="150"/>
            <w:rPr>
              <w:rFonts w:ascii="Gill Alt One MT Light" w:hAnsi="Gill Alt One MT Light"/>
              <w:sz w:val="16"/>
              <w:szCs w:val="16"/>
            </w:rPr>
          </w:pPr>
        </w:p>
      </w:tc>
    </w:tr>
  </w:tbl>
  <w:p w:rsidR="00AE2F6F" w:rsidRPr="00DA2879" w:rsidRDefault="00AE2F6F" w:rsidP="00AE2F6F">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29118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216097F-CF03-4800-8514-4DB9AD97B7B5}"/>
                            <w:text w:multiLine="1"/>
                          </w:sdtPr>
                          <w:sdtEndPr/>
                          <w:sdtContent>
                            <w:p w:rsidR="00AE2F6F" w:rsidRPr="00411371" w:rsidRDefault="00AE2F6F" w:rsidP="00AE2F6F">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6418A05-424B-4420-A71D-E958277C004E}"/>
                      <w:text w:multiLine="1"/>
                    </w:sdtPr>
                    <w:sdtContent>
                      <w:p w:rsidR="00AE2F6F" w:rsidRPr="00411371" w:rsidRDefault="00AE2F6F" w:rsidP="00AE2F6F">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34D7D"/>
    <w:multiLevelType w:val="multilevel"/>
    <w:tmpl w:val="FE54A2F2"/>
    <w:styleLink w:val="WWNum37"/>
    <w:lvl w:ilvl="0">
      <w:numFmt w:val="bullet"/>
      <w:lvlText w:val=""/>
      <w:lvlJc w:val="left"/>
      <w:pPr>
        <w:ind w:left="502"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A445364"/>
    <w:multiLevelType w:val="multilevel"/>
    <w:tmpl w:val="B23AE73C"/>
    <w:styleLink w:val="WWNum41"/>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E8505D1"/>
    <w:multiLevelType w:val="hybridMultilevel"/>
    <w:tmpl w:val="350A1A8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3DB523D"/>
    <w:multiLevelType w:val="hybridMultilevel"/>
    <w:tmpl w:val="6BB0C390"/>
    <w:lvl w:ilvl="0" w:tplc="0810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26094F67"/>
    <w:multiLevelType w:val="multilevel"/>
    <w:tmpl w:val="E2985E1A"/>
    <w:styleLink w:val="WWNum3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37835B52"/>
    <w:multiLevelType w:val="hybridMultilevel"/>
    <w:tmpl w:val="3E2801B2"/>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2D0C8EFA">
      <w:start w:val="1"/>
      <w:numFmt w:val="bullet"/>
      <w:lvlText w:val="-"/>
      <w:lvlJc w:val="left"/>
      <w:pPr>
        <w:ind w:left="2160" w:hanging="360"/>
      </w:pPr>
      <w:rPr>
        <w:rFonts w:ascii="Arial" w:hAnsi="Arial"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3A7C75B3"/>
    <w:multiLevelType w:val="hybridMultilevel"/>
    <w:tmpl w:val="E6ACFDBC"/>
    <w:lvl w:ilvl="0" w:tplc="08100005">
      <w:start w:val="1"/>
      <w:numFmt w:val="bullet"/>
      <w:lvlText w:val=""/>
      <w:lvlJc w:val="left"/>
      <w:pPr>
        <w:ind w:left="720" w:hanging="360"/>
      </w:pPr>
      <w:rPr>
        <w:rFonts w:ascii="Wingdings" w:hAnsi="Wingdings" w:hint="default"/>
      </w:rPr>
    </w:lvl>
    <w:lvl w:ilvl="1" w:tplc="5CC69EBC">
      <w:numFmt w:val="bullet"/>
      <w:lvlText w:val="•"/>
      <w:lvlJc w:val="left"/>
      <w:pPr>
        <w:ind w:left="1440" w:hanging="360"/>
      </w:pPr>
      <w:rPr>
        <w:rFonts w:ascii="Arial" w:eastAsia="Times New Roman" w:hAnsi="Arial" w:cs="Arial" w:hint="default"/>
      </w:rPr>
    </w:lvl>
    <w:lvl w:ilvl="2" w:tplc="E1063392">
      <w:start w:val="11"/>
      <w:numFmt w:val="bullet"/>
      <w:lvlText w:val="–"/>
      <w:lvlJc w:val="left"/>
      <w:pPr>
        <w:ind w:left="2160" w:hanging="360"/>
      </w:pPr>
      <w:rPr>
        <w:rFonts w:ascii="Arial" w:eastAsia="Times New Roman" w:hAnsi="Arial" w:cs="Arial"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3B5D0C67"/>
    <w:multiLevelType w:val="hybridMultilevel"/>
    <w:tmpl w:val="151E65FC"/>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3D5A55FB"/>
    <w:multiLevelType w:val="hybridMultilevel"/>
    <w:tmpl w:val="72C8E7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024549E"/>
    <w:multiLevelType w:val="hybridMultilevel"/>
    <w:tmpl w:val="DC1E27A8"/>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436F2E10"/>
    <w:multiLevelType w:val="hybridMultilevel"/>
    <w:tmpl w:val="D0AE3890"/>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2D0C8EFA">
      <w:start w:val="1"/>
      <w:numFmt w:val="bullet"/>
      <w:lvlText w:val="-"/>
      <w:lvlJc w:val="left"/>
      <w:pPr>
        <w:ind w:left="2160" w:hanging="360"/>
      </w:pPr>
      <w:rPr>
        <w:rFonts w:ascii="Arial" w:hAnsi="Arial"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7" w15:restartNumberingAfterBreak="0">
    <w:nsid w:val="49D524CC"/>
    <w:multiLevelType w:val="multilevel"/>
    <w:tmpl w:val="953CA1B2"/>
    <w:numStyleLink w:val="HeadingList"/>
  </w:abstractNum>
  <w:abstractNum w:abstractNumId="28" w15:restartNumberingAfterBreak="0">
    <w:nsid w:val="4C7D142B"/>
    <w:multiLevelType w:val="multilevel"/>
    <w:tmpl w:val="D98C8176"/>
    <w:styleLink w:val="WWNum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51823851"/>
    <w:multiLevelType w:val="hybridMultilevel"/>
    <w:tmpl w:val="83B4F448"/>
    <w:lvl w:ilvl="0" w:tplc="08100005">
      <w:start w:val="1"/>
      <w:numFmt w:val="bullet"/>
      <w:lvlText w:val=""/>
      <w:lvlJc w:val="left"/>
      <w:pPr>
        <w:ind w:left="720" w:hanging="360"/>
      </w:pPr>
      <w:rPr>
        <w:rFonts w:ascii="Wingdings" w:hAnsi="Wingdings" w:hint="default"/>
      </w:rPr>
    </w:lvl>
    <w:lvl w:ilvl="1" w:tplc="08100005">
      <w:start w:val="1"/>
      <w:numFmt w:val="bullet"/>
      <w:lvlText w:val=""/>
      <w:lvlJc w:val="left"/>
      <w:pPr>
        <w:ind w:left="1440" w:hanging="360"/>
      </w:pPr>
      <w:rPr>
        <w:rFonts w:ascii="Wingdings" w:hAnsi="Wingdings"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572B4CCD"/>
    <w:multiLevelType w:val="hybridMultilevel"/>
    <w:tmpl w:val="53BCCE9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15:restartNumberingAfterBreak="0">
    <w:nsid w:val="577E3CAC"/>
    <w:multiLevelType w:val="multilevel"/>
    <w:tmpl w:val="ABCEA5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58910E86"/>
    <w:multiLevelType w:val="hybridMultilevel"/>
    <w:tmpl w:val="A9C0AD44"/>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3" w15:restartNumberingAfterBreak="0">
    <w:nsid w:val="58BF4FAC"/>
    <w:multiLevelType w:val="hybridMultilevel"/>
    <w:tmpl w:val="9B741C3C"/>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2D0C8EFA">
      <w:start w:val="1"/>
      <w:numFmt w:val="bullet"/>
      <w:lvlText w:val="-"/>
      <w:lvlJc w:val="left"/>
      <w:pPr>
        <w:ind w:left="2160" w:hanging="360"/>
      </w:pPr>
      <w:rPr>
        <w:rFonts w:ascii="Arial" w:hAnsi="Arial"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5AE95565"/>
    <w:multiLevelType w:val="hybridMultilevel"/>
    <w:tmpl w:val="B32886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EE1621B"/>
    <w:multiLevelType w:val="hybridMultilevel"/>
    <w:tmpl w:val="165C3E30"/>
    <w:lvl w:ilvl="0" w:tplc="08100015">
      <w:start w:val="1"/>
      <w:numFmt w:val="upp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num w:numId="1">
    <w:abstractNumId w:val="13"/>
  </w:num>
  <w:num w:numId="2">
    <w:abstractNumId w:val="27"/>
    <w:lvlOverride w:ilvl="0">
      <w:lvl w:ilvl="0">
        <w:start w:val="1"/>
        <w:numFmt w:val="decimal"/>
        <w:lvlText w:val="%1"/>
        <w:lvlJc w:val="left"/>
        <w:pPr>
          <w:ind w:left="363" w:hanging="363"/>
        </w:pPr>
        <w:rPr>
          <w:rFonts w:ascii="Arial" w:hAnsi="Arial" w:cs="Arial" w:hint="default"/>
        </w:rPr>
      </w:lvl>
    </w:lvlOverride>
  </w:num>
  <w:num w:numId="3">
    <w:abstractNumId w:val="11"/>
  </w:num>
  <w:num w:numId="4">
    <w:abstractNumId w:val="26"/>
  </w:num>
  <w:num w:numId="5">
    <w:abstractNumId w:val="19"/>
  </w:num>
  <w:num w:numId="6">
    <w:abstractNumId w:val="15"/>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28"/>
  </w:num>
  <w:num w:numId="20">
    <w:abstractNumId w:val="10"/>
  </w:num>
  <w:num w:numId="21">
    <w:abstractNumId w:val="12"/>
  </w:num>
  <w:num w:numId="22">
    <w:abstractNumId w:val="28"/>
    <w:lvlOverride w:ilvl="0">
      <w:startOverride w:val="1"/>
    </w:lvlOverride>
  </w:num>
  <w:num w:numId="23">
    <w:abstractNumId w:val="32"/>
  </w:num>
  <w:num w:numId="24">
    <w:abstractNumId w:val="35"/>
  </w:num>
  <w:num w:numId="25">
    <w:abstractNumId w:val="34"/>
  </w:num>
  <w:num w:numId="26">
    <w:abstractNumId w:val="23"/>
  </w:num>
  <w:num w:numId="27">
    <w:abstractNumId w:val="21"/>
  </w:num>
  <w:num w:numId="28">
    <w:abstractNumId w:val="16"/>
  </w:num>
  <w:num w:numId="29">
    <w:abstractNumId w:val="29"/>
  </w:num>
  <w:num w:numId="30">
    <w:abstractNumId w:val="31"/>
  </w:num>
  <w:num w:numId="31">
    <w:abstractNumId w:val="30"/>
  </w:num>
  <w:num w:numId="32">
    <w:abstractNumId w:val="14"/>
  </w:num>
  <w:num w:numId="33">
    <w:abstractNumId w:val="22"/>
  </w:num>
  <w:num w:numId="34">
    <w:abstractNumId w:val="20"/>
  </w:num>
  <w:num w:numId="35">
    <w:abstractNumId w:val="25"/>
  </w:num>
  <w:num w:numId="36">
    <w:abstractNumId w:val="24"/>
  </w:num>
  <w:num w:numId="37">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E88"/>
    <w:rsid w:val="00053EEE"/>
    <w:rsid w:val="00102C87"/>
    <w:rsid w:val="00171046"/>
    <w:rsid w:val="0025718F"/>
    <w:rsid w:val="002B5D9F"/>
    <w:rsid w:val="002C490C"/>
    <w:rsid w:val="00366305"/>
    <w:rsid w:val="003B756D"/>
    <w:rsid w:val="00403ADB"/>
    <w:rsid w:val="00413674"/>
    <w:rsid w:val="00465A74"/>
    <w:rsid w:val="004B4F00"/>
    <w:rsid w:val="004E1821"/>
    <w:rsid w:val="004E6E88"/>
    <w:rsid w:val="00572FD3"/>
    <w:rsid w:val="006170BC"/>
    <w:rsid w:val="00656AF1"/>
    <w:rsid w:val="00680EAA"/>
    <w:rsid w:val="006831DC"/>
    <w:rsid w:val="006B0F23"/>
    <w:rsid w:val="006E0B85"/>
    <w:rsid w:val="007233A0"/>
    <w:rsid w:val="00784E3D"/>
    <w:rsid w:val="007A39CE"/>
    <w:rsid w:val="007A58E8"/>
    <w:rsid w:val="007C4FF7"/>
    <w:rsid w:val="008213BE"/>
    <w:rsid w:val="00850507"/>
    <w:rsid w:val="00865FBC"/>
    <w:rsid w:val="008720C4"/>
    <w:rsid w:val="008C0D08"/>
    <w:rsid w:val="008F52AF"/>
    <w:rsid w:val="00930275"/>
    <w:rsid w:val="00940095"/>
    <w:rsid w:val="009C5E5A"/>
    <w:rsid w:val="00A5431B"/>
    <w:rsid w:val="00AE2F6F"/>
    <w:rsid w:val="00AF0268"/>
    <w:rsid w:val="00B11E70"/>
    <w:rsid w:val="00B2392B"/>
    <w:rsid w:val="00B85618"/>
    <w:rsid w:val="00BE4D6C"/>
    <w:rsid w:val="00BF0A1F"/>
    <w:rsid w:val="00C01819"/>
    <w:rsid w:val="00C02DB5"/>
    <w:rsid w:val="00C245D8"/>
    <w:rsid w:val="00C57F02"/>
    <w:rsid w:val="00C740EA"/>
    <w:rsid w:val="00C9581B"/>
    <w:rsid w:val="00CA1D56"/>
    <w:rsid w:val="00CD0BB6"/>
    <w:rsid w:val="00D07974"/>
    <w:rsid w:val="00D25517"/>
    <w:rsid w:val="00D33940"/>
    <w:rsid w:val="00D3735A"/>
    <w:rsid w:val="00D600FD"/>
    <w:rsid w:val="00D604DA"/>
    <w:rsid w:val="00D649A8"/>
    <w:rsid w:val="00D819AA"/>
    <w:rsid w:val="00E345C0"/>
    <w:rsid w:val="00E347A6"/>
    <w:rsid w:val="00EB088A"/>
    <w:rsid w:val="00F23786"/>
    <w:rsid w:val="00F657BF"/>
    <w:rsid w:val="00FB4AA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EB49B4A-43C4-4EE3-98D3-037126067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nhideWhenUsed/>
    <w:rsid w:val="00442590"/>
    <w:pPr>
      <w:spacing w:before="0" w:after="80"/>
    </w:pPr>
    <w:rPr>
      <w:b w:val="0"/>
    </w:rPr>
  </w:style>
  <w:style w:type="paragraph" w:styleId="Sommario3">
    <w:name w:val="toc 3"/>
    <w:aliases w:val="NotYetCustomized1834"/>
    <w:basedOn w:val="Sommario2"/>
    <w:next w:val="Normale"/>
    <w:autoRedefine/>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numbering" w:customStyle="1" w:styleId="Nessunelenco1">
    <w:name w:val="Nessun elenco1"/>
    <w:next w:val="Nessunelenco"/>
    <w:uiPriority w:val="99"/>
    <w:semiHidden/>
    <w:unhideWhenUsed/>
    <w:rsid w:val="004E6E88"/>
  </w:style>
  <w:style w:type="paragraph" w:customStyle="1" w:styleId="Corpotesto1">
    <w:name w:val="Corpo testo1"/>
    <w:basedOn w:val="Normale"/>
    <w:link w:val="CorpotestoCarattere"/>
    <w:rsid w:val="004E6E88"/>
    <w:rPr>
      <w:rFonts w:ascii="Arial Narrow" w:eastAsia="Times New Roman" w:hAnsi="Arial Narrow" w:cs="Times New Roman"/>
      <w:sz w:val="24"/>
      <w:szCs w:val="20"/>
      <w:lang w:val="it-IT" w:eastAsia="it-IT"/>
    </w:rPr>
  </w:style>
  <w:style w:type="paragraph" w:customStyle="1" w:styleId="Capoverso">
    <w:name w:val="Capoverso"/>
    <w:basedOn w:val="Normale"/>
    <w:rsid w:val="004E6E88"/>
    <w:pPr>
      <w:spacing w:before="120"/>
    </w:pPr>
    <w:rPr>
      <w:rFonts w:ascii="Helvetica" w:eastAsia="Times New Roman" w:hAnsi="Helvetica" w:cs="Times New Roman"/>
      <w:sz w:val="24"/>
      <w:szCs w:val="20"/>
      <w:lang w:val="it-IT" w:eastAsia="it-IT"/>
    </w:rPr>
  </w:style>
  <w:style w:type="paragraph" w:customStyle="1" w:styleId="Tabella">
    <w:name w:val="Tabella"/>
    <w:basedOn w:val="Normale"/>
    <w:rsid w:val="004E6E88"/>
    <w:pPr>
      <w:tabs>
        <w:tab w:val="right" w:pos="4536"/>
        <w:tab w:val="right" w:pos="6237"/>
        <w:tab w:val="right" w:pos="7938"/>
      </w:tabs>
      <w:spacing w:before="80"/>
      <w:ind w:left="284" w:hanging="284"/>
    </w:pPr>
    <w:rPr>
      <w:rFonts w:ascii="Helvetica" w:eastAsia="Times New Roman" w:hAnsi="Helvetica" w:cs="Times New Roman"/>
      <w:sz w:val="24"/>
      <w:szCs w:val="20"/>
      <w:lang w:val="it-IT" w:eastAsia="it-IT"/>
    </w:rPr>
  </w:style>
  <w:style w:type="paragraph" w:customStyle="1" w:styleId="Figuralegenda">
    <w:name w:val="Figura legenda"/>
    <w:basedOn w:val="Normale"/>
    <w:rsid w:val="004E6E88"/>
    <w:pPr>
      <w:spacing w:before="120" w:after="120"/>
      <w:ind w:left="1123" w:hanging="1123"/>
      <w:jc w:val="left"/>
    </w:pPr>
    <w:rPr>
      <w:rFonts w:ascii="Helvetica" w:eastAsia="Times New Roman" w:hAnsi="Helvetica" w:cs="Times New Roman"/>
      <w:sz w:val="20"/>
      <w:szCs w:val="20"/>
      <w:lang w:val="it-IT" w:eastAsia="it-IT"/>
    </w:rPr>
  </w:style>
  <w:style w:type="paragraph" w:styleId="NormaleWeb">
    <w:name w:val="Normal (Web)"/>
    <w:basedOn w:val="Normale"/>
    <w:rsid w:val="004E6E88"/>
    <w:pPr>
      <w:spacing w:before="100" w:beforeAutospacing="1" w:after="100" w:afterAutospacing="1"/>
      <w:jc w:val="left"/>
    </w:pPr>
    <w:rPr>
      <w:rFonts w:ascii="Times New Roman" w:eastAsia="Times New Roman" w:hAnsi="Times New Roman" w:cs="Times New Roman"/>
      <w:sz w:val="24"/>
      <w:szCs w:val="24"/>
      <w:lang w:eastAsia="it-CH"/>
    </w:rPr>
  </w:style>
  <w:style w:type="paragraph" w:styleId="Sommario5">
    <w:name w:val="toc 5"/>
    <w:basedOn w:val="Normale"/>
    <w:next w:val="Normale"/>
    <w:autoRedefine/>
    <w:semiHidden/>
    <w:rsid w:val="004E6E88"/>
    <w:pPr>
      <w:tabs>
        <w:tab w:val="left" w:pos="709"/>
        <w:tab w:val="right" w:leader="dot" w:pos="9639"/>
      </w:tabs>
      <w:spacing w:before="40"/>
    </w:pPr>
    <w:rPr>
      <w:rFonts w:eastAsia="Times New Roman" w:cs="Times New Roman"/>
      <w:lang w:val="it-IT" w:eastAsia="it-IT"/>
    </w:rPr>
  </w:style>
  <w:style w:type="paragraph" w:styleId="Testofumetto">
    <w:name w:val="Balloon Text"/>
    <w:basedOn w:val="Normale"/>
    <w:link w:val="TestofumettoCarattere"/>
    <w:semiHidden/>
    <w:rsid w:val="004E6E88"/>
    <w:rPr>
      <w:rFonts w:ascii="Tahoma" w:eastAsia="Times New Roman" w:hAnsi="Tahoma" w:cs="Tahoma"/>
      <w:sz w:val="16"/>
      <w:szCs w:val="16"/>
      <w:lang w:val="it-IT" w:eastAsia="it-IT"/>
    </w:rPr>
  </w:style>
  <w:style w:type="character" w:customStyle="1" w:styleId="TestofumettoCarattere">
    <w:name w:val="Testo fumetto Carattere"/>
    <w:basedOn w:val="Carpredefinitoparagrafo"/>
    <w:link w:val="Testofumetto"/>
    <w:semiHidden/>
    <w:rsid w:val="004E6E88"/>
    <w:rPr>
      <w:rFonts w:ascii="Tahoma" w:eastAsia="Times New Roman" w:hAnsi="Tahoma" w:cs="Tahoma"/>
      <w:sz w:val="16"/>
      <w:szCs w:val="16"/>
      <w:lang w:val="it-IT" w:eastAsia="it-IT"/>
    </w:rPr>
  </w:style>
  <w:style w:type="character" w:styleId="Collegamentoipertestuale">
    <w:name w:val="Hyperlink"/>
    <w:rsid w:val="004E6E88"/>
    <w:rPr>
      <w:color w:val="0000FF"/>
      <w:u w:val="single"/>
    </w:rPr>
  </w:style>
  <w:style w:type="character" w:customStyle="1" w:styleId="esp">
    <w:name w:val="esp"/>
    <w:rsid w:val="004E6E88"/>
    <w:rPr>
      <w:rFonts w:ascii="Times" w:hAnsi="Times" w:cs="Times" w:hint="default"/>
      <w:spacing w:val="0"/>
      <w:kern w:val="0"/>
      <w:position w:val="4"/>
      <w:sz w:val="10"/>
      <w:vertAlign w:val="baseline"/>
    </w:rPr>
  </w:style>
  <w:style w:type="paragraph" w:customStyle="1" w:styleId="Art">
    <w:name w:val="Art"/>
    <w:rsid w:val="004E6E88"/>
    <w:pPr>
      <w:tabs>
        <w:tab w:val="left" w:pos="1701"/>
      </w:tabs>
      <w:ind w:left="720" w:right="187"/>
    </w:pPr>
    <w:rPr>
      <w:rFonts w:ascii="Arial" w:eastAsia="Times New Roman" w:hAnsi="Arial" w:cs="Times New Roman"/>
      <w:noProof/>
      <w:sz w:val="20"/>
      <w:szCs w:val="20"/>
      <w:lang w:val="it-IT" w:eastAsia="it-IT"/>
    </w:rPr>
  </w:style>
  <w:style w:type="paragraph" w:customStyle="1" w:styleId="Lettere">
    <w:name w:val="Lettere"/>
    <w:basedOn w:val="Art"/>
    <w:next w:val="Art"/>
    <w:rsid w:val="004E6E88"/>
    <w:pPr>
      <w:tabs>
        <w:tab w:val="left" w:pos="1134"/>
      </w:tabs>
      <w:ind w:left="1134" w:hanging="414"/>
    </w:pPr>
  </w:style>
  <w:style w:type="paragraph" w:styleId="Corpodeltesto2">
    <w:name w:val="Body Text 2"/>
    <w:basedOn w:val="Normale"/>
    <w:link w:val="Corpodeltesto2Carattere"/>
    <w:rsid w:val="004E6E88"/>
    <w:pPr>
      <w:spacing w:after="120" w:line="480" w:lineRule="auto"/>
    </w:pPr>
    <w:rPr>
      <w:rFonts w:eastAsia="Times New Roman" w:cs="Times New Roman"/>
      <w:sz w:val="24"/>
      <w:szCs w:val="20"/>
      <w:lang w:val="it-IT" w:eastAsia="it-IT"/>
    </w:rPr>
  </w:style>
  <w:style w:type="character" w:customStyle="1" w:styleId="Corpodeltesto2Carattere">
    <w:name w:val="Corpo del testo 2 Carattere"/>
    <w:basedOn w:val="Carpredefinitoparagrafo"/>
    <w:link w:val="Corpodeltesto2"/>
    <w:rsid w:val="004E6E88"/>
    <w:rPr>
      <w:rFonts w:ascii="Arial" w:eastAsia="Times New Roman" w:hAnsi="Arial" w:cs="Times New Roman"/>
      <w:sz w:val="24"/>
      <w:szCs w:val="20"/>
      <w:lang w:val="it-IT" w:eastAsia="it-IT"/>
    </w:rPr>
  </w:style>
  <w:style w:type="table" w:styleId="Grigliatabella">
    <w:name w:val="Table Grid"/>
    <w:basedOn w:val="Tabellanormale"/>
    <w:rsid w:val="004E6E88"/>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qFormat/>
    <w:rsid w:val="004E6E88"/>
    <w:pPr>
      <w:ind w:left="708"/>
      <w:jc w:val="left"/>
    </w:pPr>
    <w:rPr>
      <w:rFonts w:ascii="Times New Roman" w:eastAsia="Times New Roman" w:hAnsi="Times New Roman" w:cs="Times New Roman"/>
      <w:sz w:val="24"/>
      <w:szCs w:val="24"/>
      <w:lang w:val="it-IT" w:eastAsia="it-IT"/>
    </w:rPr>
  </w:style>
  <w:style w:type="character" w:customStyle="1" w:styleId="CorpotestoCarattere">
    <w:name w:val="Corpo testo Carattere"/>
    <w:link w:val="Corpotesto1"/>
    <w:rsid w:val="004E6E88"/>
    <w:rPr>
      <w:rFonts w:ascii="Arial Narrow" w:eastAsia="Times New Roman" w:hAnsi="Arial Narrow" w:cs="Times New Roman"/>
      <w:sz w:val="24"/>
      <w:szCs w:val="20"/>
      <w:lang w:val="it-IT" w:eastAsia="it-IT"/>
    </w:rPr>
  </w:style>
  <w:style w:type="paragraph" w:customStyle="1" w:styleId="Default">
    <w:name w:val="Default"/>
    <w:rsid w:val="004E6E88"/>
    <w:pPr>
      <w:autoSpaceDE w:val="0"/>
      <w:autoSpaceDN w:val="0"/>
      <w:adjustRightInd w:val="0"/>
      <w:jc w:val="left"/>
    </w:pPr>
    <w:rPr>
      <w:rFonts w:ascii="Arial" w:eastAsia="Calibri" w:hAnsi="Arial" w:cs="Arial"/>
      <w:color w:val="000000"/>
      <w:sz w:val="24"/>
      <w:szCs w:val="24"/>
      <w:lang w:val="it-CH" w:eastAsia="it-CH"/>
    </w:rPr>
  </w:style>
  <w:style w:type="paragraph" w:customStyle="1" w:styleId="Corpo">
    <w:name w:val="Corpo"/>
    <w:rsid w:val="004E6E88"/>
    <w:pPr>
      <w:pBdr>
        <w:top w:val="nil"/>
        <w:left w:val="nil"/>
        <w:bottom w:val="nil"/>
        <w:right w:val="nil"/>
        <w:between w:val="nil"/>
        <w:bar w:val="nil"/>
      </w:pBdr>
      <w:jc w:val="left"/>
    </w:pPr>
    <w:rPr>
      <w:rFonts w:ascii="Helvetica" w:eastAsia="Arial Unicode MS" w:hAnsi="Arial Unicode MS" w:cs="Arial Unicode MS"/>
      <w:color w:val="000000"/>
      <w:bdr w:val="nil"/>
      <w:lang w:val="fr-FR" w:eastAsia="it-CH"/>
    </w:rPr>
  </w:style>
  <w:style w:type="character" w:styleId="Rimandocommento">
    <w:name w:val="annotation reference"/>
    <w:basedOn w:val="Carpredefinitoparagrafo"/>
    <w:rsid w:val="004E6E88"/>
    <w:rPr>
      <w:sz w:val="16"/>
      <w:szCs w:val="16"/>
    </w:rPr>
  </w:style>
  <w:style w:type="paragraph" w:styleId="Testocommento">
    <w:name w:val="annotation text"/>
    <w:basedOn w:val="Normale"/>
    <w:link w:val="TestocommentoCarattere"/>
    <w:rsid w:val="004E6E88"/>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rsid w:val="004E6E88"/>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4E6E88"/>
    <w:rPr>
      <w:b/>
      <w:bCs/>
    </w:rPr>
  </w:style>
  <w:style w:type="character" w:customStyle="1" w:styleId="SoggettocommentoCarattere">
    <w:name w:val="Soggetto commento Carattere"/>
    <w:basedOn w:val="TestocommentoCarattere"/>
    <w:link w:val="Soggettocommento"/>
    <w:rsid w:val="004E6E88"/>
    <w:rPr>
      <w:rFonts w:ascii="Arial" w:eastAsia="Times New Roman" w:hAnsi="Arial" w:cs="Times New Roman"/>
      <w:b/>
      <w:bCs/>
      <w:sz w:val="20"/>
      <w:szCs w:val="20"/>
      <w:lang w:val="it-IT" w:eastAsia="it-IT"/>
    </w:rPr>
  </w:style>
  <w:style w:type="paragraph" w:styleId="Revisione">
    <w:name w:val="Revision"/>
    <w:hidden/>
    <w:uiPriority w:val="99"/>
    <w:semiHidden/>
    <w:rsid w:val="004E6E88"/>
    <w:pPr>
      <w:jc w:val="left"/>
    </w:pPr>
    <w:rPr>
      <w:rFonts w:ascii="Arial" w:eastAsia="Times New Roman" w:hAnsi="Arial" w:cs="Times New Roman"/>
      <w:sz w:val="24"/>
      <w:szCs w:val="20"/>
      <w:lang w:val="it-IT" w:eastAsia="it-IT"/>
    </w:rPr>
  </w:style>
  <w:style w:type="character" w:customStyle="1" w:styleId="apple-converted-space">
    <w:name w:val="apple-converted-space"/>
    <w:basedOn w:val="Carpredefinitoparagrafo"/>
    <w:rsid w:val="004E6E88"/>
  </w:style>
  <w:style w:type="numbering" w:customStyle="1" w:styleId="WWNum31">
    <w:name w:val="WWNum31"/>
    <w:basedOn w:val="Nessunelenco"/>
    <w:rsid w:val="004E6E88"/>
    <w:pPr>
      <w:numPr>
        <w:numId w:val="18"/>
      </w:numPr>
    </w:pPr>
  </w:style>
  <w:style w:type="numbering" w:customStyle="1" w:styleId="WWNum32">
    <w:name w:val="WWNum32"/>
    <w:basedOn w:val="Nessunelenco"/>
    <w:rsid w:val="004E6E88"/>
    <w:pPr>
      <w:numPr>
        <w:numId w:val="19"/>
      </w:numPr>
    </w:pPr>
  </w:style>
  <w:style w:type="numbering" w:customStyle="1" w:styleId="WWNum37">
    <w:name w:val="WWNum37"/>
    <w:basedOn w:val="Nessunelenco"/>
    <w:rsid w:val="004E6E88"/>
    <w:pPr>
      <w:numPr>
        <w:numId w:val="20"/>
      </w:numPr>
    </w:pPr>
  </w:style>
  <w:style w:type="numbering" w:customStyle="1" w:styleId="WWNum41">
    <w:name w:val="WWNum41"/>
    <w:basedOn w:val="Nessunelenco"/>
    <w:rsid w:val="004E6E88"/>
    <w:pPr>
      <w:numPr>
        <w:numId w:val="21"/>
      </w:numPr>
    </w:pPr>
  </w:style>
  <w:style w:type="character" w:styleId="Testosegnaposto">
    <w:name w:val="Placeholder Text"/>
    <w:basedOn w:val="Carpredefinitoparagrafo"/>
    <w:uiPriority w:val="99"/>
    <w:semiHidden/>
    <w:rsid w:val="004E6E88"/>
    <w:rPr>
      <w:color w:val="808080"/>
    </w:rPr>
  </w:style>
  <w:style w:type="numbering" w:customStyle="1" w:styleId="WWNum321">
    <w:name w:val="WWNum321"/>
    <w:basedOn w:val="Nessunelenco"/>
    <w:rsid w:val="004E6E88"/>
  </w:style>
  <w:style w:type="numbering" w:customStyle="1" w:styleId="WWNum371">
    <w:name w:val="WWNum371"/>
    <w:basedOn w:val="Nessunelenco"/>
    <w:rsid w:val="004E6E88"/>
  </w:style>
  <w:style w:type="paragraph" w:styleId="Corpotesto">
    <w:name w:val="Body Text"/>
    <w:basedOn w:val="Normale"/>
    <w:link w:val="CorpotestoCarattere1"/>
    <w:semiHidden/>
    <w:unhideWhenUsed/>
    <w:rsid w:val="004E6E88"/>
    <w:pPr>
      <w:spacing w:after="120"/>
    </w:pPr>
    <w:rPr>
      <w:rFonts w:eastAsia="Times New Roman" w:cs="Times New Roman"/>
      <w:sz w:val="24"/>
      <w:szCs w:val="20"/>
      <w:lang w:val="it-IT" w:eastAsia="it-IT"/>
    </w:rPr>
  </w:style>
  <w:style w:type="character" w:customStyle="1" w:styleId="CorpotestoCarattere1">
    <w:name w:val="Corpo testo Carattere1"/>
    <w:basedOn w:val="Carpredefinitoparagrafo"/>
    <w:link w:val="Corpotesto"/>
    <w:semiHidden/>
    <w:rsid w:val="004E6E88"/>
    <w:rPr>
      <w:rFonts w:ascii="Arial" w:eastAsia="Times New Roman" w:hAnsi="Arial" w:cs="Times New Roman"/>
      <w:sz w:val="24"/>
      <w:szCs w:val="20"/>
      <w:lang w:val="it-IT" w:eastAsia="it-IT"/>
    </w:rPr>
  </w:style>
  <w:style w:type="paragraph" w:customStyle="1" w:styleId="Pa15">
    <w:name w:val="Pa15"/>
    <w:basedOn w:val="Default"/>
    <w:next w:val="Default"/>
    <w:uiPriority w:val="99"/>
    <w:rsid w:val="004E6E88"/>
    <w:pPr>
      <w:spacing w:line="241" w:lineRule="atLeast"/>
    </w:pPr>
    <w:rPr>
      <w:rFonts w:ascii="Futura LT Pro Book" w:eastAsia="Times New Roman" w:hAnsi="Futura LT Pro Book" w:cs="Times New Roman"/>
      <w:color w:val="auto"/>
    </w:rPr>
  </w:style>
  <w:style w:type="paragraph" w:customStyle="1" w:styleId="Pa2">
    <w:name w:val="Pa2"/>
    <w:basedOn w:val="Default"/>
    <w:next w:val="Default"/>
    <w:uiPriority w:val="99"/>
    <w:rsid w:val="004E6E88"/>
    <w:pPr>
      <w:spacing w:line="201" w:lineRule="atLeast"/>
    </w:pPr>
    <w:rPr>
      <w:rFonts w:ascii="Futura LT Pro Book" w:eastAsia="Times New Roman" w:hAnsi="Futura LT Pro Book"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7.emf"/><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0.emf"/><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image" Target="media/image6.emf"/><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edlex.admin.ch/eli/oc/2022/747/it"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image" Target="media/image11.emf"/><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footnotes.xml.rels><?xml version="1.0" encoding="UTF-8" standalone="yes"?>
<Relationships xmlns="http://schemas.openxmlformats.org/package/2006/relationships"><Relationship Id="rId3" Type="http://schemas.openxmlformats.org/officeDocument/2006/relationships/hyperlink" Target="https://www.globalreporting.org/how-to-use-the-gri-standards/gri-standards-italian-translations/" TargetMode="External"/><Relationship Id="rId2" Type="http://schemas.openxmlformats.org/officeDocument/2006/relationships/hyperlink" Target="https://www.bancastato.ch/su-di-noi/cifre-e-pubblicazioni/rapporti-di-esercizio/Rapporto-di-sostenibilit--2024.html" TargetMode="External"/><Relationship Id="rId1" Type="http://schemas.openxmlformats.org/officeDocument/2006/relationships/hyperlink" Target="https://www.bancastato.ch/DMS/chisiamo/PUBLIC-factsheet_mandatopubblico.pdf" TargetMode="External"/><Relationship Id="rId4" Type="http://schemas.openxmlformats.org/officeDocument/2006/relationships/hyperlink" Target="https://www.fsb-tcfd.or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53a153af-70da-4ad5-b291-23c890a31fc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300906003</Id>
      <Width>0</Width>
      <Height>0</Height>
      <XPath>//Image[@id='Profile.Org.WappenSW']</XPath>
      <ImageHash>02f1c0cdac6aeac316213b2e7cb733a0</ImageHash>
    </ImageSizeDefinition>
    <ImageSizeDefinition>
      <Id>1291184755</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A6DDFECC-45B3-42BC-823E-BE7297AD31F5}">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3216097F-CF03-4800-8514-4DB9AD97B7B5}">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53a153af-70da-4ad5-b291-23c890a31fc9.dotx</Template>
  <TotalTime>55</TotalTime>
  <Pages>32</Pages>
  <Words>13257</Words>
  <Characters>75569</Characters>
  <Application>Microsoft Office Word</Application>
  <DocSecurity>0</DocSecurity>
  <Lines>629</Lines>
  <Paragraphs>177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52</cp:revision>
  <cp:lastPrinted>2026-01-13T13:57:00Z</cp:lastPrinted>
  <dcterms:created xsi:type="dcterms:W3CDTF">2026-01-02T13:51:00Z</dcterms:created>
  <dcterms:modified xsi:type="dcterms:W3CDTF">2026-01-13T14:04:00Z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