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49A8" w:rsidRDefault="00A719A0" w:rsidP="00D33940">
      <w:pPr>
        <w:pStyle w:val="StandardRisoluzionedelConsigliodiStato"/>
        <w:ind w:right="-1"/>
        <w:rPr>
          <w:b/>
          <w:sz w:val="28"/>
          <w:szCs w:val="28"/>
        </w:rPr>
      </w:pPr>
      <w:r w:rsidRPr="00A719A0">
        <w:rPr>
          <w:b/>
          <w:sz w:val="28"/>
          <w:szCs w:val="28"/>
        </w:rPr>
        <w:t>della Commissione gestione e finanze</w:t>
      </w:r>
    </w:p>
    <w:p w:rsidR="00A719A0" w:rsidRDefault="00A719A0" w:rsidP="00D33940">
      <w:pPr>
        <w:pStyle w:val="StandardRisoluzionedelConsigliodiStato"/>
        <w:ind w:right="-1"/>
        <w:rPr>
          <w:b/>
          <w:sz w:val="28"/>
          <w:szCs w:val="28"/>
        </w:rPr>
      </w:pPr>
      <w:r>
        <w:rPr>
          <w:b/>
          <w:sz w:val="28"/>
          <w:szCs w:val="28"/>
        </w:rPr>
        <w:t xml:space="preserve">sull’iniziativa parlamentare 24 febbraio 2025 presentata nella forma elaborata da Fiorenzo Dadò e Maurizio Agustoni per il Gruppo il Centro + </w:t>
      </w:r>
      <w:proofErr w:type="spellStart"/>
      <w:r w:rsidR="00096827">
        <w:rPr>
          <w:b/>
          <w:sz w:val="28"/>
          <w:szCs w:val="28"/>
        </w:rPr>
        <w:t>GdC</w:t>
      </w:r>
      <w:proofErr w:type="spellEnd"/>
      <w:r w:rsidR="00096827">
        <w:rPr>
          <w:b/>
          <w:sz w:val="28"/>
          <w:szCs w:val="28"/>
        </w:rPr>
        <w:t xml:space="preserve"> per la m</w:t>
      </w:r>
      <w:r w:rsidRPr="00A719A0">
        <w:rPr>
          <w:b/>
          <w:sz w:val="28"/>
          <w:szCs w:val="28"/>
        </w:rPr>
        <w:t xml:space="preserve">odifica dell’art. 32a cpv. 3 </w:t>
      </w:r>
      <w:proofErr w:type="spellStart"/>
      <w:r w:rsidRPr="00A719A0">
        <w:rPr>
          <w:b/>
          <w:sz w:val="28"/>
          <w:szCs w:val="28"/>
        </w:rPr>
        <w:t>LCAMal</w:t>
      </w:r>
      <w:proofErr w:type="spellEnd"/>
    </w:p>
    <w:p w:rsidR="00600965" w:rsidRPr="00EE2C9C" w:rsidRDefault="00600965" w:rsidP="00D33940">
      <w:pPr>
        <w:pStyle w:val="StandardRisoluzionedelConsigliodiStato"/>
        <w:ind w:right="-1"/>
        <w:rPr>
          <w:b/>
          <w:szCs w:val="24"/>
        </w:rPr>
      </w:pPr>
    </w:p>
    <w:p w:rsidR="00600965" w:rsidRDefault="00600965" w:rsidP="00D33940">
      <w:pPr>
        <w:pStyle w:val="StandardRisoluzionedelConsigliodiStato"/>
        <w:ind w:right="-1"/>
        <w:rPr>
          <w:b/>
          <w:szCs w:val="24"/>
        </w:rPr>
      </w:pPr>
    </w:p>
    <w:p w:rsidR="00EE2C9C" w:rsidRPr="00EE2C9C" w:rsidRDefault="00EE2C9C" w:rsidP="00D33940">
      <w:pPr>
        <w:pStyle w:val="StandardRisoluzionedelConsigliodiStato"/>
        <w:ind w:right="-1"/>
        <w:rPr>
          <w:b/>
          <w:szCs w:val="24"/>
        </w:rPr>
      </w:pPr>
    </w:p>
    <w:p w:rsidR="00EE2C9C" w:rsidRPr="00EE2C9C" w:rsidRDefault="00EE2C9C" w:rsidP="00EE2C9C">
      <w:pPr>
        <w:pStyle w:val="Titolo1"/>
        <w:tabs>
          <w:tab w:val="left" w:pos="567"/>
        </w:tabs>
        <w:spacing w:before="0"/>
        <w:ind w:left="567" w:hanging="567"/>
        <w:jc w:val="both"/>
        <w:rPr>
          <w:rFonts w:eastAsia="Calibri" w:cs="Times New Roman"/>
          <w:caps/>
          <w:sz w:val="24"/>
          <w:szCs w:val="24"/>
          <w:lang w:val="it-IT" w:eastAsia="it-IT"/>
        </w:rPr>
      </w:pPr>
      <w:r w:rsidRPr="00EE2C9C">
        <w:rPr>
          <w:rFonts w:eastAsia="Calibri" w:cs="Times New Roman"/>
          <w:caps/>
          <w:sz w:val="24"/>
          <w:szCs w:val="24"/>
          <w:lang w:val="it-IT" w:eastAsia="it-IT"/>
        </w:rPr>
        <w:t>1.</w:t>
      </w:r>
      <w:r w:rsidRPr="00EE2C9C">
        <w:rPr>
          <w:rFonts w:eastAsia="Calibri" w:cs="Times New Roman"/>
          <w:caps/>
          <w:sz w:val="24"/>
          <w:szCs w:val="24"/>
          <w:lang w:val="it-IT" w:eastAsia="it-IT"/>
        </w:rPr>
        <w:tab/>
        <w:t>L’iniziativa</w:t>
      </w:r>
    </w:p>
    <w:p w:rsidR="00EE2C9C" w:rsidRDefault="00EE2C9C" w:rsidP="00EE2C9C">
      <w:pPr>
        <w:rPr>
          <w:rFonts w:eastAsia="Aptos" w:cs="Arial"/>
          <w:sz w:val="24"/>
          <w:szCs w:val="24"/>
        </w:rPr>
      </w:pPr>
      <w:r w:rsidRPr="00EE2C9C">
        <w:rPr>
          <w:rFonts w:eastAsia="Aptos" w:cs="Arial"/>
          <w:sz w:val="24"/>
          <w:szCs w:val="24"/>
        </w:rPr>
        <w:t>L'iniziativa IE816 nasce in risposta alla decisione del Gran Consiglio, presa nell’ambito delle misure di risparmio del Preventivo 2025, di ridurre la costante per il calcolo del reddito disponibile massimo delle famiglie con figli da 4.7 a 4.3. Tale decisione è stata giustificata dalla difficile situazione finanziaria del Cantone Ticino.</w:t>
      </w:r>
    </w:p>
    <w:p w:rsidR="00EE2C9C" w:rsidRPr="00EE2C9C" w:rsidRDefault="00EE2C9C" w:rsidP="00EE2C9C">
      <w:pPr>
        <w:rPr>
          <w:rFonts w:eastAsia="Aptos" w:cs="Arial"/>
          <w:sz w:val="24"/>
          <w:szCs w:val="24"/>
        </w:rPr>
      </w:pPr>
    </w:p>
    <w:p w:rsidR="00EE2C9C" w:rsidRPr="00EE2C9C" w:rsidRDefault="00EE2C9C" w:rsidP="00EE2C9C">
      <w:pPr>
        <w:rPr>
          <w:rFonts w:eastAsia="Aptos" w:cs="Arial"/>
          <w:sz w:val="24"/>
          <w:szCs w:val="24"/>
        </w:rPr>
      </w:pPr>
      <w:r w:rsidRPr="00EE2C9C">
        <w:rPr>
          <w:rFonts w:eastAsia="Aptos" w:cs="Arial"/>
          <w:sz w:val="24"/>
          <w:szCs w:val="24"/>
        </w:rPr>
        <w:t>Attualmente, grazie alla distribuzione di circa 80 milioni di franchi da parte della Banca Nazionale Svizzera, si prospetta un possibile utile di esercizio di circa 10 milioni di franchi nel 2025, anziché il disavanzo di circa 100 milioni inizialmente previsto.</w:t>
      </w:r>
    </w:p>
    <w:p w:rsidR="00EE2C9C" w:rsidRDefault="00EE2C9C" w:rsidP="00EE2C9C">
      <w:pPr>
        <w:rPr>
          <w:rFonts w:eastAsia="Aptos" w:cs="Arial"/>
          <w:sz w:val="24"/>
          <w:szCs w:val="24"/>
        </w:rPr>
      </w:pPr>
      <w:r w:rsidRPr="00EE2C9C">
        <w:rPr>
          <w:rFonts w:eastAsia="Aptos" w:cs="Arial"/>
          <w:sz w:val="24"/>
          <w:szCs w:val="24"/>
        </w:rPr>
        <w:t xml:space="preserve">Gli </w:t>
      </w:r>
      <w:proofErr w:type="spellStart"/>
      <w:r w:rsidRPr="00EE2C9C">
        <w:rPr>
          <w:rFonts w:eastAsia="Aptos" w:cs="Arial"/>
          <w:sz w:val="24"/>
          <w:szCs w:val="24"/>
        </w:rPr>
        <w:t>iniziativisti</w:t>
      </w:r>
      <w:proofErr w:type="spellEnd"/>
      <w:r w:rsidRPr="00EE2C9C">
        <w:rPr>
          <w:rFonts w:eastAsia="Aptos" w:cs="Arial"/>
          <w:sz w:val="24"/>
          <w:szCs w:val="24"/>
        </w:rPr>
        <w:t xml:space="preserve"> sostengono che, se questa evoluzione finanziaria fosse stata nota al momento dell'approvazione del Preventivo 2025, non avrebbero accettato la riduzione dei sussidi di cassa malati per 10.5 milioni di franchi.</w:t>
      </w:r>
    </w:p>
    <w:p w:rsidR="00EE2C9C" w:rsidRPr="00EE2C9C" w:rsidRDefault="00EE2C9C" w:rsidP="00EE2C9C">
      <w:pPr>
        <w:rPr>
          <w:rFonts w:eastAsia="Aptos" w:cs="Arial"/>
          <w:sz w:val="24"/>
          <w:szCs w:val="24"/>
        </w:rPr>
      </w:pPr>
    </w:p>
    <w:p w:rsidR="00EE2C9C" w:rsidRPr="00EE2C9C" w:rsidRDefault="00EE2C9C" w:rsidP="00EE2C9C">
      <w:pPr>
        <w:rPr>
          <w:rFonts w:eastAsia="Aptos" w:cs="Arial"/>
          <w:sz w:val="24"/>
          <w:szCs w:val="24"/>
        </w:rPr>
      </w:pPr>
      <w:r w:rsidRPr="00EE2C9C">
        <w:rPr>
          <w:rFonts w:eastAsia="Aptos" w:cs="Arial"/>
          <w:sz w:val="24"/>
          <w:szCs w:val="24"/>
        </w:rPr>
        <w:t>Per questo motivo, con l'iniziativa elaborata IE816, si chiede di ripristinare il precedente metodo di calcolo, riportando la costante al valore di 4.7.</w:t>
      </w:r>
    </w:p>
    <w:p w:rsidR="00EE2C9C" w:rsidRDefault="00EE2C9C" w:rsidP="00EE2C9C"/>
    <w:p w:rsidR="00EE2C9C" w:rsidRDefault="00EE2C9C" w:rsidP="00EE2C9C"/>
    <w:p w:rsidR="00EE2C9C" w:rsidRPr="00EE2C9C" w:rsidRDefault="00EE2C9C" w:rsidP="00EE2C9C"/>
    <w:p w:rsidR="00EE2C9C" w:rsidRPr="00EE2C9C" w:rsidRDefault="00EE2C9C" w:rsidP="00EE2C9C">
      <w:pPr>
        <w:pStyle w:val="Titolo1"/>
        <w:tabs>
          <w:tab w:val="left" w:pos="567"/>
        </w:tabs>
        <w:spacing w:before="0"/>
        <w:ind w:left="567" w:hanging="567"/>
        <w:jc w:val="both"/>
        <w:rPr>
          <w:rFonts w:eastAsia="Calibri" w:cs="Times New Roman"/>
          <w:caps/>
          <w:sz w:val="24"/>
          <w:szCs w:val="24"/>
          <w:lang w:val="it-IT" w:eastAsia="it-IT"/>
        </w:rPr>
      </w:pPr>
      <w:r w:rsidRPr="00EE2C9C">
        <w:rPr>
          <w:rFonts w:eastAsia="Calibri" w:cs="Times New Roman"/>
          <w:caps/>
          <w:sz w:val="24"/>
          <w:szCs w:val="24"/>
          <w:lang w:val="it-IT" w:eastAsia="it-IT"/>
        </w:rPr>
        <w:t>2.</w:t>
      </w:r>
      <w:r w:rsidRPr="00EE2C9C">
        <w:rPr>
          <w:rFonts w:eastAsia="Calibri" w:cs="Times New Roman"/>
          <w:caps/>
          <w:sz w:val="24"/>
          <w:szCs w:val="24"/>
          <w:lang w:val="it-IT" w:eastAsia="it-IT"/>
        </w:rPr>
        <w:tab/>
        <w:t>I sussidi di cassa malati</w:t>
      </w:r>
    </w:p>
    <w:p w:rsidR="00EE2C9C" w:rsidRDefault="00EE2C9C" w:rsidP="00EE2C9C">
      <w:pPr>
        <w:rPr>
          <w:rFonts w:eastAsia="Aptos" w:cs="Arial"/>
          <w:sz w:val="24"/>
          <w:szCs w:val="24"/>
        </w:rPr>
      </w:pPr>
      <w:r w:rsidRPr="00EE2C9C">
        <w:rPr>
          <w:rFonts w:eastAsia="Aptos" w:cs="Arial"/>
          <w:sz w:val="24"/>
          <w:szCs w:val="24"/>
        </w:rPr>
        <w:t xml:space="preserve">Il contributo per la riduzione dei premi di assicurazione malattia, previsto dalla legge federale </w:t>
      </w:r>
      <w:proofErr w:type="spellStart"/>
      <w:r w:rsidRPr="00EE2C9C">
        <w:rPr>
          <w:rFonts w:eastAsia="Aptos" w:cs="Arial"/>
          <w:sz w:val="24"/>
          <w:szCs w:val="24"/>
        </w:rPr>
        <w:t>LAMal</w:t>
      </w:r>
      <w:proofErr w:type="spellEnd"/>
      <w:r w:rsidRPr="00EE2C9C">
        <w:rPr>
          <w:rFonts w:eastAsia="Aptos" w:cs="Arial"/>
          <w:sz w:val="24"/>
          <w:szCs w:val="24"/>
        </w:rPr>
        <w:t xml:space="preserve"> e regolato a livello cantonale dalla </w:t>
      </w:r>
      <w:proofErr w:type="spellStart"/>
      <w:r w:rsidRPr="00EE2C9C">
        <w:rPr>
          <w:rFonts w:eastAsia="Aptos" w:cs="Arial"/>
          <w:sz w:val="24"/>
          <w:szCs w:val="24"/>
        </w:rPr>
        <w:t>LCAMal</w:t>
      </w:r>
      <w:proofErr w:type="spellEnd"/>
      <w:r w:rsidRPr="00EE2C9C">
        <w:rPr>
          <w:rFonts w:eastAsia="Aptos" w:cs="Arial"/>
          <w:sz w:val="24"/>
          <w:szCs w:val="24"/>
        </w:rPr>
        <w:t xml:space="preserve">, è un aiuto fondamentale per le famiglie. Negli ultimi anni, l’aumento dei premi ha portato questa spesa a diventare una delle principali voci nei budget familiari, causando difficoltà finanziarie e diventando motivo di indebitamento. </w:t>
      </w:r>
    </w:p>
    <w:p w:rsidR="00EE2C9C" w:rsidRPr="00EE2C9C" w:rsidRDefault="00EE2C9C" w:rsidP="00EE2C9C">
      <w:pPr>
        <w:rPr>
          <w:rFonts w:eastAsia="Aptos" w:cs="Arial"/>
          <w:sz w:val="24"/>
          <w:szCs w:val="24"/>
        </w:rPr>
      </w:pPr>
    </w:p>
    <w:p w:rsidR="00EE2C9C" w:rsidRDefault="00EE2C9C" w:rsidP="00EE2C9C">
      <w:pPr>
        <w:rPr>
          <w:rFonts w:eastAsia="Aptos" w:cs="Arial"/>
          <w:sz w:val="24"/>
          <w:szCs w:val="24"/>
        </w:rPr>
      </w:pPr>
      <w:r w:rsidRPr="00EE2C9C">
        <w:rPr>
          <w:rFonts w:eastAsia="Aptos" w:cs="Arial"/>
          <w:sz w:val="24"/>
          <w:szCs w:val="24"/>
        </w:rPr>
        <w:t>Con il Preventivo 2025, ancora una volta, la RIPAM ordinaria (Riduzione dei premi dell’assicurazione malattia) è stata bersaglio di misure di risparmio, come già nel 2015 e nel 2016. La modifica di una delle costanti per il calcolo del reddito massimo disponibile ha comportato una riduzione della spesa lorda di 10.5 milioni a carico della RIPAM ordinaria.</w:t>
      </w:r>
    </w:p>
    <w:p w:rsidR="00EE2C9C" w:rsidRPr="00EE2C9C" w:rsidRDefault="00EE2C9C" w:rsidP="00EE2C9C">
      <w:pPr>
        <w:rPr>
          <w:rFonts w:eastAsia="Aptos" w:cs="Arial"/>
          <w:sz w:val="24"/>
          <w:szCs w:val="24"/>
        </w:rPr>
      </w:pPr>
    </w:p>
    <w:p w:rsidR="00EE2C9C" w:rsidRPr="00EE2C9C" w:rsidRDefault="00EE2C9C" w:rsidP="00EE2C9C">
      <w:pPr>
        <w:rPr>
          <w:rFonts w:eastAsia="Aptos" w:cs="Arial"/>
          <w:sz w:val="24"/>
          <w:szCs w:val="24"/>
        </w:rPr>
      </w:pPr>
      <w:r w:rsidRPr="00EE2C9C">
        <w:rPr>
          <w:rFonts w:eastAsia="Aptos" w:cs="Arial"/>
          <w:sz w:val="24"/>
          <w:szCs w:val="24"/>
        </w:rPr>
        <w:t xml:space="preserve">Questa misura colpisce interamente le famiglie con figli. Famiglie che oltre alla riduzione dei contributi, stanno affrontano un incremento del 10.5% del loro premio di cassa malati. Un doppio aggravio che pesa come un macigno sul loro budget famigliare. </w:t>
      </w:r>
    </w:p>
    <w:p w:rsidR="00EE2C9C" w:rsidRDefault="00EE2C9C" w:rsidP="00EE2C9C">
      <w:pPr>
        <w:rPr>
          <w:rFonts w:eastAsia="Aptos" w:cs="Arial"/>
          <w:sz w:val="24"/>
          <w:szCs w:val="24"/>
        </w:rPr>
      </w:pPr>
      <w:r w:rsidRPr="00EE2C9C">
        <w:rPr>
          <w:rFonts w:eastAsia="Aptos" w:cs="Arial"/>
          <w:sz w:val="24"/>
          <w:szCs w:val="24"/>
        </w:rPr>
        <w:lastRenderedPageBreak/>
        <w:t>È importante rilevare che negli scorsi tre anni il premio medio di riferimento per il Canton Ticino è aumentato del 30%.</w:t>
      </w:r>
    </w:p>
    <w:p w:rsidR="00EE2C9C" w:rsidRPr="00EE2C9C" w:rsidRDefault="00EE2C9C" w:rsidP="00EE2C9C">
      <w:pPr>
        <w:rPr>
          <w:rFonts w:eastAsia="Aptos" w:cs="Arial"/>
          <w:sz w:val="24"/>
          <w:szCs w:val="24"/>
        </w:rPr>
      </w:pPr>
    </w:p>
    <w:p w:rsidR="00EE2C9C" w:rsidRDefault="00EE2C9C" w:rsidP="00EE2C9C">
      <w:pPr>
        <w:rPr>
          <w:rFonts w:eastAsia="Aptos" w:cs="Arial"/>
          <w:sz w:val="24"/>
          <w:szCs w:val="24"/>
        </w:rPr>
      </w:pPr>
      <w:r w:rsidRPr="00EE2C9C">
        <w:rPr>
          <w:rFonts w:eastAsia="Aptos" w:cs="Arial"/>
          <w:sz w:val="24"/>
          <w:szCs w:val="24"/>
        </w:rPr>
        <w:t xml:space="preserve">L’articolo 65 della </w:t>
      </w:r>
      <w:proofErr w:type="spellStart"/>
      <w:r w:rsidRPr="00EE2C9C">
        <w:rPr>
          <w:rFonts w:eastAsia="Aptos" w:cs="Arial"/>
          <w:sz w:val="24"/>
          <w:szCs w:val="24"/>
        </w:rPr>
        <w:t>LAMal</w:t>
      </w:r>
      <w:proofErr w:type="spellEnd"/>
      <w:r w:rsidRPr="00EE2C9C">
        <w:rPr>
          <w:rFonts w:eastAsia="Aptos" w:cs="Arial"/>
          <w:sz w:val="24"/>
          <w:szCs w:val="24"/>
        </w:rPr>
        <w:t xml:space="preserve"> stabilisce che i Cantoni devono garantire la riduzione dei premi. A supporto di questo compito, la Confederazione trasferisce fondi ai Cantoni, da utilizzare esclusivamente per questo scopo. Il Canton Ticino adempie ai suoi doveri attraverso la </w:t>
      </w:r>
      <w:proofErr w:type="spellStart"/>
      <w:r w:rsidRPr="00EE2C9C">
        <w:rPr>
          <w:rFonts w:eastAsia="Aptos" w:cs="Arial"/>
          <w:sz w:val="24"/>
          <w:szCs w:val="24"/>
        </w:rPr>
        <w:t>LCAMal</w:t>
      </w:r>
      <w:proofErr w:type="spellEnd"/>
      <w:r w:rsidRPr="00EE2C9C">
        <w:rPr>
          <w:rFonts w:eastAsia="Aptos" w:cs="Arial"/>
          <w:sz w:val="24"/>
          <w:szCs w:val="24"/>
        </w:rPr>
        <w:t xml:space="preserve">, che disciplina a livello locale la riduzione dei premi. </w:t>
      </w:r>
    </w:p>
    <w:p w:rsidR="00EE2C9C" w:rsidRPr="00EE2C9C" w:rsidRDefault="00EE2C9C" w:rsidP="00EE2C9C">
      <w:pPr>
        <w:rPr>
          <w:rFonts w:eastAsia="Aptos" w:cs="Arial"/>
          <w:sz w:val="24"/>
          <w:szCs w:val="24"/>
        </w:rPr>
      </w:pPr>
    </w:p>
    <w:p w:rsidR="00EE2C9C" w:rsidRPr="00EE2C9C" w:rsidRDefault="00EE2C9C" w:rsidP="00EE2C9C">
      <w:pPr>
        <w:rPr>
          <w:rFonts w:eastAsia="Aptos" w:cs="Arial"/>
          <w:sz w:val="24"/>
          <w:szCs w:val="24"/>
        </w:rPr>
      </w:pPr>
      <w:r w:rsidRPr="00EE2C9C">
        <w:rPr>
          <w:rFonts w:eastAsia="Aptos" w:cs="Arial"/>
          <w:sz w:val="24"/>
          <w:szCs w:val="24"/>
        </w:rPr>
        <w:t>Tuttavia, è importante non confondere la riduzione dei premi (</w:t>
      </w:r>
      <w:proofErr w:type="spellStart"/>
      <w:r w:rsidRPr="00EE2C9C">
        <w:rPr>
          <w:rFonts w:eastAsia="Aptos" w:cs="Arial"/>
          <w:sz w:val="24"/>
          <w:szCs w:val="24"/>
        </w:rPr>
        <w:t>Ripam</w:t>
      </w:r>
      <w:proofErr w:type="spellEnd"/>
      <w:r w:rsidRPr="00EE2C9C">
        <w:rPr>
          <w:rFonts w:eastAsia="Aptos" w:cs="Arial"/>
          <w:sz w:val="24"/>
          <w:szCs w:val="24"/>
        </w:rPr>
        <w:t xml:space="preserve"> ordinaria) con il riconoscimento delle spese sostenute per i premi di cassa malati per i beneficiari di prestazioni complementari e previste dalla LPC (Legge sulle prestazioni complementari).</w:t>
      </w:r>
    </w:p>
    <w:p w:rsidR="00EE2C9C" w:rsidRPr="00EE2C9C" w:rsidRDefault="00EE2C9C" w:rsidP="00EE2C9C">
      <w:pPr>
        <w:rPr>
          <w:rFonts w:eastAsia="Aptos" w:cs="Arial"/>
          <w:sz w:val="24"/>
          <w:szCs w:val="24"/>
        </w:rPr>
      </w:pPr>
      <w:r w:rsidRPr="00EE2C9C">
        <w:rPr>
          <w:rFonts w:eastAsia="Aptos" w:cs="Arial"/>
          <w:sz w:val="24"/>
          <w:szCs w:val="24"/>
        </w:rPr>
        <w:t>Infatti, se è vero che la spesa per riduzione dei premi è diventata una delle voci più importanti del conto economico del Cantone, è anche vero che bisogna fare dei distinguo.</w:t>
      </w:r>
    </w:p>
    <w:p w:rsidR="00EE2C9C" w:rsidRDefault="00EE2C9C" w:rsidP="00EE2C9C">
      <w:pPr>
        <w:rPr>
          <w:rFonts w:eastAsia="Aptos" w:cs="Arial"/>
          <w:sz w:val="24"/>
          <w:szCs w:val="24"/>
        </w:rPr>
      </w:pPr>
      <w:r w:rsidRPr="00EE2C9C">
        <w:rPr>
          <w:rFonts w:eastAsia="Aptos" w:cs="Arial"/>
          <w:sz w:val="24"/>
          <w:szCs w:val="24"/>
        </w:rPr>
        <w:t xml:space="preserve">Occorre precisare che i contributi </w:t>
      </w:r>
      <w:proofErr w:type="spellStart"/>
      <w:r w:rsidRPr="00EE2C9C">
        <w:rPr>
          <w:rFonts w:eastAsia="Aptos" w:cs="Arial"/>
          <w:sz w:val="24"/>
          <w:szCs w:val="24"/>
        </w:rPr>
        <w:t>Ripam</w:t>
      </w:r>
      <w:proofErr w:type="spellEnd"/>
      <w:r w:rsidRPr="00EE2C9C">
        <w:rPr>
          <w:rFonts w:eastAsia="Aptos" w:cs="Arial"/>
          <w:sz w:val="24"/>
          <w:szCs w:val="24"/>
        </w:rPr>
        <w:t xml:space="preserve"> PC (160 milioni a Consuntivo 2023), definiti dalla legge federale sulle prestazioni complementari, sono obbligatori e non possono essere oggetto di risparmi.</w:t>
      </w:r>
    </w:p>
    <w:p w:rsidR="00EE2C9C" w:rsidRPr="00EE2C9C" w:rsidRDefault="00EE2C9C" w:rsidP="00EE2C9C">
      <w:pPr>
        <w:rPr>
          <w:rFonts w:eastAsia="Aptos" w:cs="Arial"/>
          <w:sz w:val="24"/>
          <w:szCs w:val="24"/>
        </w:rPr>
      </w:pPr>
    </w:p>
    <w:p w:rsidR="00EE2C9C" w:rsidRPr="00EE2C9C" w:rsidRDefault="00EE2C9C" w:rsidP="00EE2C9C">
      <w:pPr>
        <w:rPr>
          <w:rFonts w:eastAsia="Aptos" w:cs="Arial"/>
          <w:sz w:val="24"/>
          <w:szCs w:val="24"/>
        </w:rPr>
      </w:pPr>
      <w:r w:rsidRPr="00EE2C9C">
        <w:rPr>
          <w:rFonts w:eastAsia="Aptos" w:cs="Arial"/>
          <w:sz w:val="24"/>
          <w:szCs w:val="24"/>
        </w:rPr>
        <w:t xml:space="preserve">Per quanto riguarda invece la </w:t>
      </w:r>
      <w:proofErr w:type="spellStart"/>
      <w:r w:rsidRPr="00EE2C9C">
        <w:rPr>
          <w:rFonts w:eastAsia="Aptos" w:cs="Arial"/>
          <w:sz w:val="24"/>
          <w:szCs w:val="24"/>
        </w:rPr>
        <w:t>Ripam</w:t>
      </w:r>
      <w:proofErr w:type="spellEnd"/>
      <w:r w:rsidRPr="00EE2C9C">
        <w:rPr>
          <w:rFonts w:eastAsia="Aptos" w:cs="Arial"/>
          <w:sz w:val="24"/>
          <w:szCs w:val="24"/>
        </w:rPr>
        <w:t xml:space="preserve"> ordinaria (200 milioni a Consuntivo 2023), il Cantone riceve sia contributi federali, che contributi comunali. Questi contributi riducono la spesa lorda a carico delle finanze cantonali da 200 milioni a 50 milioni (Consuntivo 2023: 200 – 120 – 30 = 50).</w:t>
      </w:r>
    </w:p>
    <w:p w:rsidR="00EE2C9C" w:rsidRPr="00EE2C9C" w:rsidRDefault="00EE2C9C" w:rsidP="00EE2C9C">
      <w:pPr>
        <w:rPr>
          <w:rFonts w:eastAsia="Aptos" w:cs="Arial"/>
          <w:sz w:val="24"/>
          <w:szCs w:val="24"/>
        </w:rPr>
      </w:pPr>
    </w:p>
    <w:p w:rsidR="00EE2C9C" w:rsidRPr="00EE2C9C" w:rsidRDefault="00EE2C9C" w:rsidP="00EE2C9C">
      <w:pPr>
        <w:rPr>
          <w:rFonts w:eastAsia="Aptos" w:cs="Arial"/>
          <w:sz w:val="24"/>
          <w:szCs w:val="24"/>
        </w:rPr>
      </w:pPr>
      <w:r w:rsidRPr="00EE2C9C">
        <w:rPr>
          <w:rFonts w:eastAsia="Aptos" w:cs="Arial"/>
          <w:sz w:val="24"/>
          <w:szCs w:val="24"/>
        </w:rPr>
        <w:t xml:space="preserve">Se oggi i sussidi per la cassa malati sono una delle principali voci di spesa dello Stato, è anche perché il sistema economico ticinese si basa su salari troppo bassi, che costringono molte famiglie a dipendere dagli aiuti statali per coprire i propri costi. </w:t>
      </w:r>
    </w:p>
    <w:p w:rsidR="00EE2C9C" w:rsidRPr="00EE2C9C" w:rsidRDefault="00EE2C9C" w:rsidP="00EE2C9C">
      <w:pPr>
        <w:rPr>
          <w:rFonts w:eastAsia="Aptos" w:cs="Arial"/>
          <w:sz w:val="24"/>
          <w:szCs w:val="24"/>
        </w:rPr>
      </w:pPr>
      <w:r w:rsidRPr="00EE2C9C">
        <w:rPr>
          <w:rFonts w:eastAsia="Aptos" w:cs="Arial"/>
          <w:sz w:val="24"/>
          <w:szCs w:val="24"/>
        </w:rPr>
        <w:t>La ridistribuzione primaria non è sufficiente e lo Stato deve intervenire in maniera sussidiaria a quelle imprese che non vogliono o non possono pagare stipendi sufficiente per vivere in Ticino.</w:t>
      </w:r>
    </w:p>
    <w:p w:rsidR="00EE2C9C" w:rsidRPr="00EE2C9C" w:rsidRDefault="00EE2C9C" w:rsidP="00EE2C9C">
      <w:pPr>
        <w:rPr>
          <w:rFonts w:eastAsia="Aptos" w:cs="Arial"/>
          <w:sz w:val="24"/>
          <w:szCs w:val="24"/>
        </w:rPr>
      </w:pPr>
      <w:r w:rsidRPr="00EE2C9C">
        <w:rPr>
          <w:rFonts w:eastAsia="Aptos" w:cs="Arial"/>
          <w:sz w:val="24"/>
          <w:szCs w:val="24"/>
        </w:rPr>
        <w:t>In una situazione esacerbata dall’esplosione dei premi di assicurazione malattia e dalla recente inflazione, questa voce di spesa non può essere oggetto di risparmi che verrebbero scaricati direttamente sulle spalle dei cittadini.</w:t>
      </w:r>
    </w:p>
    <w:p w:rsidR="00EE2C9C" w:rsidRPr="00EE2C9C" w:rsidRDefault="00EE2C9C" w:rsidP="00EE2C9C">
      <w:pPr>
        <w:rPr>
          <w:rFonts w:eastAsia="Aptos" w:cs="Arial"/>
          <w:sz w:val="24"/>
          <w:szCs w:val="24"/>
        </w:rPr>
      </w:pPr>
    </w:p>
    <w:p w:rsidR="00EE2C9C" w:rsidRPr="00EE2C9C" w:rsidRDefault="00EE2C9C" w:rsidP="00EE2C9C">
      <w:pPr>
        <w:rPr>
          <w:rFonts w:eastAsia="Aptos" w:cs="Arial"/>
          <w:sz w:val="24"/>
          <w:szCs w:val="24"/>
        </w:rPr>
      </w:pPr>
      <w:r w:rsidRPr="00EE2C9C">
        <w:rPr>
          <w:rFonts w:eastAsia="Aptos" w:cs="Arial"/>
          <w:sz w:val="24"/>
          <w:szCs w:val="24"/>
        </w:rPr>
        <w:t xml:space="preserve">Ci rallegriamo che gli </w:t>
      </w:r>
      <w:proofErr w:type="spellStart"/>
      <w:r w:rsidRPr="00EE2C9C">
        <w:rPr>
          <w:rFonts w:eastAsia="Aptos" w:cs="Arial"/>
          <w:sz w:val="24"/>
          <w:szCs w:val="24"/>
        </w:rPr>
        <w:t>iniziativisti</w:t>
      </w:r>
      <w:proofErr w:type="spellEnd"/>
      <w:r w:rsidRPr="00EE2C9C">
        <w:rPr>
          <w:rFonts w:eastAsia="Aptos" w:cs="Arial"/>
          <w:sz w:val="24"/>
          <w:szCs w:val="24"/>
        </w:rPr>
        <w:t>, coscienti delle difficoltà economiche di molte famiglie, abbiano rivisto, a seguito anche dei contributi di 80 milioni della Banca Nazionale Svizzera, la decisione presa nell’ambito del Preventivo 2025 che approvava riduzione dell’entità dei sussidi.</w:t>
      </w:r>
    </w:p>
    <w:p w:rsidR="00EE2C9C" w:rsidRPr="00EE2C9C" w:rsidRDefault="00EE2C9C" w:rsidP="00EE2C9C">
      <w:pPr>
        <w:rPr>
          <w:rFonts w:eastAsia="Aptos" w:cs="Arial"/>
          <w:sz w:val="24"/>
          <w:szCs w:val="24"/>
        </w:rPr>
      </w:pPr>
    </w:p>
    <w:p w:rsidR="00EE2C9C" w:rsidRPr="00EE2C9C" w:rsidRDefault="00EE2C9C" w:rsidP="00EE2C9C">
      <w:pPr>
        <w:rPr>
          <w:rFonts w:eastAsia="Aptos" w:cs="Arial"/>
          <w:sz w:val="24"/>
          <w:szCs w:val="24"/>
        </w:rPr>
      </w:pPr>
      <w:r w:rsidRPr="00EE2C9C">
        <w:rPr>
          <w:rFonts w:eastAsia="Aptos" w:cs="Arial"/>
          <w:sz w:val="24"/>
          <w:szCs w:val="24"/>
        </w:rPr>
        <w:t xml:space="preserve">A nostro parere in futuro queste decisioni dovrebbero essere valutate con più cautela, considerando maggiormente le ripercussioni che comportano per i cittadini rispetto al pareggio dei conti. </w:t>
      </w:r>
    </w:p>
    <w:p w:rsidR="00EE2C9C" w:rsidRPr="00EE2C9C" w:rsidRDefault="00EE2C9C" w:rsidP="00EE2C9C">
      <w:pPr>
        <w:rPr>
          <w:rFonts w:eastAsia="Aptos" w:cs="Arial"/>
          <w:sz w:val="24"/>
          <w:szCs w:val="24"/>
        </w:rPr>
      </w:pPr>
    </w:p>
    <w:p w:rsidR="00EE2C9C" w:rsidRPr="00EE2C9C" w:rsidRDefault="00EE2C9C" w:rsidP="00EE2C9C">
      <w:pPr>
        <w:rPr>
          <w:rFonts w:eastAsia="Aptos" w:cs="Arial"/>
          <w:sz w:val="24"/>
          <w:szCs w:val="24"/>
        </w:rPr>
      </w:pPr>
      <w:r w:rsidRPr="00EE2C9C">
        <w:rPr>
          <w:rFonts w:eastAsia="Aptos" w:cs="Arial"/>
          <w:sz w:val="24"/>
          <w:szCs w:val="24"/>
        </w:rPr>
        <w:t>Questo aiuto finanziario, infatti, è diventato essenziale per quasi un terzo della popolazione ticinese, che ha risposto in maniera importante firmando il referendum lanciato contro i tagli qui discussi. Referendum che ha raccolto in poco tempo più di 11mila firme.</w:t>
      </w:r>
    </w:p>
    <w:p w:rsidR="00EE2C9C" w:rsidRPr="00EE2C9C" w:rsidRDefault="00EE2C9C" w:rsidP="00EE2C9C">
      <w:pPr>
        <w:rPr>
          <w:rFonts w:eastAsia="Aptos" w:cs="Arial"/>
          <w:sz w:val="24"/>
          <w:szCs w:val="24"/>
        </w:rPr>
      </w:pPr>
    </w:p>
    <w:p w:rsidR="00EE2C9C" w:rsidRDefault="00EE2C9C">
      <w:pPr>
        <w:rPr>
          <w:rFonts w:eastAsia="Aptos" w:cs="Arial"/>
          <w:sz w:val="24"/>
          <w:szCs w:val="24"/>
        </w:rPr>
      </w:pPr>
      <w:r>
        <w:rPr>
          <w:rFonts w:eastAsia="Aptos" w:cs="Arial"/>
          <w:sz w:val="24"/>
          <w:szCs w:val="24"/>
        </w:rPr>
        <w:br w:type="page"/>
      </w:r>
    </w:p>
    <w:p w:rsidR="00EE2C9C" w:rsidRPr="00EE2C9C" w:rsidRDefault="00EE2C9C" w:rsidP="00EE2C9C">
      <w:pPr>
        <w:pStyle w:val="Titolo1"/>
        <w:tabs>
          <w:tab w:val="left" w:pos="567"/>
        </w:tabs>
        <w:spacing w:before="0"/>
        <w:ind w:left="567" w:hanging="567"/>
        <w:jc w:val="both"/>
        <w:rPr>
          <w:rFonts w:eastAsia="Calibri" w:cs="Times New Roman"/>
          <w:caps/>
          <w:sz w:val="24"/>
          <w:szCs w:val="24"/>
          <w:lang w:val="it-IT" w:eastAsia="it-IT"/>
        </w:rPr>
      </w:pPr>
      <w:r w:rsidRPr="00EE2C9C">
        <w:rPr>
          <w:rFonts w:eastAsia="Calibri" w:cs="Times New Roman"/>
          <w:caps/>
          <w:sz w:val="24"/>
          <w:szCs w:val="24"/>
          <w:lang w:val="it-IT" w:eastAsia="it-IT"/>
        </w:rPr>
        <w:lastRenderedPageBreak/>
        <w:t>3.</w:t>
      </w:r>
      <w:r w:rsidRPr="00EE2C9C">
        <w:rPr>
          <w:rFonts w:eastAsia="Calibri" w:cs="Times New Roman"/>
          <w:caps/>
          <w:sz w:val="24"/>
          <w:szCs w:val="24"/>
          <w:lang w:val="it-IT" w:eastAsia="it-IT"/>
        </w:rPr>
        <w:tab/>
        <w:t>Conclusioni</w:t>
      </w:r>
    </w:p>
    <w:p w:rsidR="00923F26" w:rsidRPr="00CB7364" w:rsidRDefault="00EE2C9C" w:rsidP="00923F26">
      <w:pPr>
        <w:rPr>
          <w:rFonts w:eastAsia="Aptos" w:cs="Arial"/>
          <w:sz w:val="24"/>
          <w:szCs w:val="24"/>
        </w:rPr>
      </w:pPr>
      <w:r w:rsidRPr="00EE2C9C">
        <w:rPr>
          <w:rFonts w:eastAsia="Aptos" w:cs="Arial"/>
          <w:sz w:val="24"/>
          <w:szCs w:val="24"/>
        </w:rPr>
        <w:t>Per i motivi sopra esposti la maggioranza della Commissione invita il Gran Consiglio ad approvare l’iniziativa elaborata IE816 che ripristina la costante considerata per il calcolo dei sussidi di cas</w:t>
      </w:r>
      <w:r w:rsidR="00923F26">
        <w:rPr>
          <w:rFonts w:eastAsia="Aptos" w:cs="Arial"/>
          <w:sz w:val="24"/>
          <w:szCs w:val="24"/>
        </w:rPr>
        <w:t xml:space="preserve">sa malati ordinari da 4.3 a 4.7 </w:t>
      </w:r>
      <w:r w:rsidR="00923F26" w:rsidRPr="002E03F3">
        <w:rPr>
          <w:rFonts w:eastAsia="Aptos" w:cs="Arial"/>
          <w:sz w:val="24"/>
          <w:szCs w:val="24"/>
        </w:rPr>
        <w:t>e il disegno di legge annesso al presente rapporto.</w:t>
      </w:r>
    </w:p>
    <w:p w:rsidR="00EE2C9C" w:rsidRPr="00EE2C9C" w:rsidRDefault="00EE2C9C" w:rsidP="00EE2C9C">
      <w:pPr>
        <w:rPr>
          <w:rFonts w:eastAsia="Aptos" w:cs="Arial"/>
          <w:sz w:val="24"/>
          <w:szCs w:val="24"/>
        </w:rPr>
      </w:pPr>
    </w:p>
    <w:p w:rsidR="00EE2C9C" w:rsidRPr="00EE2C9C" w:rsidRDefault="00EE2C9C" w:rsidP="00EE2C9C">
      <w:pPr>
        <w:rPr>
          <w:rFonts w:eastAsia="Aptos" w:cs="Arial"/>
          <w:sz w:val="24"/>
          <w:szCs w:val="24"/>
        </w:rPr>
      </w:pPr>
      <w:bookmarkStart w:id="0" w:name="_GoBack"/>
      <w:bookmarkEnd w:id="0"/>
    </w:p>
    <w:p w:rsidR="00EE2C9C" w:rsidRPr="00EE2C9C" w:rsidRDefault="00EE2C9C" w:rsidP="00EE2C9C">
      <w:pPr>
        <w:spacing w:after="120"/>
        <w:rPr>
          <w:rFonts w:eastAsia="Aptos" w:cs="Arial"/>
          <w:sz w:val="24"/>
          <w:szCs w:val="24"/>
        </w:rPr>
      </w:pPr>
      <w:r w:rsidRPr="00EE2C9C">
        <w:rPr>
          <w:rFonts w:eastAsia="Aptos" w:cs="Arial"/>
          <w:sz w:val="24"/>
          <w:szCs w:val="24"/>
        </w:rPr>
        <w:t xml:space="preserve">Per la </w:t>
      </w:r>
      <w:r w:rsidR="00545734">
        <w:rPr>
          <w:rFonts w:eastAsia="Aptos" w:cs="Arial"/>
          <w:sz w:val="24"/>
          <w:szCs w:val="24"/>
        </w:rPr>
        <w:t xml:space="preserve">maggioranza della </w:t>
      </w:r>
      <w:r w:rsidRPr="00EE2C9C">
        <w:rPr>
          <w:rFonts w:eastAsia="Aptos" w:cs="Arial"/>
          <w:sz w:val="24"/>
          <w:szCs w:val="24"/>
        </w:rPr>
        <w:t>Commissione gestione e finanze</w:t>
      </w:r>
    </w:p>
    <w:p w:rsidR="00EE2C9C" w:rsidRPr="00EE2C9C" w:rsidRDefault="00EE2C9C" w:rsidP="00EE2C9C">
      <w:pPr>
        <w:rPr>
          <w:rFonts w:eastAsia="Aptos" w:cs="Arial"/>
          <w:sz w:val="24"/>
          <w:szCs w:val="24"/>
        </w:rPr>
      </w:pPr>
      <w:r w:rsidRPr="00EE2C9C">
        <w:rPr>
          <w:rFonts w:eastAsia="Aptos" w:cs="Arial"/>
          <w:sz w:val="24"/>
          <w:szCs w:val="24"/>
        </w:rPr>
        <w:t>Samantha Bourgoin e Ivo Durisch</w:t>
      </w:r>
      <w:r>
        <w:rPr>
          <w:rFonts w:eastAsia="Aptos" w:cs="Arial"/>
          <w:sz w:val="24"/>
          <w:szCs w:val="24"/>
        </w:rPr>
        <w:t>, relatori</w:t>
      </w:r>
    </w:p>
    <w:p w:rsidR="008F6BA6" w:rsidRDefault="008F6BA6" w:rsidP="00EE2C9C">
      <w:pPr>
        <w:rPr>
          <w:rFonts w:eastAsia="Aptos" w:cs="Arial"/>
          <w:sz w:val="24"/>
          <w:szCs w:val="24"/>
        </w:rPr>
      </w:pPr>
      <w:r>
        <w:rPr>
          <w:rFonts w:eastAsia="Aptos" w:cs="Arial"/>
          <w:sz w:val="24"/>
          <w:szCs w:val="24"/>
        </w:rPr>
        <w:t xml:space="preserve">Agustoni (per le conclusioni) - Caroni (per le conclusioni) - </w:t>
      </w:r>
    </w:p>
    <w:p w:rsidR="00EE2C9C" w:rsidRPr="00EE2C9C" w:rsidRDefault="008F6BA6" w:rsidP="00EE2C9C">
      <w:pPr>
        <w:rPr>
          <w:rFonts w:eastAsia="Aptos" w:cs="Arial"/>
          <w:sz w:val="24"/>
          <w:szCs w:val="24"/>
        </w:rPr>
      </w:pPr>
      <w:r>
        <w:rPr>
          <w:rFonts w:eastAsia="Aptos" w:cs="Arial"/>
          <w:sz w:val="24"/>
          <w:szCs w:val="24"/>
        </w:rPr>
        <w:t xml:space="preserve">Dadò (per le conclusioni) - Gendotti (per le conclusioni) - </w:t>
      </w:r>
      <w:r w:rsidR="00EE2C9C" w:rsidRPr="00EE2C9C">
        <w:rPr>
          <w:rFonts w:eastAsia="Aptos" w:cs="Arial"/>
          <w:sz w:val="24"/>
          <w:szCs w:val="24"/>
        </w:rPr>
        <w:t>Sirica</w:t>
      </w:r>
    </w:p>
    <w:p w:rsidR="00690A25" w:rsidRDefault="00690A25">
      <w:pPr>
        <w:rPr>
          <w:sz w:val="24"/>
        </w:rPr>
      </w:pPr>
      <w:r>
        <w:br w:type="page"/>
      </w:r>
    </w:p>
    <w:p w:rsidR="00690A25" w:rsidRPr="00690A25" w:rsidRDefault="00690A25" w:rsidP="00690A25">
      <w:pPr>
        <w:shd w:val="clear" w:color="auto" w:fill="FFFFFF"/>
        <w:ind w:right="187"/>
        <w:rPr>
          <w:rFonts w:eastAsia="Calibri" w:cs="Arial"/>
          <w:bCs/>
          <w:color w:val="000000"/>
          <w:sz w:val="24"/>
          <w:szCs w:val="24"/>
          <w:lang w:eastAsia="it-CH"/>
        </w:rPr>
      </w:pPr>
      <w:r w:rsidRPr="00690A25">
        <w:rPr>
          <w:rFonts w:eastAsia="Calibri" w:cs="Arial"/>
          <w:bCs/>
          <w:color w:val="000000"/>
          <w:sz w:val="24"/>
          <w:szCs w:val="24"/>
          <w:lang w:eastAsia="it-CH"/>
        </w:rPr>
        <w:lastRenderedPageBreak/>
        <w:t>Disegno di</w:t>
      </w:r>
    </w:p>
    <w:p w:rsidR="00690A25" w:rsidRPr="00690A25" w:rsidRDefault="00690A25" w:rsidP="00690A25">
      <w:pPr>
        <w:shd w:val="clear" w:color="auto" w:fill="FFFFFF"/>
        <w:ind w:right="187"/>
        <w:rPr>
          <w:rFonts w:eastAsia="Calibri" w:cs="Arial"/>
          <w:b/>
          <w:bCs/>
          <w:color w:val="000000"/>
          <w:sz w:val="24"/>
          <w:szCs w:val="24"/>
          <w:lang w:eastAsia="it-CH"/>
        </w:rPr>
      </w:pPr>
    </w:p>
    <w:p w:rsidR="00690A25" w:rsidRPr="00690A25" w:rsidRDefault="00690A25" w:rsidP="00690A25">
      <w:pPr>
        <w:shd w:val="clear" w:color="auto" w:fill="FFFFFF"/>
        <w:ind w:right="187"/>
        <w:rPr>
          <w:rFonts w:eastAsia="Calibri" w:cs="Arial"/>
          <w:color w:val="000000"/>
          <w:sz w:val="24"/>
          <w:szCs w:val="24"/>
          <w:lang w:eastAsia="it-CH"/>
        </w:rPr>
      </w:pPr>
      <w:r w:rsidRPr="00690A25">
        <w:rPr>
          <w:rFonts w:eastAsia="Calibri" w:cs="Arial"/>
          <w:b/>
          <w:bCs/>
          <w:color w:val="000000"/>
          <w:sz w:val="24"/>
          <w:szCs w:val="24"/>
          <w:lang w:eastAsia="it-CH"/>
        </w:rPr>
        <w:t>Legge</w:t>
      </w:r>
    </w:p>
    <w:p w:rsidR="00690A25" w:rsidRPr="00690A25" w:rsidRDefault="00690A25" w:rsidP="00690A25">
      <w:pPr>
        <w:shd w:val="clear" w:color="auto" w:fill="FFFFFF"/>
        <w:ind w:right="187"/>
        <w:rPr>
          <w:rFonts w:eastAsia="Calibri" w:cs="Arial"/>
          <w:color w:val="000000"/>
          <w:sz w:val="24"/>
          <w:szCs w:val="24"/>
          <w:lang w:eastAsia="it-CH"/>
        </w:rPr>
      </w:pPr>
      <w:r w:rsidRPr="00690A25">
        <w:rPr>
          <w:rFonts w:eastAsia="Calibri" w:cs="Arial"/>
          <w:b/>
          <w:bCs/>
          <w:color w:val="000000"/>
          <w:sz w:val="24"/>
          <w:szCs w:val="24"/>
          <w:lang w:eastAsia="it-CH"/>
        </w:rPr>
        <w:t>di applicazione della legge federale sull’assicurazione malattie</w:t>
      </w:r>
    </w:p>
    <w:p w:rsidR="00690A25" w:rsidRPr="00690A25" w:rsidRDefault="00690A25" w:rsidP="00690A25">
      <w:pPr>
        <w:shd w:val="clear" w:color="auto" w:fill="FFFFFF"/>
        <w:ind w:right="187"/>
        <w:rPr>
          <w:rFonts w:eastAsia="Calibri" w:cs="Arial"/>
          <w:color w:val="000000"/>
          <w:sz w:val="24"/>
          <w:szCs w:val="24"/>
          <w:lang w:eastAsia="it-CH"/>
        </w:rPr>
      </w:pPr>
      <w:r w:rsidRPr="00690A25">
        <w:rPr>
          <w:rFonts w:eastAsia="Calibri" w:cs="Arial"/>
          <w:b/>
          <w:bCs/>
          <w:color w:val="000000"/>
          <w:sz w:val="24"/>
          <w:szCs w:val="24"/>
          <w:lang w:eastAsia="it-CH"/>
        </w:rPr>
        <w:t>(</w:t>
      </w:r>
      <w:proofErr w:type="spellStart"/>
      <w:r w:rsidRPr="00690A25">
        <w:rPr>
          <w:rFonts w:eastAsia="Calibri" w:cs="Arial"/>
          <w:b/>
          <w:bCs/>
          <w:color w:val="000000"/>
          <w:sz w:val="24"/>
          <w:szCs w:val="24"/>
          <w:lang w:eastAsia="it-CH"/>
        </w:rPr>
        <w:t>LCAMal</w:t>
      </w:r>
      <w:proofErr w:type="spellEnd"/>
      <w:r w:rsidRPr="00690A25">
        <w:rPr>
          <w:rFonts w:eastAsia="Calibri" w:cs="Arial"/>
          <w:b/>
          <w:bCs/>
          <w:color w:val="000000"/>
          <w:sz w:val="24"/>
          <w:szCs w:val="24"/>
          <w:lang w:eastAsia="it-CH"/>
        </w:rPr>
        <w:t>)</w:t>
      </w:r>
    </w:p>
    <w:p w:rsidR="00690A25" w:rsidRPr="00690A25" w:rsidRDefault="00690A25" w:rsidP="00690A25">
      <w:pPr>
        <w:shd w:val="clear" w:color="auto" w:fill="FFFFFF"/>
        <w:ind w:right="187"/>
        <w:rPr>
          <w:rFonts w:eastAsia="Calibri" w:cs="Arial"/>
          <w:color w:val="000000"/>
          <w:sz w:val="20"/>
          <w:szCs w:val="20"/>
          <w:lang w:eastAsia="it-CH"/>
        </w:rPr>
      </w:pPr>
      <w:r w:rsidRPr="00690A25">
        <w:rPr>
          <w:rFonts w:eastAsia="Calibri" w:cs="Arial"/>
          <w:color w:val="000000"/>
          <w:sz w:val="24"/>
          <w:szCs w:val="24"/>
          <w:lang w:eastAsia="it-CH"/>
        </w:rPr>
        <w:t>modifica del</w:t>
      </w:r>
      <w:r w:rsidRPr="00690A25">
        <w:rPr>
          <w:rFonts w:eastAsia="Calibri" w:cs="Arial"/>
          <w:color w:val="000000"/>
          <w:sz w:val="20"/>
          <w:szCs w:val="20"/>
          <w:lang w:eastAsia="it-CH"/>
        </w:rPr>
        <w:t xml:space="preserve"> </w:t>
      </w:r>
      <w:r w:rsidRPr="00690A25">
        <w:rPr>
          <w:rFonts w:eastAsia="Calibri" w:cs="Arial"/>
          <w:color w:val="000000"/>
          <w:sz w:val="24"/>
          <w:szCs w:val="24"/>
          <w:lang w:eastAsia="it-CH"/>
        </w:rPr>
        <w:t>…</w:t>
      </w:r>
    </w:p>
    <w:p w:rsidR="00690A25" w:rsidRPr="00690A25" w:rsidRDefault="00690A25" w:rsidP="00690A25">
      <w:pPr>
        <w:shd w:val="clear" w:color="auto" w:fill="FFFFFF"/>
        <w:ind w:right="187"/>
        <w:rPr>
          <w:rFonts w:ascii="Times New Roman" w:eastAsia="Calibri" w:hAnsi="Times New Roman" w:cs="Times New Roman"/>
          <w:sz w:val="24"/>
          <w:szCs w:val="24"/>
          <w:lang w:eastAsia="it-CH"/>
        </w:rPr>
      </w:pPr>
      <w:r w:rsidRPr="00690A25">
        <w:rPr>
          <w:rFonts w:eastAsia="Calibri" w:cs="Arial"/>
          <w:color w:val="000000"/>
          <w:sz w:val="20"/>
          <w:szCs w:val="20"/>
          <w:lang w:eastAsia="it-CH"/>
        </w:rPr>
        <w:t> </w:t>
      </w:r>
    </w:p>
    <w:p w:rsidR="00690A25" w:rsidRPr="00690A25" w:rsidRDefault="00690A25" w:rsidP="00690A25">
      <w:pPr>
        <w:shd w:val="clear" w:color="auto" w:fill="FFFFFF"/>
        <w:ind w:right="187"/>
        <w:rPr>
          <w:rFonts w:eastAsia="Calibri" w:cs="Arial"/>
          <w:color w:val="000000"/>
          <w:sz w:val="20"/>
          <w:szCs w:val="20"/>
          <w:lang w:eastAsia="it-CH"/>
        </w:rPr>
      </w:pPr>
      <w:r w:rsidRPr="00690A25">
        <w:rPr>
          <w:rFonts w:eastAsia="Calibri" w:cs="Arial"/>
          <w:caps/>
          <w:color w:val="000000"/>
          <w:sz w:val="20"/>
          <w:szCs w:val="20"/>
          <w:lang w:eastAsia="it-CH"/>
        </w:rPr>
        <w:t>IL GRAN CONSIGLIO</w:t>
      </w:r>
    </w:p>
    <w:p w:rsidR="00690A25" w:rsidRPr="00690A25" w:rsidRDefault="00690A25" w:rsidP="00690A25">
      <w:pPr>
        <w:shd w:val="clear" w:color="auto" w:fill="FFFFFF"/>
        <w:ind w:right="187"/>
        <w:rPr>
          <w:rFonts w:eastAsia="Calibri" w:cs="Arial"/>
          <w:color w:val="000000"/>
          <w:sz w:val="20"/>
          <w:szCs w:val="20"/>
          <w:lang w:eastAsia="it-CH"/>
        </w:rPr>
      </w:pPr>
      <w:r w:rsidRPr="00690A25">
        <w:rPr>
          <w:rFonts w:eastAsia="Calibri" w:cs="Arial"/>
          <w:caps/>
          <w:color w:val="000000"/>
          <w:sz w:val="20"/>
          <w:szCs w:val="20"/>
          <w:lang w:eastAsia="it-CH"/>
        </w:rPr>
        <w:t>DELLA REPUBBLICA E CANTONE TICINO</w:t>
      </w:r>
    </w:p>
    <w:p w:rsidR="00690A25" w:rsidRPr="00690A25" w:rsidRDefault="00690A25" w:rsidP="00690A25">
      <w:pPr>
        <w:jc w:val="left"/>
        <w:rPr>
          <w:rFonts w:ascii="Calibri" w:eastAsia="Calibri" w:hAnsi="Calibri" w:cs="Calibri"/>
          <w:b/>
          <w:bCs/>
        </w:rPr>
      </w:pPr>
    </w:p>
    <w:p w:rsidR="00690A25" w:rsidRPr="00690A25" w:rsidRDefault="00690A25" w:rsidP="00690A25">
      <w:pPr>
        <w:rPr>
          <w:rFonts w:eastAsia="Calibri" w:cs="Arial"/>
          <w:sz w:val="24"/>
          <w:szCs w:val="24"/>
        </w:rPr>
      </w:pPr>
      <w:r w:rsidRPr="00690A25">
        <w:rPr>
          <w:rFonts w:eastAsia="Calibri" w:cs="Arial"/>
          <w:sz w:val="24"/>
          <w:szCs w:val="24"/>
        </w:rPr>
        <w:t xml:space="preserve">vista l’iniziativa parlamentare del 24 febbraio 2025 presentata nella forma elaborata da Fiorenzo Dadò e Maurizio Agustoni per il Gruppo il Centro + </w:t>
      </w:r>
      <w:proofErr w:type="spellStart"/>
      <w:r w:rsidRPr="00690A25">
        <w:rPr>
          <w:rFonts w:eastAsia="Calibri" w:cs="Arial"/>
          <w:sz w:val="24"/>
          <w:szCs w:val="24"/>
        </w:rPr>
        <w:t>GdC</w:t>
      </w:r>
      <w:proofErr w:type="spellEnd"/>
    </w:p>
    <w:p w:rsidR="00690A25" w:rsidRPr="00690A25" w:rsidRDefault="00690A25" w:rsidP="00690A25">
      <w:pPr>
        <w:rPr>
          <w:rFonts w:eastAsia="Calibri" w:cs="Arial"/>
          <w:sz w:val="24"/>
          <w:szCs w:val="24"/>
        </w:rPr>
      </w:pPr>
      <w:r w:rsidRPr="00690A25">
        <w:rPr>
          <w:rFonts w:eastAsia="Calibri" w:cs="Arial"/>
          <w:sz w:val="24"/>
          <w:szCs w:val="24"/>
        </w:rPr>
        <w:t xml:space="preserve">visto il rapporto di maggioranza della Commissione gestione e finanze dell’11 marzo 2025 </w:t>
      </w:r>
    </w:p>
    <w:p w:rsidR="00690A25" w:rsidRPr="00690A25" w:rsidRDefault="00690A25" w:rsidP="00690A25">
      <w:pPr>
        <w:rPr>
          <w:rFonts w:ascii="Calibri" w:eastAsia="Calibri" w:hAnsi="Calibri" w:cs="Calibri"/>
          <w:b/>
          <w:bCs/>
        </w:rPr>
      </w:pPr>
    </w:p>
    <w:p w:rsidR="00690A25" w:rsidRPr="00690A25" w:rsidRDefault="00690A25" w:rsidP="00690A25">
      <w:pPr>
        <w:rPr>
          <w:rFonts w:eastAsia="Calibri" w:cs="Arial"/>
          <w:sz w:val="24"/>
          <w:szCs w:val="24"/>
        </w:rPr>
      </w:pPr>
      <w:r w:rsidRPr="00690A25">
        <w:rPr>
          <w:rFonts w:eastAsia="Calibri" w:cs="Arial"/>
          <w:sz w:val="24"/>
          <w:szCs w:val="24"/>
        </w:rPr>
        <w:t>decreta:</w:t>
      </w:r>
    </w:p>
    <w:p w:rsidR="00690A25" w:rsidRPr="00690A25" w:rsidRDefault="00690A25" w:rsidP="00690A25">
      <w:pPr>
        <w:rPr>
          <w:rFonts w:eastAsia="Calibri" w:cs="Arial"/>
          <w:sz w:val="24"/>
          <w:szCs w:val="24"/>
        </w:rPr>
      </w:pPr>
    </w:p>
    <w:p w:rsidR="00690A25" w:rsidRPr="00690A25" w:rsidRDefault="00690A25" w:rsidP="00690A25">
      <w:pPr>
        <w:rPr>
          <w:rFonts w:eastAsia="Calibri" w:cs="Arial"/>
          <w:b/>
          <w:bCs/>
          <w:sz w:val="24"/>
          <w:szCs w:val="24"/>
        </w:rPr>
      </w:pPr>
      <w:r w:rsidRPr="00690A25">
        <w:rPr>
          <w:rFonts w:eastAsia="Calibri" w:cs="Arial"/>
          <w:b/>
          <w:bCs/>
          <w:sz w:val="24"/>
          <w:szCs w:val="24"/>
        </w:rPr>
        <w:t>I</w:t>
      </w:r>
    </w:p>
    <w:p w:rsidR="00690A25" w:rsidRPr="00690A25" w:rsidRDefault="00690A25" w:rsidP="00690A25">
      <w:pPr>
        <w:rPr>
          <w:rFonts w:eastAsia="Calibri" w:cs="Arial"/>
          <w:sz w:val="24"/>
          <w:szCs w:val="24"/>
        </w:rPr>
      </w:pPr>
      <w:r w:rsidRPr="00690A25">
        <w:rPr>
          <w:rFonts w:eastAsia="Calibri" w:cs="Arial"/>
          <w:sz w:val="24"/>
          <w:szCs w:val="24"/>
        </w:rPr>
        <w:t>La legge di applicazione della legge federale sull’assicurazione malattie del 26 giugno 1997 (</w:t>
      </w:r>
      <w:proofErr w:type="spellStart"/>
      <w:r w:rsidRPr="00690A25">
        <w:rPr>
          <w:rFonts w:eastAsia="Calibri" w:cs="Arial"/>
          <w:sz w:val="24"/>
          <w:szCs w:val="24"/>
        </w:rPr>
        <w:t>LCAMal</w:t>
      </w:r>
      <w:proofErr w:type="spellEnd"/>
      <w:r w:rsidRPr="00690A25">
        <w:rPr>
          <w:rFonts w:eastAsia="Calibri" w:cs="Arial"/>
          <w:sz w:val="24"/>
          <w:szCs w:val="24"/>
        </w:rPr>
        <w:t>) è modificata come segue:</w:t>
      </w:r>
    </w:p>
    <w:p w:rsidR="00690A25" w:rsidRPr="00690A25" w:rsidRDefault="00690A25" w:rsidP="00690A25">
      <w:pPr>
        <w:jc w:val="left"/>
        <w:rPr>
          <w:rFonts w:ascii="Calibri" w:eastAsia="Calibri" w:hAnsi="Calibri" w:cs="Calibri"/>
          <w:b/>
          <w:bCs/>
        </w:rPr>
      </w:pPr>
    </w:p>
    <w:p w:rsidR="00690A25" w:rsidRPr="00690A25" w:rsidRDefault="00690A25" w:rsidP="00690A25">
      <w:pPr>
        <w:jc w:val="left"/>
        <w:rPr>
          <w:rFonts w:ascii="Calibri" w:eastAsia="Calibri" w:hAnsi="Calibri" w:cs="Calibri"/>
          <w:b/>
          <w:bCs/>
        </w:rPr>
      </w:pPr>
    </w:p>
    <w:p w:rsidR="00690A25" w:rsidRPr="00690A25" w:rsidRDefault="00690A25" w:rsidP="00690A25">
      <w:pPr>
        <w:spacing w:after="120"/>
        <w:rPr>
          <w:rFonts w:eastAsia="Calibri" w:cs="Arial"/>
          <w:b/>
          <w:bCs/>
          <w:sz w:val="24"/>
          <w:szCs w:val="24"/>
        </w:rPr>
      </w:pPr>
      <w:r w:rsidRPr="00690A25">
        <w:rPr>
          <w:rFonts w:eastAsia="Calibri" w:cs="Arial"/>
          <w:b/>
          <w:bCs/>
          <w:sz w:val="24"/>
          <w:szCs w:val="24"/>
        </w:rPr>
        <w:t>C. Reddito disponibile massimo</w:t>
      </w:r>
    </w:p>
    <w:p w:rsidR="00690A25" w:rsidRPr="00690A25" w:rsidRDefault="00690A25" w:rsidP="00690A25">
      <w:pPr>
        <w:spacing w:after="120"/>
        <w:rPr>
          <w:rFonts w:eastAsia="Calibri" w:cs="Arial"/>
          <w:sz w:val="24"/>
          <w:szCs w:val="24"/>
        </w:rPr>
      </w:pPr>
      <w:r w:rsidRPr="00690A25">
        <w:rPr>
          <w:rFonts w:eastAsia="Calibri" w:cs="Arial"/>
          <w:b/>
          <w:bCs/>
          <w:sz w:val="24"/>
          <w:szCs w:val="24"/>
        </w:rPr>
        <w:t>Art. 32a</w:t>
      </w:r>
      <w:r w:rsidRPr="00690A25">
        <w:rPr>
          <w:rFonts w:eastAsia="Calibri" w:cs="Arial"/>
          <w:sz w:val="24"/>
          <w:szCs w:val="24"/>
        </w:rPr>
        <w:t xml:space="preserve"> </w:t>
      </w:r>
    </w:p>
    <w:p w:rsidR="00690A25" w:rsidRPr="00690A25" w:rsidRDefault="00690A25" w:rsidP="00690A25">
      <w:pPr>
        <w:rPr>
          <w:rFonts w:eastAsia="Calibri" w:cs="Arial"/>
          <w:sz w:val="24"/>
          <w:szCs w:val="24"/>
        </w:rPr>
      </w:pPr>
      <w:r w:rsidRPr="00690A25">
        <w:rPr>
          <w:rFonts w:eastAsia="Calibri" w:cs="Arial"/>
          <w:sz w:val="24"/>
          <w:szCs w:val="24"/>
          <w:vertAlign w:val="superscript"/>
        </w:rPr>
        <w:t>3</w:t>
      </w:r>
      <w:r w:rsidRPr="00690A25">
        <w:rPr>
          <w:rFonts w:eastAsia="Calibri" w:cs="Arial"/>
          <w:sz w:val="24"/>
          <w:szCs w:val="24"/>
        </w:rPr>
        <w:t>Per le UR con figli, il reddito disponibile massimo è definito come segue:</w:t>
      </w:r>
    </w:p>
    <w:p w:rsidR="00690A25" w:rsidRPr="00690A25" w:rsidRDefault="00690A25" w:rsidP="00690A25">
      <w:pPr>
        <w:rPr>
          <w:rFonts w:eastAsia="Calibri" w:cs="Arial"/>
          <w:sz w:val="24"/>
          <w:szCs w:val="24"/>
        </w:rPr>
      </w:pPr>
      <w:r w:rsidRPr="00690A25">
        <w:rPr>
          <w:rFonts w:eastAsia="Calibri" w:cs="Arial"/>
          <w:sz w:val="24"/>
          <w:szCs w:val="24"/>
        </w:rPr>
        <w:t xml:space="preserve">RDM = [costante del 4.7 + (1 - (n. figli) / 10)] x 50% del limite di fabbisogno, senza computo della pigione, ai sensi della </w:t>
      </w:r>
      <w:proofErr w:type="spellStart"/>
      <w:r w:rsidRPr="00690A25">
        <w:rPr>
          <w:rFonts w:eastAsia="Calibri" w:cs="Arial"/>
          <w:sz w:val="24"/>
          <w:szCs w:val="24"/>
        </w:rPr>
        <w:t>Laps</w:t>
      </w:r>
      <w:proofErr w:type="spellEnd"/>
      <w:r w:rsidRPr="00690A25">
        <w:rPr>
          <w:rFonts w:eastAsia="Calibri" w:cs="Arial"/>
          <w:sz w:val="24"/>
          <w:szCs w:val="24"/>
        </w:rPr>
        <w:t xml:space="preserve"> applicabile all’unità di riferimento. </w:t>
      </w:r>
    </w:p>
    <w:p w:rsidR="00690A25" w:rsidRPr="00690A25" w:rsidRDefault="00690A25" w:rsidP="00690A25">
      <w:pPr>
        <w:rPr>
          <w:rFonts w:eastAsia="Calibri" w:cs="Arial"/>
          <w:sz w:val="24"/>
          <w:szCs w:val="24"/>
        </w:rPr>
      </w:pPr>
    </w:p>
    <w:p w:rsidR="00690A25" w:rsidRPr="00690A25" w:rsidRDefault="00690A25" w:rsidP="00690A25">
      <w:pPr>
        <w:rPr>
          <w:rFonts w:eastAsia="Calibri" w:cs="Arial"/>
          <w:b/>
          <w:bCs/>
          <w:sz w:val="24"/>
          <w:szCs w:val="24"/>
        </w:rPr>
      </w:pPr>
      <w:r w:rsidRPr="00690A25">
        <w:rPr>
          <w:rFonts w:eastAsia="Calibri" w:cs="Arial"/>
          <w:b/>
          <w:bCs/>
          <w:sz w:val="24"/>
          <w:szCs w:val="24"/>
        </w:rPr>
        <w:t>II</w:t>
      </w:r>
    </w:p>
    <w:p w:rsidR="00690A25" w:rsidRPr="00690A25" w:rsidRDefault="00690A25" w:rsidP="00690A25">
      <w:pPr>
        <w:rPr>
          <w:rFonts w:eastAsia="Calibri" w:cs="Arial"/>
          <w:sz w:val="24"/>
          <w:szCs w:val="24"/>
        </w:rPr>
      </w:pPr>
      <w:r w:rsidRPr="00690A25">
        <w:rPr>
          <w:rFonts w:eastAsia="Calibri" w:cs="Arial"/>
          <w:sz w:val="24"/>
          <w:szCs w:val="24"/>
          <w:vertAlign w:val="superscript"/>
        </w:rPr>
        <w:t>1</w:t>
      </w:r>
      <w:r w:rsidRPr="00690A25">
        <w:rPr>
          <w:rFonts w:eastAsia="Calibri" w:cs="Arial"/>
          <w:sz w:val="24"/>
          <w:szCs w:val="24"/>
        </w:rPr>
        <w:t>La presente legge sottostà a referendum facoltativo.</w:t>
      </w:r>
    </w:p>
    <w:p w:rsidR="00690A25" w:rsidRPr="00690A25" w:rsidRDefault="00690A25" w:rsidP="00690A25">
      <w:pPr>
        <w:rPr>
          <w:rFonts w:eastAsia="Calibri" w:cs="Arial"/>
          <w:color w:val="000000"/>
          <w:sz w:val="24"/>
          <w:szCs w:val="24"/>
        </w:rPr>
      </w:pPr>
      <w:r w:rsidRPr="00690A25">
        <w:rPr>
          <w:rFonts w:eastAsia="Calibri" w:cs="Arial"/>
          <w:color w:val="000000"/>
          <w:sz w:val="24"/>
          <w:szCs w:val="24"/>
          <w:vertAlign w:val="superscript"/>
        </w:rPr>
        <w:t>2</w:t>
      </w:r>
      <w:r w:rsidRPr="00690A25">
        <w:rPr>
          <w:rFonts w:eastAsia="Calibri" w:cs="Arial"/>
          <w:color w:val="000000"/>
          <w:sz w:val="24"/>
          <w:szCs w:val="24"/>
        </w:rPr>
        <w:t>Essa entra in vigore il 1° gennaio 2025.</w:t>
      </w:r>
    </w:p>
    <w:p w:rsidR="00D649A8" w:rsidRPr="00A719A0" w:rsidRDefault="00D649A8" w:rsidP="00D33940">
      <w:pPr>
        <w:pStyle w:val="StandardRisoluzionedelConsigliodiStato"/>
        <w:ind w:right="-1"/>
      </w:pPr>
    </w:p>
    <w:sectPr w:rsidR="00D649A8" w:rsidRPr="00A719A0" w:rsidSect="00375115">
      <w:headerReference w:type="default" r:id="rId11"/>
      <w:footerReference w:type="default" r:id="rId12"/>
      <w:headerReference w:type="first" r:id="rId13"/>
      <w:footerReference w:type="first" r:id="rId14"/>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19A0" w:rsidRDefault="00A719A0" w:rsidP="00F657BF">
      <w:r>
        <w:separator/>
      </w:r>
    </w:p>
  </w:endnote>
  <w:endnote w:type="continuationSeparator" w:id="0">
    <w:p w:rsidR="00A719A0" w:rsidRDefault="00A719A0"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Aptos">
    <w:altName w:val="Calibri"/>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rsidTr="007A3D11">
      <w:trPr>
        <w:trHeight w:hRule="exact" w:val="737"/>
      </w:trPr>
      <w:tc>
        <w:tcPr>
          <w:tcW w:w="4695" w:type="dxa"/>
        </w:tcPr>
        <w:p w:rsidR="00912E34" w:rsidRPr="003D1008" w:rsidRDefault="007962C4" w:rsidP="00912E34">
          <w:pPr>
            <w:tabs>
              <w:tab w:val="center" w:pos="2382"/>
            </w:tabs>
          </w:pPr>
        </w:p>
      </w:tc>
      <w:tc>
        <w:tcPr>
          <w:tcW w:w="721" w:type="dxa"/>
        </w:tcPr>
        <w:p w:rsidR="00912E34" w:rsidRPr="003D1008" w:rsidRDefault="003875CB" w:rsidP="00912E34">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912E34" w:rsidRPr="003D1008" w:rsidRDefault="003875CB" w:rsidP="00912E34">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912E34" w:rsidRPr="003D1008" w:rsidRDefault="007962C4" w:rsidP="00912E34"/>
      </w:tc>
    </w:tr>
  </w:tbl>
  <w:p w:rsidR="00F657BF" w:rsidRDefault="00F657BF" w:rsidP="00F5689F">
    <w:pPr>
      <w:pStyle w:val="InvisibleLin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0BB7" w:rsidRDefault="007962C4">
    <w:pPr>
      <w:pStyle w:val="Pidipagina"/>
      <w:jc w:val="center"/>
    </w:pPr>
  </w:p>
  <w:p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19A0" w:rsidRDefault="00A719A0" w:rsidP="00F657BF">
      <w:r>
        <w:separator/>
      </w:r>
    </w:p>
  </w:footnote>
  <w:footnote w:type="continuationSeparator" w:id="0">
    <w:p w:rsidR="00A719A0" w:rsidRDefault="00A719A0"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rsidTr="006B682A">
      <w:trPr>
        <w:trHeight w:val="562"/>
      </w:trPr>
      <w:tc>
        <w:tcPr>
          <w:tcW w:w="8383" w:type="dxa"/>
          <w:tcBorders>
            <w:left w:val="single" w:sz="4" w:space="0" w:color="auto"/>
            <w:bottom w:val="single" w:sz="4" w:space="0" w:color="auto"/>
          </w:tcBorders>
          <w:tcMar>
            <w:left w:w="142" w:type="dxa"/>
          </w:tcMar>
          <w:vAlign w:val="bottom"/>
        </w:tcPr>
        <w:p w:rsidR="00736F8A" w:rsidRDefault="007962C4" w:rsidP="00736F8A">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4424B347-5818-44EA-BDEE-08EEA7BBA84A}"/>
              <w:text w:multiLine="1"/>
            </w:sdtPr>
            <w:sdtEndPr/>
            <w:sdtContent>
              <w:r w:rsidR="003875CB">
                <w:rPr>
                  <w:rFonts w:ascii="Gill Alt One MT Light" w:hAnsi="Gill Alt One MT Light"/>
                  <w:sz w:val="16"/>
                  <w:szCs w:val="16"/>
                </w:rPr>
                <w:t>Repubblica e Cantone Ticino</w:t>
              </w:r>
            </w:sdtContent>
          </w:sdt>
        </w:p>
        <w:p w:rsidR="005012EC" w:rsidRPr="00E8185F" w:rsidRDefault="007962C4" w:rsidP="00A532F6">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4424B347-5818-44EA-BDEE-08EEA7BBA84A}"/>
              <w:text w:multiLine="1"/>
            </w:sdtPr>
            <w:sdtEndPr/>
            <w:sdtContent>
              <w:r w:rsidR="008A37FE">
                <w:rPr>
                  <w:rFonts w:ascii="Gill Alt One MT Light" w:hAnsi="Gill Alt One MT Light"/>
                  <w:sz w:val="16"/>
                  <w:szCs w:val="16"/>
                </w:rPr>
                <w:t>Dipartimento della sanità e della socialità</w:t>
              </w:r>
            </w:sdtContent>
          </w:sdt>
        </w:p>
      </w:tc>
      <w:tc>
        <w:tcPr>
          <w:tcW w:w="1710" w:type="dxa"/>
          <w:tcBorders>
            <w:bottom w:val="single" w:sz="4" w:space="0" w:color="auto"/>
          </w:tcBorders>
          <w:vAlign w:val="bottom"/>
        </w:tcPr>
        <w:p w:rsidR="005012EC" w:rsidRPr="004204CB" w:rsidRDefault="003875CB"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BB0110">
            <w:rPr>
              <w:noProof/>
              <w:sz w:val="24"/>
            </w:rPr>
            <w:t>4</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BB0110">
            <w:rPr>
              <w:noProof/>
              <w:sz w:val="24"/>
            </w:rPr>
            <w:t>4</w:t>
          </w:r>
          <w:r w:rsidRPr="004204CB">
            <w:rPr>
              <w:noProof/>
              <w:sz w:val="24"/>
            </w:rPr>
            <w:fldChar w:fldCharType="end"/>
          </w:r>
        </w:p>
      </w:tc>
    </w:tr>
    <w:tr w:rsidR="005012EC" w:rsidRPr="009E444B"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4424B347-5818-44EA-BDEE-08EEA7BBA84A}"/>
          <w:text w:multiLine="1"/>
        </w:sdtPr>
        <w:sdtEndPr/>
        <w:sdtContent>
          <w:tc>
            <w:tcPr>
              <w:tcW w:w="8383" w:type="dxa"/>
              <w:tcBorders>
                <w:left w:val="single" w:sz="4" w:space="0" w:color="auto"/>
              </w:tcBorders>
              <w:tcMar>
                <w:top w:w="0" w:type="dxa"/>
                <w:left w:w="142" w:type="dxa"/>
              </w:tcMar>
            </w:tcPr>
            <w:p w:rsidR="005012EC" w:rsidRPr="00A719A0" w:rsidRDefault="008A37FE" w:rsidP="00A532F6">
              <w:pPr>
                <w:pStyle w:val="Information"/>
                <w:rPr>
                  <w:rFonts w:ascii="Gill Sans Display MT Pro BdCn" w:hAnsi="Gill Sans Display MT Pro BdCn"/>
                  <w:sz w:val="18"/>
                  <w:szCs w:val="18"/>
                </w:rPr>
              </w:pPr>
              <w:r>
                <w:rPr>
                  <w:rFonts w:ascii="Gill Sans Display MT Pro BdCn" w:hAnsi="Gill Sans Display MT Pro BdCn"/>
                  <w:sz w:val="18"/>
                  <w:szCs w:val="18"/>
                </w:rPr>
                <w:t>Rapporto di maggioranza del 11 marzo 2025</w:t>
              </w:r>
            </w:p>
          </w:tc>
        </w:sdtContent>
      </w:sdt>
      <w:tc>
        <w:tcPr>
          <w:tcW w:w="1710" w:type="dxa"/>
          <w:tcBorders>
            <w:top w:val="single" w:sz="4" w:space="0" w:color="auto"/>
          </w:tcBorders>
        </w:tcPr>
        <w:p w:rsidR="005012EC" w:rsidRPr="00A719A0" w:rsidRDefault="007962C4" w:rsidP="00662409">
          <w:pPr>
            <w:pStyle w:val="InvisibleLine"/>
            <w:rPr>
              <w:lang w:val="it-CH"/>
            </w:rPr>
          </w:pPr>
        </w:p>
      </w:tc>
    </w:tr>
  </w:tbl>
  <w:p w:rsidR="00F657BF" w:rsidRPr="00980362" w:rsidRDefault="003875CB"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4424B347-5818-44EA-BDEE-08EEA7BBA84A}"/>
                            <w:text w:multiLine="1"/>
                          </w:sdtPr>
                          <w:sdtEndPr/>
                          <w:sdtContent>
                            <w:p w:rsidR="008065E8" w:rsidRPr="00411371" w:rsidRDefault="003875CB"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49EA349A-1A41-4733-8139-A85F15DB54BD}"/>
                      <w:text w:multiLine="1"/>
                    </w:sdtPr>
                    <w:sdtEndPr/>
                    <w:sdtContent>
                      <w:p w:rsidR="008065E8" w:rsidRPr="00411371" w:rsidRDefault="003875CB"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rsidTr="00CD5F73">
      <w:trPr>
        <w:trHeight w:hRule="exact" w:val="584"/>
      </w:trPr>
      <w:tc>
        <w:tcPr>
          <w:tcW w:w="2440" w:type="pct"/>
          <w:gridSpan w:val="3"/>
          <w:tcBorders>
            <w:top w:val="nil"/>
            <w:left w:val="nil"/>
            <w:bottom w:val="single" w:sz="4" w:space="0" w:color="auto"/>
          </w:tcBorders>
        </w:tcPr>
        <w:p w:rsidR="00662409" w:rsidRDefault="007962C4" w:rsidP="00932E26">
          <w:pPr>
            <w:pStyle w:val="InvisibleLine"/>
            <w:spacing w:line="240" w:lineRule="auto"/>
            <w:ind w:left="15"/>
            <w:rPr>
              <w:rFonts w:ascii="Gill Alt One MT Light" w:hAnsi="Gill Alt One MT Light"/>
              <w:sz w:val="16"/>
              <w:lang w:val="it-CH"/>
            </w:rPr>
          </w:pPr>
        </w:p>
        <w:p w:rsidR="00CD5F73" w:rsidRDefault="003875CB" w:rsidP="00CD5F73">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rsidR="00CD5F73" w:rsidRPr="008966E7" w:rsidRDefault="007962C4" w:rsidP="00932E26">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rsidR="00662409" w:rsidRPr="003108C0" w:rsidRDefault="007962C4" w:rsidP="00D07D6E">
          <w:pPr>
            <w:pStyle w:val="Level"/>
            <w:ind w:left="150"/>
            <w:rPr>
              <w:sz w:val="16"/>
            </w:rPr>
          </w:pPr>
        </w:p>
      </w:tc>
      <w:tc>
        <w:tcPr>
          <w:tcW w:w="209" w:type="pct"/>
          <w:tcBorders>
            <w:top w:val="nil"/>
            <w:bottom w:val="single" w:sz="4" w:space="0" w:color="auto"/>
          </w:tcBorders>
        </w:tcPr>
        <w:p w:rsidR="00662409" w:rsidRDefault="003875CB" w:rsidP="00D07D6E">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6653" cy="467995"/>
                <wp:effectExtent l="0" t="0" r="0" b="8255"/>
                <wp:wrapNone/>
                <wp:docPr id="6" name="ooImg_1697597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662409" w:rsidRPr="004204CB" w:rsidRDefault="003875CB"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BB0110">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BB0110">
            <w:rPr>
              <w:rFonts w:asciiTheme="minorHAnsi" w:hAnsiTheme="minorHAnsi" w:cstheme="minorHAnsi"/>
              <w:noProof/>
              <w:sz w:val="24"/>
            </w:rPr>
            <w:t>4</w:t>
          </w:r>
          <w:r w:rsidRPr="004204CB">
            <w:rPr>
              <w:rFonts w:asciiTheme="minorHAnsi" w:hAnsiTheme="minorHAnsi" w:cstheme="minorHAnsi"/>
              <w:noProof/>
              <w:sz w:val="24"/>
            </w:rPr>
            <w:fldChar w:fldCharType="end"/>
          </w:r>
        </w:p>
      </w:tc>
    </w:tr>
    <w:tr w:rsidR="00912E34" w:rsidRPr="0004624C"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4424B347-5818-44EA-BDEE-08EEA7BBA84A}"/>
          <w:text w:multiLine="1"/>
        </w:sdtPr>
        <w:sdtEndPr/>
        <w:sdtContent>
          <w:tc>
            <w:tcPr>
              <w:tcW w:w="5000" w:type="pct"/>
              <w:gridSpan w:val="6"/>
              <w:tcBorders>
                <w:left w:val="nil"/>
                <w:right w:val="nil"/>
              </w:tcBorders>
              <w:noWrap/>
              <w:tcMar>
                <w:top w:w="0" w:type="dxa"/>
              </w:tcMar>
              <w:vAlign w:val="bottom"/>
            </w:tcPr>
            <w:p w:rsidR="00662409" w:rsidRPr="008C03B5" w:rsidRDefault="008A37FE"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Rapporto di maggioranza</w:t>
              </w:r>
            </w:p>
          </w:tc>
        </w:sdtContent>
      </w:sdt>
    </w:tr>
    <w:tr w:rsidR="008C03B5" w:rsidRPr="0004624C" w:rsidTr="00B76ABD">
      <w:trPr>
        <w:trHeight w:hRule="exact" w:val="306"/>
      </w:trPr>
      <w:tc>
        <w:tcPr>
          <w:tcW w:w="670" w:type="pct"/>
          <w:tcBorders>
            <w:left w:val="nil"/>
            <w:bottom w:val="nil"/>
          </w:tcBorders>
          <w:noWrap/>
          <w:tcMar>
            <w:top w:w="57" w:type="dxa"/>
            <w:left w:w="142" w:type="dxa"/>
          </w:tcMar>
        </w:tcPr>
        <w:p w:rsidR="008C03B5" w:rsidRPr="00C7320A" w:rsidRDefault="003875CB" w:rsidP="002B0F22">
          <w:pPr>
            <w:pStyle w:val="Level"/>
            <w:spacing w:before="60"/>
            <w:rPr>
              <w:rFonts w:ascii="Gill Alt One MT Light" w:hAnsi="Gill Alt One MT Light"/>
              <w:sz w:val="16"/>
            </w:rPr>
          </w:pPr>
          <w:r w:rsidRPr="00C7320A">
            <w:rPr>
              <w:rFonts w:ascii="Gill Alt One MT Light" w:hAnsi="Gill Alt One MT Light"/>
              <w:sz w:val="16"/>
            </w:rPr>
            <w:t>numero</w:t>
          </w:r>
        </w:p>
        <w:p w:rsidR="008C03B5" w:rsidRPr="00C7320A" w:rsidRDefault="007962C4"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8C03B5" w:rsidRPr="00C7320A" w:rsidRDefault="003875CB" w:rsidP="002B0F22">
          <w:pPr>
            <w:pStyle w:val="Level"/>
            <w:spacing w:before="60"/>
            <w:rPr>
              <w:rFonts w:ascii="Gill Alt One MT Light" w:hAnsi="Gill Alt One MT Light"/>
              <w:sz w:val="16"/>
            </w:rPr>
          </w:pPr>
          <w:r w:rsidRPr="00C7320A">
            <w:rPr>
              <w:rFonts w:ascii="Gill Alt One MT Light" w:hAnsi="Gill Alt One MT Light"/>
              <w:sz w:val="16"/>
            </w:rPr>
            <w:t>data</w:t>
          </w:r>
        </w:p>
        <w:p w:rsidR="008C03B5" w:rsidRPr="00C7320A" w:rsidRDefault="007962C4"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8C03B5" w:rsidRPr="00C7320A" w:rsidRDefault="003875CB" w:rsidP="002B0F22">
          <w:pPr>
            <w:pStyle w:val="Level"/>
            <w:spacing w:before="60"/>
            <w:rPr>
              <w:rFonts w:ascii="Gill Alt One MT Light" w:hAnsi="Gill Alt One MT Light"/>
              <w:sz w:val="16"/>
            </w:rPr>
          </w:pPr>
          <w:r>
            <w:rPr>
              <w:rFonts w:ascii="Gill Alt One MT Light" w:hAnsi="Gill Alt One MT Light"/>
              <w:sz w:val="16"/>
            </w:rPr>
            <w:t>competenza</w:t>
          </w:r>
        </w:p>
        <w:p w:rsidR="008C03B5" w:rsidRPr="008C03B5" w:rsidRDefault="007962C4" w:rsidP="002B0F22">
          <w:pPr>
            <w:pStyle w:val="Level"/>
            <w:spacing w:before="60" w:line="240" w:lineRule="auto"/>
            <w:rPr>
              <w:rFonts w:ascii="Gill Alt One MT Light" w:hAnsi="Gill Alt One MT Light"/>
              <w:sz w:val="16"/>
            </w:rPr>
          </w:pPr>
        </w:p>
      </w:tc>
    </w:tr>
    <w:tr w:rsidR="008C03B5" w:rsidRPr="0004624C" w:rsidTr="008C03B5">
      <w:trPr>
        <w:trHeight w:hRule="exact" w:val="699"/>
      </w:trPr>
      <w:tc>
        <w:tcPr>
          <w:tcW w:w="670" w:type="pct"/>
          <w:tcBorders>
            <w:top w:val="nil"/>
            <w:left w:val="nil"/>
            <w:bottom w:val="single" w:sz="4" w:space="0" w:color="auto"/>
            <w:right w:val="nil"/>
          </w:tcBorders>
          <w:noWrap/>
          <w:tcMar>
            <w:top w:w="0" w:type="dxa"/>
          </w:tcMar>
        </w:tcPr>
        <w:p w:rsidR="008C03B5" w:rsidRPr="00BE22A2" w:rsidRDefault="007962C4"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4424B347-5818-44EA-BDEE-08EEA7BBA84A}"/>
              <w:text w:multiLine="1"/>
            </w:sdtPr>
            <w:sdtEndPr/>
            <w:sdtContent>
              <w:r w:rsidR="003875CB" w:rsidRPr="00BE22A2">
                <w:rPr>
                  <w:rFonts w:cstheme="minorHAnsi"/>
                  <w:b/>
                  <w:sz w:val="24"/>
                  <w:szCs w:val="24"/>
                </w:rPr>
                <w:t xml:space="preserve"> </w:t>
              </w:r>
            </w:sdtContent>
          </w:sdt>
        </w:p>
      </w:tc>
      <w:sdt>
        <w:sdtPr>
          <w:rPr>
            <w:sz w:val="24"/>
          </w:rPr>
          <w:alias w:val="DocParam.Date"/>
          <w:id w:val="-464426178"/>
          <w:dataBinding w:xpath="//DateTime[@id='DocParam.Date']" w:storeItemID="{4424B347-5818-44EA-BDEE-08EEA7BBA84A}"/>
          <w:date w:fullDate="2025-03-11T01: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rsidR="008C03B5" w:rsidRPr="002A0371" w:rsidRDefault="008A37FE" w:rsidP="00A532F6">
              <w:pPr>
                <w:pStyle w:val="Data"/>
              </w:pPr>
              <w:r>
                <w:rPr>
                  <w:sz w:val="24"/>
                </w:rPr>
                <w:t>11 marzo 2025</w:t>
              </w:r>
            </w:p>
          </w:tc>
        </w:sdtContent>
      </w:sdt>
      <w:tc>
        <w:tcPr>
          <w:tcW w:w="3218" w:type="pct"/>
          <w:gridSpan w:val="4"/>
          <w:tcBorders>
            <w:top w:val="nil"/>
            <w:left w:val="nil"/>
            <w:bottom w:val="nil"/>
            <w:right w:val="nil"/>
          </w:tcBorders>
        </w:tcPr>
        <w:p w:rsidR="008C03B5" w:rsidRPr="00BE22A2" w:rsidRDefault="007962C4"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4424B347-5818-44EA-BDEE-08EEA7BBA84A}"/>
              <w:text w:multiLine="1"/>
            </w:sdtPr>
            <w:sdtEndPr/>
            <w:sdtContent>
              <w:r w:rsidR="008A37FE">
                <w:rPr>
                  <w:smallCaps/>
                  <w:sz w:val="23"/>
                  <w:szCs w:val="23"/>
                </w:rPr>
                <w:t>Dipartimento della sanità e della socialità</w:t>
              </w:r>
            </w:sdtContent>
          </w:sdt>
        </w:p>
      </w:tc>
    </w:tr>
    <w:tr w:rsidR="00912E34" w:rsidRPr="00C63927" w:rsidTr="0098208F">
      <w:trPr>
        <w:trHeight w:hRule="exact" w:val="198"/>
      </w:trPr>
      <w:tc>
        <w:tcPr>
          <w:tcW w:w="5000" w:type="pct"/>
          <w:gridSpan w:val="6"/>
          <w:tcBorders>
            <w:left w:val="nil"/>
            <w:bottom w:val="nil"/>
            <w:right w:val="nil"/>
          </w:tcBorders>
          <w:noWrap/>
          <w:tcMar>
            <w:top w:w="57" w:type="dxa"/>
            <w:left w:w="85" w:type="dxa"/>
            <w:bottom w:w="170" w:type="dxa"/>
          </w:tcMar>
        </w:tcPr>
        <w:p w:rsidR="00662409" w:rsidRPr="00C7320A" w:rsidRDefault="007962C4" w:rsidP="00D07D6E">
          <w:pPr>
            <w:pStyle w:val="Level"/>
            <w:ind w:left="150"/>
            <w:rPr>
              <w:rFonts w:ascii="Gill Alt One MT Light" w:hAnsi="Gill Alt One MT Light"/>
              <w:sz w:val="16"/>
              <w:szCs w:val="16"/>
            </w:rPr>
          </w:pPr>
        </w:p>
      </w:tc>
    </w:tr>
  </w:tbl>
  <w:p w:rsidR="00F657BF" w:rsidRPr="00DA2879" w:rsidRDefault="003875CB"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9464" cy="467995"/>
          <wp:effectExtent l="0" t="0" r="0" b="8255"/>
          <wp:wrapNone/>
          <wp:docPr id="7" name="ooImg_1205667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4424B347-5818-44EA-BDEE-08EEA7BBA84A}"/>
                            <w:text w:multiLine="1"/>
                          </w:sdtPr>
                          <w:sdtEndPr/>
                          <w:sdtContent>
                            <w:p w:rsidR="00E93620" w:rsidRPr="00411371" w:rsidRDefault="003875CB"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49EA349A-1A41-4733-8139-A85F15DB54BD}"/>
                      <w:text w:multiLine="1"/>
                    </w:sdtPr>
                    <w:sdtEndPr/>
                    <w:sdtContent>
                      <w:p w:rsidR="00E93620" w:rsidRPr="00411371" w:rsidRDefault="003875CB"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89200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54F4C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0C28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EA68AA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72911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E3E54B7"/>
    <w:multiLevelType w:val="multilevel"/>
    <w:tmpl w:val="953CA1B2"/>
    <w:styleLink w:val="HeadingList"/>
    <w:lvl w:ilvl="0">
      <w:start w:val="1"/>
      <w:numFmt w:val="decimal"/>
      <w:lvlText w:val="%1"/>
      <w:lvlJc w:val="left"/>
      <w:pPr>
        <w:ind w:left="363" w:hanging="363"/>
      </w:pPr>
      <w:rPr>
        <w:rFonts w:asciiTheme="majorHAnsi" w:hAnsiTheme="majorHAnsi" w:hint="default"/>
      </w:rPr>
    </w:lvl>
    <w:lvl w:ilvl="1">
      <w:start w:val="1"/>
      <w:numFmt w:val="decimal"/>
      <w:lvlText w:val="%1.%2"/>
      <w:lvlJc w:val="left"/>
      <w:pPr>
        <w:ind w:left="544" w:hanging="544"/>
      </w:pPr>
      <w:rPr>
        <w:rFonts w:hint="default"/>
      </w:rPr>
    </w:lvl>
    <w:lvl w:ilvl="2">
      <w:start w:val="1"/>
      <w:numFmt w:val="decimal"/>
      <w:lvlText w:val="%1.%2.%3"/>
      <w:lvlJc w:val="left"/>
      <w:pPr>
        <w:ind w:left="726" w:hanging="726"/>
      </w:pPr>
      <w:rPr>
        <w:rFonts w:hint="default"/>
      </w:rPr>
    </w:lvl>
    <w:lvl w:ilvl="3">
      <w:start w:val="1"/>
      <w:numFmt w:val="decimal"/>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49D524CC"/>
    <w:multiLevelType w:val="multilevel"/>
    <w:tmpl w:val="953CA1B2"/>
    <w:numStyleLink w:val="HeadingList"/>
  </w:abstractNum>
  <w:num w:numId="1">
    <w:abstractNumId w:val="11"/>
  </w:num>
  <w:num w:numId="2">
    <w:abstractNumId w:val="16"/>
    <w:lvlOverride w:ilvl="0">
      <w:lvl w:ilvl="0">
        <w:start w:val="1"/>
        <w:numFmt w:val="decimal"/>
        <w:lvlText w:val="%1"/>
        <w:lvlJc w:val="left"/>
        <w:pPr>
          <w:ind w:left="363" w:hanging="363"/>
        </w:pPr>
        <w:rPr>
          <w:rFonts w:ascii="Arial" w:hAnsi="Arial" w:cs="Arial" w:hint="default"/>
        </w:rPr>
      </w:lvl>
    </w:lvlOverride>
  </w:num>
  <w:num w:numId="3">
    <w:abstractNumId w:val="10"/>
  </w:num>
  <w:num w:numId="4">
    <w:abstractNumId w:val="15"/>
  </w:num>
  <w:num w:numId="5">
    <w:abstractNumId w:val="14"/>
  </w:num>
  <w:num w:numId="6">
    <w:abstractNumId w:val="12"/>
  </w:num>
  <w:num w:numId="7">
    <w:abstractNumId w:val="13"/>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19A0"/>
    <w:rsid w:val="00096827"/>
    <w:rsid w:val="00112666"/>
    <w:rsid w:val="001269CC"/>
    <w:rsid w:val="002B5D9F"/>
    <w:rsid w:val="003875CB"/>
    <w:rsid w:val="003B756D"/>
    <w:rsid w:val="00403ADB"/>
    <w:rsid w:val="00545734"/>
    <w:rsid w:val="00572FD3"/>
    <w:rsid w:val="005F53C9"/>
    <w:rsid w:val="00600965"/>
    <w:rsid w:val="00690A25"/>
    <w:rsid w:val="006A7114"/>
    <w:rsid w:val="00765DE2"/>
    <w:rsid w:val="00781876"/>
    <w:rsid w:val="007962C4"/>
    <w:rsid w:val="0085499D"/>
    <w:rsid w:val="008720C4"/>
    <w:rsid w:val="008A37FE"/>
    <w:rsid w:val="008F52AF"/>
    <w:rsid w:val="008F6BA6"/>
    <w:rsid w:val="00923F26"/>
    <w:rsid w:val="009C5E5A"/>
    <w:rsid w:val="00A719A0"/>
    <w:rsid w:val="00AF0268"/>
    <w:rsid w:val="00BB0110"/>
    <w:rsid w:val="00BF0A1F"/>
    <w:rsid w:val="00C004C4"/>
    <w:rsid w:val="00C51C8A"/>
    <w:rsid w:val="00D03ABB"/>
    <w:rsid w:val="00D33940"/>
    <w:rsid w:val="00D600FD"/>
    <w:rsid w:val="00D649A8"/>
    <w:rsid w:val="00DA796E"/>
    <w:rsid w:val="00EB088A"/>
    <w:rsid w:val="00EE2C9C"/>
    <w:rsid w:val="00F657BF"/>
    <w:rsid w:val="00FF5A6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4576027"/>
  <w15:docId w15:val="{6A1B23FB-A37B-46CE-BDF2-F99051EC3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qFormat/>
    <w:rsid w:val="006F0D42"/>
    <w:pPr>
      <w:keepNext/>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customStyle="1" w:styleId="EtiketteSender1">
    <w:name w:val="EtiketteSender1"/>
    <w:basedOn w:val="Normale"/>
    <w:rsid w:val="007B4E2C"/>
    <w:pPr>
      <w:tabs>
        <w:tab w:val="right" w:pos="4933"/>
      </w:tabs>
      <w:jc w:val="left"/>
    </w:pPr>
    <w:rPr>
      <w:rFonts w:ascii="Gill Sans Display MT Pro BdCn" w:hAnsi="Gill Sans Display MT Pro BdCn"/>
      <w:sz w:val="20"/>
    </w:rPr>
  </w:style>
  <w:style w:type="paragraph" w:customStyle="1" w:styleId="EtiketteRecipient1">
    <w:name w:val="EtiketteRecipient1"/>
    <w:basedOn w:val="EtiketteSender1"/>
    <w:rsid w:val="00A2197E"/>
    <w:rPr>
      <w:rFonts w:ascii="Arial" w:hAnsi="Arial"/>
      <w:sz w:val="22"/>
    </w:rPr>
  </w:style>
  <w:style w:type="paragraph" w:styleId="Testofumetto">
    <w:name w:val="Balloon Text"/>
    <w:basedOn w:val="Normale"/>
    <w:link w:val="TestofumettoCarattere"/>
    <w:uiPriority w:val="99"/>
    <w:semiHidden/>
    <w:unhideWhenUsed/>
    <w:rsid w:val="001269CC"/>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1269CC"/>
    <w:rPr>
      <w:rFonts w:ascii="Segoe UI" w:hAnsi="Segoe UI" w:cs="Segoe UI"/>
      <w:sz w:val="18"/>
      <w:szCs w:val="18"/>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28124\AppData\Local\Temp\primedocs\generated\d88578e3-2d10-4e00-9bd4-fa61558936b0.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2.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1697597196</Id>
      <Width>0</Width>
      <Height>0</Height>
      <XPath>//Image[@id='Profile.Org.WappenSW']</XPath>
      <ImageHash>02f1c0cdac6aeac316213b2e7cb733a0</ImageHash>
    </ImageSizeDefinition>
    <ImageSizeDefinition>
      <Id>1205667165</Id>
      <Width>0</Width>
      <Height>0</Height>
      <XPath>//Image[@id='Profile.Org.Logo']</XPath>
      <ImageHash>c45d7cd7b68e3e6ca57220766e88079c</ImageHash>
    </ImageSizeDefinition>
  </ImageDefinitions>
</OneOffixxImageDefinitionPart>
</file>

<file path=customXml/item3.xml><?xml version="1.0" encoding="utf-8"?>
<OneOffixxExtendedBindingPart xmlns:xsd="http://www.w3.org/2001/XMLSchema" xmlns:xsi="http://www.w3.org/2001/XMLSchema-instance" xmlns="http://schema.oneoffixx.com/OneOffixxExtendedBindingPart/1">
  <ExtendedBindings/>
</OneOffixxExtendedBindingPart>
</file>

<file path=customXml/item4.xml>�� 
</file>

<file path=customXml/itemProps1.xml><?xml version="1.0" encoding="utf-8"?>
<ds:datastoreItem xmlns:ds="http://schemas.openxmlformats.org/officeDocument/2006/customXml" ds:itemID="{6F7C06EC-4EAE-4845-BBCA-E1D23FDF529C}">
  <ds:schemaRefs>
    <ds:schemaRef ds:uri="http://www.w3.org/2001/XMLSchema"/>
    <ds:schemaRef ds:uri="http://schema.oneoffixx.com/OneOffixxFormattingPart/1"/>
    <ds:schemaRef ds:uri=""/>
  </ds:schemaRefs>
</ds:datastoreItem>
</file>

<file path=customXml/itemProps2.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3.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4.xml><?xml version="1.0" encoding="utf-8"?>
<ds:datastoreItem xmlns:ds="http://schemas.openxmlformats.org/officeDocument/2006/customXml" ds:itemID="{4424B347-5818-44EA-BDEE-08EEA7BBA84A}">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d88578e3-2d10-4e00-9bd4-fa61558936b0.dotx</Template>
  <TotalTime>11</TotalTime>
  <Pages>4</Pages>
  <Words>966</Words>
  <Characters>5589</Characters>
  <Application>Microsoft Office Word</Application>
  <DocSecurity>0</DocSecurity>
  <Lines>399</Lines>
  <Paragraphs>273</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6282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Venturi Luca / T128124</dc:creator>
  <cp:lastModifiedBy>Venturi Luca</cp:lastModifiedBy>
  <cp:revision>23</cp:revision>
  <cp:lastPrinted>2025-03-11T14:01:00Z</cp:lastPrinted>
  <dcterms:created xsi:type="dcterms:W3CDTF">2025-03-11T13:52:00Z</dcterms:created>
  <dcterms:modified xsi:type="dcterms:W3CDTF">2025-03-18T16:35:00Z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