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BA2BB8" w:rsidRDefault="00BA2BB8">
      <w:pPr>
        <w:rPr>
          <w:rFonts w:ascii="Gill Sans MT" w:hAnsi="Gill Sans MT"/>
          <w:b/>
          <w:sz w:val="52"/>
          <w:szCs w:val="52"/>
        </w:rPr>
      </w:pPr>
      <w:r w:rsidRPr="00BA2BB8">
        <w:rPr>
          <w:rFonts w:ascii="Gill Sans MT" w:hAnsi="Gill Sans MT"/>
          <w:b/>
          <w:sz w:val="52"/>
          <w:szCs w:val="52"/>
        </w:rPr>
        <w:t>Messaggio</w:t>
      </w:r>
    </w:p>
    <w:p w:rsidR="00BF3FC3" w:rsidRDefault="00BF3FC3"/>
    <w:p w:rsidR="00DF434B" w:rsidRDefault="00DF434B"/>
    <w:p w:rsidR="00BF3FC3" w:rsidRDefault="00BF3FC3"/>
    <w:p w:rsidR="00BF3FC3" w:rsidRDefault="003079EA">
      <w:pPr>
        <w:tabs>
          <w:tab w:val="left" w:pos="2098"/>
          <w:tab w:val="left" w:pos="4933"/>
        </w:tabs>
      </w:pPr>
      <w:r>
        <w:rPr>
          <w:b/>
          <w:sz w:val="32"/>
        </w:rPr>
        <w:t>7585</w:t>
      </w:r>
      <w:r w:rsidR="00BF3FC3">
        <w:rPr>
          <w:sz w:val="28"/>
        </w:rPr>
        <w:tab/>
      </w:r>
      <w:r>
        <w:rPr>
          <w:sz w:val="28"/>
        </w:rPr>
        <w:t>3 ottobre 2</w:t>
      </w:r>
      <w:bookmarkStart w:id="0" w:name="_GoBack"/>
      <w:bookmarkEnd w:id="0"/>
      <w:r>
        <w:rPr>
          <w:sz w:val="28"/>
        </w:rPr>
        <w:t>018</w:t>
      </w:r>
      <w:r w:rsidR="00BF3FC3">
        <w:rPr>
          <w:sz w:val="28"/>
        </w:rPr>
        <w:tab/>
      </w:r>
      <w:r>
        <w:rPr>
          <w:sz w:val="28"/>
        </w:rPr>
        <w:t>EDUCAZIONE, CULTURA E SPORT</w:t>
      </w:r>
    </w:p>
    <w:p w:rsidR="00BF3FC3" w:rsidRDefault="00BF3FC3"/>
    <w:p w:rsidR="00FD5A47" w:rsidRDefault="00FD5A47"/>
    <w:p w:rsidR="00BF3FC3" w:rsidRDefault="00BF3FC3"/>
    <w:p w:rsidR="0024207A" w:rsidRPr="003E1AB6" w:rsidRDefault="0024207A" w:rsidP="0024207A">
      <w:pPr>
        <w:rPr>
          <w:rFonts w:cs="Arial"/>
          <w:b/>
          <w:sz w:val="28"/>
          <w:szCs w:val="28"/>
        </w:rPr>
      </w:pPr>
      <w:r w:rsidRPr="003E1AB6">
        <w:rPr>
          <w:rFonts w:cs="Arial"/>
          <w:b/>
          <w:sz w:val="28"/>
          <w:szCs w:val="28"/>
        </w:rPr>
        <w:t xml:space="preserve">Resoconto </w:t>
      </w:r>
      <w:r>
        <w:rPr>
          <w:rFonts w:cs="Arial"/>
          <w:b/>
          <w:sz w:val="28"/>
          <w:szCs w:val="28"/>
        </w:rPr>
        <w:t>sui c</w:t>
      </w:r>
      <w:r w:rsidRPr="003E1AB6">
        <w:rPr>
          <w:rFonts w:cs="Arial"/>
          <w:b/>
          <w:sz w:val="28"/>
          <w:szCs w:val="28"/>
        </w:rPr>
        <w:t>ontratti di prestazion</w:t>
      </w:r>
      <w:r>
        <w:rPr>
          <w:rFonts w:cs="Arial"/>
          <w:b/>
          <w:sz w:val="28"/>
          <w:szCs w:val="28"/>
        </w:rPr>
        <w:t>i</w:t>
      </w:r>
      <w:r w:rsidRPr="003E1AB6">
        <w:rPr>
          <w:rFonts w:cs="Arial"/>
          <w:b/>
          <w:sz w:val="28"/>
          <w:szCs w:val="28"/>
        </w:rPr>
        <w:t xml:space="preserve"> 201</w:t>
      </w:r>
      <w:r>
        <w:rPr>
          <w:rFonts w:cs="Arial"/>
          <w:b/>
          <w:sz w:val="28"/>
          <w:szCs w:val="28"/>
        </w:rPr>
        <w:t>7</w:t>
      </w:r>
      <w:r w:rsidRPr="003E1AB6">
        <w:rPr>
          <w:rFonts w:cs="Arial"/>
          <w:b/>
          <w:sz w:val="28"/>
          <w:szCs w:val="28"/>
        </w:rPr>
        <w:t xml:space="preserve"> tra il Cantone Ticino e l’Università della Svizzera italiana</w:t>
      </w:r>
      <w:r>
        <w:rPr>
          <w:rFonts w:cs="Arial"/>
          <w:b/>
          <w:sz w:val="28"/>
          <w:szCs w:val="28"/>
        </w:rPr>
        <w:t>,</w:t>
      </w:r>
      <w:r w:rsidRPr="003E1AB6">
        <w:rPr>
          <w:rFonts w:cs="Arial"/>
          <w:b/>
          <w:sz w:val="28"/>
          <w:szCs w:val="28"/>
        </w:rPr>
        <w:t xml:space="preserve"> la Scuola universitaria profes</w:t>
      </w:r>
      <w:r>
        <w:rPr>
          <w:rFonts w:cs="Arial"/>
          <w:b/>
          <w:sz w:val="28"/>
          <w:szCs w:val="28"/>
        </w:rPr>
        <w:t>sionale della Svizzera italiana</w:t>
      </w:r>
      <w:r w:rsidRPr="003E1AB6">
        <w:rPr>
          <w:rFonts w:cs="Arial"/>
          <w:b/>
          <w:sz w:val="28"/>
          <w:szCs w:val="28"/>
        </w:rPr>
        <w:t xml:space="preserve"> </w:t>
      </w:r>
      <w:r>
        <w:rPr>
          <w:rFonts w:cs="Arial"/>
          <w:b/>
          <w:sz w:val="28"/>
          <w:szCs w:val="28"/>
        </w:rPr>
        <w:t>e</w:t>
      </w:r>
      <w:r w:rsidRPr="003E1AB6">
        <w:rPr>
          <w:rFonts w:cs="Arial"/>
          <w:b/>
          <w:sz w:val="28"/>
          <w:szCs w:val="28"/>
        </w:rPr>
        <w:t xml:space="preserve"> il Dipartimento formazione e apprendimento della SUPSI</w:t>
      </w:r>
    </w:p>
    <w:p w:rsidR="00BF3FC3" w:rsidRDefault="00BF3FC3"/>
    <w:p w:rsidR="00FD5A47" w:rsidRDefault="00FD5A47"/>
    <w:p w:rsidR="00BF3FC3" w:rsidRDefault="00BF3FC3"/>
    <w:p w:rsidR="00BF3FC3" w:rsidRDefault="00BF3FC3">
      <w:r>
        <w:t>Signor</w:t>
      </w:r>
      <w:r w:rsidR="00296F84">
        <w:t>a</w:t>
      </w:r>
      <w:r>
        <w:t xml:space="preserve"> Presidente,</w:t>
      </w:r>
    </w:p>
    <w:p w:rsidR="00BF3FC3" w:rsidRDefault="00BF3FC3">
      <w:r>
        <w:t>signore e signori deputati,</w:t>
      </w:r>
    </w:p>
    <w:p w:rsidR="00FD5A47" w:rsidRDefault="00FD5A47"/>
    <w:p w:rsidR="0024207A" w:rsidRPr="003003BD" w:rsidRDefault="0024207A" w:rsidP="0024207A">
      <w:pPr>
        <w:rPr>
          <w:noProof/>
        </w:rPr>
      </w:pPr>
      <w:bookmarkStart w:id="1" w:name="_Toc241919558"/>
      <w:bookmarkStart w:id="2" w:name="_Toc241919588"/>
      <w:bookmarkStart w:id="3" w:name="_Toc241920451"/>
      <w:bookmarkStart w:id="4" w:name="_Toc241920711"/>
      <w:bookmarkStart w:id="5" w:name="_Toc242173245"/>
      <w:r w:rsidRPr="00853AD2">
        <w:t xml:space="preserve">il </w:t>
      </w:r>
      <w:r>
        <w:t>messaggio</w:t>
      </w:r>
      <w:r w:rsidRPr="00853AD2">
        <w:t xml:space="preserve"> che vi </w:t>
      </w:r>
      <w:r>
        <w:t>viene sottoposto risponde a quanto prescritto</w:t>
      </w:r>
      <w:r w:rsidRPr="00853AD2">
        <w:t xml:space="preserve"> </w:t>
      </w:r>
      <w:r>
        <w:t>dall’</w:t>
      </w:r>
      <w:r w:rsidRPr="00853AD2">
        <w:t>'art</w:t>
      </w:r>
      <w:r>
        <w:t xml:space="preserve">. </w:t>
      </w:r>
      <w:r w:rsidRPr="00853AD2">
        <w:t xml:space="preserve">3 cpv. 1 </w:t>
      </w:r>
      <w:proofErr w:type="spellStart"/>
      <w:r w:rsidRPr="00853AD2">
        <w:t>lett</w:t>
      </w:r>
      <w:proofErr w:type="spellEnd"/>
      <w:r w:rsidRPr="00853AD2">
        <w:t>. d) ed e) della Legge sull’Università della Svizzera italiana, sulla Scuola universitaria professionale della Svizzera italiana e sugli Istituti di ricerca del 3 ottobre 1995 (LUSI/SUPSI)</w:t>
      </w:r>
      <w:r>
        <w:t xml:space="preserve">. </w:t>
      </w:r>
      <w:r w:rsidRPr="00853AD2">
        <w:t>Le disposizioni citate prevedono</w:t>
      </w:r>
      <w:r>
        <w:t>,</w:t>
      </w:r>
      <w:r w:rsidRPr="00853AD2">
        <w:t xml:space="preserve"> </w:t>
      </w:r>
      <w:r>
        <w:t xml:space="preserve">infatti, </w:t>
      </w:r>
      <w:r w:rsidRPr="00853AD2">
        <w:t xml:space="preserve">che il Gran Consiglio </w:t>
      </w:r>
      <w:r w:rsidRPr="00CC0346">
        <w:t>v</w:t>
      </w:r>
      <w:r w:rsidRPr="00CC0346">
        <w:rPr>
          <w:noProof/>
        </w:rPr>
        <w:t xml:space="preserve">erifichi </w:t>
      </w:r>
      <w:r w:rsidRPr="003003BD">
        <w:rPr>
          <w:noProof/>
        </w:rPr>
        <w:t xml:space="preserve">annualmente la politica universitaria trascorsa, l’utilizzo del contributo di gestione, così come il raggiungimento degli obiettivi del </w:t>
      </w:r>
      <w:r>
        <w:rPr>
          <w:noProof/>
        </w:rPr>
        <w:t>c</w:t>
      </w:r>
      <w:r w:rsidRPr="003003BD">
        <w:rPr>
          <w:noProof/>
        </w:rPr>
        <w:t>ontratto di prestazioni (</w:t>
      </w:r>
      <w:r>
        <w:rPr>
          <w:noProof/>
        </w:rPr>
        <w:t>C</w:t>
      </w:r>
      <w:r w:rsidRPr="003003BD">
        <w:rPr>
          <w:noProof/>
        </w:rPr>
        <w:t xml:space="preserve">dp). </w:t>
      </w:r>
    </w:p>
    <w:p w:rsidR="0024207A" w:rsidRPr="00BA2BB8" w:rsidRDefault="0024207A" w:rsidP="0024207A">
      <w:pPr>
        <w:rPr>
          <w:noProof/>
          <w:sz w:val="20"/>
        </w:rPr>
      </w:pPr>
    </w:p>
    <w:p w:rsidR="0024207A" w:rsidRPr="003003BD" w:rsidRDefault="0024207A" w:rsidP="0024207A">
      <w:pPr>
        <w:rPr>
          <w:noProof/>
        </w:rPr>
      </w:pPr>
      <w:r w:rsidRPr="003003BD">
        <w:rPr>
          <w:noProof/>
        </w:rPr>
        <w:t xml:space="preserve">Il </w:t>
      </w:r>
      <w:r>
        <w:rPr>
          <w:noProof/>
        </w:rPr>
        <w:t>m</w:t>
      </w:r>
      <w:r w:rsidRPr="003003BD">
        <w:rPr>
          <w:noProof/>
        </w:rPr>
        <w:t>essaggio si basa in special modo sui documenti seguenti:</w:t>
      </w:r>
    </w:p>
    <w:p w:rsidR="0024207A" w:rsidRPr="003003BD" w:rsidRDefault="0024207A" w:rsidP="0024207A">
      <w:pPr>
        <w:numPr>
          <w:ilvl w:val="0"/>
          <w:numId w:val="32"/>
        </w:numPr>
        <w:tabs>
          <w:tab w:val="clear" w:pos="720"/>
          <w:tab w:val="num" w:pos="284"/>
          <w:tab w:val="left" w:pos="1134"/>
          <w:tab w:val="left" w:pos="1701"/>
        </w:tabs>
        <w:spacing w:before="60"/>
        <w:ind w:left="284" w:hanging="284"/>
        <w:rPr>
          <w:noProof/>
        </w:rPr>
      </w:pPr>
      <w:r w:rsidRPr="003003BD">
        <w:rPr>
          <w:noProof/>
        </w:rPr>
        <w:t>per l’Università della Svizzera italiana (USI): il Rap</w:t>
      </w:r>
      <w:r>
        <w:rPr>
          <w:noProof/>
        </w:rPr>
        <w:t>porto sull’anno accademico 2016/</w:t>
      </w:r>
      <w:r w:rsidRPr="003003BD">
        <w:rPr>
          <w:noProof/>
        </w:rPr>
        <w:t xml:space="preserve">17, il Rapporto di revisione del </w:t>
      </w:r>
      <w:r w:rsidRPr="003003BD">
        <w:rPr>
          <w:szCs w:val="24"/>
        </w:rPr>
        <w:t>Controllo cantonale delle finanze (CCF) per l’anno 2017, nonché la</w:t>
      </w:r>
      <w:r w:rsidRPr="003003BD">
        <w:rPr>
          <w:noProof/>
        </w:rPr>
        <w:t xml:space="preserve"> Valutazione per il Consiglio di Stato degli obiettivi del </w:t>
      </w:r>
      <w:r>
        <w:rPr>
          <w:noProof/>
        </w:rPr>
        <w:t>C</w:t>
      </w:r>
      <w:r w:rsidRPr="003003BD">
        <w:rPr>
          <w:noProof/>
        </w:rPr>
        <w:t>dp per il 2017;</w:t>
      </w:r>
    </w:p>
    <w:p w:rsidR="0024207A" w:rsidRPr="00CC0346" w:rsidRDefault="0024207A" w:rsidP="0024207A">
      <w:pPr>
        <w:numPr>
          <w:ilvl w:val="0"/>
          <w:numId w:val="32"/>
        </w:numPr>
        <w:tabs>
          <w:tab w:val="clear" w:pos="720"/>
          <w:tab w:val="num" w:pos="284"/>
          <w:tab w:val="left" w:pos="1134"/>
          <w:tab w:val="left" w:pos="1701"/>
        </w:tabs>
        <w:spacing w:before="60"/>
        <w:ind w:left="284" w:hanging="284"/>
        <w:rPr>
          <w:noProof/>
        </w:rPr>
      </w:pPr>
      <w:r w:rsidRPr="003003BD">
        <w:rPr>
          <w:noProof/>
        </w:rPr>
        <w:t xml:space="preserve">per la Scuola universitaria professionale della Svizzera italiana (SUPSI): il Rapporto sull’anno accademico </w:t>
      </w:r>
      <w:r>
        <w:rPr>
          <w:noProof/>
        </w:rPr>
        <w:t>2016/</w:t>
      </w:r>
      <w:r w:rsidRPr="003003BD">
        <w:rPr>
          <w:noProof/>
        </w:rPr>
        <w:t xml:space="preserve">2017, il Rapporto di revisione del </w:t>
      </w:r>
      <w:r w:rsidRPr="003003BD">
        <w:rPr>
          <w:szCs w:val="24"/>
        </w:rPr>
        <w:t xml:space="preserve">Controllo cantonale delle finanze (CCF) per l’anno 2017, nonché la </w:t>
      </w:r>
      <w:r w:rsidRPr="003003BD">
        <w:rPr>
          <w:noProof/>
        </w:rPr>
        <w:t xml:space="preserve">Valutazione per il Consiglio di Stato degli obiettivi del </w:t>
      </w:r>
      <w:r>
        <w:rPr>
          <w:noProof/>
        </w:rPr>
        <w:t>C</w:t>
      </w:r>
      <w:r w:rsidRPr="003003BD">
        <w:rPr>
          <w:noProof/>
        </w:rPr>
        <w:t>dp e del mandato di prestazioni del Dipartimento formazione e apprendimento (DFA) per il 2017</w:t>
      </w:r>
      <w:r w:rsidRPr="00CC0346">
        <w:rPr>
          <w:noProof/>
        </w:rPr>
        <w:t>.</w:t>
      </w:r>
    </w:p>
    <w:p w:rsidR="0024207A" w:rsidRPr="00BA2BB8" w:rsidRDefault="0024207A" w:rsidP="0024207A">
      <w:pPr>
        <w:rPr>
          <w:sz w:val="20"/>
        </w:rPr>
      </w:pPr>
    </w:p>
    <w:p w:rsidR="0024207A" w:rsidRDefault="0024207A" w:rsidP="0024207A">
      <w:r>
        <w:t>L’obiettivo del presente</w:t>
      </w:r>
      <w:r w:rsidRPr="00CC0346">
        <w:t xml:space="preserve"> resoconto è </w:t>
      </w:r>
      <w:r>
        <w:t>di esporre la verifica effettuata riguardo</w:t>
      </w:r>
      <w:r w:rsidRPr="00CC0346">
        <w:t xml:space="preserve"> </w:t>
      </w:r>
      <w:r>
        <w:t>al</w:t>
      </w:r>
      <w:r w:rsidRPr="00CC0346">
        <w:t xml:space="preserve">l’ottemperanza alle condizioni espresse nei </w:t>
      </w:r>
      <w:proofErr w:type="spellStart"/>
      <w:r>
        <w:t>C</w:t>
      </w:r>
      <w:r w:rsidRPr="00CC0346">
        <w:t>dp</w:t>
      </w:r>
      <w:proofErr w:type="spellEnd"/>
      <w:r>
        <w:t>. Tale verifica si esplica</w:t>
      </w:r>
      <w:r w:rsidRPr="00CC0346">
        <w:t xml:space="preserve"> valutando il grado di raggiungimento degli obiettivi </w:t>
      </w:r>
      <w:r>
        <w:t>per mezzo dell</w:t>
      </w:r>
      <w:r w:rsidRPr="00CC0346">
        <w:t>’analisi delle attività e degli indicatori qualitativi e quantitativi</w:t>
      </w:r>
      <w:r>
        <w:t xml:space="preserve"> messi a punto e</w:t>
      </w:r>
      <w:r w:rsidRPr="00CC0346">
        <w:t xml:space="preserve"> misurati annualmente</w:t>
      </w:r>
      <w:r w:rsidRPr="00E351D0">
        <w:t xml:space="preserve"> da entrambi gli enti universitari. La qualità delle prestazioni offerte è un fattore determinante per il riconoscimento universitario a livello regionale, nazionale ed internazionale.</w:t>
      </w:r>
    </w:p>
    <w:p w:rsidR="0024207A" w:rsidRDefault="0024207A" w:rsidP="0024207A">
      <w:pPr>
        <w:rPr>
          <w:szCs w:val="24"/>
        </w:rPr>
      </w:pPr>
    </w:p>
    <w:p w:rsidR="0024207A" w:rsidRDefault="0024207A" w:rsidP="0024207A">
      <w:pPr>
        <w:rPr>
          <w:szCs w:val="24"/>
        </w:rPr>
      </w:pPr>
    </w:p>
    <w:p w:rsidR="0024207A" w:rsidRPr="0024207A" w:rsidRDefault="0024207A" w:rsidP="0024207A">
      <w:pPr>
        <w:pStyle w:val="Titolo1"/>
      </w:pPr>
      <w:bookmarkStart w:id="6" w:name="_Toc241919534"/>
      <w:bookmarkStart w:id="7" w:name="_Toc241919564"/>
      <w:bookmarkStart w:id="8" w:name="_Toc241920425"/>
      <w:bookmarkStart w:id="9" w:name="_Toc241920687"/>
      <w:bookmarkStart w:id="10" w:name="_Toc242173208"/>
      <w:bookmarkStart w:id="11" w:name="_Toc303080068"/>
      <w:r w:rsidRPr="0024207A">
        <w:t>1.</w:t>
      </w:r>
      <w:r w:rsidRPr="0024207A">
        <w:tab/>
        <w:t>Considerazioni GENERALI</w:t>
      </w:r>
      <w:bookmarkEnd w:id="6"/>
      <w:bookmarkEnd w:id="7"/>
      <w:bookmarkEnd w:id="8"/>
      <w:bookmarkEnd w:id="9"/>
      <w:bookmarkEnd w:id="10"/>
      <w:bookmarkEnd w:id="11"/>
    </w:p>
    <w:p w:rsidR="0024207A" w:rsidRPr="00FE7BD1" w:rsidRDefault="0024207A" w:rsidP="0024207A">
      <w:pPr>
        <w:pStyle w:val="Titolo2"/>
      </w:pPr>
      <w:bookmarkStart w:id="12" w:name="_Toc268859936"/>
      <w:bookmarkStart w:id="13" w:name="_Toc303080069"/>
      <w:bookmarkStart w:id="14" w:name="_Toc241919535"/>
      <w:bookmarkStart w:id="15" w:name="_Toc241919565"/>
      <w:bookmarkStart w:id="16" w:name="_Toc241920426"/>
      <w:bookmarkStart w:id="17" w:name="_Toc241920688"/>
      <w:bookmarkStart w:id="18" w:name="_Toc242173209"/>
      <w:r w:rsidRPr="008D004E">
        <w:t>1.1</w:t>
      </w:r>
      <w:r w:rsidRPr="008D004E">
        <w:tab/>
        <w:t>La politica universitaria federale</w:t>
      </w:r>
      <w:bookmarkEnd w:id="12"/>
      <w:bookmarkEnd w:id="13"/>
    </w:p>
    <w:bookmarkEnd w:id="14"/>
    <w:bookmarkEnd w:id="15"/>
    <w:bookmarkEnd w:id="16"/>
    <w:bookmarkEnd w:id="17"/>
    <w:bookmarkEnd w:id="18"/>
    <w:p w:rsidR="0024207A" w:rsidRDefault="0024207A" w:rsidP="0024207A">
      <w:pPr>
        <w:tabs>
          <w:tab w:val="left" w:pos="567"/>
        </w:tabs>
        <w:autoSpaceDE w:val="0"/>
        <w:autoSpaceDN w:val="0"/>
        <w:adjustRightInd w:val="0"/>
        <w:rPr>
          <w:rFonts w:cs="Arial"/>
          <w:szCs w:val="24"/>
          <w:lang w:val="it-CH" w:eastAsia="it-CH"/>
        </w:rPr>
      </w:pPr>
      <w:r w:rsidRPr="00680921">
        <w:rPr>
          <w:rFonts w:cs="Arial"/>
          <w:bCs/>
          <w:szCs w:val="24"/>
        </w:rPr>
        <w:t>Secondo l’art</w:t>
      </w:r>
      <w:r>
        <w:rPr>
          <w:rFonts w:cs="Arial"/>
          <w:bCs/>
          <w:szCs w:val="24"/>
        </w:rPr>
        <w:t>.</w:t>
      </w:r>
      <w:r w:rsidRPr="00680921">
        <w:rPr>
          <w:rFonts w:cs="Arial"/>
          <w:bCs/>
          <w:szCs w:val="24"/>
        </w:rPr>
        <w:t xml:space="preserve"> 63a della Costituzione federale, la Confederazione e i </w:t>
      </w:r>
      <w:r>
        <w:rPr>
          <w:rFonts w:cs="Arial"/>
          <w:bCs/>
          <w:szCs w:val="24"/>
        </w:rPr>
        <w:t>C</w:t>
      </w:r>
      <w:r w:rsidRPr="00680921">
        <w:rPr>
          <w:rFonts w:cs="Arial"/>
          <w:bCs/>
          <w:szCs w:val="24"/>
        </w:rPr>
        <w:t xml:space="preserve">antoni provvedono </w:t>
      </w:r>
      <w:r w:rsidRPr="00600E28">
        <w:rPr>
          <w:rFonts w:cs="Arial"/>
          <w:bCs/>
          <w:szCs w:val="24"/>
        </w:rPr>
        <w:t xml:space="preserve">di comune accordo ad assicurare la competitività e la qualità del settore universitario. </w:t>
      </w:r>
      <w:r w:rsidRPr="00CC0346">
        <w:rPr>
          <w:rFonts w:cs="Arial"/>
          <w:szCs w:val="24"/>
        </w:rPr>
        <w:t>A partire dal 1</w:t>
      </w:r>
      <w:r>
        <w:rPr>
          <w:rFonts w:cs="Arial"/>
          <w:szCs w:val="24"/>
        </w:rPr>
        <w:t xml:space="preserve">° </w:t>
      </w:r>
      <w:r w:rsidRPr="00CC0346">
        <w:rPr>
          <w:rFonts w:cs="Arial"/>
          <w:szCs w:val="24"/>
        </w:rPr>
        <w:t xml:space="preserve">gennaio 2015 </w:t>
      </w:r>
      <w:r>
        <w:rPr>
          <w:rFonts w:cs="Arial"/>
          <w:szCs w:val="24"/>
        </w:rPr>
        <w:t>è entrata in vigore l</w:t>
      </w:r>
      <w:r w:rsidRPr="00853AD2">
        <w:rPr>
          <w:rFonts w:cs="Arial"/>
          <w:szCs w:val="24"/>
        </w:rPr>
        <w:t xml:space="preserve">a </w:t>
      </w:r>
      <w:r w:rsidRPr="00C8571B">
        <w:rPr>
          <w:rFonts w:cs="Arial"/>
          <w:szCs w:val="18"/>
        </w:rPr>
        <w:t>Legge federale sulla promozione e sul coordinamento del settore universitario svizzero del 30 settembre 2011</w:t>
      </w:r>
      <w:r>
        <w:rPr>
          <w:rFonts w:cs="Arial"/>
          <w:szCs w:val="18"/>
        </w:rPr>
        <w:t xml:space="preserve"> </w:t>
      </w:r>
      <w:r>
        <w:rPr>
          <w:rFonts w:cs="Arial"/>
          <w:szCs w:val="24"/>
        </w:rPr>
        <w:t>(</w:t>
      </w:r>
      <w:r w:rsidRPr="00853AD2">
        <w:rPr>
          <w:rFonts w:cs="Arial"/>
          <w:szCs w:val="24"/>
        </w:rPr>
        <w:t>LPSU</w:t>
      </w:r>
      <w:r>
        <w:rPr>
          <w:rFonts w:cs="Arial"/>
          <w:szCs w:val="24"/>
        </w:rPr>
        <w:t xml:space="preserve">). Le nuove </w:t>
      </w:r>
      <w:r w:rsidRPr="00CC0346">
        <w:rPr>
          <w:rFonts w:cs="Arial"/>
          <w:szCs w:val="24"/>
        </w:rPr>
        <w:t xml:space="preserve">disposizioni </w:t>
      </w:r>
      <w:r>
        <w:rPr>
          <w:rFonts w:cs="Arial"/>
          <w:szCs w:val="24"/>
        </w:rPr>
        <w:t xml:space="preserve">LPSU </w:t>
      </w:r>
      <w:r w:rsidRPr="00CC0346">
        <w:rPr>
          <w:rFonts w:cs="Arial"/>
          <w:szCs w:val="24"/>
        </w:rPr>
        <w:t>sul finanziamento</w:t>
      </w:r>
      <w:r>
        <w:rPr>
          <w:rFonts w:cs="Arial"/>
          <w:szCs w:val="24"/>
        </w:rPr>
        <w:t xml:space="preserve"> sono invece entrate in vigore</w:t>
      </w:r>
      <w:r w:rsidRPr="00CC0346">
        <w:rPr>
          <w:rFonts w:cs="Arial"/>
          <w:szCs w:val="24"/>
        </w:rPr>
        <w:t xml:space="preserve"> </w:t>
      </w:r>
      <w:r>
        <w:rPr>
          <w:rFonts w:cs="Arial"/>
          <w:szCs w:val="24"/>
        </w:rPr>
        <w:t>nel gennaio</w:t>
      </w:r>
      <w:r w:rsidRPr="00CC0346">
        <w:rPr>
          <w:rFonts w:cs="Arial"/>
          <w:szCs w:val="24"/>
        </w:rPr>
        <w:t xml:space="preserve"> 2017</w:t>
      </w:r>
      <w:r>
        <w:rPr>
          <w:rFonts w:cs="Arial"/>
          <w:szCs w:val="24"/>
        </w:rPr>
        <w:t xml:space="preserve">, con </w:t>
      </w:r>
      <w:r>
        <w:rPr>
          <w:rFonts w:cs="Arial"/>
          <w:szCs w:val="24"/>
        </w:rPr>
        <w:lastRenderedPageBreak/>
        <w:t>l’</w:t>
      </w:r>
      <w:r>
        <w:rPr>
          <w:rFonts w:cs="Arial"/>
        </w:rPr>
        <w:t xml:space="preserve">Ordinanza concernente la legge sulla promozione e sul coordinamento del settore universitario svizzero (OLPSU) del 23 novembre 2016. </w:t>
      </w:r>
      <w:r>
        <w:rPr>
          <w:rFonts w:cs="Arial"/>
          <w:szCs w:val="24"/>
        </w:rPr>
        <w:t xml:space="preserve">È utile ricordare che per il coordinamento universitario secondo la LPSU sono stati istituiti organi </w:t>
      </w:r>
      <w:r w:rsidRPr="005C0A3A">
        <w:rPr>
          <w:rFonts w:cs="Arial"/>
          <w:color w:val="000000"/>
          <w:szCs w:val="24"/>
          <w:lang w:val="it-CH" w:eastAsia="it-CH"/>
        </w:rPr>
        <w:t>comuni a tutte le tipologie di scuole universitarie</w:t>
      </w:r>
      <w:r>
        <w:rPr>
          <w:rFonts w:cs="Arial"/>
          <w:color w:val="000000"/>
          <w:szCs w:val="24"/>
          <w:lang w:val="it-CH" w:eastAsia="it-CH"/>
        </w:rPr>
        <w:t xml:space="preserve"> (SUP, ASP, Università). </w:t>
      </w:r>
      <w:r>
        <w:rPr>
          <w:rFonts w:cs="Arial"/>
          <w:szCs w:val="24"/>
        </w:rPr>
        <w:t xml:space="preserve">Questi organi sono: </w:t>
      </w:r>
      <w:r w:rsidRPr="00853AD2">
        <w:rPr>
          <w:rFonts w:cs="Arial"/>
        </w:rPr>
        <w:t xml:space="preserve">la </w:t>
      </w:r>
      <w:r>
        <w:rPr>
          <w:rFonts w:cs="Arial"/>
        </w:rPr>
        <w:t>C</w:t>
      </w:r>
      <w:r w:rsidRPr="00853AD2">
        <w:rPr>
          <w:rFonts w:cs="Arial"/>
        </w:rPr>
        <w:t xml:space="preserve">onferenza </w:t>
      </w:r>
      <w:r>
        <w:rPr>
          <w:rFonts w:cs="Arial"/>
        </w:rPr>
        <w:t xml:space="preserve">svizzera </w:t>
      </w:r>
      <w:r w:rsidRPr="00853AD2">
        <w:rPr>
          <w:rFonts w:cs="Arial"/>
        </w:rPr>
        <w:t>dei rettori</w:t>
      </w:r>
      <w:r>
        <w:rPr>
          <w:rFonts w:cs="Arial"/>
        </w:rPr>
        <w:t xml:space="preserve"> delle scuole universitarie (</w:t>
      </w:r>
      <w:proofErr w:type="spellStart"/>
      <w:r w:rsidRPr="0051733D">
        <w:rPr>
          <w:rFonts w:cs="Arial"/>
        </w:rPr>
        <w:t>Swissuniversities</w:t>
      </w:r>
      <w:proofErr w:type="spellEnd"/>
      <w:r>
        <w:rPr>
          <w:rFonts w:cs="Arial"/>
          <w:color w:val="000000"/>
          <w:szCs w:val="24"/>
          <w:lang w:val="it-CH" w:eastAsia="it-CH"/>
        </w:rPr>
        <w:t xml:space="preserve">); la </w:t>
      </w:r>
      <w:r w:rsidRPr="006734CD">
        <w:rPr>
          <w:rFonts w:cs="Arial"/>
          <w:szCs w:val="24"/>
          <w:lang w:val="it-CH" w:eastAsia="it-CH"/>
        </w:rPr>
        <w:t>Conferenza svizzera delle scuole universitarie</w:t>
      </w:r>
      <w:r w:rsidRPr="00311FF9">
        <w:rPr>
          <w:rFonts w:cs="Arial"/>
          <w:szCs w:val="24"/>
          <w:lang w:val="it-CH" w:eastAsia="it-CH"/>
        </w:rPr>
        <w:t xml:space="preserve"> </w:t>
      </w:r>
      <w:r>
        <w:rPr>
          <w:rFonts w:cs="Arial"/>
          <w:szCs w:val="24"/>
          <w:lang w:val="it-CH" w:eastAsia="it-CH"/>
        </w:rPr>
        <w:t xml:space="preserve">(CSSU), che </w:t>
      </w:r>
      <w:r w:rsidRPr="006734CD">
        <w:rPr>
          <w:rFonts w:cs="Arial"/>
          <w:szCs w:val="24"/>
          <w:lang w:val="it-CH" w:eastAsia="it-CH"/>
        </w:rPr>
        <w:t xml:space="preserve">costituisce il massimo organo politico in Svizzera e si può riunire </w:t>
      </w:r>
      <w:r>
        <w:rPr>
          <w:rFonts w:cs="Arial"/>
          <w:szCs w:val="24"/>
          <w:lang w:val="it-CH" w:eastAsia="it-CH"/>
        </w:rPr>
        <w:t>in</w:t>
      </w:r>
      <w:r w:rsidRPr="00311FF9">
        <w:rPr>
          <w:rFonts w:cs="Arial"/>
          <w:szCs w:val="24"/>
          <w:lang w:val="it-CH" w:eastAsia="it-CH"/>
        </w:rPr>
        <w:t xml:space="preserve"> </w:t>
      </w:r>
      <w:r w:rsidRPr="00510DCD">
        <w:rPr>
          <w:rFonts w:cs="Arial"/>
          <w:color w:val="000000"/>
          <w:szCs w:val="24"/>
          <w:lang w:val="it-CH" w:eastAsia="it-CH"/>
        </w:rPr>
        <w:t>Assemblea plenaria o nella veste di Consiglio delle scuole universitarie</w:t>
      </w:r>
      <w:r>
        <w:rPr>
          <w:rFonts w:cs="Arial"/>
          <w:color w:val="000000"/>
          <w:szCs w:val="24"/>
          <w:lang w:val="it-CH" w:eastAsia="it-CH"/>
        </w:rPr>
        <w:t>;</w:t>
      </w:r>
      <w:r w:rsidRPr="00510DCD">
        <w:rPr>
          <w:rFonts w:cs="Arial"/>
          <w:color w:val="000000"/>
          <w:szCs w:val="24"/>
          <w:lang w:val="it-CH" w:eastAsia="it-CH"/>
        </w:rPr>
        <w:t xml:space="preserve"> il Consiglio di accreditamento svizzero</w:t>
      </w:r>
      <w:r w:rsidRPr="00CD1C2C">
        <w:rPr>
          <w:rFonts w:cs="Arial"/>
          <w:color w:val="FF0000"/>
          <w:szCs w:val="24"/>
          <w:lang w:val="it-CH" w:eastAsia="it-CH"/>
        </w:rPr>
        <w:t xml:space="preserve"> </w:t>
      </w:r>
      <w:r>
        <w:rPr>
          <w:rFonts w:cs="Arial"/>
          <w:szCs w:val="24"/>
          <w:lang w:val="it-CH" w:eastAsia="it-CH"/>
        </w:rPr>
        <w:t xml:space="preserve">che, attraverso i suoi standard, si occupa di accreditare le istituzioni e i singoli programmi e valuta le procedure di certificazione della qualità delle singole istituzioni universitarie. </w:t>
      </w:r>
    </w:p>
    <w:p w:rsidR="0024207A" w:rsidRDefault="0024207A" w:rsidP="0024207A">
      <w:pPr>
        <w:tabs>
          <w:tab w:val="left" w:pos="567"/>
        </w:tabs>
        <w:autoSpaceDE w:val="0"/>
        <w:autoSpaceDN w:val="0"/>
        <w:adjustRightInd w:val="0"/>
        <w:rPr>
          <w:rFonts w:cs="Arial"/>
          <w:szCs w:val="24"/>
        </w:rPr>
      </w:pPr>
    </w:p>
    <w:p w:rsidR="0024207A" w:rsidRDefault="0024207A" w:rsidP="0024207A">
      <w:pPr>
        <w:tabs>
          <w:tab w:val="left" w:pos="567"/>
        </w:tabs>
        <w:autoSpaceDE w:val="0"/>
        <w:autoSpaceDN w:val="0"/>
        <w:adjustRightInd w:val="0"/>
        <w:rPr>
          <w:rFonts w:cs="Arial"/>
          <w:szCs w:val="24"/>
        </w:rPr>
      </w:pPr>
    </w:p>
    <w:p w:rsidR="0024207A" w:rsidRPr="00E351D0" w:rsidRDefault="0024207A" w:rsidP="0024207A">
      <w:pPr>
        <w:pStyle w:val="Titolo2"/>
        <w:spacing w:after="0"/>
      </w:pPr>
      <w:bookmarkStart w:id="19" w:name="_Toc303080070"/>
      <w:r w:rsidRPr="00E351D0">
        <w:t>1.2</w:t>
      </w:r>
      <w:r>
        <w:tab/>
      </w:r>
      <w:r w:rsidRPr="00E351D0">
        <w:t xml:space="preserve">Finanziamento federale e accordi </w:t>
      </w:r>
      <w:proofErr w:type="spellStart"/>
      <w:r w:rsidRPr="00E351D0">
        <w:t>intercantonali</w:t>
      </w:r>
      <w:bookmarkEnd w:id="19"/>
      <w:proofErr w:type="spellEnd"/>
    </w:p>
    <w:p w:rsidR="0024207A" w:rsidRPr="00CC0346" w:rsidRDefault="0024207A" w:rsidP="0024207A">
      <w:pPr>
        <w:tabs>
          <w:tab w:val="left" w:pos="364"/>
        </w:tabs>
        <w:spacing w:before="120"/>
        <w:rPr>
          <w:rFonts w:cs="Arial"/>
          <w:szCs w:val="24"/>
        </w:rPr>
      </w:pPr>
      <w:r>
        <w:rPr>
          <w:rFonts w:cs="Arial"/>
          <w:bCs/>
          <w:szCs w:val="24"/>
        </w:rPr>
        <w:t>L’</w:t>
      </w:r>
      <w:r>
        <w:rPr>
          <w:rFonts w:cs="Arial"/>
        </w:rPr>
        <w:t>OLPSU, entrata in vigore</w:t>
      </w:r>
      <w:r w:rsidRPr="00CC0346">
        <w:rPr>
          <w:rFonts w:cs="Arial"/>
          <w:bCs/>
          <w:szCs w:val="24"/>
        </w:rPr>
        <w:t xml:space="preserve"> </w:t>
      </w:r>
      <w:r>
        <w:rPr>
          <w:rFonts w:cs="Arial"/>
          <w:bCs/>
          <w:szCs w:val="24"/>
        </w:rPr>
        <w:t>nel</w:t>
      </w:r>
      <w:r w:rsidRPr="00CC0346">
        <w:rPr>
          <w:rFonts w:cs="Arial"/>
          <w:bCs/>
          <w:szCs w:val="24"/>
        </w:rPr>
        <w:t xml:space="preserve"> 2017</w:t>
      </w:r>
      <w:r>
        <w:rPr>
          <w:rFonts w:cs="Arial"/>
          <w:bCs/>
          <w:szCs w:val="24"/>
        </w:rPr>
        <w:t>, prevede per le</w:t>
      </w:r>
      <w:r w:rsidRPr="00CC0346">
        <w:rPr>
          <w:rFonts w:cs="Arial"/>
          <w:szCs w:val="24"/>
        </w:rPr>
        <w:t xml:space="preserve"> </w:t>
      </w:r>
      <w:r>
        <w:rPr>
          <w:rFonts w:cs="Arial"/>
          <w:szCs w:val="24"/>
        </w:rPr>
        <w:t>u</w:t>
      </w:r>
      <w:r w:rsidRPr="00CC0346">
        <w:rPr>
          <w:rFonts w:cs="Arial"/>
          <w:szCs w:val="24"/>
        </w:rPr>
        <w:t xml:space="preserve">niversità </w:t>
      </w:r>
      <w:r>
        <w:rPr>
          <w:rFonts w:cs="Arial"/>
          <w:szCs w:val="24"/>
        </w:rPr>
        <w:t>un</w:t>
      </w:r>
      <w:r w:rsidRPr="00CC0346">
        <w:rPr>
          <w:rFonts w:cs="Arial"/>
          <w:szCs w:val="24"/>
        </w:rPr>
        <w:t xml:space="preserve"> finanziamento </w:t>
      </w:r>
      <w:r w:rsidRPr="00A50600">
        <w:rPr>
          <w:rFonts w:cs="Arial"/>
          <w:szCs w:val="24"/>
        </w:rPr>
        <w:t>basato sulla ripartizione di un budget globale (così come previsto nella precedente legge). Il 70% di tale budget è riservato al sussidio della formazione di base e il restante 30% a sostenere la ricerca. Rispetto al passato</w:t>
      </w:r>
      <w:r>
        <w:rPr>
          <w:rFonts w:cs="Arial"/>
          <w:szCs w:val="24"/>
        </w:rPr>
        <w:t>,</w:t>
      </w:r>
      <w:r w:rsidRPr="00A50600">
        <w:rPr>
          <w:rFonts w:cs="Arial"/>
          <w:szCs w:val="24"/>
        </w:rPr>
        <w:t xml:space="preserve"> la nuova </w:t>
      </w:r>
      <w:r>
        <w:rPr>
          <w:rFonts w:cs="Arial"/>
          <w:szCs w:val="24"/>
        </w:rPr>
        <w:t>o</w:t>
      </w:r>
      <w:r w:rsidRPr="00A50600">
        <w:rPr>
          <w:rFonts w:cs="Arial"/>
          <w:szCs w:val="24"/>
        </w:rPr>
        <w:t xml:space="preserve">rdinanza prevede una ripartizione dei sussidi basata anche su dati specifici quali il numero dei diplomi di dottorato e di master per la quota di formazione e la quota di progetti-mese rispetto a tutte le altre università. Queste nuove variabili di calcolo determinano una differente ripartizione tra le </w:t>
      </w:r>
      <w:r>
        <w:rPr>
          <w:rFonts w:cs="Arial"/>
          <w:szCs w:val="24"/>
        </w:rPr>
        <w:t>u</w:t>
      </w:r>
      <w:r w:rsidRPr="00A50600">
        <w:rPr>
          <w:rFonts w:cs="Arial"/>
          <w:szCs w:val="24"/>
        </w:rPr>
        <w:t>niversità</w:t>
      </w:r>
      <w:r>
        <w:rPr>
          <w:rFonts w:cs="Arial"/>
          <w:szCs w:val="24"/>
        </w:rPr>
        <w:t xml:space="preserve"> dell’importo</w:t>
      </w:r>
      <w:r w:rsidRPr="00A50600">
        <w:rPr>
          <w:rFonts w:cs="Arial"/>
          <w:szCs w:val="24"/>
        </w:rPr>
        <w:t xml:space="preserve"> globale.</w:t>
      </w:r>
      <w:r>
        <w:rPr>
          <w:rFonts w:cs="Arial"/>
          <w:szCs w:val="24"/>
        </w:rPr>
        <w:t xml:space="preserve"> </w:t>
      </w:r>
    </w:p>
    <w:p w:rsidR="001F1B4B" w:rsidRDefault="001F1B4B" w:rsidP="001F1B4B"/>
    <w:p w:rsidR="0024207A" w:rsidRPr="00CC0346" w:rsidRDefault="0024207A" w:rsidP="001F1B4B">
      <w:r w:rsidRPr="00AE582F">
        <w:t xml:space="preserve">La modifica del metodo di finanziamento, in particolare quella del calcolo per la ripartizione della quota di base per la ricerca, potrebbe determinare per l’USI un sussidio federale di base inferiore ai livelli di crescita degli ultimi anni. Sebbene la prima applicazione del nuovo metodo di calcolo abbia portato ad un aumento, nei prossimi anni potrebbe </w:t>
      </w:r>
      <w:r>
        <w:t>risultare</w:t>
      </w:r>
      <w:r w:rsidRPr="00AE582F">
        <w:t xml:space="preserve"> una contrazione</w:t>
      </w:r>
      <w:r>
        <w:t>,</w:t>
      </w:r>
      <w:r w:rsidRPr="00AE582F">
        <w:t xml:space="preserve"> in relazione alla diminuzione negli ultimi due anni del numero complessivo degli studenti in formazione di base.</w:t>
      </w:r>
    </w:p>
    <w:p w:rsidR="001F1B4B" w:rsidRDefault="001F1B4B" w:rsidP="001F1B4B"/>
    <w:p w:rsidR="0024207A" w:rsidRPr="00E351D0" w:rsidRDefault="0024207A" w:rsidP="001F1B4B">
      <w:r>
        <w:t>Per le scuole universitarie professionali (SUP) la modifica del metodo di calcolo dei sussidi è stata più incisiva, poiché si è passati da un sistema basato su un forfait per studente al quale si aggiunge un montante fisso per la ricerca, ad uno basato sul budget globale secondo la LPSU. Il metodo di calcolo dei sussidi è quindi analogo a quello per le università. A differenza delle università, il budget globale per le SUP è però riservato in misura dell’85</w:t>
      </w:r>
      <w:r w:rsidRPr="00CC0346">
        <w:t xml:space="preserve">% alla formazione di base ed </w:t>
      </w:r>
      <w:r>
        <w:t>il</w:t>
      </w:r>
      <w:r w:rsidRPr="00CC0346">
        <w:t xml:space="preserve"> restante </w:t>
      </w:r>
      <w:r>
        <w:t>15</w:t>
      </w:r>
      <w:r w:rsidRPr="00CC0346">
        <w:t>% alla ricerca</w:t>
      </w:r>
      <w:r>
        <w:t xml:space="preserve">. Questo nuovo metodo di calcolo dei sussidi federali ha determinato un considerevole aumento del sussidio federale 2017 per la SUPSI. Il </w:t>
      </w:r>
      <w:r w:rsidRPr="00A50600">
        <w:t>vantaggio co</w:t>
      </w:r>
      <w:r>
        <w:t>nsiste nel fatto che</w:t>
      </w:r>
      <w:r w:rsidRPr="00A50600">
        <w:t>, grazie all’importante quota parte di ricerca</w:t>
      </w:r>
      <w:r>
        <w:t xml:space="preserve"> computata, la SUPSI ottiene una quota parte maggiore rispetto alle al</w:t>
      </w:r>
      <w:r w:rsidRPr="00A50600">
        <w:t>tre SUP</w:t>
      </w:r>
      <w:r w:rsidRPr="003A1CEE">
        <w:t xml:space="preserve"> </w:t>
      </w:r>
      <w:r>
        <w:t xml:space="preserve">nel calcolo di ripartizione del budget globale riservato alla ricerca. </w:t>
      </w:r>
    </w:p>
    <w:p w:rsidR="001F1B4B" w:rsidRDefault="001F1B4B" w:rsidP="001F1B4B"/>
    <w:p w:rsidR="0024207A" w:rsidRPr="00FE4869" w:rsidRDefault="0024207A" w:rsidP="001F1B4B">
      <w:r>
        <w:t xml:space="preserve">Per quanto riguarda i contributi </w:t>
      </w:r>
      <w:proofErr w:type="spellStart"/>
      <w:r>
        <w:t>intercantonali</w:t>
      </w:r>
      <w:proofErr w:type="spellEnd"/>
      <w:r>
        <w:t xml:space="preserve">, il metodo di sussidio è rimasto invece immutato, poiché le norme della Conferenza dei direttori della pubblica educazione (CDPE) sono rimaste le stesse dello scorso anno. Riassumendo le basi di calcolo per i contributi </w:t>
      </w:r>
      <w:proofErr w:type="spellStart"/>
      <w:r>
        <w:t>intercantonali</w:t>
      </w:r>
      <w:proofErr w:type="spellEnd"/>
      <w:r>
        <w:t>, i f</w:t>
      </w:r>
      <w:r w:rsidRPr="00E351D0">
        <w:t xml:space="preserve">orfait di base per studente secondo gli accordi </w:t>
      </w:r>
      <w:proofErr w:type="spellStart"/>
      <w:r w:rsidRPr="00E351D0">
        <w:t>intercantonali</w:t>
      </w:r>
      <w:proofErr w:type="spellEnd"/>
      <w:r w:rsidRPr="00E351D0">
        <w:t xml:space="preserve"> delle SUP (AISUP) e delle </w:t>
      </w:r>
      <w:r>
        <w:t xml:space="preserve">università </w:t>
      </w:r>
      <w:r w:rsidRPr="00E351D0">
        <w:t xml:space="preserve">(AIU) sono calcolati con metodologie </w:t>
      </w:r>
      <w:r>
        <w:t>e regolamentazioni distinte. I</w:t>
      </w:r>
      <w:r w:rsidRPr="00E351D0">
        <w:t xml:space="preserve"> forfait per studente AISUP </w:t>
      </w:r>
      <w:r>
        <w:t>per ogni settore di studio vengono</w:t>
      </w:r>
      <w:r w:rsidRPr="00E351D0">
        <w:t xml:space="preserve"> fissat</w:t>
      </w:r>
      <w:r>
        <w:t>i</w:t>
      </w:r>
      <w:r w:rsidRPr="00E351D0">
        <w:t xml:space="preserve"> per i</w:t>
      </w:r>
      <w:r>
        <w:t xml:space="preserve">l quadriennio di riferimento e corrispondono </w:t>
      </w:r>
      <w:r w:rsidRPr="00E351D0">
        <w:t>all’85% del costo standard della Confederazione</w:t>
      </w:r>
      <w:r>
        <w:t>,</w:t>
      </w:r>
      <w:r w:rsidRPr="00E351D0">
        <w:t xml:space="preserve"> al netto del contributo federale (circa il 30%). Per quanto attiene alle </w:t>
      </w:r>
      <w:r>
        <w:t>u</w:t>
      </w:r>
      <w:r w:rsidRPr="00E351D0">
        <w:t xml:space="preserve">niversità, il sussidio AIU è invece fissato </w:t>
      </w:r>
      <w:r>
        <w:t xml:space="preserve">come gli scorsi anni </w:t>
      </w:r>
      <w:r w:rsidRPr="00E351D0">
        <w:t>per gruppo di facoltà</w:t>
      </w:r>
      <w:r>
        <w:t>, ovvero con un forfait per studente fisso,</w:t>
      </w:r>
      <w:r w:rsidRPr="00E351D0">
        <w:t xml:space="preserve"> </w:t>
      </w:r>
      <w:r>
        <w:t>che viene fatturato ai Cantoni ad ogni semestre accademico in base al numero di studenti iscritti.</w:t>
      </w:r>
    </w:p>
    <w:p w:rsidR="001F1B4B" w:rsidRDefault="001F1B4B" w:rsidP="001F1B4B"/>
    <w:p w:rsidR="0024207A" w:rsidRDefault="0024207A" w:rsidP="001F1B4B">
      <w:r>
        <w:t xml:space="preserve">Durante l’estate 2017 la CDPE ha messo in consultazione la revisione totale dell’Accordo </w:t>
      </w:r>
      <w:proofErr w:type="spellStart"/>
      <w:r>
        <w:t>intercantonale</w:t>
      </w:r>
      <w:proofErr w:type="spellEnd"/>
      <w:r>
        <w:t xml:space="preserve"> universitario (AIU). Il progetto di revisione dell’Accordo del 1997 prevede l’abolizione dello sconto per perdite migratorie (</w:t>
      </w:r>
      <w:r w:rsidRPr="003003BD">
        <w:t>attualmente</w:t>
      </w:r>
      <w:r>
        <w:t xml:space="preserve"> per il Cantone Ticino tale sconto è d</w:t>
      </w:r>
      <w:r w:rsidRPr="003003BD">
        <w:t xml:space="preserve">el 5% </w:t>
      </w:r>
      <w:r w:rsidRPr="00E643C2">
        <w:t>del</w:t>
      </w:r>
      <w:r>
        <w:t xml:space="preserve">la </w:t>
      </w:r>
      <w:r w:rsidRPr="00E643C2">
        <w:t>fattura AIU</w:t>
      </w:r>
      <w:r w:rsidRPr="00A27B78">
        <w:t xml:space="preserve">, ovvero </w:t>
      </w:r>
      <w:proofErr w:type="spellStart"/>
      <w:r w:rsidRPr="00A27B78">
        <w:t>c</w:t>
      </w:r>
      <w:r>
        <w:t>a</w:t>
      </w:r>
      <w:proofErr w:type="spellEnd"/>
      <w:r>
        <w:t xml:space="preserve">. </w:t>
      </w:r>
      <w:r w:rsidRPr="00A27B78">
        <w:t xml:space="preserve">3 milioni </w:t>
      </w:r>
      <w:r>
        <w:t>d</w:t>
      </w:r>
      <w:r w:rsidRPr="00A27B78">
        <w:t>i franchi annui</w:t>
      </w:r>
      <w:r>
        <w:t>)</w:t>
      </w:r>
      <w:r w:rsidRPr="003003BD">
        <w:t xml:space="preserve">. Inoltre </w:t>
      </w:r>
      <w:r>
        <w:t xml:space="preserve">l’accordo rivisto </w:t>
      </w:r>
      <w:r w:rsidRPr="003003BD">
        <w:t xml:space="preserve">mira a cambiare il metodo di calcolo </w:t>
      </w:r>
      <w:r w:rsidRPr="00A50600">
        <w:t>della tariffa per studente</w:t>
      </w:r>
      <w:r>
        <w:t>; d</w:t>
      </w:r>
      <w:r w:rsidRPr="00A50600">
        <w:t>alle attuali tariffe per studente si passerà a tariffe calcolate in modo analitico in base ai costi effettiv</w:t>
      </w:r>
      <w:r>
        <w:t>i</w:t>
      </w:r>
      <w:r w:rsidRPr="00A50600">
        <w:t xml:space="preserve"> per studente </w:t>
      </w:r>
      <w:r>
        <w:t>rilevati dall</w:t>
      </w:r>
      <w:r w:rsidRPr="00A50600">
        <w:t>’Ufficio</w:t>
      </w:r>
      <w:r w:rsidRPr="003003BD">
        <w:t xml:space="preserve"> federale di statistica</w:t>
      </w:r>
      <w:r>
        <w:t xml:space="preserve"> (UST)</w:t>
      </w:r>
      <w:r w:rsidRPr="003003BD">
        <w:t>.</w:t>
      </w:r>
      <w:r w:rsidRPr="00E643C2">
        <w:t xml:space="preserve"> </w:t>
      </w:r>
      <w:r>
        <w:t>Le nuove tariffe saranno il risultato di un calcolo complesso determinato dai costi effettivi analitici per studente, corretti</w:t>
      </w:r>
      <w:r w:rsidRPr="00E643C2">
        <w:t xml:space="preserve"> </w:t>
      </w:r>
      <w:r>
        <w:t xml:space="preserve">con una parte (85%) dei costi della ricerca e con uno sconto (15%) considerato quale vantaggio di ubicazione (un concetto simile a quello che è stato introdotto nei </w:t>
      </w:r>
      <w:proofErr w:type="spellStart"/>
      <w:r>
        <w:t>Cdp</w:t>
      </w:r>
      <w:proofErr w:type="spellEnd"/>
      <w:r>
        <w:t xml:space="preserve"> tra Cantone e USI/SUPSI). Durante il mese di gennaio 2019 saranno approfondite le proiezioni finanziarie dalla CDPE per valutare l’impatto di tali modifiche per ogni Cantone. La consultazione sul progetto di revisione è terminata a gennaio 2018 con la conferma dell’abolizione dello sconto per perdite migratorie; i dati recenti presentati non sono più in linea con i dati del 1997, per cui lo sconto applicato ad alcuni Cantoni risulta non più sostenibile. Dalla consultazione sono però emerse discordanze tra Cantoni sul metodo di calcolo delle tariffe, in special modo per la quota dell’85% della ricerca da considerare quale costo effettivo nella determinazione della tariffa per studente.</w:t>
      </w:r>
    </w:p>
    <w:p w:rsidR="001F1B4B" w:rsidRDefault="001F1B4B" w:rsidP="001F1B4B"/>
    <w:p w:rsidR="0024207A" w:rsidRDefault="0024207A" w:rsidP="001F1B4B">
      <w:r>
        <w:t xml:space="preserve">Anche il costo analitico attualmente proposto dall’UST per il gruppo di finanziamento III (medicina) ha creato discussioni importanti, poiché da anni si denunciano dati di costo analitico non corretti. Un mandato della CSSU basato sui dati analitici di costo del 2016 per le facoltà di medicina e gli ospedali universitari ha dato risultati non soddisfacenti. Tale mandato è stato rinnovato recentemente allo scopo di avere dei risultati più chiari in base ai dati 2017. </w:t>
      </w:r>
    </w:p>
    <w:p w:rsidR="001F1B4B" w:rsidRDefault="001F1B4B" w:rsidP="001F1B4B"/>
    <w:p w:rsidR="0024207A" w:rsidRDefault="0024207A" w:rsidP="001F1B4B">
      <w:r>
        <w:t xml:space="preserve">L’iter procedurale per la revisione dell’accordo AIU prevede che ogni Cantone concordatario faccia ratificare il nuovo accordo dall’organo responsabile, ovvero per la maggior parte dei Cantoni, incluso il Cantone Ticino, dal Gran Consiglio. Come hanno comunicato i Cantoni durante la fase di consultazione, tale processo di ratifica potrà durare dai 6 mesi ai due anni. Secondo il segretariato della CDPE l’introduzione del nuovo accordo non potrà entrare in vigore prima del 2020. In ogni caso sono previste delle disposizioni transitorie che prevedono che per due anni i Cantoni, che non avranno ancora ratificato l’accordo, potranno basarsi sul vecchio Accordo del 1997. </w:t>
      </w:r>
    </w:p>
    <w:p w:rsidR="001F1B4B" w:rsidRDefault="001F1B4B" w:rsidP="001F1B4B"/>
    <w:p w:rsidR="0024207A" w:rsidRDefault="0024207A" w:rsidP="001F1B4B">
      <w:r w:rsidRPr="0024207A">
        <w:t xml:space="preserve">Si ricorda </w:t>
      </w:r>
      <w:r>
        <w:t xml:space="preserve">infine che </w:t>
      </w:r>
      <w:r w:rsidRPr="00E351D0">
        <w:t xml:space="preserve">il Cantone, </w:t>
      </w:r>
      <w:r w:rsidRPr="00CC0346">
        <w:t xml:space="preserve">oltre a versare i contributi </w:t>
      </w:r>
      <w:r>
        <w:t xml:space="preserve">di gestione in base ai </w:t>
      </w:r>
      <w:proofErr w:type="spellStart"/>
      <w:r>
        <w:t>Cdp</w:t>
      </w:r>
      <w:proofErr w:type="spellEnd"/>
      <w:r>
        <w:t>,</w:t>
      </w:r>
      <w:r w:rsidRPr="00CC0346">
        <w:t xml:space="preserve"> corrisponde </w:t>
      </w:r>
      <w:r>
        <w:t>all’USI e alla SUPSI</w:t>
      </w:r>
      <w:r w:rsidRPr="00CC0346">
        <w:t xml:space="preserve"> </w:t>
      </w:r>
      <w:r>
        <w:t xml:space="preserve">l’importo </w:t>
      </w:r>
      <w:r w:rsidRPr="00E351D0">
        <w:t>forf</w:t>
      </w:r>
      <w:r>
        <w:t xml:space="preserve">ettario </w:t>
      </w:r>
      <w:r w:rsidRPr="00E351D0">
        <w:t>pro capite AIU e AISUP</w:t>
      </w:r>
      <w:r>
        <w:t xml:space="preserve"> per ogni studente ticinese iscritto. Dunque, il Cantone Ticino finanzia USI e SUPSI anche in base al numero degli studenti ticinesi iscritti come se questi provenissero da un altro Cantone. La motivazione alla base di tale quota di finanziamento cantonale è che, in assenza di istituti universitari sul territorio, gli studenti ticinesi sarebbero obbligati a studiare oltralpe, con un corrispondente impatto finanziario per il Cantone Ticino secondo le tariffe per ogni studente ticinese, previste dagli accordi </w:t>
      </w:r>
      <w:proofErr w:type="spellStart"/>
      <w:r>
        <w:t>intercantonali</w:t>
      </w:r>
      <w:proofErr w:type="spellEnd"/>
      <w:r>
        <w:t xml:space="preserve">. </w:t>
      </w:r>
    </w:p>
    <w:p w:rsidR="0024207A" w:rsidRDefault="0024207A" w:rsidP="0024207A">
      <w:pPr>
        <w:rPr>
          <w:szCs w:val="24"/>
        </w:rPr>
      </w:pPr>
    </w:p>
    <w:p w:rsidR="0024207A" w:rsidRDefault="0024207A" w:rsidP="0024207A">
      <w:pPr>
        <w:rPr>
          <w:szCs w:val="24"/>
        </w:rPr>
      </w:pPr>
    </w:p>
    <w:p w:rsidR="0024207A" w:rsidRPr="00E351D0" w:rsidRDefault="0024207A" w:rsidP="0024207A">
      <w:pPr>
        <w:pStyle w:val="Titolo2"/>
        <w:spacing w:after="0"/>
        <w:rPr>
          <w:bCs/>
        </w:rPr>
      </w:pPr>
      <w:bookmarkStart w:id="20" w:name="_Toc241920429"/>
      <w:bookmarkStart w:id="21" w:name="_Toc241920691"/>
      <w:bookmarkStart w:id="22" w:name="_Toc242173212"/>
      <w:bookmarkStart w:id="23" w:name="_Toc303080071"/>
      <w:r w:rsidRPr="008D004E">
        <w:t>1.3</w:t>
      </w:r>
      <w:r w:rsidRPr="008D004E">
        <w:tab/>
        <w:t>Politica universitaria cantonale</w:t>
      </w:r>
      <w:bookmarkEnd w:id="20"/>
      <w:bookmarkEnd w:id="21"/>
      <w:bookmarkEnd w:id="22"/>
      <w:bookmarkEnd w:id="23"/>
    </w:p>
    <w:p w:rsidR="0024207A" w:rsidRPr="005609FE" w:rsidRDefault="0024207A" w:rsidP="0024207A">
      <w:pPr>
        <w:pStyle w:val="NomeAtto"/>
        <w:tabs>
          <w:tab w:val="left" w:pos="9639"/>
        </w:tabs>
        <w:spacing w:before="120"/>
        <w:ind w:left="0" w:right="-1"/>
        <w:jc w:val="both"/>
        <w:rPr>
          <w:b w:val="0"/>
        </w:rPr>
      </w:pPr>
      <w:r w:rsidRPr="00E351D0">
        <w:rPr>
          <w:b w:val="0"/>
        </w:rPr>
        <w:t xml:space="preserve">La </w:t>
      </w:r>
      <w:r>
        <w:rPr>
          <w:b w:val="0"/>
        </w:rPr>
        <w:t>LUSI/</w:t>
      </w:r>
      <w:r w:rsidRPr="00E351D0">
        <w:rPr>
          <w:b w:val="0"/>
        </w:rPr>
        <w:t xml:space="preserve">SUPSI e il </w:t>
      </w:r>
      <w:r>
        <w:rPr>
          <w:b w:val="0"/>
        </w:rPr>
        <w:t>suo r</w:t>
      </w:r>
      <w:r w:rsidRPr="00E351D0">
        <w:rPr>
          <w:b w:val="0"/>
          <w:lang w:val="it-CH"/>
        </w:rPr>
        <w:t>egolamento</w:t>
      </w:r>
      <w:r>
        <w:rPr>
          <w:b w:val="0"/>
          <w:lang w:val="it-CH"/>
        </w:rPr>
        <w:t xml:space="preserve"> di applicazione</w:t>
      </w:r>
      <w:r w:rsidRPr="00E351D0">
        <w:rPr>
          <w:b w:val="0"/>
          <w:lang w:val="it-CH"/>
        </w:rPr>
        <w:t xml:space="preserve"> del </w:t>
      </w:r>
      <w:r>
        <w:rPr>
          <w:b w:val="0"/>
          <w:lang w:val="it-CH"/>
        </w:rPr>
        <w:t>18 febbraio</w:t>
      </w:r>
      <w:r w:rsidRPr="00E351D0">
        <w:rPr>
          <w:b w:val="0"/>
          <w:lang w:val="it-CH"/>
        </w:rPr>
        <w:t xml:space="preserve"> 20</w:t>
      </w:r>
      <w:r>
        <w:rPr>
          <w:b w:val="0"/>
          <w:lang w:val="it-CH"/>
        </w:rPr>
        <w:t>14</w:t>
      </w:r>
      <w:r w:rsidRPr="00E351D0">
        <w:rPr>
          <w:b w:val="0"/>
          <w:lang w:val="it-CH"/>
        </w:rPr>
        <w:t xml:space="preserve"> regolano i rapporti in materia di politica universitaria </w:t>
      </w:r>
      <w:r w:rsidRPr="00FA401A">
        <w:rPr>
          <w:b w:val="0"/>
          <w:lang w:val="it-CH"/>
        </w:rPr>
        <w:t>cantonale. L’USI e la SUPSI sono enti autonomi la cui strategia</w:t>
      </w:r>
      <w:r>
        <w:rPr>
          <w:b w:val="0"/>
          <w:lang w:val="it-CH"/>
        </w:rPr>
        <w:t>,</w:t>
      </w:r>
      <w:r w:rsidRPr="00FA401A">
        <w:rPr>
          <w:b w:val="0"/>
          <w:lang w:val="it-CH"/>
        </w:rPr>
        <w:t xml:space="preserve"> avallata dai rispettivi Consigli</w:t>
      </w:r>
      <w:r>
        <w:rPr>
          <w:b w:val="0"/>
          <w:lang w:val="it-CH"/>
        </w:rPr>
        <w:t>,</w:t>
      </w:r>
      <w:r w:rsidRPr="00E351D0">
        <w:rPr>
          <w:b w:val="0"/>
          <w:lang w:val="it-CH"/>
        </w:rPr>
        <w:t xml:space="preserve"> è la base per l’elaborazione del </w:t>
      </w:r>
      <w:r>
        <w:rPr>
          <w:b w:val="0"/>
          <w:lang w:val="it-CH"/>
        </w:rPr>
        <w:t>messaggio</w:t>
      </w:r>
      <w:r w:rsidRPr="00E351D0">
        <w:rPr>
          <w:b w:val="0"/>
          <w:lang w:val="it-CH"/>
        </w:rPr>
        <w:t xml:space="preserve"> di politica universitaria cantonale </w:t>
      </w:r>
      <w:r>
        <w:rPr>
          <w:b w:val="0"/>
          <w:lang w:val="it-CH"/>
        </w:rPr>
        <w:t>sottoposto</w:t>
      </w:r>
      <w:r w:rsidRPr="00E351D0">
        <w:rPr>
          <w:b w:val="0"/>
          <w:lang w:val="it-CH"/>
        </w:rPr>
        <w:t xml:space="preserve"> al Parlamento ticinese ogni 4 anni</w:t>
      </w:r>
      <w:r>
        <w:rPr>
          <w:b w:val="0"/>
          <w:lang w:val="it-CH"/>
        </w:rPr>
        <w:t xml:space="preserve">, </w:t>
      </w:r>
      <w:r w:rsidRPr="00E351D0">
        <w:rPr>
          <w:rFonts w:cs="Arial"/>
          <w:b w:val="0"/>
          <w:szCs w:val="24"/>
          <w:lang w:val="it-CH"/>
        </w:rPr>
        <w:t xml:space="preserve">in concomitanza con il </w:t>
      </w:r>
      <w:r>
        <w:rPr>
          <w:rFonts w:cs="Arial"/>
          <w:b w:val="0"/>
          <w:szCs w:val="24"/>
          <w:lang w:val="it-CH"/>
        </w:rPr>
        <w:t>messaggio</w:t>
      </w:r>
      <w:r w:rsidRPr="00E351D0">
        <w:rPr>
          <w:rFonts w:cs="Arial"/>
          <w:b w:val="0"/>
          <w:szCs w:val="24"/>
          <w:lang w:val="it-CH"/>
        </w:rPr>
        <w:t xml:space="preserve"> quadriennale ERI </w:t>
      </w:r>
      <w:r>
        <w:rPr>
          <w:rFonts w:cs="Arial"/>
          <w:b w:val="0"/>
          <w:szCs w:val="24"/>
          <w:lang w:val="it-CH"/>
        </w:rPr>
        <w:t xml:space="preserve">(Educazione, Ricerca, Innovazione) del </w:t>
      </w:r>
      <w:r>
        <w:rPr>
          <w:rFonts w:cs="Arial"/>
          <w:b w:val="0"/>
          <w:szCs w:val="24"/>
          <w:lang w:val="it-CH"/>
        </w:rPr>
        <w:lastRenderedPageBreak/>
        <w:t>Consiglio federale</w:t>
      </w:r>
      <w:r w:rsidRPr="00E351D0">
        <w:rPr>
          <w:rFonts w:cs="Arial"/>
          <w:b w:val="0"/>
          <w:szCs w:val="24"/>
          <w:lang w:val="it-CH"/>
        </w:rPr>
        <w:t xml:space="preserve">. </w:t>
      </w:r>
      <w:r>
        <w:rPr>
          <w:rFonts w:cs="Arial"/>
          <w:b w:val="0"/>
          <w:szCs w:val="24"/>
          <w:lang w:val="it-CH"/>
        </w:rPr>
        <w:t>Il periodo a cui si riferisce l’attuale politica universitaria cantonale e federale è il quadriennio 2017-2020.</w:t>
      </w:r>
    </w:p>
    <w:p w:rsidR="001F1B4B" w:rsidRDefault="001F1B4B" w:rsidP="001F1B4B"/>
    <w:p w:rsidR="0024207A" w:rsidRDefault="0024207A" w:rsidP="001F1B4B">
      <w:pPr>
        <w:rPr>
          <w:lang w:val="it-CH"/>
        </w:rPr>
      </w:pPr>
      <w:r>
        <w:t>Il 2017 è stato il primo anno di applicazione degli obiettivi del quadriennio di</w:t>
      </w:r>
      <w:r w:rsidRPr="00E41329">
        <w:t xml:space="preserve"> politica universitaria</w:t>
      </w:r>
      <w:r>
        <w:t xml:space="preserve"> </w:t>
      </w:r>
      <w:r w:rsidRPr="00E41329">
        <w:t>201</w:t>
      </w:r>
      <w:r>
        <w:t xml:space="preserve">7-2020. Il messaggio n. 7224 sulla pianificazione universitaria cantonale 2017-2020 è stato approvato il 20 novembre 2017 e prevede, oltre al </w:t>
      </w:r>
      <w:r>
        <w:rPr>
          <w:lang w:val="it-CH"/>
        </w:rPr>
        <w:t>consolidamento delle attività esistenti,</w:t>
      </w:r>
      <w:r>
        <w:t xml:space="preserve"> alcuni progetti di rilievo, fra i quali il master in medicina clinica dell’USI e i campus universitari</w:t>
      </w:r>
      <w:r>
        <w:rPr>
          <w:lang w:val="it-CH"/>
        </w:rPr>
        <w:t>. Tratteremo questi punti al capitolo 2 (Facoltà di scienze biomediche) e al capitolo 5 (Campus).</w:t>
      </w:r>
    </w:p>
    <w:p w:rsidR="001F1B4B" w:rsidRDefault="001F1B4B" w:rsidP="001F1B4B">
      <w:pPr>
        <w:rPr>
          <w:lang w:val="it-CH"/>
        </w:rPr>
      </w:pPr>
    </w:p>
    <w:p w:rsidR="0024207A" w:rsidRDefault="0024207A" w:rsidP="001F1B4B">
      <w:pPr>
        <w:rPr>
          <w:lang w:val="it-CH"/>
        </w:rPr>
      </w:pPr>
      <w:r>
        <w:rPr>
          <w:lang w:val="it-CH"/>
        </w:rPr>
        <w:t xml:space="preserve">Il Gran </w:t>
      </w:r>
      <w:r w:rsidRPr="00C7610E">
        <w:rPr>
          <w:lang w:val="it-CH"/>
        </w:rPr>
        <w:t xml:space="preserve">Consiglio, oltre ad approvare l’impegno finanziario e i </w:t>
      </w:r>
      <w:proofErr w:type="spellStart"/>
      <w:r>
        <w:rPr>
          <w:lang w:val="it-CH"/>
        </w:rPr>
        <w:t>Cdp</w:t>
      </w:r>
      <w:proofErr w:type="spellEnd"/>
      <w:r>
        <w:rPr>
          <w:lang w:val="it-CH"/>
        </w:rPr>
        <w:t xml:space="preserve"> </w:t>
      </w:r>
      <w:r w:rsidRPr="00C7610E">
        <w:rPr>
          <w:lang w:val="it-CH"/>
        </w:rPr>
        <w:t>per il quadriennio, ha invitato il C</w:t>
      </w:r>
      <w:r>
        <w:rPr>
          <w:lang w:val="it-CH"/>
        </w:rPr>
        <w:t xml:space="preserve">onsiglio di Stato </w:t>
      </w:r>
      <w:r w:rsidRPr="00C7610E">
        <w:rPr>
          <w:lang w:val="it-CH"/>
        </w:rPr>
        <w:t xml:space="preserve">a fare proprie le indicazioni della Commissione </w:t>
      </w:r>
      <w:r>
        <w:rPr>
          <w:lang w:val="it-CH"/>
        </w:rPr>
        <w:t xml:space="preserve">speciale </w:t>
      </w:r>
      <w:r w:rsidRPr="00C7610E">
        <w:rPr>
          <w:lang w:val="it-CH"/>
        </w:rPr>
        <w:t>scolastica</w:t>
      </w:r>
      <w:r>
        <w:rPr>
          <w:lang w:val="it-CH"/>
        </w:rPr>
        <w:t>.</w:t>
      </w:r>
      <w:r w:rsidRPr="00C7610E">
        <w:rPr>
          <w:lang w:val="it-CH"/>
        </w:rPr>
        <w:t xml:space="preserve"> In vista del </w:t>
      </w:r>
      <w:r>
        <w:rPr>
          <w:lang w:val="it-CH"/>
        </w:rPr>
        <w:t>m</w:t>
      </w:r>
      <w:r w:rsidRPr="00C7610E">
        <w:rPr>
          <w:lang w:val="it-CH"/>
        </w:rPr>
        <w:t>essaggio del quadriennio 2021-2024, il Gran Consiglio ha anche incaricato il C</w:t>
      </w:r>
      <w:r>
        <w:rPr>
          <w:lang w:val="it-CH"/>
        </w:rPr>
        <w:t>onsiglio di Stato</w:t>
      </w:r>
      <w:r w:rsidRPr="00C7610E">
        <w:rPr>
          <w:lang w:val="it-CH"/>
        </w:rPr>
        <w:t xml:space="preserve"> di </w:t>
      </w:r>
      <w:r>
        <w:rPr>
          <w:lang w:val="it-CH"/>
        </w:rPr>
        <w:t xml:space="preserve">fare </w:t>
      </w:r>
      <w:r w:rsidRPr="00C7610E">
        <w:rPr>
          <w:lang w:val="it-CH"/>
        </w:rPr>
        <w:t xml:space="preserve">eseguire </w:t>
      </w:r>
      <w:r>
        <w:rPr>
          <w:lang w:val="it-CH"/>
        </w:rPr>
        <w:t xml:space="preserve">da parte di un ente </w:t>
      </w:r>
      <w:r w:rsidRPr="00C7610E">
        <w:rPr>
          <w:lang w:val="it-CH"/>
        </w:rPr>
        <w:t xml:space="preserve">indipendente un’analisi per la creazione di un </w:t>
      </w:r>
      <w:r>
        <w:rPr>
          <w:lang w:val="it-CH"/>
        </w:rPr>
        <w:t>d</w:t>
      </w:r>
      <w:r w:rsidRPr="00C7610E">
        <w:rPr>
          <w:lang w:val="it-CH"/>
        </w:rPr>
        <w:t>ipartimento di scienze della vita presso la SUPSI e un</w:t>
      </w:r>
      <w:r>
        <w:rPr>
          <w:lang w:val="it-CH"/>
        </w:rPr>
        <w:t>’altra</w:t>
      </w:r>
      <w:r w:rsidRPr="00C7610E">
        <w:rPr>
          <w:lang w:val="it-CH"/>
        </w:rPr>
        <w:t xml:space="preserve"> analisi </w:t>
      </w:r>
      <w:r>
        <w:rPr>
          <w:lang w:val="it-CH"/>
        </w:rPr>
        <w:t>sull</w:t>
      </w:r>
      <w:r w:rsidRPr="00C7610E">
        <w:rPr>
          <w:lang w:val="it-CH"/>
        </w:rPr>
        <w:t xml:space="preserve">’efficacia delle offerte formative di USI e SUPSI </w:t>
      </w:r>
      <w:r>
        <w:rPr>
          <w:lang w:val="it-CH"/>
        </w:rPr>
        <w:t>allo scopo di</w:t>
      </w:r>
      <w:r w:rsidRPr="00C7610E">
        <w:rPr>
          <w:lang w:val="it-CH"/>
        </w:rPr>
        <w:t xml:space="preserve"> verificare eventuali sovrapposizioni</w:t>
      </w:r>
      <w:r>
        <w:rPr>
          <w:lang w:val="it-CH"/>
        </w:rPr>
        <w:t xml:space="preserve">. </w:t>
      </w:r>
    </w:p>
    <w:p w:rsidR="001F1B4B" w:rsidRDefault="001F1B4B" w:rsidP="001F1B4B">
      <w:pPr>
        <w:rPr>
          <w:lang w:val="it-CH"/>
        </w:rPr>
      </w:pPr>
    </w:p>
    <w:p w:rsidR="0024207A" w:rsidRDefault="0024207A" w:rsidP="001F1B4B">
      <w:pPr>
        <w:rPr>
          <w:lang w:val="it-CH"/>
        </w:rPr>
      </w:pPr>
      <w:r>
        <w:rPr>
          <w:lang w:val="it-CH"/>
        </w:rPr>
        <w:t xml:space="preserve">Le osservazioni della Commissione speciale scolastica sono state tenute in considerazione modificando le versioni dei </w:t>
      </w:r>
      <w:proofErr w:type="spellStart"/>
      <w:r>
        <w:rPr>
          <w:lang w:val="it-CH"/>
        </w:rPr>
        <w:t>Cdp</w:t>
      </w:r>
      <w:proofErr w:type="spellEnd"/>
      <w:r>
        <w:rPr>
          <w:lang w:val="it-CH"/>
        </w:rPr>
        <w:t xml:space="preserve"> allegati al messaggio</w:t>
      </w:r>
      <w:r w:rsidRPr="00C7610E">
        <w:t xml:space="preserve"> </w:t>
      </w:r>
      <w:r>
        <w:t>n. 7224</w:t>
      </w:r>
      <w:r>
        <w:rPr>
          <w:lang w:val="it-CH"/>
        </w:rPr>
        <w:t>.</w:t>
      </w:r>
      <w:r w:rsidRPr="00C7610E">
        <w:rPr>
          <w:lang w:val="it-CH"/>
        </w:rPr>
        <w:t xml:space="preserve"> </w:t>
      </w:r>
      <w:r>
        <w:rPr>
          <w:lang w:val="it-CH"/>
        </w:rPr>
        <w:t xml:space="preserve">I </w:t>
      </w:r>
      <w:proofErr w:type="spellStart"/>
      <w:r>
        <w:rPr>
          <w:lang w:val="it-CH"/>
        </w:rPr>
        <w:t>Cdp</w:t>
      </w:r>
      <w:proofErr w:type="spellEnd"/>
      <w:r>
        <w:rPr>
          <w:lang w:val="it-CH"/>
        </w:rPr>
        <w:t xml:space="preserve">, approvati dal </w:t>
      </w:r>
      <w:proofErr w:type="spellStart"/>
      <w:r>
        <w:rPr>
          <w:lang w:val="it-CH"/>
        </w:rPr>
        <w:t>CdS</w:t>
      </w:r>
      <w:proofErr w:type="spellEnd"/>
      <w:r>
        <w:rPr>
          <w:lang w:val="it-CH"/>
        </w:rPr>
        <w:t xml:space="preserve"> il 20 dicembre 2017, sono stati così modificati:</w:t>
      </w:r>
    </w:p>
    <w:p w:rsidR="0024207A" w:rsidRDefault="0024207A" w:rsidP="001F1B4B">
      <w:pPr>
        <w:numPr>
          <w:ilvl w:val="0"/>
          <w:numId w:val="32"/>
        </w:numPr>
        <w:tabs>
          <w:tab w:val="clear" w:pos="720"/>
        </w:tabs>
        <w:spacing w:before="80"/>
        <w:ind w:left="284" w:hanging="284"/>
        <w:rPr>
          <w:lang w:val="it-CH"/>
        </w:rPr>
      </w:pPr>
      <w:r>
        <w:rPr>
          <w:lang w:val="it-CH"/>
        </w:rPr>
        <w:t xml:space="preserve">sono stati introdotti i concetti di </w:t>
      </w:r>
      <w:proofErr w:type="spellStart"/>
      <w:r>
        <w:rPr>
          <w:lang w:val="it-CH"/>
        </w:rPr>
        <w:t>preferenzialità</w:t>
      </w:r>
      <w:proofErr w:type="spellEnd"/>
      <w:r>
        <w:rPr>
          <w:lang w:val="it-CH"/>
        </w:rPr>
        <w:t xml:space="preserve"> territoriale e di concorso pubblico per le assunzioni (art. 15);</w:t>
      </w:r>
    </w:p>
    <w:p w:rsidR="0024207A" w:rsidRDefault="0024207A" w:rsidP="001F1B4B">
      <w:pPr>
        <w:numPr>
          <w:ilvl w:val="0"/>
          <w:numId w:val="32"/>
        </w:numPr>
        <w:tabs>
          <w:tab w:val="clear" w:pos="720"/>
        </w:tabs>
        <w:spacing w:before="80"/>
        <w:ind w:left="284" w:hanging="284"/>
        <w:rPr>
          <w:lang w:val="it-CH"/>
        </w:rPr>
      </w:pPr>
      <w:r>
        <w:rPr>
          <w:lang w:val="it-CH"/>
        </w:rPr>
        <w:t>all’art. 15 è stato anche introdotto il concetto di “ruolo proattivo” degli istituti nel caso di conflitti di interesse. USI e SUPSI sono tenute a controllare che, in particolar modo nell’ambito della ricerca, i ricercatori non siano coinvolti su più fronti (privato – pubblico);</w:t>
      </w:r>
    </w:p>
    <w:p w:rsidR="0024207A" w:rsidRDefault="0024207A" w:rsidP="001F1B4B">
      <w:pPr>
        <w:numPr>
          <w:ilvl w:val="0"/>
          <w:numId w:val="32"/>
        </w:numPr>
        <w:tabs>
          <w:tab w:val="clear" w:pos="720"/>
        </w:tabs>
        <w:spacing w:before="80"/>
        <w:ind w:left="284" w:hanging="284"/>
        <w:rPr>
          <w:lang w:val="it-CH"/>
        </w:rPr>
      </w:pPr>
      <w:r>
        <w:rPr>
          <w:lang w:val="it-CH"/>
        </w:rPr>
        <w:t xml:space="preserve">dal profilo del finanziamento è stata tenuta in considerazione l’indicazione della commissione speciale scolastica per la SUPSI, mantenendo all’art. 22 del </w:t>
      </w:r>
      <w:proofErr w:type="spellStart"/>
      <w:r>
        <w:rPr>
          <w:lang w:val="it-CH"/>
        </w:rPr>
        <w:t>Cdp</w:t>
      </w:r>
      <w:proofErr w:type="spellEnd"/>
      <w:r>
        <w:rPr>
          <w:lang w:val="it-CH"/>
        </w:rPr>
        <w:t xml:space="preserve"> il 40% di finanziamento degli studenti esteri per il Dipartimento tecnologie innovative (DTI), motivo per il quale è stato ampliato il divario tra il calcolato secondo l’art. 22 e il limite massimo;</w:t>
      </w:r>
    </w:p>
    <w:p w:rsidR="0024207A" w:rsidRDefault="0024207A" w:rsidP="001F1B4B">
      <w:pPr>
        <w:numPr>
          <w:ilvl w:val="0"/>
          <w:numId w:val="32"/>
        </w:numPr>
        <w:tabs>
          <w:tab w:val="clear" w:pos="720"/>
        </w:tabs>
        <w:spacing w:before="80"/>
        <w:ind w:left="284" w:hanging="284"/>
        <w:rPr>
          <w:lang w:val="it-CH"/>
        </w:rPr>
      </w:pPr>
      <w:r>
        <w:rPr>
          <w:lang w:val="it-CH"/>
        </w:rPr>
        <w:t>sono state considerate le indicazioni della Commissione riguardanti gli obiettivi, ovvero la necessità di sviluppare le collaborazioni tra gli istituti (art. 20 cpv. 2) e di aumentare il tasso di introduzione di studenti con la maturità tecnica (art. 10 per la SUPSI);</w:t>
      </w:r>
    </w:p>
    <w:p w:rsidR="0024207A" w:rsidRPr="00C42CCC" w:rsidRDefault="0024207A" w:rsidP="001F1B4B">
      <w:pPr>
        <w:numPr>
          <w:ilvl w:val="0"/>
          <w:numId w:val="32"/>
        </w:numPr>
        <w:tabs>
          <w:tab w:val="clear" w:pos="720"/>
        </w:tabs>
        <w:spacing w:before="80"/>
        <w:ind w:left="284" w:hanging="284"/>
        <w:rPr>
          <w:lang w:val="it-CH"/>
        </w:rPr>
      </w:pPr>
      <w:r>
        <w:rPr>
          <w:lang w:val="it-CH"/>
        </w:rPr>
        <w:t>per la SUPSI è stata introdotta all’art. 7 l’indicazione della Commissione riguardo alla necessità di svolgere mandati e prestazioni di servizio innovativi a favore sia di enti privati che pubblici, in modo da non essere competitivi su servizi già offerti da ditte presenti sul territorio. P</w:t>
      </w:r>
      <w:r w:rsidRPr="00C42CCC">
        <w:rPr>
          <w:lang w:val="it-CH"/>
        </w:rPr>
        <w:t>er entrambi gli istituti è stat</w:t>
      </w:r>
      <w:r>
        <w:rPr>
          <w:lang w:val="it-CH"/>
        </w:rPr>
        <w:t>a</w:t>
      </w:r>
      <w:r w:rsidRPr="00C42CCC">
        <w:rPr>
          <w:lang w:val="it-CH"/>
        </w:rPr>
        <w:t xml:space="preserve"> considerata l’osservazione del controllo interno</w:t>
      </w:r>
      <w:r>
        <w:rPr>
          <w:lang w:val="it-CH"/>
        </w:rPr>
        <w:t xml:space="preserve"> con l’introduzione di</w:t>
      </w:r>
      <w:r w:rsidRPr="00C42CCC">
        <w:rPr>
          <w:lang w:val="it-CH"/>
        </w:rPr>
        <w:t xml:space="preserve"> </w:t>
      </w:r>
      <w:r>
        <w:rPr>
          <w:lang w:val="it-CH"/>
        </w:rPr>
        <w:t xml:space="preserve">un’indicazione </w:t>
      </w:r>
      <w:r w:rsidRPr="00C42CCC">
        <w:rPr>
          <w:lang w:val="it-CH"/>
        </w:rPr>
        <w:t>all’art</w:t>
      </w:r>
      <w:r>
        <w:rPr>
          <w:lang w:val="it-CH"/>
        </w:rPr>
        <w:t xml:space="preserve">. </w:t>
      </w:r>
      <w:r w:rsidRPr="00C42CCC">
        <w:rPr>
          <w:lang w:val="it-CH"/>
        </w:rPr>
        <w:t>1 cpv. 3 d</w:t>
      </w:r>
      <w:r>
        <w:rPr>
          <w:lang w:val="it-CH"/>
        </w:rPr>
        <w:t>e</w:t>
      </w:r>
      <w:r w:rsidRPr="00C42CCC">
        <w:rPr>
          <w:lang w:val="it-CH"/>
        </w:rPr>
        <w:t xml:space="preserve">i </w:t>
      </w:r>
      <w:proofErr w:type="spellStart"/>
      <w:r>
        <w:rPr>
          <w:lang w:val="it-CH"/>
        </w:rPr>
        <w:t>C</w:t>
      </w:r>
      <w:r w:rsidRPr="00C42CCC">
        <w:rPr>
          <w:lang w:val="it-CH"/>
        </w:rPr>
        <w:t>dp</w:t>
      </w:r>
      <w:proofErr w:type="spellEnd"/>
      <w:r w:rsidRPr="00C42CCC">
        <w:rPr>
          <w:lang w:val="it-CH"/>
        </w:rPr>
        <w:t xml:space="preserve">. </w:t>
      </w:r>
    </w:p>
    <w:p w:rsidR="0024207A" w:rsidRDefault="0024207A" w:rsidP="001F1B4B"/>
    <w:p w:rsidR="0024207A" w:rsidRDefault="0024207A" w:rsidP="001F1B4B">
      <w:r>
        <w:t xml:space="preserve">Prima di passare agli obiettivi 2017 per ogni istituto, si informa che </w:t>
      </w:r>
      <w:r w:rsidRPr="009323F3">
        <w:t>dal profilo del finanziamento per il 201</w:t>
      </w:r>
      <w:r>
        <w:t>7</w:t>
      </w:r>
      <w:r w:rsidRPr="009323F3">
        <w:t xml:space="preserve"> è stato applicato</w:t>
      </w:r>
      <w:r>
        <w:t xml:space="preserve"> l’art. 27 del </w:t>
      </w:r>
      <w:proofErr w:type="spellStart"/>
      <w:r>
        <w:t>Cdp</w:t>
      </w:r>
      <w:proofErr w:type="spellEnd"/>
      <w:r>
        <w:t xml:space="preserve">, ovvero il limite massimo annuale dei contributi di gestione. Per quanto riguarda l’USI, l’importo massimo applicato è stato di 21.00 milioni di franchi, contro una </w:t>
      </w:r>
      <w:r w:rsidRPr="00CC0346">
        <w:t>richiesta di finanziamento calcolata in base all’art</w:t>
      </w:r>
      <w:r>
        <w:t xml:space="preserve">. </w:t>
      </w:r>
      <w:r w:rsidRPr="00CC0346">
        <w:t xml:space="preserve">22 del </w:t>
      </w:r>
      <w:proofErr w:type="spellStart"/>
      <w:r>
        <w:t>C</w:t>
      </w:r>
      <w:r w:rsidRPr="00CC0346">
        <w:t>dp</w:t>
      </w:r>
      <w:proofErr w:type="spellEnd"/>
      <w:r w:rsidRPr="00CC0346">
        <w:t xml:space="preserve"> </w:t>
      </w:r>
      <w:r>
        <w:t xml:space="preserve">di </w:t>
      </w:r>
      <w:r w:rsidRPr="00CC0346">
        <w:t>2</w:t>
      </w:r>
      <w:r>
        <w:t>2</w:t>
      </w:r>
      <w:r w:rsidRPr="00CC0346">
        <w:t>.</w:t>
      </w:r>
      <w:r>
        <w:t>58</w:t>
      </w:r>
      <w:r w:rsidRPr="00CC0346">
        <w:t xml:space="preserve"> milioni (RG </w:t>
      </w:r>
      <w:r>
        <w:t>1387</w:t>
      </w:r>
      <w:r w:rsidRPr="00CC0346">
        <w:t xml:space="preserve"> del </w:t>
      </w:r>
      <w:r>
        <w:t>28</w:t>
      </w:r>
      <w:r w:rsidRPr="00CC0346">
        <w:t xml:space="preserve"> </w:t>
      </w:r>
      <w:r>
        <w:t>marzo</w:t>
      </w:r>
      <w:r w:rsidRPr="00CC0346">
        <w:t xml:space="preserve"> 201</w:t>
      </w:r>
      <w:r>
        <w:t>8</w:t>
      </w:r>
      <w:r w:rsidRPr="00CC0346">
        <w:t xml:space="preserve">). Per la SUPSI il contributo massimo versato è stato di </w:t>
      </w:r>
      <w:r>
        <w:t>24</w:t>
      </w:r>
      <w:r w:rsidRPr="00CC0346">
        <w:t>.</w:t>
      </w:r>
      <w:r>
        <w:t>19</w:t>
      </w:r>
      <w:r w:rsidRPr="00CC0346">
        <w:t xml:space="preserve"> milioni di franchi</w:t>
      </w:r>
      <w:r>
        <w:t>,</w:t>
      </w:r>
      <w:r w:rsidRPr="00CC0346">
        <w:t xml:space="preserve"> contro i 2</w:t>
      </w:r>
      <w:r>
        <w:t>6</w:t>
      </w:r>
      <w:r w:rsidRPr="00CC0346">
        <w:t>.</w:t>
      </w:r>
      <w:r>
        <w:t>08</w:t>
      </w:r>
      <w:r w:rsidRPr="00CC0346">
        <w:t xml:space="preserve"> milioni di franchi </w:t>
      </w:r>
      <w:r w:rsidRPr="009323F3">
        <w:t>richiesti in base al calcolo dell’art</w:t>
      </w:r>
      <w:r w:rsidRPr="00CC0346">
        <w:t xml:space="preserve">. 22 </w:t>
      </w:r>
      <w:r>
        <w:t xml:space="preserve">del </w:t>
      </w:r>
      <w:proofErr w:type="spellStart"/>
      <w:r>
        <w:t>C</w:t>
      </w:r>
      <w:r w:rsidRPr="00CC0346">
        <w:t>dp</w:t>
      </w:r>
      <w:proofErr w:type="spellEnd"/>
      <w:r w:rsidRPr="00CC0346">
        <w:t xml:space="preserve"> (RG </w:t>
      </w:r>
      <w:r>
        <w:t>1379</w:t>
      </w:r>
      <w:r w:rsidRPr="00CC0346">
        <w:t xml:space="preserve"> del </w:t>
      </w:r>
      <w:r>
        <w:t>28</w:t>
      </w:r>
      <w:r w:rsidRPr="00CC0346">
        <w:t xml:space="preserve"> </w:t>
      </w:r>
      <w:r>
        <w:t>marzo</w:t>
      </w:r>
      <w:r w:rsidRPr="00CC0346">
        <w:t xml:space="preserve"> 201</w:t>
      </w:r>
      <w:r>
        <w:t>8</w:t>
      </w:r>
      <w:r w:rsidRPr="00CC0346">
        <w:t xml:space="preserve">). </w:t>
      </w:r>
      <w:r>
        <w:t>Infine al DFA è stato concesso un importo forfettario di 14.25 milioni di franchi</w:t>
      </w:r>
      <w:r w:rsidRPr="00172983">
        <w:t xml:space="preserve"> </w:t>
      </w:r>
      <w:r>
        <w:t>con RG 1388 del 28 marzo 2018. La questione del finanziamento sarà ancora sviluppata in modo esaustivo ad ogni punto relativo ai singoli istituti.</w:t>
      </w:r>
    </w:p>
    <w:p w:rsidR="0024207A" w:rsidRDefault="0024207A">
      <w:pPr>
        <w:jc w:val="left"/>
        <w:rPr>
          <w:b/>
          <w:caps/>
          <w:szCs w:val="24"/>
        </w:rPr>
      </w:pPr>
      <w:bookmarkStart w:id="24" w:name="_Toc241919552"/>
      <w:bookmarkStart w:id="25" w:name="_Toc241919582"/>
      <w:bookmarkStart w:id="26" w:name="_Toc241920444"/>
      <w:bookmarkStart w:id="27" w:name="_Toc241920704"/>
      <w:bookmarkStart w:id="28" w:name="_Toc242173217"/>
      <w:bookmarkStart w:id="29" w:name="_Toc303080072"/>
      <w:r>
        <w:br w:type="page"/>
      </w:r>
    </w:p>
    <w:p w:rsidR="0024207A" w:rsidRPr="0024207A" w:rsidRDefault="0024207A" w:rsidP="0024207A">
      <w:pPr>
        <w:pStyle w:val="Titolo1"/>
      </w:pPr>
      <w:r w:rsidRPr="0024207A">
        <w:lastRenderedPageBreak/>
        <w:t>2.</w:t>
      </w:r>
      <w:r w:rsidRPr="0024207A">
        <w:tab/>
        <w:t>UniversitÀ della svizzera italiana</w:t>
      </w:r>
      <w:bookmarkEnd w:id="24"/>
      <w:bookmarkEnd w:id="25"/>
      <w:bookmarkEnd w:id="26"/>
      <w:bookmarkEnd w:id="27"/>
      <w:bookmarkEnd w:id="28"/>
      <w:bookmarkEnd w:id="29"/>
    </w:p>
    <w:p w:rsidR="0024207A" w:rsidRPr="00077377" w:rsidRDefault="0024207A" w:rsidP="0024207A">
      <w:pPr>
        <w:pStyle w:val="Titolo2"/>
        <w:numPr>
          <w:ilvl w:val="1"/>
          <w:numId w:val="41"/>
        </w:numPr>
        <w:ind w:left="567" w:hanging="567"/>
      </w:pPr>
      <w:bookmarkStart w:id="30" w:name="_Toc242173218"/>
      <w:bookmarkStart w:id="31" w:name="_Toc303080073"/>
      <w:r w:rsidRPr="00077377">
        <w:t>Considerazioni generali</w:t>
      </w:r>
      <w:bookmarkEnd w:id="30"/>
      <w:bookmarkEnd w:id="31"/>
    </w:p>
    <w:p w:rsidR="0024207A" w:rsidRDefault="0024207A" w:rsidP="0024207A">
      <w:pPr>
        <w:shd w:val="clear" w:color="auto" w:fill="FFFFFF"/>
        <w:spacing w:before="120" w:line="270" w:lineRule="atLeast"/>
      </w:pPr>
      <w:r>
        <w:t>I</w:t>
      </w:r>
      <w:r w:rsidRPr="00B97321">
        <w:t xml:space="preserve">l </w:t>
      </w:r>
      <w:proofErr w:type="spellStart"/>
      <w:r>
        <w:t>Cdp</w:t>
      </w:r>
      <w:proofErr w:type="spellEnd"/>
      <w:r w:rsidRPr="00B97321">
        <w:t xml:space="preserve"> </w:t>
      </w:r>
      <w:r>
        <w:t xml:space="preserve">prevede la misurazione di obiettivi </w:t>
      </w:r>
      <w:r w:rsidRPr="00700B72">
        <w:t>generali</w:t>
      </w:r>
      <w:r>
        <w:t xml:space="preserve"> attraverso indicatori di output che hanno anche una valenza qualitativa e finanziaria complessiva. Tra questi vengono identificati: </w:t>
      </w:r>
    </w:p>
    <w:p w:rsidR="0024207A" w:rsidRDefault="0024207A" w:rsidP="0024207A">
      <w:pPr>
        <w:shd w:val="clear" w:color="auto" w:fill="FFFFFF"/>
        <w:spacing w:before="120" w:line="270" w:lineRule="atLeast"/>
        <w:ind w:left="284" w:hanging="284"/>
      </w:pPr>
      <w:r>
        <w:t>-</w:t>
      </w:r>
      <w:r>
        <w:tab/>
        <w:t xml:space="preserve">le percentuali </w:t>
      </w:r>
      <w:r w:rsidRPr="00D4335B">
        <w:t xml:space="preserve">riferite alle pari opportunità, che per l’USI risultano in linea con il resto della Svizzera, e </w:t>
      </w:r>
    </w:p>
    <w:p w:rsidR="0024207A" w:rsidRDefault="0024207A" w:rsidP="0024207A">
      <w:pPr>
        <w:shd w:val="clear" w:color="auto" w:fill="FFFFFF"/>
        <w:spacing w:before="120" w:line="270" w:lineRule="atLeast"/>
        <w:ind w:left="284" w:hanging="284"/>
      </w:pPr>
      <w:r>
        <w:t>-</w:t>
      </w:r>
      <w:r>
        <w:tab/>
      </w:r>
      <w:r w:rsidRPr="00D4335B">
        <w:t>la capacità di creare un network universita</w:t>
      </w:r>
      <w:r>
        <w:t>rio nazionale e internazionale.</w:t>
      </w:r>
    </w:p>
    <w:p w:rsidR="0024207A" w:rsidRDefault="0024207A" w:rsidP="001F1B4B"/>
    <w:p w:rsidR="0024207A" w:rsidRDefault="0024207A" w:rsidP="001F1B4B">
      <w:pPr>
        <w:rPr>
          <w:rFonts w:cs="Arial"/>
          <w:szCs w:val="24"/>
        </w:rPr>
      </w:pPr>
      <w:r w:rsidRPr="00D4335B">
        <w:t xml:space="preserve">In tale contesto la LUSI/SUPSI indica che l’USI deve provvedere all’insegnamento e alla ricerca nei campi dove può essere raggiunta una qualità scientifica di </w:t>
      </w:r>
      <w:r w:rsidRPr="00D4335B">
        <w:rPr>
          <w:rFonts w:cs="Arial"/>
          <w:szCs w:val="24"/>
        </w:rPr>
        <w:t xml:space="preserve">rilevanza internazionale. </w:t>
      </w:r>
      <w:r w:rsidRPr="00D4335B">
        <w:t>La rete di contatti dell’</w:t>
      </w:r>
      <w:r w:rsidRPr="00D4335B">
        <w:rPr>
          <w:rFonts w:cs="Arial"/>
          <w:szCs w:val="24"/>
        </w:rPr>
        <w:t xml:space="preserve">USI permette di promuovere e tutelare la cultura della Svizzera italiana, fungendo </w:t>
      </w:r>
      <w:r>
        <w:rPr>
          <w:rFonts w:cs="Arial"/>
          <w:szCs w:val="24"/>
        </w:rPr>
        <w:t>da ponte culturale con l’Italia.</w:t>
      </w:r>
    </w:p>
    <w:p w:rsidR="001F1B4B" w:rsidRDefault="001F1B4B" w:rsidP="001F1B4B">
      <w:pPr>
        <w:rPr>
          <w:rFonts w:cs="Arial"/>
          <w:szCs w:val="24"/>
        </w:rPr>
      </w:pPr>
    </w:p>
    <w:p w:rsidR="0024207A" w:rsidRDefault="0024207A" w:rsidP="001F1B4B">
      <w:pPr>
        <w:rPr>
          <w:rFonts w:cs="Arial"/>
          <w:szCs w:val="24"/>
        </w:rPr>
      </w:pPr>
      <w:r>
        <w:rPr>
          <w:rFonts w:cs="Arial"/>
          <w:szCs w:val="24"/>
        </w:rPr>
        <w:t>L</w:t>
      </w:r>
      <w:r w:rsidRPr="00D4335B">
        <w:rPr>
          <w:rFonts w:cs="Arial"/>
          <w:szCs w:val="24"/>
        </w:rPr>
        <w:t xml:space="preserve">’USI collabora </w:t>
      </w:r>
      <w:r>
        <w:rPr>
          <w:rFonts w:cs="Arial"/>
          <w:szCs w:val="24"/>
        </w:rPr>
        <w:t xml:space="preserve">anche </w:t>
      </w:r>
      <w:r w:rsidRPr="00D4335B">
        <w:rPr>
          <w:rFonts w:cs="Arial"/>
          <w:szCs w:val="24"/>
        </w:rPr>
        <w:t xml:space="preserve">con enti locali che rinforzano </w:t>
      </w:r>
      <w:r>
        <w:rPr>
          <w:rFonts w:cs="Arial"/>
          <w:szCs w:val="24"/>
        </w:rPr>
        <w:t xml:space="preserve">il suo </w:t>
      </w:r>
      <w:r w:rsidRPr="00D4335B">
        <w:rPr>
          <w:rFonts w:cs="Arial"/>
          <w:szCs w:val="24"/>
        </w:rPr>
        <w:t xml:space="preserve">impatto a tutela della cultura italiana. In questo senso </w:t>
      </w:r>
      <w:r>
        <w:rPr>
          <w:rFonts w:cs="Arial"/>
          <w:szCs w:val="24"/>
        </w:rPr>
        <w:t xml:space="preserve">essa </w:t>
      </w:r>
      <w:r w:rsidRPr="00D4335B">
        <w:rPr>
          <w:rFonts w:cs="Arial"/>
          <w:szCs w:val="24"/>
        </w:rPr>
        <w:t>ha avviato già nel 2017 le discussioni per una possibile integrazione o affiliazione della Facoltà di Teologia di Lugano (FTL)</w:t>
      </w:r>
      <w:r>
        <w:rPr>
          <w:rFonts w:cs="Arial"/>
          <w:szCs w:val="24"/>
        </w:rPr>
        <w:t>.</w:t>
      </w:r>
      <w:r w:rsidRPr="00D4335B">
        <w:rPr>
          <w:rFonts w:cs="Arial"/>
          <w:szCs w:val="24"/>
        </w:rPr>
        <w:t xml:space="preserve"> </w:t>
      </w:r>
    </w:p>
    <w:p w:rsidR="001F1B4B" w:rsidRDefault="001F1B4B" w:rsidP="001F1B4B">
      <w:pPr>
        <w:rPr>
          <w:rFonts w:cs="Arial"/>
          <w:szCs w:val="24"/>
        </w:rPr>
      </w:pPr>
    </w:p>
    <w:p w:rsidR="0024207A" w:rsidRPr="00616461" w:rsidRDefault="0024207A" w:rsidP="001F1B4B">
      <w:r>
        <w:rPr>
          <w:rFonts w:cs="Arial"/>
          <w:szCs w:val="24"/>
        </w:rPr>
        <w:t>L</w:t>
      </w:r>
      <w:r w:rsidRPr="00D4335B">
        <w:rPr>
          <w:rFonts w:cs="Arial"/>
          <w:szCs w:val="24"/>
        </w:rPr>
        <w:t>a Facoltà di Scienze della comunicazione</w:t>
      </w:r>
      <w:r>
        <w:rPr>
          <w:rFonts w:cs="Arial"/>
          <w:szCs w:val="24"/>
        </w:rPr>
        <w:t>,</w:t>
      </w:r>
      <w:r w:rsidRPr="00D4335B">
        <w:rPr>
          <w:rFonts w:cs="Arial"/>
          <w:szCs w:val="24"/>
        </w:rPr>
        <w:t xml:space="preserve"> </w:t>
      </w:r>
      <w:r>
        <w:rPr>
          <w:rFonts w:cs="Arial"/>
          <w:szCs w:val="24"/>
        </w:rPr>
        <w:t xml:space="preserve">presso la quale </w:t>
      </w:r>
      <w:r w:rsidRPr="00D4335B">
        <w:rPr>
          <w:rFonts w:cs="Arial"/>
          <w:szCs w:val="24"/>
        </w:rPr>
        <w:t>è stato avviato un nuovo p</w:t>
      </w:r>
      <w:r>
        <w:rPr>
          <w:rFonts w:cs="Arial"/>
          <w:szCs w:val="24"/>
        </w:rPr>
        <w:t>rogramma di master in Filosofia,</w:t>
      </w:r>
      <w:r w:rsidRPr="00D4335B">
        <w:rPr>
          <w:rFonts w:cs="Arial"/>
          <w:szCs w:val="24"/>
        </w:rPr>
        <w:t xml:space="preserve"> ha avviato e concluso un processo di riorganizzazione interna che porterà alla modifica della sua denominazion</w:t>
      </w:r>
      <w:r>
        <w:rPr>
          <w:rFonts w:cs="Arial"/>
          <w:szCs w:val="24"/>
        </w:rPr>
        <w:t>e, previa autorizzazione da parte del Gran Consiglio.</w:t>
      </w:r>
    </w:p>
    <w:p w:rsidR="001F1B4B" w:rsidRDefault="001F1B4B" w:rsidP="001F1B4B">
      <w:pPr>
        <w:rPr>
          <w:rFonts w:cs="Arial"/>
          <w:szCs w:val="24"/>
        </w:rPr>
      </w:pPr>
    </w:p>
    <w:p w:rsidR="0024207A" w:rsidRPr="00853AD2" w:rsidRDefault="0024207A" w:rsidP="001F1B4B">
      <w:pPr>
        <w:rPr>
          <w:rFonts w:cs="Arial"/>
          <w:szCs w:val="24"/>
        </w:rPr>
      </w:pPr>
      <w:r w:rsidRPr="00D4335B">
        <w:rPr>
          <w:rFonts w:cs="Arial"/>
          <w:szCs w:val="24"/>
        </w:rPr>
        <w:t xml:space="preserve">Nel corso dell’autunno 2017 è stata istituita la </w:t>
      </w:r>
      <w:r w:rsidRPr="00D4335B">
        <w:rPr>
          <w:rFonts w:cs="Arial"/>
          <w:lang w:val="it-CH"/>
        </w:rPr>
        <w:t xml:space="preserve">MEM (Middle East and </w:t>
      </w:r>
      <w:proofErr w:type="spellStart"/>
      <w:r w:rsidRPr="00D4335B">
        <w:rPr>
          <w:rFonts w:cs="Arial"/>
          <w:lang w:val="it-CH"/>
        </w:rPr>
        <w:t>Mediterranean</w:t>
      </w:r>
      <w:proofErr w:type="spellEnd"/>
      <w:r w:rsidRPr="00D4335B">
        <w:rPr>
          <w:rFonts w:cs="Arial"/>
          <w:lang w:val="it-CH"/>
        </w:rPr>
        <w:t xml:space="preserve">) </w:t>
      </w:r>
      <w:proofErr w:type="spellStart"/>
      <w:r w:rsidRPr="00D4335B">
        <w:rPr>
          <w:rFonts w:ascii="Helvetica" w:hAnsi="Helvetica" w:cs="Helvetica"/>
          <w:color w:val="000000"/>
        </w:rPr>
        <w:t>Freethinking</w:t>
      </w:r>
      <w:proofErr w:type="spellEnd"/>
      <w:r w:rsidRPr="00D4335B">
        <w:rPr>
          <w:rFonts w:ascii="Helvetica" w:hAnsi="Helvetica" w:cs="Helvetica"/>
          <w:color w:val="000000"/>
        </w:rPr>
        <w:t xml:space="preserve"> Platform, diretta dal professor Gilles </w:t>
      </w:r>
      <w:proofErr w:type="spellStart"/>
      <w:r w:rsidRPr="00D4335B">
        <w:rPr>
          <w:rFonts w:ascii="Helvetica" w:hAnsi="Helvetica" w:cs="Helvetica"/>
          <w:color w:val="000000"/>
        </w:rPr>
        <w:t>Kepel</w:t>
      </w:r>
      <w:proofErr w:type="spellEnd"/>
      <w:r w:rsidRPr="00D4335B">
        <w:rPr>
          <w:rFonts w:ascii="Helvetica" w:hAnsi="Helvetica" w:cs="Helvetica"/>
          <w:color w:val="000000"/>
        </w:rPr>
        <w:t xml:space="preserve">, uno dei maggiori specialisti del campo, il quale </w:t>
      </w:r>
      <w:r>
        <w:rPr>
          <w:rFonts w:ascii="Helvetica" w:hAnsi="Helvetica" w:cs="Helvetica"/>
          <w:color w:val="000000"/>
        </w:rPr>
        <w:t xml:space="preserve">ha </w:t>
      </w:r>
      <w:r w:rsidRPr="00D4335B">
        <w:rPr>
          <w:rFonts w:ascii="Helvetica" w:hAnsi="Helvetica" w:cs="Helvetica"/>
          <w:color w:val="000000"/>
        </w:rPr>
        <w:t xml:space="preserve">tenuto un corso pubblico di 10 lezioni e ha promosso il MEM </w:t>
      </w:r>
      <w:proofErr w:type="spellStart"/>
      <w:r w:rsidRPr="00D4335B">
        <w:rPr>
          <w:rFonts w:ascii="Helvetica" w:hAnsi="Helvetica" w:cs="Helvetica"/>
          <w:color w:val="000000"/>
        </w:rPr>
        <w:t>Summer</w:t>
      </w:r>
      <w:proofErr w:type="spellEnd"/>
      <w:r w:rsidRPr="00D4335B">
        <w:rPr>
          <w:rFonts w:ascii="Helvetica" w:hAnsi="Helvetica" w:cs="Helvetica"/>
          <w:color w:val="000000"/>
        </w:rPr>
        <w:t xml:space="preserve"> Summit</w:t>
      </w:r>
      <w:r>
        <w:rPr>
          <w:rFonts w:ascii="Helvetica" w:hAnsi="Helvetica" w:cs="Helvetica"/>
          <w:color w:val="000000"/>
        </w:rPr>
        <w:t>,</w:t>
      </w:r>
      <w:r w:rsidRPr="00D4335B">
        <w:rPr>
          <w:rFonts w:ascii="Helvetica" w:hAnsi="Helvetica" w:cs="Helvetica"/>
          <w:color w:val="000000"/>
        </w:rPr>
        <w:t xml:space="preserve"> svoltosi dal 16 al 26 agosto 2018.</w:t>
      </w:r>
    </w:p>
    <w:p w:rsidR="001F1B4B" w:rsidRDefault="001F1B4B" w:rsidP="001F1B4B">
      <w:pPr>
        <w:rPr>
          <w:rFonts w:cs="Arial"/>
          <w:szCs w:val="24"/>
        </w:rPr>
      </w:pPr>
    </w:p>
    <w:p w:rsidR="0024207A" w:rsidRDefault="0024207A" w:rsidP="001F1B4B">
      <w:pPr>
        <w:rPr>
          <w:rFonts w:cs="Arial"/>
          <w:szCs w:val="24"/>
        </w:rPr>
      </w:pPr>
      <w:r>
        <w:rPr>
          <w:rFonts w:cs="Arial"/>
          <w:szCs w:val="24"/>
        </w:rPr>
        <w:t>Si rimanda</w:t>
      </w:r>
      <w:r w:rsidRPr="00853AD2">
        <w:rPr>
          <w:rFonts w:cs="Arial"/>
          <w:szCs w:val="24"/>
        </w:rPr>
        <w:t xml:space="preserve"> al rapporto annuale 201</w:t>
      </w:r>
      <w:r>
        <w:rPr>
          <w:rFonts w:cs="Arial"/>
          <w:szCs w:val="24"/>
        </w:rPr>
        <w:t>6/</w:t>
      </w:r>
      <w:r w:rsidRPr="00853AD2">
        <w:rPr>
          <w:rFonts w:cs="Arial"/>
          <w:szCs w:val="24"/>
        </w:rPr>
        <w:t>1</w:t>
      </w:r>
      <w:r>
        <w:rPr>
          <w:rFonts w:cs="Arial"/>
          <w:szCs w:val="24"/>
        </w:rPr>
        <w:t>7</w:t>
      </w:r>
      <w:r w:rsidRPr="00853AD2">
        <w:rPr>
          <w:rFonts w:cs="Arial"/>
          <w:szCs w:val="24"/>
        </w:rPr>
        <w:t xml:space="preserve"> dell’USI che riporta sia fatti di rilievo </w:t>
      </w:r>
      <w:r>
        <w:rPr>
          <w:rFonts w:cs="Arial"/>
          <w:szCs w:val="24"/>
        </w:rPr>
        <w:t>relativi all’anno</w:t>
      </w:r>
      <w:r w:rsidRPr="00853AD2">
        <w:rPr>
          <w:rFonts w:cs="Arial"/>
          <w:szCs w:val="24"/>
        </w:rPr>
        <w:t xml:space="preserve"> accademico sia un riassunto di eventi pubblici e di decisioni del Consiglio dell’USI.</w:t>
      </w:r>
    </w:p>
    <w:p w:rsidR="001F1B4B" w:rsidRDefault="001F1B4B" w:rsidP="001F1B4B">
      <w:pPr>
        <w:rPr>
          <w:rFonts w:cs="Arial"/>
          <w:szCs w:val="24"/>
        </w:rPr>
      </w:pPr>
    </w:p>
    <w:p w:rsidR="0024207A" w:rsidRDefault="0024207A" w:rsidP="001F1B4B">
      <w:pPr>
        <w:rPr>
          <w:rFonts w:cs="Arial"/>
          <w:szCs w:val="24"/>
        </w:rPr>
      </w:pPr>
      <w:r>
        <w:rPr>
          <w:rFonts w:cs="Arial"/>
          <w:szCs w:val="24"/>
        </w:rPr>
        <w:t>Per quanto riguarda la nuova Facoltà di scienze biomediche si rimanda al punto 2.5 del presente messaggio per una descrizione di quanto svolto durante il 2017.</w:t>
      </w:r>
    </w:p>
    <w:p w:rsidR="0024207A" w:rsidRDefault="0024207A" w:rsidP="0024207A">
      <w:pPr>
        <w:rPr>
          <w:rFonts w:cs="Arial"/>
          <w:szCs w:val="24"/>
        </w:rPr>
      </w:pPr>
    </w:p>
    <w:p w:rsidR="0024207A" w:rsidRPr="00853AD2" w:rsidRDefault="0024207A" w:rsidP="0024207A">
      <w:pPr>
        <w:rPr>
          <w:rFonts w:cs="Arial"/>
          <w:szCs w:val="24"/>
        </w:rPr>
      </w:pPr>
    </w:p>
    <w:p w:rsidR="0024207A" w:rsidRPr="00853AD2" w:rsidRDefault="0024207A" w:rsidP="0024207A">
      <w:pPr>
        <w:pStyle w:val="Titolo2"/>
        <w:spacing w:after="0"/>
      </w:pPr>
      <w:bookmarkStart w:id="32" w:name="_Toc268859942"/>
      <w:r w:rsidRPr="00853AD2">
        <w:t>2.2</w:t>
      </w:r>
      <w:r w:rsidRPr="00853AD2">
        <w:tab/>
      </w:r>
      <w:bookmarkStart w:id="33" w:name="_Toc303080074"/>
      <w:r w:rsidRPr="00853AD2">
        <w:t>Formazione di base all’USI</w:t>
      </w:r>
      <w:bookmarkEnd w:id="32"/>
      <w:bookmarkEnd w:id="33"/>
    </w:p>
    <w:p w:rsidR="0024207A" w:rsidRPr="00853AD2" w:rsidRDefault="0024207A" w:rsidP="001F1B4B">
      <w:pPr>
        <w:rPr>
          <w:lang w:val="it-CH"/>
        </w:rPr>
      </w:pPr>
      <w:r w:rsidRPr="00853AD2">
        <w:t xml:space="preserve">Per quanto concerne la formazione di base, il </w:t>
      </w:r>
      <w:proofErr w:type="spellStart"/>
      <w:r>
        <w:t>Cdp</w:t>
      </w:r>
      <w:proofErr w:type="spellEnd"/>
      <w:r w:rsidRPr="00853AD2">
        <w:t xml:space="preserve"> prevede che il Cantone finanzi l’USI</w:t>
      </w:r>
      <w:r w:rsidRPr="00853AD2">
        <w:rPr>
          <w:lang w:val="it-CH"/>
        </w:rPr>
        <w:t xml:space="preserve"> sulla base del numero di studenti moltiplicato per i forfait </w:t>
      </w:r>
      <w:r>
        <w:rPr>
          <w:lang w:val="it-CH"/>
        </w:rPr>
        <w:t xml:space="preserve">definiti dagli </w:t>
      </w:r>
      <w:r w:rsidRPr="00853AD2">
        <w:rPr>
          <w:lang w:val="it-CH"/>
        </w:rPr>
        <w:t xml:space="preserve">accordi </w:t>
      </w:r>
      <w:proofErr w:type="spellStart"/>
      <w:r w:rsidRPr="00853AD2">
        <w:rPr>
          <w:lang w:val="it-CH"/>
        </w:rPr>
        <w:t>intercantonali</w:t>
      </w:r>
      <w:proofErr w:type="spellEnd"/>
      <w:r w:rsidRPr="00853AD2">
        <w:rPr>
          <w:lang w:val="it-CH"/>
        </w:rPr>
        <w:t xml:space="preserve">. Per favorire </w:t>
      </w:r>
      <w:r>
        <w:rPr>
          <w:lang w:val="it-CH"/>
        </w:rPr>
        <w:t>il</w:t>
      </w:r>
      <w:r w:rsidRPr="00853AD2">
        <w:rPr>
          <w:lang w:val="it-CH"/>
        </w:rPr>
        <w:t xml:space="preserve"> mantenimento della quota di studenti residenti</w:t>
      </w:r>
      <w:r>
        <w:rPr>
          <w:lang w:val="it-CH"/>
        </w:rPr>
        <w:t>,</w:t>
      </w:r>
      <w:r w:rsidRPr="00853AD2">
        <w:rPr>
          <w:lang w:val="it-CH"/>
        </w:rPr>
        <w:t xml:space="preserve"> </w:t>
      </w:r>
      <w:r>
        <w:rPr>
          <w:lang w:val="it-CH"/>
        </w:rPr>
        <w:t xml:space="preserve">il nuovo </w:t>
      </w:r>
      <w:proofErr w:type="spellStart"/>
      <w:r>
        <w:rPr>
          <w:lang w:val="it-CH"/>
        </w:rPr>
        <w:t>Cdp</w:t>
      </w:r>
      <w:proofErr w:type="spellEnd"/>
      <w:r>
        <w:rPr>
          <w:lang w:val="it-CH"/>
        </w:rPr>
        <w:t xml:space="preserve"> in vigore dal 2017</w:t>
      </w:r>
      <w:r w:rsidRPr="00853AD2">
        <w:rPr>
          <w:lang w:val="it-CH"/>
        </w:rPr>
        <w:t xml:space="preserve"> </w:t>
      </w:r>
      <w:r>
        <w:rPr>
          <w:lang w:val="it-CH"/>
        </w:rPr>
        <w:t xml:space="preserve">prevede la </w:t>
      </w:r>
      <w:r w:rsidRPr="00853AD2">
        <w:rPr>
          <w:lang w:val="it-CH"/>
        </w:rPr>
        <w:t xml:space="preserve">limitazione del finanziamento </w:t>
      </w:r>
      <w:r>
        <w:rPr>
          <w:lang w:val="it-CH"/>
        </w:rPr>
        <w:t>a</w:t>
      </w:r>
      <w:r w:rsidRPr="00853AD2">
        <w:rPr>
          <w:lang w:val="it-CH"/>
        </w:rPr>
        <w:t xml:space="preserve"> una determinata soglia percentuale di studenti non residenti</w:t>
      </w:r>
      <w:r>
        <w:rPr>
          <w:lang w:val="it-CH"/>
        </w:rPr>
        <w:t xml:space="preserve"> (50%</w:t>
      </w:r>
      <w:r w:rsidRPr="00853AD2">
        <w:rPr>
          <w:lang w:val="it-CH"/>
        </w:rPr>
        <w:t>). Per le considerazioni finanziar</w:t>
      </w:r>
      <w:r>
        <w:rPr>
          <w:lang w:val="it-CH"/>
        </w:rPr>
        <w:t>i</w:t>
      </w:r>
      <w:r w:rsidRPr="00853AD2">
        <w:rPr>
          <w:lang w:val="it-CH"/>
        </w:rPr>
        <w:t xml:space="preserve">e concernenti la formazione </w:t>
      </w:r>
      <w:r>
        <w:rPr>
          <w:lang w:val="it-CH"/>
        </w:rPr>
        <w:t>si rimanda</w:t>
      </w:r>
      <w:r w:rsidRPr="00853AD2">
        <w:rPr>
          <w:lang w:val="it-CH"/>
        </w:rPr>
        <w:t xml:space="preserve"> al punto 2.</w:t>
      </w:r>
      <w:r>
        <w:rPr>
          <w:lang w:val="it-CH"/>
        </w:rPr>
        <w:t>6</w:t>
      </w:r>
      <w:r w:rsidRPr="00853AD2">
        <w:rPr>
          <w:lang w:val="it-CH"/>
        </w:rPr>
        <w:t>.</w:t>
      </w:r>
    </w:p>
    <w:p w:rsidR="001F1B4B" w:rsidRDefault="001F1B4B" w:rsidP="001F1B4B"/>
    <w:p w:rsidR="0024207A" w:rsidRDefault="0024207A" w:rsidP="001F1B4B">
      <w:r w:rsidRPr="00853AD2">
        <w:t>Per la verifica dei dati riguardanti lo sviluppo del numero di studenti iscritti e la loro provenienza geografica per il settore della formazione di base</w:t>
      </w:r>
      <w:r w:rsidRPr="00677628">
        <w:t xml:space="preserve"> (</w:t>
      </w:r>
      <w:proofErr w:type="spellStart"/>
      <w:r w:rsidRPr="00677628">
        <w:t>bachelor</w:t>
      </w:r>
      <w:proofErr w:type="spellEnd"/>
      <w:r w:rsidRPr="00677628">
        <w:t xml:space="preserve"> e master)</w:t>
      </w:r>
      <w:r>
        <w:t xml:space="preserve">, si informa che nei dati 2017/18 sono inclusi 15 studenti formalmente iscritti a Medicina all’USI; attualmente i 15 studenti frequentano il </w:t>
      </w:r>
      <w:proofErr w:type="spellStart"/>
      <w:r>
        <w:t>bachelor</w:t>
      </w:r>
      <w:proofErr w:type="spellEnd"/>
      <w:r>
        <w:t xml:space="preserve"> all’Università di Basilea, poiché l’USI proporrà il solo master dal 2020. </w:t>
      </w:r>
      <w:r w:rsidRPr="005C46B6">
        <w:t>Pertanto la diminuzione effettiva rispetto al precedente anno risulta di 52 studenti</w:t>
      </w:r>
      <w:r>
        <w:t xml:space="preserve">. La diminuzione è </w:t>
      </w:r>
      <w:r w:rsidRPr="005C46B6">
        <w:t xml:space="preserve">da attribuire </w:t>
      </w:r>
      <w:r>
        <w:t>agli effetti nel tempo</w:t>
      </w:r>
      <w:r w:rsidRPr="005C46B6">
        <w:t xml:space="preserve"> del calo degli iscritti nei 2 anni precedenti. La </w:t>
      </w:r>
      <w:r>
        <w:t>T</w:t>
      </w:r>
      <w:r w:rsidRPr="00FE4869">
        <w:t>abella 1</w:t>
      </w:r>
      <w:r w:rsidRPr="005C46B6">
        <w:t xml:space="preserve"> illustra l’evoluzione del</w:t>
      </w:r>
      <w:r w:rsidRPr="001F59F8">
        <w:t xml:space="preserve"> numero degli studenti</w:t>
      </w:r>
      <w:r>
        <w:t xml:space="preserve"> dall’anno accademico 2001/2002 ad oggi.</w:t>
      </w:r>
    </w:p>
    <w:p w:rsidR="0024207A" w:rsidRDefault="0024207A">
      <w:pPr>
        <w:jc w:val="left"/>
        <w:rPr>
          <w:b/>
          <w:szCs w:val="24"/>
        </w:rPr>
      </w:pPr>
      <w:r>
        <w:rPr>
          <w:b/>
          <w:szCs w:val="24"/>
        </w:rPr>
        <w:br w:type="page"/>
      </w:r>
    </w:p>
    <w:p w:rsidR="0024207A" w:rsidRPr="0024207A" w:rsidRDefault="0024207A" w:rsidP="0024207A">
      <w:pPr>
        <w:spacing w:after="240"/>
        <w:jc w:val="left"/>
        <w:rPr>
          <w:b/>
          <w:sz w:val="22"/>
          <w:szCs w:val="22"/>
        </w:rPr>
      </w:pPr>
      <w:r w:rsidRPr="0024207A">
        <w:rPr>
          <w:b/>
          <w:sz w:val="22"/>
          <w:szCs w:val="22"/>
        </w:rPr>
        <w:lastRenderedPageBreak/>
        <w:t>Tabella 1 - Evoluzione degli studenti in formazione di base, per provenienza</w:t>
      </w:r>
    </w:p>
    <w:p w:rsidR="0024207A" w:rsidRPr="00677628" w:rsidRDefault="0024207A" w:rsidP="0024207A">
      <w:pPr>
        <w:tabs>
          <w:tab w:val="left" w:pos="1701"/>
          <w:tab w:val="left" w:pos="3402"/>
          <w:tab w:val="left" w:pos="4111"/>
          <w:tab w:val="left" w:pos="4962"/>
          <w:tab w:val="left" w:pos="5670"/>
          <w:tab w:val="left" w:pos="6379"/>
          <w:tab w:val="left" w:pos="7230"/>
          <w:tab w:val="left" w:pos="7938"/>
          <w:tab w:val="left" w:pos="8505"/>
          <w:tab w:val="left" w:pos="8931"/>
        </w:tabs>
        <w:spacing w:after="120"/>
        <w:jc w:val="left"/>
        <w:rPr>
          <w:rFonts w:cs="Arial"/>
          <w:b/>
          <w:bCs/>
          <w:sz w:val="22"/>
          <w:szCs w:val="22"/>
          <w:u w:val="single"/>
        </w:rPr>
      </w:pPr>
      <w:r w:rsidRPr="00677628">
        <w:rPr>
          <w:rFonts w:cs="Arial"/>
          <w:b/>
          <w:bCs/>
          <w:sz w:val="22"/>
          <w:szCs w:val="22"/>
        </w:rPr>
        <w:t xml:space="preserve">Anno </w:t>
      </w:r>
      <w:r w:rsidRPr="00677628">
        <w:rPr>
          <w:rFonts w:cs="Arial"/>
          <w:b/>
          <w:bCs/>
          <w:sz w:val="22"/>
          <w:szCs w:val="22"/>
        </w:rPr>
        <w:tab/>
      </w:r>
      <w:r w:rsidRPr="00677628">
        <w:rPr>
          <w:rFonts w:cs="Arial"/>
          <w:sz w:val="22"/>
          <w:szCs w:val="22"/>
        </w:rPr>
        <w:t xml:space="preserve">Totale </w:t>
      </w:r>
      <w:r w:rsidRPr="00677628">
        <w:rPr>
          <w:rFonts w:cs="Arial"/>
          <w:sz w:val="22"/>
          <w:szCs w:val="22"/>
        </w:rPr>
        <w:tab/>
        <w:t>Ticino</w:t>
      </w:r>
      <w:r w:rsidRPr="00677628">
        <w:rPr>
          <w:rFonts w:cs="Arial"/>
          <w:sz w:val="22"/>
          <w:szCs w:val="22"/>
        </w:rPr>
        <w:tab/>
        <w:t>%</w:t>
      </w:r>
      <w:r w:rsidRPr="00677628">
        <w:rPr>
          <w:rFonts w:cs="Arial"/>
          <w:sz w:val="22"/>
          <w:szCs w:val="22"/>
        </w:rPr>
        <w:tab/>
        <w:t xml:space="preserve">Altri </w:t>
      </w:r>
      <w:r w:rsidRPr="00677628">
        <w:rPr>
          <w:rFonts w:cs="Arial"/>
          <w:sz w:val="22"/>
          <w:szCs w:val="22"/>
        </w:rPr>
        <w:tab/>
        <w:t>%</w:t>
      </w:r>
      <w:r w:rsidRPr="00677628">
        <w:rPr>
          <w:rFonts w:cs="Arial"/>
          <w:sz w:val="22"/>
          <w:szCs w:val="22"/>
        </w:rPr>
        <w:tab/>
        <w:t>Italia</w:t>
      </w:r>
      <w:r w:rsidRPr="00677628">
        <w:rPr>
          <w:rFonts w:cs="Arial"/>
          <w:sz w:val="22"/>
          <w:szCs w:val="22"/>
        </w:rPr>
        <w:tab/>
        <w:t xml:space="preserve">% </w:t>
      </w:r>
      <w:r w:rsidRPr="00677628">
        <w:rPr>
          <w:rFonts w:cs="Arial"/>
          <w:sz w:val="22"/>
          <w:szCs w:val="22"/>
        </w:rPr>
        <w:tab/>
        <w:t>Altri</w:t>
      </w:r>
      <w:r w:rsidRPr="00677628">
        <w:rPr>
          <w:rFonts w:cs="Arial"/>
          <w:sz w:val="22"/>
          <w:szCs w:val="22"/>
        </w:rPr>
        <w:tab/>
        <w:t>%</w:t>
      </w:r>
      <w:r w:rsidRPr="00677628">
        <w:rPr>
          <w:rFonts w:cs="Arial"/>
          <w:sz w:val="22"/>
          <w:szCs w:val="22"/>
        </w:rPr>
        <w:br/>
      </w:r>
      <w:r w:rsidRPr="00677628">
        <w:rPr>
          <w:rFonts w:cs="Arial"/>
          <w:b/>
          <w:bCs/>
          <w:sz w:val="22"/>
          <w:szCs w:val="22"/>
          <w:u w:val="single"/>
        </w:rPr>
        <w:t>accademico</w:t>
      </w:r>
      <w:r w:rsidRPr="00677628">
        <w:rPr>
          <w:rFonts w:cs="Arial"/>
          <w:b/>
          <w:bCs/>
          <w:sz w:val="22"/>
          <w:szCs w:val="22"/>
          <w:u w:val="single"/>
        </w:rPr>
        <w:tab/>
      </w:r>
      <w:r w:rsidRPr="00677628">
        <w:rPr>
          <w:rFonts w:cs="Arial"/>
          <w:b/>
          <w:bCs/>
          <w:sz w:val="22"/>
          <w:szCs w:val="22"/>
          <w:u w:val="single"/>
        </w:rPr>
        <w:tab/>
      </w:r>
      <w:r w:rsidRPr="00677628">
        <w:rPr>
          <w:rFonts w:cs="Arial"/>
          <w:b/>
          <w:bCs/>
          <w:sz w:val="22"/>
          <w:szCs w:val="22"/>
          <w:u w:val="single"/>
        </w:rPr>
        <w:tab/>
      </w:r>
      <w:r w:rsidRPr="00677628">
        <w:rPr>
          <w:rFonts w:cs="Arial"/>
          <w:b/>
          <w:bCs/>
          <w:sz w:val="22"/>
          <w:szCs w:val="22"/>
          <w:u w:val="single"/>
        </w:rPr>
        <w:tab/>
      </w:r>
      <w:r w:rsidRPr="00677628">
        <w:rPr>
          <w:rFonts w:cs="Arial"/>
          <w:bCs/>
          <w:sz w:val="22"/>
          <w:szCs w:val="22"/>
          <w:u w:val="single"/>
        </w:rPr>
        <w:t>cantoni</w:t>
      </w:r>
      <w:r w:rsidRPr="00677628">
        <w:rPr>
          <w:rFonts w:cs="Arial"/>
          <w:b/>
          <w:bCs/>
          <w:sz w:val="22"/>
          <w:szCs w:val="22"/>
          <w:u w:val="single"/>
        </w:rPr>
        <w:tab/>
      </w:r>
      <w:r w:rsidRPr="00677628">
        <w:rPr>
          <w:rFonts w:cs="Arial"/>
          <w:b/>
          <w:bCs/>
          <w:sz w:val="22"/>
          <w:szCs w:val="22"/>
          <w:u w:val="single"/>
        </w:rPr>
        <w:tab/>
      </w:r>
      <w:r w:rsidRPr="00677628">
        <w:rPr>
          <w:rFonts w:cs="Arial"/>
          <w:b/>
          <w:bCs/>
          <w:sz w:val="22"/>
          <w:szCs w:val="22"/>
          <w:u w:val="single"/>
        </w:rPr>
        <w:tab/>
      </w:r>
      <w:r w:rsidRPr="00677628">
        <w:rPr>
          <w:rFonts w:cs="Arial"/>
          <w:bCs/>
          <w:sz w:val="22"/>
          <w:szCs w:val="22"/>
          <w:u w:val="single"/>
        </w:rPr>
        <w:t>paesi</w:t>
      </w:r>
      <w:r w:rsidRPr="00677628">
        <w:rPr>
          <w:rFonts w:cs="Arial"/>
          <w:bCs/>
          <w:sz w:val="22"/>
          <w:szCs w:val="22"/>
          <w:u w:val="single"/>
        </w:rPr>
        <w:tab/>
      </w:r>
      <w:r w:rsidRPr="00677628">
        <w:rPr>
          <w:rFonts w:cs="Arial"/>
          <w:bCs/>
          <w:sz w:val="22"/>
          <w:szCs w:val="22"/>
          <w:u w:val="single"/>
        </w:rPr>
        <w:tab/>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2001/</w:t>
      </w:r>
      <w:r w:rsidRPr="00C321C3">
        <w:rPr>
          <w:rFonts w:cs="Arial"/>
          <w:bCs/>
          <w:sz w:val="22"/>
          <w:szCs w:val="22"/>
          <w:lang w:val="it-CH" w:eastAsia="zh-CN"/>
        </w:rPr>
        <w:t>02</w:t>
      </w:r>
      <w:r w:rsidRPr="00C321C3">
        <w:rPr>
          <w:rFonts w:cs="Arial"/>
          <w:bCs/>
          <w:sz w:val="22"/>
          <w:szCs w:val="22"/>
          <w:lang w:val="it-CH" w:eastAsia="zh-CN"/>
        </w:rPr>
        <w:tab/>
        <w:t>1463</w:t>
      </w:r>
      <w:r w:rsidRPr="00C321C3">
        <w:rPr>
          <w:rFonts w:cs="Arial"/>
          <w:bCs/>
          <w:sz w:val="22"/>
          <w:szCs w:val="22"/>
          <w:lang w:val="it-CH" w:eastAsia="zh-CN"/>
        </w:rPr>
        <w:tab/>
      </w:r>
      <w:r w:rsidRPr="00C321C3">
        <w:rPr>
          <w:rFonts w:cs="Arial"/>
          <w:bCs/>
          <w:sz w:val="22"/>
          <w:szCs w:val="22"/>
          <w:lang w:val="it-CH" w:eastAsia="zh-CN"/>
        </w:rPr>
        <w:tab/>
      </w:r>
      <w:r w:rsidRPr="00C321C3">
        <w:rPr>
          <w:rFonts w:cs="Arial"/>
          <w:sz w:val="22"/>
          <w:szCs w:val="22"/>
          <w:lang w:val="it-CH" w:eastAsia="zh-CN"/>
        </w:rPr>
        <w:t>663</w:t>
      </w:r>
      <w:r w:rsidRPr="00C321C3">
        <w:rPr>
          <w:rFonts w:cs="Arial"/>
          <w:sz w:val="22"/>
          <w:szCs w:val="22"/>
          <w:lang w:val="it-CH" w:eastAsia="zh-CN"/>
        </w:rPr>
        <w:tab/>
        <w:t>45%</w:t>
      </w:r>
      <w:r w:rsidRPr="00C321C3">
        <w:rPr>
          <w:rFonts w:cs="Arial"/>
          <w:sz w:val="22"/>
          <w:szCs w:val="22"/>
          <w:lang w:val="it-CH" w:eastAsia="zh-CN"/>
        </w:rPr>
        <w:tab/>
        <w:t>294</w:t>
      </w:r>
      <w:r w:rsidRPr="00C321C3">
        <w:rPr>
          <w:rFonts w:cs="Arial"/>
          <w:sz w:val="22"/>
          <w:szCs w:val="22"/>
          <w:lang w:val="it-CH" w:eastAsia="zh-CN"/>
        </w:rPr>
        <w:tab/>
        <w:t>20%</w:t>
      </w:r>
      <w:r w:rsidRPr="00C321C3">
        <w:rPr>
          <w:rFonts w:cs="Arial"/>
          <w:sz w:val="22"/>
          <w:szCs w:val="22"/>
          <w:lang w:val="it-CH" w:eastAsia="zh-CN"/>
        </w:rPr>
        <w:tab/>
        <w:t>358</w:t>
      </w:r>
      <w:r w:rsidRPr="00C321C3">
        <w:rPr>
          <w:rFonts w:cs="Arial"/>
          <w:sz w:val="22"/>
          <w:szCs w:val="22"/>
          <w:lang w:val="it-CH" w:eastAsia="zh-CN"/>
        </w:rPr>
        <w:tab/>
        <w:t>24%</w:t>
      </w:r>
      <w:r w:rsidRPr="00C321C3">
        <w:rPr>
          <w:rFonts w:cs="Arial"/>
          <w:sz w:val="22"/>
          <w:szCs w:val="22"/>
          <w:lang w:val="it-CH" w:eastAsia="zh-CN"/>
        </w:rPr>
        <w:tab/>
        <w:t>148</w:t>
      </w:r>
      <w:r w:rsidRPr="00C321C3">
        <w:rPr>
          <w:rFonts w:cs="Arial"/>
          <w:sz w:val="22"/>
          <w:szCs w:val="22"/>
          <w:lang w:val="it-CH" w:eastAsia="zh-CN"/>
        </w:rPr>
        <w:tab/>
        <w:t>10%</w:t>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2002/</w:t>
      </w:r>
      <w:r w:rsidRPr="00C321C3">
        <w:rPr>
          <w:rFonts w:cs="Arial"/>
          <w:bCs/>
          <w:sz w:val="22"/>
          <w:szCs w:val="22"/>
          <w:lang w:val="it-CH" w:eastAsia="zh-CN"/>
        </w:rPr>
        <w:t>03</w:t>
      </w:r>
      <w:r w:rsidRPr="00C321C3">
        <w:rPr>
          <w:rFonts w:cs="Arial"/>
          <w:bCs/>
          <w:sz w:val="22"/>
          <w:szCs w:val="22"/>
          <w:lang w:val="it-CH" w:eastAsia="zh-CN"/>
        </w:rPr>
        <w:tab/>
        <w:t>1479</w:t>
      </w:r>
      <w:r w:rsidRPr="00C321C3">
        <w:rPr>
          <w:rFonts w:cs="Arial"/>
          <w:bCs/>
          <w:sz w:val="22"/>
          <w:szCs w:val="22"/>
          <w:lang w:val="it-CH" w:eastAsia="zh-CN"/>
        </w:rPr>
        <w:tab/>
      </w:r>
      <w:r w:rsidRPr="00C321C3">
        <w:rPr>
          <w:rFonts w:cs="Arial"/>
          <w:bCs/>
          <w:sz w:val="22"/>
          <w:szCs w:val="22"/>
          <w:lang w:val="it-CH" w:eastAsia="zh-CN"/>
        </w:rPr>
        <w:tab/>
      </w:r>
      <w:r w:rsidRPr="00C321C3">
        <w:rPr>
          <w:rFonts w:cs="Arial"/>
          <w:sz w:val="22"/>
          <w:szCs w:val="22"/>
          <w:lang w:val="it-CH" w:eastAsia="zh-CN"/>
        </w:rPr>
        <w:t>674</w:t>
      </w:r>
      <w:r w:rsidRPr="00C321C3">
        <w:rPr>
          <w:rFonts w:cs="Arial"/>
          <w:sz w:val="22"/>
          <w:szCs w:val="22"/>
          <w:lang w:val="it-CH" w:eastAsia="zh-CN"/>
        </w:rPr>
        <w:tab/>
        <w:t>46%</w:t>
      </w:r>
      <w:r w:rsidRPr="00C321C3">
        <w:rPr>
          <w:rFonts w:cs="Arial"/>
          <w:sz w:val="22"/>
          <w:szCs w:val="22"/>
          <w:lang w:val="it-CH" w:eastAsia="zh-CN"/>
        </w:rPr>
        <w:tab/>
        <w:t>268</w:t>
      </w:r>
      <w:r w:rsidRPr="00C321C3">
        <w:rPr>
          <w:rFonts w:cs="Arial"/>
          <w:sz w:val="22"/>
          <w:szCs w:val="22"/>
          <w:lang w:val="it-CH" w:eastAsia="zh-CN"/>
        </w:rPr>
        <w:tab/>
        <w:t>18%</w:t>
      </w:r>
      <w:r w:rsidRPr="00C321C3">
        <w:rPr>
          <w:rFonts w:cs="Arial"/>
          <w:sz w:val="22"/>
          <w:szCs w:val="22"/>
          <w:lang w:val="it-CH" w:eastAsia="zh-CN"/>
        </w:rPr>
        <w:tab/>
        <w:t>383</w:t>
      </w:r>
      <w:r w:rsidRPr="00C321C3">
        <w:rPr>
          <w:rFonts w:cs="Arial"/>
          <w:sz w:val="22"/>
          <w:szCs w:val="22"/>
          <w:lang w:val="it-CH" w:eastAsia="zh-CN"/>
        </w:rPr>
        <w:tab/>
        <w:t>26%</w:t>
      </w:r>
      <w:r w:rsidRPr="00C321C3">
        <w:rPr>
          <w:rFonts w:cs="Arial"/>
          <w:sz w:val="22"/>
          <w:szCs w:val="22"/>
          <w:lang w:val="it-CH" w:eastAsia="zh-CN"/>
        </w:rPr>
        <w:tab/>
        <w:t>154</w:t>
      </w:r>
      <w:r w:rsidRPr="00C321C3">
        <w:rPr>
          <w:rFonts w:cs="Arial"/>
          <w:sz w:val="22"/>
          <w:szCs w:val="22"/>
          <w:lang w:val="it-CH" w:eastAsia="zh-CN"/>
        </w:rPr>
        <w:tab/>
        <w:t>10%</w:t>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2003/</w:t>
      </w:r>
      <w:r w:rsidRPr="00C321C3">
        <w:rPr>
          <w:rFonts w:cs="Arial"/>
          <w:bCs/>
          <w:sz w:val="22"/>
          <w:szCs w:val="22"/>
          <w:lang w:val="it-CH" w:eastAsia="zh-CN"/>
        </w:rPr>
        <w:t>04</w:t>
      </w:r>
      <w:r w:rsidRPr="00C321C3">
        <w:rPr>
          <w:rFonts w:cs="Arial"/>
          <w:bCs/>
          <w:sz w:val="22"/>
          <w:szCs w:val="22"/>
          <w:lang w:val="it-CH" w:eastAsia="zh-CN"/>
        </w:rPr>
        <w:tab/>
        <w:t>1528</w:t>
      </w:r>
      <w:r w:rsidRPr="00C321C3">
        <w:rPr>
          <w:rFonts w:cs="Arial"/>
          <w:bCs/>
          <w:sz w:val="22"/>
          <w:szCs w:val="22"/>
          <w:lang w:val="it-CH" w:eastAsia="zh-CN"/>
        </w:rPr>
        <w:tab/>
      </w:r>
      <w:r w:rsidRPr="00C321C3">
        <w:rPr>
          <w:rFonts w:cs="Arial"/>
          <w:bCs/>
          <w:sz w:val="22"/>
          <w:szCs w:val="22"/>
          <w:lang w:val="it-CH" w:eastAsia="zh-CN"/>
        </w:rPr>
        <w:tab/>
      </w:r>
      <w:r w:rsidRPr="00C321C3">
        <w:rPr>
          <w:rFonts w:cs="Arial"/>
          <w:sz w:val="22"/>
          <w:szCs w:val="22"/>
          <w:lang w:val="it-CH" w:eastAsia="zh-CN"/>
        </w:rPr>
        <w:t>719</w:t>
      </w:r>
      <w:r w:rsidRPr="00C321C3">
        <w:rPr>
          <w:rFonts w:cs="Arial"/>
          <w:sz w:val="22"/>
          <w:szCs w:val="22"/>
          <w:lang w:val="it-CH" w:eastAsia="zh-CN"/>
        </w:rPr>
        <w:tab/>
        <w:t>47%</w:t>
      </w:r>
      <w:r w:rsidRPr="00C321C3">
        <w:rPr>
          <w:rFonts w:cs="Arial"/>
          <w:sz w:val="22"/>
          <w:szCs w:val="22"/>
          <w:lang w:val="it-CH" w:eastAsia="zh-CN"/>
        </w:rPr>
        <w:tab/>
        <w:t>246</w:t>
      </w:r>
      <w:r w:rsidRPr="00C321C3">
        <w:rPr>
          <w:rFonts w:cs="Arial"/>
          <w:sz w:val="22"/>
          <w:szCs w:val="22"/>
          <w:lang w:val="it-CH" w:eastAsia="zh-CN"/>
        </w:rPr>
        <w:tab/>
        <w:t>16%</w:t>
      </w:r>
      <w:r w:rsidRPr="00C321C3">
        <w:rPr>
          <w:rFonts w:cs="Arial"/>
          <w:sz w:val="22"/>
          <w:szCs w:val="22"/>
          <w:lang w:val="it-CH" w:eastAsia="zh-CN"/>
        </w:rPr>
        <w:tab/>
        <w:t>400</w:t>
      </w:r>
      <w:r w:rsidRPr="00C321C3">
        <w:rPr>
          <w:rFonts w:cs="Arial"/>
          <w:sz w:val="22"/>
          <w:szCs w:val="22"/>
          <w:lang w:val="it-CH" w:eastAsia="zh-CN"/>
        </w:rPr>
        <w:tab/>
        <w:t>26%</w:t>
      </w:r>
      <w:r w:rsidRPr="00C321C3">
        <w:rPr>
          <w:rFonts w:cs="Arial"/>
          <w:sz w:val="22"/>
          <w:szCs w:val="22"/>
          <w:lang w:val="it-CH" w:eastAsia="zh-CN"/>
        </w:rPr>
        <w:tab/>
        <w:t>163</w:t>
      </w:r>
      <w:r w:rsidRPr="00C321C3">
        <w:rPr>
          <w:rFonts w:cs="Arial"/>
          <w:sz w:val="22"/>
          <w:szCs w:val="22"/>
          <w:lang w:val="it-CH" w:eastAsia="zh-CN"/>
        </w:rPr>
        <w:tab/>
        <w:t>11%</w:t>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2004/</w:t>
      </w:r>
      <w:r w:rsidRPr="00C321C3">
        <w:rPr>
          <w:rFonts w:cs="Arial"/>
          <w:bCs/>
          <w:sz w:val="22"/>
          <w:szCs w:val="22"/>
          <w:lang w:val="it-CH" w:eastAsia="zh-CN"/>
        </w:rPr>
        <w:t>05</w:t>
      </w:r>
      <w:r w:rsidRPr="00C321C3">
        <w:rPr>
          <w:rFonts w:cs="Arial"/>
          <w:bCs/>
          <w:sz w:val="22"/>
          <w:szCs w:val="22"/>
          <w:lang w:val="it-CH" w:eastAsia="zh-CN"/>
        </w:rPr>
        <w:tab/>
        <w:t>1610</w:t>
      </w:r>
      <w:r w:rsidRPr="00C321C3">
        <w:rPr>
          <w:rFonts w:cs="Arial"/>
          <w:bCs/>
          <w:sz w:val="22"/>
          <w:szCs w:val="22"/>
          <w:lang w:val="it-CH" w:eastAsia="zh-CN"/>
        </w:rPr>
        <w:tab/>
      </w:r>
      <w:r w:rsidRPr="00C321C3">
        <w:rPr>
          <w:rFonts w:cs="Arial"/>
          <w:bCs/>
          <w:sz w:val="22"/>
          <w:szCs w:val="22"/>
          <w:lang w:val="it-CH" w:eastAsia="zh-CN"/>
        </w:rPr>
        <w:tab/>
      </w:r>
      <w:r w:rsidRPr="00C321C3">
        <w:rPr>
          <w:rFonts w:cs="Arial"/>
          <w:sz w:val="22"/>
          <w:szCs w:val="22"/>
          <w:lang w:val="it-CH" w:eastAsia="zh-CN"/>
        </w:rPr>
        <w:t>694</w:t>
      </w:r>
      <w:r w:rsidRPr="00C321C3">
        <w:rPr>
          <w:rFonts w:cs="Arial"/>
          <w:sz w:val="22"/>
          <w:szCs w:val="22"/>
          <w:lang w:val="it-CH" w:eastAsia="zh-CN"/>
        </w:rPr>
        <w:tab/>
        <w:t>43%</w:t>
      </w:r>
      <w:r w:rsidRPr="00C321C3">
        <w:rPr>
          <w:rFonts w:cs="Arial"/>
          <w:sz w:val="22"/>
          <w:szCs w:val="22"/>
          <w:lang w:val="it-CH" w:eastAsia="zh-CN"/>
        </w:rPr>
        <w:tab/>
        <w:t>226</w:t>
      </w:r>
      <w:r w:rsidRPr="00C321C3">
        <w:rPr>
          <w:rFonts w:cs="Arial"/>
          <w:sz w:val="22"/>
          <w:szCs w:val="22"/>
          <w:lang w:val="it-CH" w:eastAsia="zh-CN"/>
        </w:rPr>
        <w:tab/>
        <w:t>14%</w:t>
      </w:r>
      <w:r w:rsidRPr="00C321C3">
        <w:rPr>
          <w:rFonts w:cs="Arial"/>
          <w:sz w:val="22"/>
          <w:szCs w:val="22"/>
          <w:lang w:val="it-CH" w:eastAsia="zh-CN"/>
        </w:rPr>
        <w:tab/>
        <w:t>469</w:t>
      </w:r>
      <w:r w:rsidRPr="00C321C3">
        <w:rPr>
          <w:rFonts w:cs="Arial"/>
          <w:sz w:val="22"/>
          <w:szCs w:val="22"/>
          <w:lang w:val="it-CH" w:eastAsia="zh-CN"/>
        </w:rPr>
        <w:tab/>
        <w:t>29%</w:t>
      </w:r>
      <w:r w:rsidRPr="00C321C3">
        <w:rPr>
          <w:rFonts w:cs="Arial"/>
          <w:sz w:val="22"/>
          <w:szCs w:val="22"/>
          <w:lang w:val="it-CH" w:eastAsia="zh-CN"/>
        </w:rPr>
        <w:tab/>
        <w:t>221</w:t>
      </w:r>
      <w:r w:rsidRPr="00C321C3">
        <w:rPr>
          <w:rFonts w:cs="Arial"/>
          <w:sz w:val="22"/>
          <w:szCs w:val="22"/>
          <w:lang w:val="it-CH" w:eastAsia="zh-CN"/>
        </w:rPr>
        <w:tab/>
        <w:t>14%</w:t>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2005/</w:t>
      </w:r>
      <w:r w:rsidRPr="00C321C3">
        <w:rPr>
          <w:rFonts w:cs="Arial"/>
          <w:bCs/>
          <w:sz w:val="22"/>
          <w:szCs w:val="22"/>
          <w:lang w:val="it-CH" w:eastAsia="zh-CN"/>
        </w:rPr>
        <w:t>06</w:t>
      </w:r>
      <w:r w:rsidRPr="00C321C3">
        <w:rPr>
          <w:rFonts w:cs="Arial"/>
          <w:bCs/>
          <w:sz w:val="22"/>
          <w:szCs w:val="22"/>
          <w:lang w:val="it-CH" w:eastAsia="zh-CN"/>
        </w:rPr>
        <w:tab/>
        <w:t>1713</w:t>
      </w:r>
      <w:r w:rsidRPr="00C321C3">
        <w:rPr>
          <w:rFonts w:cs="Arial"/>
          <w:b/>
          <w:bCs/>
          <w:sz w:val="22"/>
          <w:szCs w:val="22"/>
          <w:lang w:val="it-CH" w:eastAsia="zh-CN"/>
        </w:rPr>
        <w:tab/>
      </w:r>
      <w:r w:rsidRPr="00C321C3">
        <w:rPr>
          <w:rFonts w:cs="Arial"/>
          <w:b/>
          <w:bCs/>
          <w:sz w:val="22"/>
          <w:szCs w:val="22"/>
          <w:lang w:val="it-CH" w:eastAsia="zh-CN"/>
        </w:rPr>
        <w:tab/>
      </w:r>
      <w:r w:rsidRPr="00C321C3">
        <w:rPr>
          <w:rFonts w:cs="Arial"/>
          <w:sz w:val="22"/>
          <w:szCs w:val="22"/>
          <w:lang w:val="it-CH" w:eastAsia="zh-CN"/>
        </w:rPr>
        <w:t>696</w:t>
      </w:r>
      <w:r w:rsidRPr="00C321C3">
        <w:rPr>
          <w:rFonts w:cs="Arial"/>
          <w:sz w:val="22"/>
          <w:szCs w:val="22"/>
          <w:lang w:val="it-CH" w:eastAsia="zh-CN"/>
        </w:rPr>
        <w:tab/>
        <w:t>41%</w:t>
      </w:r>
      <w:r w:rsidRPr="00C321C3">
        <w:rPr>
          <w:rFonts w:cs="Arial"/>
          <w:sz w:val="22"/>
          <w:szCs w:val="22"/>
          <w:lang w:val="it-CH" w:eastAsia="zh-CN"/>
        </w:rPr>
        <w:tab/>
        <w:t>184</w:t>
      </w:r>
      <w:r w:rsidRPr="00C321C3">
        <w:rPr>
          <w:rFonts w:cs="Arial"/>
          <w:sz w:val="22"/>
          <w:szCs w:val="22"/>
          <w:lang w:val="it-CH" w:eastAsia="zh-CN"/>
        </w:rPr>
        <w:tab/>
        <w:t>11%</w:t>
      </w:r>
      <w:r w:rsidRPr="00C321C3">
        <w:rPr>
          <w:rFonts w:cs="Arial"/>
          <w:sz w:val="22"/>
          <w:szCs w:val="22"/>
          <w:lang w:val="it-CH" w:eastAsia="zh-CN"/>
        </w:rPr>
        <w:tab/>
        <w:t>559</w:t>
      </w:r>
      <w:r w:rsidRPr="00C321C3">
        <w:rPr>
          <w:rFonts w:cs="Arial"/>
          <w:sz w:val="22"/>
          <w:szCs w:val="22"/>
          <w:lang w:val="it-CH" w:eastAsia="zh-CN"/>
        </w:rPr>
        <w:tab/>
        <w:t>33%</w:t>
      </w:r>
      <w:r w:rsidRPr="00C321C3">
        <w:rPr>
          <w:rFonts w:cs="Arial"/>
          <w:sz w:val="22"/>
          <w:szCs w:val="22"/>
          <w:lang w:val="it-CH" w:eastAsia="zh-CN"/>
        </w:rPr>
        <w:tab/>
        <w:t>274</w:t>
      </w:r>
      <w:r w:rsidRPr="00C321C3">
        <w:rPr>
          <w:rFonts w:cs="Arial"/>
          <w:sz w:val="22"/>
          <w:szCs w:val="22"/>
          <w:lang w:val="it-CH" w:eastAsia="zh-CN"/>
        </w:rPr>
        <w:tab/>
        <w:t>16%</w:t>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2006/</w:t>
      </w:r>
      <w:r w:rsidRPr="00C321C3">
        <w:rPr>
          <w:rFonts w:cs="Arial"/>
          <w:bCs/>
          <w:sz w:val="22"/>
          <w:szCs w:val="22"/>
          <w:lang w:val="it-CH" w:eastAsia="zh-CN"/>
        </w:rPr>
        <w:t>07</w:t>
      </w:r>
      <w:r w:rsidRPr="00C321C3">
        <w:rPr>
          <w:rFonts w:cs="Arial"/>
          <w:bCs/>
          <w:sz w:val="22"/>
          <w:szCs w:val="22"/>
          <w:lang w:val="it-CH" w:eastAsia="zh-CN"/>
        </w:rPr>
        <w:tab/>
        <w:t>1855</w:t>
      </w:r>
      <w:r w:rsidRPr="00C321C3">
        <w:rPr>
          <w:rFonts w:cs="Arial"/>
          <w:bCs/>
          <w:sz w:val="22"/>
          <w:szCs w:val="22"/>
          <w:lang w:val="it-CH" w:eastAsia="zh-CN"/>
        </w:rPr>
        <w:tab/>
      </w:r>
      <w:r w:rsidRPr="00C321C3">
        <w:rPr>
          <w:rFonts w:cs="Arial"/>
          <w:bCs/>
          <w:sz w:val="22"/>
          <w:szCs w:val="22"/>
          <w:lang w:val="it-CH" w:eastAsia="zh-CN"/>
        </w:rPr>
        <w:tab/>
      </w:r>
      <w:r w:rsidRPr="00C321C3">
        <w:rPr>
          <w:rFonts w:cs="Arial"/>
          <w:sz w:val="22"/>
          <w:szCs w:val="22"/>
          <w:lang w:val="it-CH" w:eastAsia="zh-CN"/>
        </w:rPr>
        <w:t>704</w:t>
      </w:r>
      <w:r w:rsidRPr="00C321C3">
        <w:rPr>
          <w:rFonts w:cs="Arial"/>
          <w:sz w:val="22"/>
          <w:szCs w:val="22"/>
          <w:lang w:val="it-CH" w:eastAsia="zh-CN"/>
        </w:rPr>
        <w:tab/>
        <w:t>38%</w:t>
      </w:r>
      <w:r w:rsidRPr="00C321C3">
        <w:rPr>
          <w:rFonts w:cs="Arial"/>
          <w:sz w:val="22"/>
          <w:szCs w:val="22"/>
          <w:lang w:val="it-CH" w:eastAsia="zh-CN"/>
        </w:rPr>
        <w:tab/>
        <w:t>171</w:t>
      </w:r>
      <w:r w:rsidRPr="00C321C3">
        <w:rPr>
          <w:rFonts w:cs="Arial"/>
          <w:sz w:val="22"/>
          <w:szCs w:val="22"/>
          <w:lang w:val="it-CH" w:eastAsia="zh-CN"/>
        </w:rPr>
        <w:tab/>
        <w:t xml:space="preserve">  9%</w:t>
      </w:r>
      <w:r w:rsidRPr="00C321C3">
        <w:rPr>
          <w:rFonts w:cs="Arial"/>
          <w:sz w:val="22"/>
          <w:szCs w:val="22"/>
          <w:lang w:val="it-CH" w:eastAsia="zh-CN"/>
        </w:rPr>
        <w:tab/>
        <w:t>638</w:t>
      </w:r>
      <w:r w:rsidRPr="00C321C3">
        <w:rPr>
          <w:rFonts w:cs="Arial"/>
          <w:sz w:val="22"/>
          <w:szCs w:val="22"/>
          <w:lang w:val="it-CH" w:eastAsia="zh-CN"/>
        </w:rPr>
        <w:tab/>
        <w:t>34%</w:t>
      </w:r>
      <w:r w:rsidRPr="00C321C3">
        <w:rPr>
          <w:rFonts w:cs="Arial"/>
          <w:sz w:val="22"/>
          <w:szCs w:val="22"/>
          <w:lang w:val="it-CH" w:eastAsia="zh-CN"/>
        </w:rPr>
        <w:tab/>
        <w:t>342</w:t>
      </w:r>
      <w:r w:rsidRPr="00C321C3">
        <w:rPr>
          <w:rFonts w:cs="Arial"/>
          <w:sz w:val="22"/>
          <w:szCs w:val="22"/>
          <w:lang w:val="it-CH" w:eastAsia="zh-CN"/>
        </w:rPr>
        <w:tab/>
        <w:t>18%</w:t>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2007/</w:t>
      </w:r>
      <w:r w:rsidRPr="00C321C3">
        <w:rPr>
          <w:rFonts w:cs="Arial"/>
          <w:bCs/>
          <w:sz w:val="22"/>
          <w:szCs w:val="22"/>
          <w:lang w:val="it-CH" w:eastAsia="zh-CN"/>
        </w:rPr>
        <w:t>08</w:t>
      </w:r>
      <w:r w:rsidRPr="00C321C3">
        <w:rPr>
          <w:rFonts w:cs="Arial"/>
          <w:bCs/>
          <w:sz w:val="22"/>
          <w:szCs w:val="22"/>
          <w:lang w:val="it-CH" w:eastAsia="zh-CN"/>
        </w:rPr>
        <w:tab/>
        <w:t>2037</w:t>
      </w:r>
      <w:r w:rsidRPr="00C321C3">
        <w:rPr>
          <w:rFonts w:cs="Arial"/>
          <w:bCs/>
          <w:sz w:val="22"/>
          <w:szCs w:val="22"/>
          <w:lang w:val="it-CH" w:eastAsia="zh-CN"/>
        </w:rPr>
        <w:tab/>
      </w:r>
      <w:r w:rsidRPr="00C321C3">
        <w:rPr>
          <w:rFonts w:cs="Arial"/>
          <w:bCs/>
          <w:sz w:val="22"/>
          <w:szCs w:val="22"/>
          <w:lang w:val="it-CH" w:eastAsia="zh-CN"/>
        </w:rPr>
        <w:tab/>
      </w:r>
      <w:r w:rsidRPr="00C321C3">
        <w:rPr>
          <w:rFonts w:cs="Arial"/>
          <w:sz w:val="22"/>
          <w:szCs w:val="22"/>
          <w:lang w:val="it-CH" w:eastAsia="zh-CN"/>
        </w:rPr>
        <w:t>704</w:t>
      </w:r>
      <w:r w:rsidRPr="00C321C3">
        <w:rPr>
          <w:rFonts w:cs="Arial"/>
          <w:sz w:val="22"/>
          <w:szCs w:val="22"/>
          <w:lang w:val="it-CH" w:eastAsia="zh-CN"/>
        </w:rPr>
        <w:tab/>
        <w:t>35%</w:t>
      </w:r>
      <w:r w:rsidRPr="00C321C3">
        <w:rPr>
          <w:rFonts w:cs="Arial"/>
          <w:sz w:val="22"/>
          <w:szCs w:val="22"/>
          <w:lang w:val="it-CH" w:eastAsia="zh-CN"/>
        </w:rPr>
        <w:tab/>
        <w:t>190</w:t>
      </w:r>
      <w:r w:rsidRPr="00C321C3">
        <w:rPr>
          <w:rFonts w:cs="Arial"/>
          <w:sz w:val="22"/>
          <w:szCs w:val="22"/>
          <w:lang w:val="it-CH" w:eastAsia="zh-CN"/>
        </w:rPr>
        <w:tab/>
        <w:t xml:space="preserve">  9%</w:t>
      </w:r>
      <w:r w:rsidRPr="00C321C3">
        <w:rPr>
          <w:rFonts w:cs="Arial"/>
          <w:sz w:val="22"/>
          <w:szCs w:val="22"/>
          <w:lang w:val="it-CH" w:eastAsia="zh-CN"/>
        </w:rPr>
        <w:tab/>
        <w:t>740</w:t>
      </w:r>
      <w:r w:rsidRPr="00C321C3">
        <w:rPr>
          <w:rFonts w:cs="Arial"/>
          <w:sz w:val="22"/>
          <w:szCs w:val="22"/>
          <w:lang w:val="it-CH" w:eastAsia="zh-CN"/>
        </w:rPr>
        <w:tab/>
        <w:t>36%</w:t>
      </w:r>
      <w:r w:rsidRPr="00C321C3">
        <w:rPr>
          <w:rFonts w:cs="Arial"/>
          <w:sz w:val="22"/>
          <w:szCs w:val="22"/>
          <w:lang w:val="it-CH" w:eastAsia="zh-CN"/>
        </w:rPr>
        <w:tab/>
        <w:t>403</w:t>
      </w:r>
      <w:r w:rsidRPr="00C321C3">
        <w:rPr>
          <w:rFonts w:cs="Arial"/>
          <w:sz w:val="22"/>
          <w:szCs w:val="22"/>
          <w:lang w:val="it-CH" w:eastAsia="zh-CN"/>
        </w:rPr>
        <w:tab/>
        <w:t>20%</w:t>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2008/</w:t>
      </w:r>
      <w:r w:rsidRPr="00C321C3">
        <w:rPr>
          <w:rFonts w:cs="Arial"/>
          <w:bCs/>
          <w:sz w:val="22"/>
          <w:szCs w:val="22"/>
          <w:lang w:val="it-CH" w:eastAsia="zh-CN"/>
        </w:rPr>
        <w:t>09</w:t>
      </w:r>
      <w:r w:rsidRPr="00C321C3">
        <w:rPr>
          <w:rFonts w:cs="Arial"/>
          <w:bCs/>
          <w:sz w:val="22"/>
          <w:szCs w:val="22"/>
          <w:lang w:val="it-CH" w:eastAsia="zh-CN"/>
        </w:rPr>
        <w:tab/>
        <w:t>2166</w:t>
      </w:r>
      <w:r w:rsidRPr="00C321C3">
        <w:rPr>
          <w:rFonts w:cs="Arial"/>
          <w:b/>
          <w:bCs/>
          <w:sz w:val="22"/>
          <w:szCs w:val="22"/>
          <w:lang w:val="it-CH" w:eastAsia="zh-CN"/>
        </w:rPr>
        <w:tab/>
      </w:r>
      <w:r w:rsidRPr="00C321C3">
        <w:rPr>
          <w:rFonts w:cs="Arial"/>
          <w:b/>
          <w:bCs/>
          <w:sz w:val="22"/>
          <w:szCs w:val="22"/>
          <w:lang w:val="it-CH" w:eastAsia="zh-CN"/>
        </w:rPr>
        <w:tab/>
      </w:r>
      <w:r w:rsidRPr="00C321C3">
        <w:rPr>
          <w:rFonts w:cs="Arial"/>
          <w:sz w:val="22"/>
          <w:szCs w:val="22"/>
          <w:lang w:val="it-CH" w:eastAsia="zh-CN"/>
        </w:rPr>
        <w:t>703</w:t>
      </w:r>
      <w:r w:rsidRPr="00C321C3">
        <w:rPr>
          <w:rFonts w:cs="Arial"/>
          <w:sz w:val="22"/>
          <w:szCs w:val="22"/>
          <w:lang w:val="it-CH" w:eastAsia="zh-CN"/>
        </w:rPr>
        <w:tab/>
        <w:t>32%</w:t>
      </w:r>
      <w:r w:rsidRPr="00C321C3">
        <w:rPr>
          <w:rFonts w:cs="Arial"/>
          <w:sz w:val="22"/>
          <w:szCs w:val="22"/>
          <w:lang w:val="it-CH" w:eastAsia="zh-CN"/>
        </w:rPr>
        <w:tab/>
        <w:t>205</w:t>
      </w:r>
      <w:r w:rsidRPr="00C321C3">
        <w:rPr>
          <w:rFonts w:cs="Arial"/>
          <w:sz w:val="22"/>
          <w:szCs w:val="22"/>
          <w:lang w:val="it-CH" w:eastAsia="zh-CN"/>
        </w:rPr>
        <w:tab/>
        <w:t xml:space="preserve">  9%</w:t>
      </w:r>
      <w:r w:rsidRPr="00C321C3">
        <w:rPr>
          <w:rFonts w:cs="Arial"/>
          <w:sz w:val="22"/>
          <w:szCs w:val="22"/>
          <w:lang w:val="it-CH" w:eastAsia="zh-CN"/>
        </w:rPr>
        <w:tab/>
        <w:t>805</w:t>
      </w:r>
      <w:r w:rsidRPr="00C321C3">
        <w:rPr>
          <w:rFonts w:cs="Arial"/>
          <w:sz w:val="22"/>
          <w:szCs w:val="22"/>
          <w:lang w:val="it-CH" w:eastAsia="zh-CN"/>
        </w:rPr>
        <w:tab/>
        <w:t>37%</w:t>
      </w:r>
      <w:r w:rsidRPr="00C321C3">
        <w:rPr>
          <w:rFonts w:cs="Arial"/>
          <w:sz w:val="22"/>
          <w:szCs w:val="22"/>
          <w:lang w:val="it-CH" w:eastAsia="zh-CN"/>
        </w:rPr>
        <w:tab/>
        <w:t>453</w:t>
      </w:r>
      <w:r w:rsidRPr="00C321C3">
        <w:rPr>
          <w:rFonts w:cs="Arial"/>
          <w:sz w:val="22"/>
          <w:szCs w:val="22"/>
          <w:lang w:val="it-CH" w:eastAsia="zh-CN"/>
        </w:rPr>
        <w:tab/>
        <w:t>21%</w:t>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2009/</w:t>
      </w:r>
      <w:r w:rsidRPr="00C321C3">
        <w:rPr>
          <w:rFonts w:cs="Arial"/>
          <w:bCs/>
          <w:sz w:val="22"/>
          <w:szCs w:val="22"/>
          <w:lang w:val="it-CH" w:eastAsia="zh-CN"/>
        </w:rPr>
        <w:t>10</w:t>
      </w:r>
      <w:r w:rsidRPr="00C321C3">
        <w:rPr>
          <w:rFonts w:cs="Arial"/>
          <w:bCs/>
          <w:sz w:val="22"/>
          <w:szCs w:val="22"/>
          <w:lang w:val="it-CH" w:eastAsia="zh-CN"/>
        </w:rPr>
        <w:tab/>
        <w:t>2327</w:t>
      </w:r>
      <w:r w:rsidRPr="00C321C3">
        <w:rPr>
          <w:rFonts w:cs="Arial"/>
          <w:b/>
          <w:bCs/>
          <w:sz w:val="22"/>
          <w:szCs w:val="22"/>
          <w:lang w:val="it-CH" w:eastAsia="zh-CN"/>
        </w:rPr>
        <w:tab/>
      </w:r>
      <w:r w:rsidRPr="00C321C3">
        <w:rPr>
          <w:rFonts w:cs="Arial"/>
          <w:b/>
          <w:bCs/>
          <w:sz w:val="22"/>
          <w:szCs w:val="22"/>
          <w:lang w:val="it-CH" w:eastAsia="zh-CN"/>
        </w:rPr>
        <w:tab/>
      </w:r>
      <w:r w:rsidRPr="00C321C3">
        <w:rPr>
          <w:rFonts w:cs="Arial"/>
          <w:sz w:val="22"/>
          <w:szCs w:val="22"/>
          <w:lang w:val="it-CH" w:eastAsia="zh-CN"/>
        </w:rPr>
        <w:t>701</w:t>
      </w:r>
      <w:r w:rsidRPr="00C321C3">
        <w:rPr>
          <w:rFonts w:cs="Arial"/>
          <w:sz w:val="22"/>
          <w:szCs w:val="22"/>
          <w:lang w:val="it-CH" w:eastAsia="zh-CN"/>
        </w:rPr>
        <w:tab/>
        <w:t>30%</w:t>
      </w:r>
      <w:r w:rsidRPr="00C321C3">
        <w:rPr>
          <w:rFonts w:cs="Arial"/>
          <w:sz w:val="22"/>
          <w:szCs w:val="22"/>
          <w:lang w:val="it-CH" w:eastAsia="zh-CN"/>
        </w:rPr>
        <w:tab/>
        <w:t>205</w:t>
      </w:r>
      <w:r w:rsidRPr="00C321C3">
        <w:rPr>
          <w:rFonts w:cs="Arial"/>
          <w:sz w:val="22"/>
          <w:szCs w:val="22"/>
          <w:lang w:val="it-CH" w:eastAsia="zh-CN"/>
        </w:rPr>
        <w:tab/>
        <w:t xml:space="preserve">  9%</w:t>
      </w:r>
      <w:r w:rsidRPr="00C321C3">
        <w:rPr>
          <w:rFonts w:cs="Arial"/>
          <w:sz w:val="22"/>
          <w:szCs w:val="22"/>
          <w:lang w:val="it-CH" w:eastAsia="zh-CN"/>
        </w:rPr>
        <w:tab/>
        <w:t>895</w:t>
      </w:r>
      <w:r w:rsidRPr="00C321C3">
        <w:rPr>
          <w:rFonts w:cs="Arial"/>
          <w:sz w:val="22"/>
          <w:szCs w:val="22"/>
          <w:lang w:val="it-CH" w:eastAsia="zh-CN"/>
        </w:rPr>
        <w:tab/>
        <w:t>38%</w:t>
      </w:r>
      <w:r w:rsidRPr="00C321C3">
        <w:rPr>
          <w:rFonts w:cs="Arial"/>
          <w:sz w:val="22"/>
          <w:szCs w:val="22"/>
          <w:lang w:val="it-CH" w:eastAsia="zh-CN"/>
        </w:rPr>
        <w:tab/>
        <w:t>526</w:t>
      </w:r>
      <w:r w:rsidRPr="00C321C3">
        <w:rPr>
          <w:rFonts w:cs="Arial"/>
          <w:sz w:val="22"/>
          <w:szCs w:val="22"/>
          <w:lang w:val="it-CH" w:eastAsia="zh-CN"/>
        </w:rPr>
        <w:tab/>
        <w:t>23%</w:t>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2010/</w:t>
      </w:r>
      <w:r w:rsidRPr="00C321C3">
        <w:rPr>
          <w:rFonts w:cs="Arial"/>
          <w:bCs/>
          <w:sz w:val="22"/>
          <w:szCs w:val="22"/>
          <w:lang w:val="it-CH" w:eastAsia="zh-CN"/>
        </w:rPr>
        <w:t>11</w:t>
      </w:r>
      <w:r w:rsidRPr="00C321C3">
        <w:rPr>
          <w:rFonts w:cs="Arial"/>
          <w:bCs/>
          <w:sz w:val="22"/>
          <w:szCs w:val="22"/>
          <w:lang w:val="it-CH" w:eastAsia="zh-CN"/>
        </w:rPr>
        <w:tab/>
        <w:t>2422</w:t>
      </w:r>
      <w:r w:rsidRPr="00C321C3">
        <w:rPr>
          <w:rFonts w:cs="Arial"/>
          <w:b/>
          <w:bCs/>
          <w:sz w:val="22"/>
          <w:szCs w:val="22"/>
          <w:lang w:val="it-CH" w:eastAsia="zh-CN"/>
        </w:rPr>
        <w:tab/>
      </w:r>
      <w:r w:rsidRPr="00C321C3">
        <w:rPr>
          <w:rFonts w:cs="Arial"/>
          <w:b/>
          <w:bCs/>
          <w:sz w:val="22"/>
          <w:szCs w:val="22"/>
          <w:lang w:val="it-CH" w:eastAsia="zh-CN"/>
        </w:rPr>
        <w:tab/>
      </w:r>
      <w:r w:rsidRPr="00C321C3">
        <w:rPr>
          <w:rFonts w:cs="Arial"/>
          <w:sz w:val="22"/>
          <w:szCs w:val="22"/>
          <w:lang w:val="it-CH" w:eastAsia="zh-CN"/>
        </w:rPr>
        <w:t>708</w:t>
      </w:r>
      <w:r w:rsidRPr="00C321C3">
        <w:rPr>
          <w:rFonts w:cs="Arial"/>
          <w:sz w:val="22"/>
          <w:szCs w:val="22"/>
          <w:lang w:val="it-CH" w:eastAsia="zh-CN"/>
        </w:rPr>
        <w:tab/>
        <w:t>29%</w:t>
      </w:r>
      <w:r w:rsidRPr="00C321C3">
        <w:rPr>
          <w:rFonts w:cs="Arial"/>
          <w:sz w:val="22"/>
          <w:szCs w:val="22"/>
          <w:lang w:val="it-CH" w:eastAsia="zh-CN"/>
        </w:rPr>
        <w:tab/>
        <w:t>209</w:t>
      </w:r>
      <w:r w:rsidRPr="00C321C3">
        <w:rPr>
          <w:rFonts w:cs="Arial"/>
          <w:sz w:val="22"/>
          <w:szCs w:val="22"/>
          <w:lang w:val="it-CH" w:eastAsia="zh-CN"/>
        </w:rPr>
        <w:tab/>
        <w:t xml:space="preserve">  9%</w:t>
      </w:r>
      <w:r w:rsidRPr="00C321C3">
        <w:rPr>
          <w:rFonts w:cs="Arial"/>
          <w:sz w:val="22"/>
          <w:szCs w:val="22"/>
          <w:lang w:val="it-CH" w:eastAsia="zh-CN"/>
        </w:rPr>
        <w:tab/>
        <w:t>970</w:t>
      </w:r>
      <w:r w:rsidRPr="00C321C3">
        <w:rPr>
          <w:rFonts w:cs="Arial"/>
          <w:sz w:val="22"/>
          <w:szCs w:val="22"/>
          <w:lang w:val="it-CH" w:eastAsia="zh-CN"/>
        </w:rPr>
        <w:tab/>
        <w:t>40%</w:t>
      </w:r>
      <w:r w:rsidRPr="00C321C3">
        <w:rPr>
          <w:rFonts w:cs="Arial"/>
          <w:sz w:val="22"/>
          <w:szCs w:val="22"/>
          <w:lang w:val="it-CH" w:eastAsia="zh-CN"/>
        </w:rPr>
        <w:tab/>
        <w:t>535</w:t>
      </w:r>
      <w:r w:rsidRPr="00C321C3">
        <w:rPr>
          <w:rFonts w:cs="Arial"/>
          <w:sz w:val="22"/>
          <w:szCs w:val="22"/>
          <w:lang w:val="it-CH" w:eastAsia="zh-CN"/>
        </w:rPr>
        <w:tab/>
        <w:t>22%</w:t>
      </w:r>
    </w:p>
    <w:p w:rsidR="0024207A" w:rsidRPr="00C321C3" w:rsidRDefault="0024207A" w:rsidP="0024207A">
      <w:pPr>
        <w:tabs>
          <w:tab w:val="left" w:pos="1725"/>
          <w:tab w:val="left" w:pos="2605"/>
          <w:tab w:val="left" w:pos="3365"/>
          <w:tab w:val="left" w:pos="4125"/>
          <w:tab w:val="left" w:pos="4885"/>
          <w:tab w:val="left" w:pos="5645"/>
          <w:tab w:val="left" w:pos="6521"/>
          <w:tab w:val="left" w:pos="7165"/>
          <w:tab w:val="left" w:pos="7925"/>
        </w:tabs>
        <w:ind w:left="65"/>
        <w:jc w:val="left"/>
        <w:rPr>
          <w:rFonts w:cs="Arial"/>
          <w:sz w:val="22"/>
          <w:szCs w:val="22"/>
          <w:lang w:val="it-CH" w:eastAsia="zh-CN"/>
        </w:rPr>
      </w:pPr>
      <w:r>
        <w:rPr>
          <w:rFonts w:cs="Arial"/>
          <w:bCs/>
          <w:sz w:val="22"/>
          <w:szCs w:val="22"/>
          <w:lang w:val="it-CH" w:eastAsia="zh-CN"/>
        </w:rPr>
        <w:t>2011/</w:t>
      </w:r>
      <w:r w:rsidRPr="00C321C3">
        <w:rPr>
          <w:rFonts w:cs="Arial"/>
          <w:bCs/>
          <w:sz w:val="22"/>
          <w:szCs w:val="22"/>
          <w:lang w:val="it-CH" w:eastAsia="zh-CN"/>
        </w:rPr>
        <w:t>12</w:t>
      </w:r>
      <w:r w:rsidRPr="00C321C3">
        <w:rPr>
          <w:rFonts w:cs="Arial"/>
          <w:bCs/>
          <w:sz w:val="22"/>
          <w:szCs w:val="22"/>
          <w:lang w:val="it-CH" w:eastAsia="zh-CN"/>
        </w:rPr>
        <w:tab/>
        <w:t>2402</w:t>
      </w:r>
      <w:r w:rsidRPr="00C321C3">
        <w:rPr>
          <w:rFonts w:cs="Arial"/>
          <w:b/>
          <w:bCs/>
          <w:sz w:val="22"/>
          <w:szCs w:val="22"/>
          <w:lang w:val="it-CH" w:eastAsia="zh-CN"/>
        </w:rPr>
        <w:tab/>
      </w:r>
      <w:r w:rsidRPr="00C321C3">
        <w:rPr>
          <w:rFonts w:cs="Arial"/>
          <w:b/>
          <w:bCs/>
          <w:sz w:val="22"/>
          <w:szCs w:val="22"/>
          <w:lang w:val="it-CH" w:eastAsia="zh-CN"/>
        </w:rPr>
        <w:tab/>
      </w:r>
      <w:r w:rsidRPr="00C321C3">
        <w:rPr>
          <w:rFonts w:cs="Arial"/>
          <w:sz w:val="22"/>
          <w:szCs w:val="22"/>
          <w:lang w:val="it-CH" w:eastAsia="zh-CN"/>
        </w:rPr>
        <w:t>709</w:t>
      </w:r>
      <w:r w:rsidRPr="00C321C3">
        <w:rPr>
          <w:rFonts w:cs="Arial"/>
          <w:sz w:val="22"/>
          <w:szCs w:val="22"/>
          <w:lang w:val="it-CH" w:eastAsia="zh-CN"/>
        </w:rPr>
        <w:tab/>
        <w:t>29%</w:t>
      </w:r>
      <w:r w:rsidRPr="00C321C3">
        <w:rPr>
          <w:rFonts w:cs="Arial"/>
          <w:sz w:val="22"/>
          <w:szCs w:val="22"/>
          <w:lang w:val="it-CH" w:eastAsia="zh-CN"/>
        </w:rPr>
        <w:tab/>
        <w:t>205</w:t>
      </w:r>
      <w:r w:rsidRPr="00C321C3">
        <w:rPr>
          <w:rFonts w:cs="Arial"/>
          <w:sz w:val="22"/>
          <w:szCs w:val="22"/>
          <w:lang w:val="it-CH" w:eastAsia="zh-CN"/>
        </w:rPr>
        <w:tab/>
        <w:t xml:space="preserve">  9%</w:t>
      </w:r>
      <w:r w:rsidRPr="00C321C3">
        <w:rPr>
          <w:rFonts w:cs="Arial"/>
          <w:sz w:val="22"/>
          <w:szCs w:val="22"/>
          <w:lang w:val="it-CH" w:eastAsia="zh-CN"/>
        </w:rPr>
        <w:tab/>
        <w:t>968</w:t>
      </w:r>
      <w:r w:rsidRPr="00C321C3">
        <w:rPr>
          <w:rFonts w:cs="Arial"/>
          <w:sz w:val="22"/>
          <w:szCs w:val="22"/>
          <w:lang w:val="it-CH" w:eastAsia="zh-CN"/>
        </w:rPr>
        <w:tab/>
        <w:t>40%</w:t>
      </w:r>
      <w:r w:rsidRPr="00C321C3">
        <w:rPr>
          <w:rFonts w:cs="Arial"/>
          <w:sz w:val="22"/>
          <w:szCs w:val="22"/>
          <w:lang w:val="it-CH" w:eastAsia="zh-CN"/>
        </w:rPr>
        <w:tab/>
        <w:t>520</w:t>
      </w:r>
      <w:r w:rsidRPr="00C321C3">
        <w:rPr>
          <w:rFonts w:cs="Arial"/>
          <w:sz w:val="22"/>
          <w:szCs w:val="22"/>
          <w:lang w:val="it-CH" w:eastAsia="zh-CN"/>
        </w:rPr>
        <w:tab/>
        <w:t>22%</w:t>
      </w:r>
    </w:p>
    <w:p w:rsidR="0024207A" w:rsidRPr="00C321C3" w:rsidRDefault="0024207A" w:rsidP="0024207A">
      <w:pPr>
        <w:tabs>
          <w:tab w:val="left" w:pos="1725"/>
          <w:tab w:val="left" w:pos="2605"/>
          <w:tab w:val="left" w:pos="3365"/>
          <w:tab w:val="left" w:pos="4125"/>
          <w:tab w:val="left" w:pos="4885"/>
          <w:tab w:val="left" w:pos="5645"/>
          <w:tab w:val="left" w:pos="6405"/>
          <w:tab w:val="left" w:pos="7165"/>
          <w:tab w:val="left" w:pos="7925"/>
        </w:tabs>
        <w:ind w:left="65"/>
        <w:jc w:val="left"/>
        <w:rPr>
          <w:rFonts w:cs="Arial"/>
          <w:sz w:val="22"/>
          <w:szCs w:val="22"/>
          <w:lang w:val="it-CH" w:eastAsia="zh-CN"/>
        </w:rPr>
      </w:pPr>
      <w:r>
        <w:rPr>
          <w:rFonts w:cs="Arial"/>
          <w:bCs/>
          <w:sz w:val="22"/>
          <w:szCs w:val="22"/>
          <w:lang w:val="it-CH" w:eastAsia="zh-CN"/>
        </w:rPr>
        <w:t>2012/</w:t>
      </w:r>
      <w:r w:rsidRPr="00C321C3">
        <w:rPr>
          <w:rFonts w:cs="Arial"/>
          <w:bCs/>
          <w:sz w:val="22"/>
          <w:szCs w:val="22"/>
          <w:lang w:val="it-CH" w:eastAsia="zh-CN"/>
        </w:rPr>
        <w:t>13</w:t>
      </w:r>
      <w:r w:rsidRPr="00C321C3">
        <w:rPr>
          <w:rFonts w:cs="Arial"/>
          <w:bCs/>
          <w:sz w:val="22"/>
          <w:szCs w:val="22"/>
          <w:lang w:val="it-CH" w:eastAsia="zh-CN"/>
        </w:rPr>
        <w:tab/>
        <w:t>2490</w:t>
      </w:r>
      <w:r w:rsidRPr="00C321C3">
        <w:rPr>
          <w:rFonts w:cs="Arial"/>
          <w:b/>
          <w:bCs/>
          <w:sz w:val="22"/>
          <w:szCs w:val="22"/>
          <w:lang w:val="it-CH" w:eastAsia="zh-CN"/>
        </w:rPr>
        <w:tab/>
      </w:r>
      <w:r w:rsidRPr="00C321C3">
        <w:rPr>
          <w:rFonts w:cs="Arial"/>
          <w:b/>
          <w:bCs/>
          <w:sz w:val="22"/>
          <w:szCs w:val="22"/>
          <w:lang w:val="it-CH" w:eastAsia="zh-CN"/>
        </w:rPr>
        <w:tab/>
      </w:r>
      <w:r w:rsidRPr="00C321C3">
        <w:rPr>
          <w:rFonts w:cs="Arial"/>
          <w:sz w:val="22"/>
          <w:szCs w:val="22"/>
          <w:lang w:val="it-CH" w:eastAsia="zh-CN"/>
        </w:rPr>
        <w:t>710</w:t>
      </w:r>
      <w:r w:rsidRPr="00C321C3">
        <w:rPr>
          <w:rFonts w:cs="Arial"/>
          <w:sz w:val="22"/>
          <w:szCs w:val="22"/>
          <w:lang w:val="it-CH" w:eastAsia="zh-CN"/>
        </w:rPr>
        <w:tab/>
        <w:t>28%</w:t>
      </w:r>
      <w:r w:rsidRPr="00C321C3">
        <w:rPr>
          <w:rFonts w:cs="Arial"/>
          <w:sz w:val="22"/>
          <w:szCs w:val="22"/>
          <w:lang w:val="it-CH" w:eastAsia="zh-CN"/>
        </w:rPr>
        <w:tab/>
        <w:t>217</w:t>
      </w:r>
      <w:r w:rsidRPr="00C321C3">
        <w:rPr>
          <w:rFonts w:cs="Arial"/>
          <w:sz w:val="22"/>
          <w:szCs w:val="22"/>
          <w:lang w:val="it-CH" w:eastAsia="zh-CN"/>
        </w:rPr>
        <w:tab/>
        <w:t xml:space="preserve">  9%</w:t>
      </w:r>
      <w:r w:rsidRPr="00C321C3">
        <w:rPr>
          <w:rFonts w:cs="Arial"/>
          <w:sz w:val="22"/>
          <w:szCs w:val="22"/>
          <w:lang w:val="it-CH" w:eastAsia="zh-CN"/>
        </w:rPr>
        <w:tab/>
        <w:t>1071</w:t>
      </w:r>
      <w:r w:rsidRPr="00C321C3">
        <w:rPr>
          <w:rFonts w:cs="Arial"/>
          <w:sz w:val="22"/>
          <w:szCs w:val="22"/>
          <w:lang w:val="it-CH" w:eastAsia="zh-CN"/>
        </w:rPr>
        <w:tab/>
        <w:t>43%</w:t>
      </w:r>
      <w:r w:rsidRPr="00C321C3">
        <w:rPr>
          <w:rFonts w:cs="Arial"/>
          <w:sz w:val="22"/>
          <w:szCs w:val="22"/>
          <w:lang w:val="it-CH" w:eastAsia="zh-CN"/>
        </w:rPr>
        <w:tab/>
        <w:t>492</w:t>
      </w:r>
      <w:r w:rsidRPr="00C321C3">
        <w:rPr>
          <w:rFonts w:cs="Arial"/>
          <w:sz w:val="22"/>
          <w:szCs w:val="22"/>
          <w:lang w:val="it-CH" w:eastAsia="zh-CN"/>
        </w:rPr>
        <w:tab/>
        <w:t>20%</w:t>
      </w:r>
    </w:p>
    <w:p w:rsidR="0024207A" w:rsidRPr="00C321C3" w:rsidRDefault="0024207A" w:rsidP="0024207A">
      <w:pPr>
        <w:tabs>
          <w:tab w:val="left" w:pos="1725"/>
          <w:tab w:val="left" w:pos="2605"/>
          <w:tab w:val="left" w:pos="3365"/>
          <w:tab w:val="left" w:pos="4125"/>
          <w:tab w:val="left" w:pos="4885"/>
          <w:tab w:val="left" w:pos="5645"/>
          <w:tab w:val="left" w:pos="6405"/>
          <w:tab w:val="left" w:pos="7165"/>
          <w:tab w:val="left" w:pos="7925"/>
        </w:tabs>
        <w:ind w:left="65"/>
        <w:jc w:val="left"/>
        <w:rPr>
          <w:rFonts w:cs="Arial"/>
          <w:sz w:val="22"/>
          <w:szCs w:val="22"/>
          <w:lang w:val="it-CH" w:eastAsia="zh-CN"/>
        </w:rPr>
      </w:pPr>
      <w:r>
        <w:rPr>
          <w:rFonts w:cs="Arial"/>
          <w:bCs/>
          <w:sz w:val="22"/>
          <w:szCs w:val="22"/>
          <w:lang w:val="it-CH" w:eastAsia="zh-CN"/>
        </w:rPr>
        <w:t>2013/</w:t>
      </w:r>
      <w:r w:rsidRPr="00C321C3">
        <w:rPr>
          <w:rFonts w:cs="Arial"/>
          <w:bCs/>
          <w:sz w:val="22"/>
          <w:szCs w:val="22"/>
          <w:lang w:val="it-CH" w:eastAsia="zh-CN"/>
        </w:rPr>
        <w:t>14</w:t>
      </w:r>
      <w:r w:rsidRPr="00C321C3">
        <w:rPr>
          <w:rFonts w:cs="Arial"/>
          <w:bCs/>
          <w:sz w:val="22"/>
          <w:szCs w:val="22"/>
          <w:lang w:val="it-CH" w:eastAsia="zh-CN"/>
        </w:rPr>
        <w:tab/>
        <w:t>2529</w:t>
      </w:r>
      <w:r w:rsidRPr="00C321C3">
        <w:rPr>
          <w:rFonts w:cs="Arial"/>
          <w:bCs/>
          <w:sz w:val="22"/>
          <w:szCs w:val="22"/>
          <w:lang w:val="it-CH" w:eastAsia="zh-CN"/>
        </w:rPr>
        <w:tab/>
      </w:r>
      <w:r w:rsidRPr="00C321C3">
        <w:rPr>
          <w:rFonts w:cs="Arial"/>
          <w:bCs/>
          <w:sz w:val="22"/>
          <w:szCs w:val="22"/>
          <w:lang w:val="it-CH" w:eastAsia="zh-CN"/>
        </w:rPr>
        <w:tab/>
      </w:r>
      <w:r w:rsidRPr="00C321C3">
        <w:rPr>
          <w:rFonts w:cs="Arial"/>
          <w:sz w:val="22"/>
          <w:szCs w:val="22"/>
          <w:lang w:val="it-CH" w:eastAsia="zh-CN"/>
        </w:rPr>
        <w:t>706</w:t>
      </w:r>
      <w:r w:rsidRPr="00C321C3">
        <w:rPr>
          <w:rFonts w:cs="Arial"/>
          <w:sz w:val="22"/>
          <w:szCs w:val="22"/>
          <w:lang w:val="it-CH" w:eastAsia="zh-CN"/>
        </w:rPr>
        <w:tab/>
        <w:t>28%</w:t>
      </w:r>
      <w:r w:rsidRPr="00C321C3">
        <w:rPr>
          <w:rFonts w:cs="Arial"/>
          <w:sz w:val="22"/>
          <w:szCs w:val="22"/>
          <w:lang w:val="it-CH" w:eastAsia="zh-CN"/>
        </w:rPr>
        <w:tab/>
        <w:t>188</w:t>
      </w:r>
      <w:r w:rsidRPr="00C321C3">
        <w:rPr>
          <w:rFonts w:cs="Arial"/>
          <w:sz w:val="22"/>
          <w:szCs w:val="22"/>
          <w:lang w:val="it-CH" w:eastAsia="zh-CN"/>
        </w:rPr>
        <w:tab/>
        <w:t xml:space="preserve">  7%</w:t>
      </w:r>
      <w:r w:rsidRPr="00C321C3">
        <w:rPr>
          <w:rFonts w:cs="Arial"/>
          <w:sz w:val="22"/>
          <w:szCs w:val="22"/>
          <w:lang w:val="it-CH" w:eastAsia="zh-CN"/>
        </w:rPr>
        <w:tab/>
        <w:t>1243</w:t>
      </w:r>
      <w:r w:rsidRPr="00C321C3">
        <w:rPr>
          <w:rFonts w:cs="Arial"/>
          <w:sz w:val="22"/>
          <w:szCs w:val="22"/>
          <w:lang w:val="it-CH" w:eastAsia="zh-CN"/>
        </w:rPr>
        <w:tab/>
        <w:t>49%</w:t>
      </w:r>
      <w:r w:rsidRPr="00C321C3">
        <w:rPr>
          <w:rFonts w:cs="Arial"/>
          <w:sz w:val="22"/>
          <w:szCs w:val="22"/>
          <w:lang w:val="it-CH" w:eastAsia="zh-CN"/>
        </w:rPr>
        <w:tab/>
        <w:t>392</w:t>
      </w:r>
      <w:r w:rsidRPr="00C321C3">
        <w:rPr>
          <w:rFonts w:cs="Arial"/>
          <w:sz w:val="22"/>
          <w:szCs w:val="22"/>
          <w:lang w:val="it-CH" w:eastAsia="zh-CN"/>
        </w:rPr>
        <w:tab/>
        <w:t>16%</w:t>
      </w:r>
    </w:p>
    <w:p w:rsidR="0024207A" w:rsidRPr="00C321C3" w:rsidRDefault="0024207A" w:rsidP="0024207A">
      <w:pPr>
        <w:tabs>
          <w:tab w:val="left" w:pos="1725"/>
          <w:tab w:val="left" w:pos="2605"/>
          <w:tab w:val="left" w:pos="3365"/>
          <w:tab w:val="left" w:pos="4125"/>
          <w:tab w:val="left" w:pos="4885"/>
          <w:tab w:val="left" w:pos="5645"/>
          <w:tab w:val="left" w:pos="6405"/>
          <w:tab w:val="left" w:pos="7165"/>
          <w:tab w:val="left" w:pos="7925"/>
        </w:tabs>
        <w:ind w:left="65"/>
        <w:jc w:val="left"/>
        <w:rPr>
          <w:rFonts w:cs="Arial"/>
          <w:sz w:val="22"/>
          <w:szCs w:val="22"/>
          <w:lang w:val="it-CH" w:eastAsia="zh-CN"/>
        </w:rPr>
      </w:pPr>
      <w:r>
        <w:rPr>
          <w:rFonts w:cs="Arial"/>
          <w:sz w:val="22"/>
          <w:szCs w:val="22"/>
          <w:lang w:val="it-CH" w:eastAsia="zh-CN"/>
        </w:rPr>
        <w:t>2014/</w:t>
      </w:r>
      <w:r w:rsidRPr="00C321C3">
        <w:rPr>
          <w:rFonts w:cs="Arial"/>
          <w:sz w:val="22"/>
          <w:szCs w:val="22"/>
          <w:lang w:val="it-CH" w:eastAsia="zh-CN"/>
        </w:rPr>
        <w:t>15</w:t>
      </w:r>
      <w:r w:rsidRPr="00C321C3">
        <w:rPr>
          <w:rFonts w:cs="Arial"/>
          <w:sz w:val="22"/>
          <w:szCs w:val="22"/>
          <w:lang w:val="it-CH" w:eastAsia="zh-CN"/>
        </w:rPr>
        <w:tab/>
        <w:t>2535</w:t>
      </w:r>
      <w:r w:rsidRPr="00C321C3">
        <w:rPr>
          <w:rFonts w:cs="Arial"/>
          <w:sz w:val="22"/>
          <w:szCs w:val="22"/>
          <w:lang w:val="it-CH" w:eastAsia="zh-CN"/>
        </w:rPr>
        <w:tab/>
      </w:r>
      <w:r w:rsidRPr="00C321C3">
        <w:rPr>
          <w:rFonts w:cs="Arial"/>
          <w:sz w:val="22"/>
          <w:szCs w:val="22"/>
          <w:lang w:val="it-CH" w:eastAsia="zh-CN"/>
        </w:rPr>
        <w:tab/>
        <w:t>706</w:t>
      </w:r>
      <w:r w:rsidRPr="00C321C3">
        <w:rPr>
          <w:rFonts w:cs="Arial"/>
          <w:sz w:val="22"/>
          <w:szCs w:val="22"/>
          <w:lang w:val="it-CH" w:eastAsia="zh-CN"/>
        </w:rPr>
        <w:tab/>
        <w:t>28%</w:t>
      </w:r>
      <w:r w:rsidRPr="00C321C3">
        <w:rPr>
          <w:rFonts w:cs="Arial"/>
          <w:sz w:val="22"/>
          <w:szCs w:val="22"/>
          <w:lang w:val="it-CH" w:eastAsia="zh-CN"/>
        </w:rPr>
        <w:tab/>
        <w:t>175</w:t>
      </w:r>
      <w:r w:rsidRPr="00C321C3">
        <w:rPr>
          <w:rFonts w:cs="Arial"/>
          <w:sz w:val="22"/>
          <w:szCs w:val="22"/>
          <w:lang w:val="it-CH" w:eastAsia="zh-CN"/>
        </w:rPr>
        <w:tab/>
        <w:t xml:space="preserve">  7%</w:t>
      </w:r>
      <w:r w:rsidRPr="00C321C3">
        <w:rPr>
          <w:rFonts w:cs="Arial"/>
          <w:sz w:val="22"/>
          <w:szCs w:val="22"/>
          <w:lang w:val="it-CH" w:eastAsia="zh-CN"/>
        </w:rPr>
        <w:tab/>
        <w:t>1249</w:t>
      </w:r>
      <w:r w:rsidRPr="00C321C3">
        <w:rPr>
          <w:rFonts w:cs="Arial"/>
          <w:sz w:val="22"/>
          <w:szCs w:val="22"/>
          <w:lang w:val="it-CH" w:eastAsia="zh-CN"/>
        </w:rPr>
        <w:tab/>
        <w:t>49%</w:t>
      </w:r>
      <w:r w:rsidRPr="00C321C3">
        <w:rPr>
          <w:rFonts w:cs="Arial"/>
          <w:sz w:val="22"/>
          <w:szCs w:val="22"/>
          <w:lang w:val="it-CH" w:eastAsia="zh-CN"/>
        </w:rPr>
        <w:tab/>
        <w:t>405</w:t>
      </w:r>
      <w:r w:rsidRPr="00C321C3">
        <w:rPr>
          <w:rFonts w:cs="Arial"/>
          <w:sz w:val="22"/>
          <w:szCs w:val="22"/>
          <w:lang w:val="it-CH" w:eastAsia="zh-CN"/>
        </w:rPr>
        <w:tab/>
        <w:t>16%</w:t>
      </w:r>
    </w:p>
    <w:p w:rsidR="0024207A" w:rsidRPr="009D4ECE" w:rsidRDefault="0024207A" w:rsidP="0024207A">
      <w:pPr>
        <w:tabs>
          <w:tab w:val="left" w:pos="1725"/>
          <w:tab w:val="left" w:pos="2605"/>
          <w:tab w:val="left" w:pos="3365"/>
          <w:tab w:val="left" w:pos="4125"/>
          <w:tab w:val="left" w:pos="4885"/>
          <w:tab w:val="left" w:pos="5645"/>
          <w:tab w:val="left" w:pos="6405"/>
          <w:tab w:val="left" w:pos="7165"/>
          <w:tab w:val="left" w:pos="7925"/>
        </w:tabs>
        <w:ind w:left="65"/>
        <w:jc w:val="left"/>
        <w:rPr>
          <w:rFonts w:cs="Arial"/>
          <w:sz w:val="22"/>
          <w:szCs w:val="22"/>
          <w:lang w:val="it-CH" w:eastAsia="zh-CN"/>
        </w:rPr>
      </w:pPr>
      <w:r>
        <w:rPr>
          <w:rFonts w:cs="Arial"/>
          <w:sz w:val="22"/>
          <w:szCs w:val="22"/>
          <w:lang w:val="it-CH" w:eastAsia="zh-CN"/>
        </w:rPr>
        <w:t>2015/</w:t>
      </w:r>
      <w:r w:rsidRPr="009D4ECE">
        <w:rPr>
          <w:rFonts w:cs="Arial"/>
          <w:sz w:val="22"/>
          <w:szCs w:val="22"/>
          <w:lang w:val="it-CH" w:eastAsia="zh-CN"/>
        </w:rPr>
        <w:t>16</w:t>
      </w:r>
      <w:r w:rsidRPr="009D4ECE">
        <w:rPr>
          <w:rFonts w:cs="Arial"/>
          <w:sz w:val="22"/>
          <w:szCs w:val="22"/>
          <w:lang w:val="it-CH" w:eastAsia="zh-CN"/>
        </w:rPr>
        <w:tab/>
        <w:t>2493</w:t>
      </w:r>
      <w:r w:rsidRPr="009D4ECE">
        <w:rPr>
          <w:rFonts w:cs="Arial"/>
          <w:sz w:val="22"/>
          <w:szCs w:val="22"/>
          <w:lang w:val="it-CH" w:eastAsia="zh-CN"/>
        </w:rPr>
        <w:tab/>
      </w:r>
      <w:r w:rsidRPr="009D4ECE">
        <w:rPr>
          <w:rFonts w:cs="Arial"/>
          <w:sz w:val="22"/>
          <w:szCs w:val="22"/>
          <w:lang w:val="it-CH" w:eastAsia="zh-CN"/>
        </w:rPr>
        <w:tab/>
        <w:t>692</w:t>
      </w:r>
      <w:r w:rsidRPr="009D4ECE">
        <w:rPr>
          <w:rFonts w:cs="Arial"/>
          <w:sz w:val="22"/>
          <w:szCs w:val="22"/>
          <w:lang w:val="it-CH" w:eastAsia="zh-CN"/>
        </w:rPr>
        <w:tab/>
        <w:t>28%</w:t>
      </w:r>
      <w:r w:rsidRPr="009D4ECE">
        <w:rPr>
          <w:rFonts w:cs="Arial"/>
          <w:sz w:val="22"/>
          <w:szCs w:val="22"/>
          <w:lang w:val="it-CH" w:eastAsia="zh-CN"/>
        </w:rPr>
        <w:tab/>
        <w:t>174</w:t>
      </w:r>
      <w:r w:rsidRPr="009D4ECE">
        <w:rPr>
          <w:rFonts w:cs="Arial"/>
          <w:sz w:val="22"/>
          <w:szCs w:val="22"/>
          <w:lang w:val="it-CH" w:eastAsia="zh-CN"/>
        </w:rPr>
        <w:tab/>
        <w:t xml:space="preserve">  7%</w:t>
      </w:r>
      <w:r w:rsidRPr="009D4ECE">
        <w:rPr>
          <w:rFonts w:cs="Arial"/>
          <w:sz w:val="22"/>
          <w:szCs w:val="22"/>
          <w:lang w:val="it-CH" w:eastAsia="zh-CN"/>
        </w:rPr>
        <w:tab/>
        <w:t>1245</w:t>
      </w:r>
      <w:r w:rsidRPr="009D4ECE">
        <w:rPr>
          <w:rFonts w:cs="Arial"/>
          <w:sz w:val="22"/>
          <w:szCs w:val="22"/>
          <w:lang w:val="it-CH" w:eastAsia="zh-CN"/>
        </w:rPr>
        <w:tab/>
        <w:t>50</w:t>
      </w:r>
      <w:r>
        <w:rPr>
          <w:rFonts w:cs="Arial"/>
          <w:sz w:val="22"/>
          <w:szCs w:val="22"/>
          <w:lang w:val="it-CH" w:eastAsia="zh-CN"/>
        </w:rPr>
        <w:t>%</w:t>
      </w:r>
      <w:r w:rsidRPr="009D4ECE">
        <w:rPr>
          <w:rFonts w:cs="Arial"/>
          <w:sz w:val="22"/>
          <w:szCs w:val="22"/>
          <w:lang w:val="it-CH" w:eastAsia="zh-CN"/>
        </w:rPr>
        <w:tab/>
        <w:t>382</w:t>
      </w:r>
      <w:r w:rsidRPr="009D4ECE">
        <w:rPr>
          <w:rFonts w:cs="Arial"/>
          <w:sz w:val="22"/>
          <w:szCs w:val="22"/>
          <w:lang w:val="it-CH" w:eastAsia="zh-CN"/>
        </w:rPr>
        <w:tab/>
        <w:t>15%</w:t>
      </w:r>
    </w:p>
    <w:p w:rsidR="0024207A" w:rsidRPr="00C20948" w:rsidRDefault="0024207A" w:rsidP="0024207A">
      <w:pPr>
        <w:tabs>
          <w:tab w:val="left" w:pos="1725"/>
          <w:tab w:val="left" w:pos="2605"/>
          <w:tab w:val="left" w:pos="3365"/>
          <w:tab w:val="left" w:pos="4125"/>
          <w:tab w:val="left" w:pos="4885"/>
          <w:tab w:val="left" w:pos="5645"/>
          <w:tab w:val="left" w:pos="6405"/>
          <w:tab w:val="left" w:pos="7165"/>
          <w:tab w:val="left" w:pos="7925"/>
        </w:tabs>
        <w:ind w:left="65"/>
        <w:jc w:val="left"/>
        <w:rPr>
          <w:rFonts w:cs="Arial"/>
          <w:sz w:val="22"/>
          <w:szCs w:val="22"/>
          <w:lang w:val="it-CH" w:eastAsia="zh-CN"/>
        </w:rPr>
      </w:pPr>
      <w:r w:rsidRPr="00C20948">
        <w:rPr>
          <w:rFonts w:cs="Arial"/>
          <w:sz w:val="22"/>
          <w:szCs w:val="22"/>
          <w:lang w:val="it-CH" w:eastAsia="zh-CN"/>
        </w:rPr>
        <w:t>2016/17</w:t>
      </w:r>
      <w:r w:rsidRPr="00C20948">
        <w:rPr>
          <w:rFonts w:cs="Arial"/>
          <w:sz w:val="22"/>
          <w:szCs w:val="22"/>
          <w:lang w:val="it-CH" w:eastAsia="zh-CN"/>
        </w:rPr>
        <w:tab/>
        <w:t>2383</w:t>
      </w:r>
      <w:r w:rsidRPr="00C20948">
        <w:rPr>
          <w:rFonts w:cs="Arial"/>
          <w:sz w:val="22"/>
          <w:szCs w:val="22"/>
          <w:lang w:val="it-CH" w:eastAsia="zh-CN"/>
        </w:rPr>
        <w:tab/>
      </w:r>
      <w:r w:rsidRPr="00C20948">
        <w:rPr>
          <w:rFonts w:cs="Arial"/>
          <w:sz w:val="22"/>
          <w:szCs w:val="22"/>
          <w:lang w:val="it-CH" w:eastAsia="zh-CN"/>
        </w:rPr>
        <w:tab/>
        <w:t>729</w:t>
      </w:r>
      <w:r w:rsidRPr="00C20948">
        <w:rPr>
          <w:rFonts w:cs="Arial"/>
          <w:sz w:val="22"/>
          <w:szCs w:val="22"/>
          <w:lang w:val="it-CH" w:eastAsia="zh-CN"/>
        </w:rPr>
        <w:tab/>
        <w:t>30%</w:t>
      </w:r>
      <w:r w:rsidRPr="00C20948">
        <w:rPr>
          <w:rFonts w:cs="Arial"/>
          <w:sz w:val="22"/>
          <w:szCs w:val="22"/>
          <w:lang w:val="it-CH" w:eastAsia="zh-CN"/>
        </w:rPr>
        <w:tab/>
        <w:t>159</w:t>
      </w:r>
      <w:r w:rsidRPr="00C20948">
        <w:rPr>
          <w:rFonts w:cs="Arial"/>
          <w:sz w:val="22"/>
          <w:szCs w:val="22"/>
          <w:lang w:val="it-CH" w:eastAsia="zh-CN"/>
        </w:rPr>
        <w:tab/>
        <w:t xml:space="preserve">  7%</w:t>
      </w:r>
      <w:r w:rsidRPr="00C20948">
        <w:rPr>
          <w:rFonts w:cs="Arial"/>
          <w:sz w:val="22"/>
          <w:szCs w:val="22"/>
          <w:lang w:val="it-CH" w:eastAsia="zh-CN"/>
        </w:rPr>
        <w:tab/>
        <w:t>1164</w:t>
      </w:r>
      <w:r w:rsidRPr="00C20948">
        <w:rPr>
          <w:rFonts w:cs="Arial"/>
          <w:sz w:val="22"/>
          <w:szCs w:val="22"/>
          <w:lang w:val="it-CH" w:eastAsia="zh-CN"/>
        </w:rPr>
        <w:tab/>
        <w:t>49%</w:t>
      </w:r>
      <w:r w:rsidRPr="00C20948">
        <w:rPr>
          <w:rFonts w:cs="Arial"/>
          <w:sz w:val="22"/>
          <w:szCs w:val="22"/>
          <w:lang w:val="it-CH" w:eastAsia="zh-CN"/>
        </w:rPr>
        <w:tab/>
        <w:t>331</w:t>
      </w:r>
      <w:r w:rsidRPr="00C20948">
        <w:rPr>
          <w:rFonts w:cs="Arial"/>
          <w:sz w:val="22"/>
          <w:szCs w:val="22"/>
          <w:lang w:val="it-CH" w:eastAsia="zh-CN"/>
        </w:rPr>
        <w:tab/>
        <w:t>14%</w:t>
      </w:r>
    </w:p>
    <w:p w:rsidR="0024207A" w:rsidRPr="005C46B6" w:rsidRDefault="0024207A" w:rsidP="0024207A">
      <w:pPr>
        <w:tabs>
          <w:tab w:val="left" w:pos="1725"/>
          <w:tab w:val="left" w:pos="2605"/>
          <w:tab w:val="left" w:pos="3365"/>
          <w:tab w:val="left" w:pos="4125"/>
          <w:tab w:val="left" w:pos="4885"/>
          <w:tab w:val="left" w:pos="5645"/>
          <w:tab w:val="left" w:pos="6405"/>
          <w:tab w:val="left" w:pos="7165"/>
          <w:tab w:val="left" w:pos="7925"/>
        </w:tabs>
        <w:ind w:left="65"/>
        <w:jc w:val="left"/>
        <w:rPr>
          <w:rFonts w:cs="Arial"/>
          <w:b/>
          <w:sz w:val="22"/>
          <w:szCs w:val="22"/>
          <w:lang w:val="it-CH" w:eastAsia="zh-CN"/>
        </w:rPr>
      </w:pPr>
      <w:r w:rsidRPr="005C46B6">
        <w:rPr>
          <w:rFonts w:cs="Arial"/>
          <w:b/>
          <w:sz w:val="22"/>
          <w:szCs w:val="22"/>
          <w:lang w:val="it-CH" w:eastAsia="zh-CN"/>
        </w:rPr>
        <w:t>2017/18</w:t>
      </w:r>
      <w:r w:rsidRPr="005C46B6">
        <w:rPr>
          <w:rFonts w:cs="Arial"/>
          <w:b/>
          <w:sz w:val="22"/>
          <w:szCs w:val="22"/>
          <w:lang w:val="it-CH" w:eastAsia="zh-CN"/>
        </w:rPr>
        <w:tab/>
        <w:t>2346</w:t>
      </w:r>
      <w:r w:rsidRPr="005C46B6">
        <w:rPr>
          <w:rFonts w:cs="Arial"/>
          <w:b/>
          <w:sz w:val="22"/>
          <w:szCs w:val="22"/>
          <w:lang w:val="it-CH" w:eastAsia="zh-CN"/>
        </w:rPr>
        <w:tab/>
      </w:r>
      <w:r w:rsidRPr="005C46B6">
        <w:rPr>
          <w:rFonts w:cs="Arial"/>
          <w:b/>
          <w:sz w:val="22"/>
          <w:szCs w:val="22"/>
          <w:lang w:val="it-CH" w:eastAsia="zh-CN"/>
        </w:rPr>
        <w:tab/>
        <w:t>723</w:t>
      </w:r>
      <w:r w:rsidRPr="005C46B6">
        <w:rPr>
          <w:rFonts w:cs="Arial"/>
          <w:b/>
          <w:sz w:val="22"/>
          <w:szCs w:val="22"/>
          <w:lang w:val="it-CH" w:eastAsia="zh-CN"/>
        </w:rPr>
        <w:tab/>
        <w:t>30%</w:t>
      </w:r>
      <w:r w:rsidRPr="005C46B6">
        <w:rPr>
          <w:rFonts w:cs="Arial"/>
          <w:b/>
          <w:sz w:val="22"/>
          <w:szCs w:val="22"/>
          <w:lang w:val="it-CH" w:eastAsia="zh-CN"/>
        </w:rPr>
        <w:tab/>
        <w:t>164</w:t>
      </w:r>
      <w:r w:rsidRPr="005C46B6">
        <w:rPr>
          <w:rFonts w:cs="Arial"/>
          <w:b/>
          <w:sz w:val="22"/>
          <w:szCs w:val="22"/>
          <w:lang w:val="it-CH" w:eastAsia="zh-CN"/>
        </w:rPr>
        <w:tab/>
        <w:t xml:space="preserve">  7%</w:t>
      </w:r>
      <w:r w:rsidRPr="005C46B6">
        <w:rPr>
          <w:rFonts w:cs="Arial"/>
          <w:b/>
          <w:sz w:val="22"/>
          <w:szCs w:val="22"/>
          <w:lang w:val="it-CH" w:eastAsia="zh-CN"/>
        </w:rPr>
        <w:tab/>
        <w:t>1150</w:t>
      </w:r>
      <w:r w:rsidRPr="005C46B6">
        <w:rPr>
          <w:rFonts w:cs="Arial"/>
          <w:b/>
          <w:sz w:val="22"/>
          <w:szCs w:val="22"/>
          <w:lang w:val="it-CH" w:eastAsia="zh-CN"/>
        </w:rPr>
        <w:tab/>
        <w:t>49%</w:t>
      </w:r>
      <w:r w:rsidRPr="005C46B6">
        <w:rPr>
          <w:rFonts w:cs="Arial"/>
          <w:b/>
          <w:sz w:val="22"/>
          <w:szCs w:val="22"/>
          <w:lang w:val="it-CH" w:eastAsia="zh-CN"/>
        </w:rPr>
        <w:tab/>
        <w:t>309</w:t>
      </w:r>
      <w:r w:rsidRPr="005C46B6">
        <w:rPr>
          <w:rFonts w:cs="Arial"/>
          <w:b/>
          <w:sz w:val="22"/>
          <w:szCs w:val="22"/>
          <w:lang w:val="it-CH" w:eastAsia="zh-CN"/>
        </w:rPr>
        <w:tab/>
        <w:t>14%</w:t>
      </w:r>
    </w:p>
    <w:p w:rsidR="0024207A" w:rsidRPr="005C46B6" w:rsidRDefault="0024207A" w:rsidP="0024207A">
      <w:pPr>
        <w:tabs>
          <w:tab w:val="left" w:pos="1725"/>
          <w:tab w:val="left" w:pos="2605"/>
          <w:tab w:val="left" w:pos="3365"/>
          <w:tab w:val="left" w:pos="4125"/>
          <w:tab w:val="left" w:pos="4885"/>
          <w:tab w:val="left" w:pos="5645"/>
          <w:tab w:val="left" w:pos="6405"/>
          <w:tab w:val="left" w:pos="7165"/>
          <w:tab w:val="left" w:pos="7925"/>
        </w:tabs>
        <w:ind w:left="65"/>
        <w:jc w:val="left"/>
        <w:rPr>
          <w:rFonts w:cs="Arial"/>
          <w:sz w:val="16"/>
          <w:szCs w:val="16"/>
          <w:lang w:val="it-CH" w:eastAsia="zh-CN"/>
        </w:rPr>
      </w:pPr>
    </w:p>
    <w:p w:rsidR="0024207A" w:rsidRPr="003072B3" w:rsidRDefault="0024207A" w:rsidP="0024207A">
      <w:pPr>
        <w:jc w:val="left"/>
        <w:rPr>
          <w:i/>
          <w:sz w:val="16"/>
          <w:szCs w:val="16"/>
        </w:rPr>
      </w:pPr>
      <w:r w:rsidRPr="005C46B6">
        <w:rPr>
          <w:i/>
          <w:sz w:val="16"/>
          <w:szCs w:val="16"/>
        </w:rPr>
        <w:t>Fonte</w:t>
      </w:r>
      <w:r w:rsidRPr="003072B3">
        <w:rPr>
          <w:i/>
          <w:sz w:val="16"/>
          <w:szCs w:val="16"/>
        </w:rPr>
        <w:t>: Rapporto annuale USI 201</w:t>
      </w:r>
      <w:r>
        <w:rPr>
          <w:i/>
          <w:sz w:val="16"/>
          <w:szCs w:val="16"/>
        </w:rPr>
        <w:t>6/</w:t>
      </w:r>
      <w:r w:rsidRPr="003072B3">
        <w:rPr>
          <w:i/>
          <w:sz w:val="16"/>
          <w:szCs w:val="16"/>
        </w:rPr>
        <w:t>1</w:t>
      </w:r>
      <w:r>
        <w:rPr>
          <w:i/>
          <w:sz w:val="16"/>
          <w:szCs w:val="16"/>
        </w:rPr>
        <w:t>7</w:t>
      </w:r>
    </w:p>
    <w:p w:rsidR="0024207A" w:rsidRPr="001F1B4B" w:rsidRDefault="0024207A" w:rsidP="0024207A">
      <w:pPr>
        <w:jc w:val="left"/>
        <w:rPr>
          <w:sz w:val="36"/>
          <w:szCs w:val="36"/>
        </w:rPr>
      </w:pPr>
    </w:p>
    <w:p w:rsidR="0024207A" w:rsidRDefault="0024207A" w:rsidP="0024207A">
      <w:r>
        <w:t>In merito alla</w:t>
      </w:r>
      <w:r w:rsidRPr="001F59F8">
        <w:t xml:space="preserve"> provenienza</w:t>
      </w:r>
      <w:r>
        <w:t xml:space="preserve"> degli studenti,</w:t>
      </w:r>
      <w:r w:rsidRPr="001F59F8">
        <w:t xml:space="preserve"> il </w:t>
      </w:r>
      <w:proofErr w:type="spellStart"/>
      <w:r>
        <w:t>Cdp</w:t>
      </w:r>
      <w:proofErr w:type="spellEnd"/>
      <w:r>
        <w:t xml:space="preserve"> </w:t>
      </w:r>
      <w:r w:rsidRPr="001F59F8">
        <w:t xml:space="preserve">indica come </w:t>
      </w:r>
      <w:r w:rsidRPr="00CC0346">
        <w:t xml:space="preserve">obiettivo </w:t>
      </w:r>
      <w:r>
        <w:t xml:space="preserve">delle </w:t>
      </w:r>
      <w:r w:rsidRPr="00CC0346">
        <w:t xml:space="preserve">percentuali </w:t>
      </w:r>
      <w:r w:rsidRPr="00D4335B">
        <w:t xml:space="preserve">minime di studenti provenienti da altri </w:t>
      </w:r>
      <w:r>
        <w:t>C</w:t>
      </w:r>
      <w:r w:rsidRPr="00D4335B">
        <w:t xml:space="preserve">antoni, rispetto al totale degli studenti in formazione (10% per </w:t>
      </w:r>
      <w:proofErr w:type="spellStart"/>
      <w:r w:rsidRPr="00D4335B">
        <w:t>bachelor</w:t>
      </w:r>
      <w:proofErr w:type="spellEnd"/>
      <w:r w:rsidRPr="00D4335B">
        <w:t xml:space="preserve"> e 15% per master). Per l’anno considerato le percentuali si attestano </w:t>
      </w:r>
      <w:r w:rsidRPr="006013A8">
        <w:t>al 6%</w:t>
      </w:r>
      <w:r w:rsidRPr="00D4335B">
        <w:rPr>
          <w:i/>
        </w:rPr>
        <w:t xml:space="preserve"> (</w:t>
      </w:r>
      <w:r w:rsidRPr="00E066C9">
        <w:t>77 su 1’333</w:t>
      </w:r>
      <w:r w:rsidRPr="00D4335B">
        <w:rPr>
          <w:i/>
        </w:rPr>
        <w:t>)</w:t>
      </w:r>
      <w:r>
        <w:t xml:space="preserve"> per </w:t>
      </w:r>
      <w:proofErr w:type="spellStart"/>
      <w:r>
        <w:t>bachelor</w:t>
      </w:r>
      <w:proofErr w:type="spellEnd"/>
      <w:r>
        <w:t xml:space="preserve"> e al </w:t>
      </w:r>
      <w:r w:rsidRPr="00D4335B">
        <w:t xml:space="preserve">9% </w:t>
      </w:r>
      <w:r w:rsidRPr="00D4335B">
        <w:rPr>
          <w:i/>
        </w:rPr>
        <w:t>(</w:t>
      </w:r>
      <w:r w:rsidRPr="00E066C9">
        <w:t>87 su 1’013</w:t>
      </w:r>
      <w:r w:rsidRPr="00D4335B">
        <w:rPr>
          <w:i/>
        </w:rPr>
        <w:t>)</w:t>
      </w:r>
      <w:r w:rsidRPr="00D4335B">
        <w:t xml:space="preserve"> per master</w:t>
      </w:r>
      <w:r>
        <w:t>:</w:t>
      </w:r>
      <w:r w:rsidRPr="00D4335B">
        <w:rPr>
          <w:i/>
        </w:rPr>
        <w:t xml:space="preserve"> </w:t>
      </w:r>
      <w:r>
        <w:t>Le cifre decretano pertanto</w:t>
      </w:r>
      <w:r w:rsidRPr="00D4335B">
        <w:t xml:space="preserve"> </w:t>
      </w:r>
      <w:r>
        <w:t>il</w:t>
      </w:r>
      <w:r w:rsidRPr="00D4335B">
        <w:t xml:space="preserve"> mancato raggiungimento delle quote prefissate. Come per gli scorsi anni (cfr. </w:t>
      </w:r>
      <w:r w:rsidRPr="006013A8">
        <w:t>Tabella 1)</w:t>
      </w:r>
      <w:r>
        <w:t>,</w:t>
      </w:r>
      <w:r w:rsidRPr="00D4335B">
        <w:t xml:space="preserve"> nemmeno l’obiettivo del 50% massimo</w:t>
      </w:r>
      <w:r w:rsidRPr="001F59F8">
        <w:t xml:space="preserve"> di studenti provenienti</w:t>
      </w:r>
      <w:r>
        <w:t xml:space="preserve"> dall’estero è stato rispettato, essendosi la quota attestata al</w:t>
      </w:r>
      <w:r w:rsidRPr="006E1D94">
        <w:t xml:space="preserve"> </w:t>
      </w:r>
      <w:r>
        <w:t>63</w:t>
      </w:r>
      <w:r w:rsidRPr="006E1D94">
        <w:t xml:space="preserve">% </w:t>
      </w:r>
      <w:r>
        <w:rPr>
          <w:iCs/>
          <w:lang w:val="it-CH"/>
        </w:rPr>
        <w:t>(1’459</w:t>
      </w:r>
      <w:r w:rsidRPr="006E1D94">
        <w:rPr>
          <w:iCs/>
          <w:lang w:val="it-CH"/>
        </w:rPr>
        <w:t xml:space="preserve"> studenti esteri di cui 1’</w:t>
      </w:r>
      <w:r>
        <w:rPr>
          <w:iCs/>
          <w:lang w:val="it-CH"/>
        </w:rPr>
        <w:t>150</w:t>
      </w:r>
      <w:r w:rsidRPr="006E1D94">
        <w:rPr>
          <w:iCs/>
          <w:lang w:val="it-CH"/>
        </w:rPr>
        <w:t xml:space="preserve"> provenienti dall’Italia e </w:t>
      </w:r>
      <w:r>
        <w:rPr>
          <w:iCs/>
          <w:lang w:val="it-CH"/>
        </w:rPr>
        <w:t>309</w:t>
      </w:r>
      <w:r w:rsidRPr="006E1D94">
        <w:rPr>
          <w:iCs/>
          <w:lang w:val="it-CH"/>
        </w:rPr>
        <w:t xml:space="preserve"> da altri </w:t>
      </w:r>
      <w:r>
        <w:rPr>
          <w:iCs/>
          <w:lang w:val="it-CH"/>
        </w:rPr>
        <w:t>S</w:t>
      </w:r>
      <w:r w:rsidRPr="006E1D94">
        <w:rPr>
          <w:iCs/>
          <w:lang w:val="it-CH"/>
        </w:rPr>
        <w:t>tati</w:t>
      </w:r>
      <w:r>
        <w:rPr>
          <w:iCs/>
          <w:lang w:val="it-CH"/>
        </w:rPr>
        <w:t>,</w:t>
      </w:r>
      <w:r w:rsidRPr="006E1D94">
        <w:rPr>
          <w:iCs/>
          <w:lang w:val="it-CH"/>
        </w:rPr>
        <w:t xml:space="preserve"> a fronte di 2’</w:t>
      </w:r>
      <w:r>
        <w:rPr>
          <w:iCs/>
          <w:lang w:val="it-CH"/>
        </w:rPr>
        <w:t>346</w:t>
      </w:r>
      <w:r w:rsidRPr="006E1D94">
        <w:rPr>
          <w:iCs/>
          <w:lang w:val="it-CH"/>
        </w:rPr>
        <w:t xml:space="preserve"> studenti</w:t>
      </w:r>
      <w:r>
        <w:rPr>
          <w:iCs/>
          <w:lang w:val="it-CH"/>
        </w:rPr>
        <w:t xml:space="preserve"> complessivi</w:t>
      </w:r>
      <w:r w:rsidRPr="006E1D94">
        <w:rPr>
          <w:iCs/>
          <w:lang w:val="it-CH"/>
        </w:rPr>
        <w:t>)</w:t>
      </w:r>
      <w:r>
        <w:t>. Il numero degli studenti stranieri risulta il</w:t>
      </w:r>
      <w:r w:rsidRPr="001F59F8">
        <w:t xml:space="preserve"> più elevato</w:t>
      </w:r>
      <w:r w:rsidRPr="001F59F8" w:rsidDel="005F0E14">
        <w:t xml:space="preserve"> </w:t>
      </w:r>
      <w:r w:rsidRPr="001F59F8">
        <w:t>nel panorama delle</w:t>
      </w:r>
      <w:r>
        <w:t xml:space="preserve"> università svizzere</w:t>
      </w:r>
      <w:r w:rsidRPr="001F59F8">
        <w:t>.</w:t>
      </w:r>
    </w:p>
    <w:p w:rsidR="0024207A" w:rsidRPr="00D6413E" w:rsidRDefault="0024207A" w:rsidP="0024207A">
      <w:pPr>
        <w:rPr>
          <w:sz w:val="20"/>
        </w:rPr>
      </w:pPr>
    </w:p>
    <w:p w:rsidR="0024207A" w:rsidRDefault="0024207A" w:rsidP="0024207A">
      <w:r>
        <w:t>In termini di impatto</w:t>
      </w:r>
      <w:r w:rsidRPr="00920B91">
        <w:t xml:space="preserve"> finanziario</w:t>
      </w:r>
      <w:r>
        <w:t xml:space="preserve"> </w:t>
      </w:r>
      <w:r w:rsidRPr="00920B91">
        <w:t>per il Cantone</w:t>
      </w:r>
      <w:r>
        <w:t>,</w:t>
      </w:r>
      <w:r w:rsidRPr="00920B91">
        <w:t xml:space="preserve"> l’obiettivo del 50%, anche </w:t>
      </w:r>
      <w:r>
        <w:t xml:space="preserve">quando </w:t>
      </w:r>
      <w:r w:rsidRPr="00920B91">
        <w:t xml:space="preserve">superato, è da relativizzare. </w:t>
      </w:r>
      <w:r>
        <w:t xml:space="preserve">Infatti </w:t>
      </w:r>
      <w:r w:rsidRPr="00920B91">
        <w:t xml:space="preserve">la </w:t>
      </w:r>
      <w:r>
        <w:t>frazione</w:t>
      </w:r>
      <w:r w:rsidRPr="00920B91">
        <w:t xml:space="preserve"> marginale degli studenti esteri </w:t>
      </w:r>
      <w:r>
        <w:t xml:space="preserve">che supera </w:t>
      </w:r>
      <w:r w:rsidRPr="00920B91">
        <w:t xml:space="preserve">il 50% rappresenta un’entrata </w:t>
      </w:r>
      <w:r>
        <w:t>importante per</w:t>
      </w:r>
      <w:r w:rsidRPr="00920B91">
        <w:t xml:space="preserve"> l’USI (</w:t>
      </w:r>
      <w:proofErr w:type="spellStart"/>
      <w:r>
        <w:t>fr</w:t>
      </w:r>
      <w:proofErr w:type="spellEnd"/>
      <w:r>
        <w:t xml:space="preserve">. </w:t>
      </w:r>
      <w:r w:rsidRPr="00920B91">
        <w:t>8'000</w:t>
      </w:r>
      <w:r>
        <w:t xml:space="preserve">.- </w:t>
      </w:r>
      <w:r w:rsidRPr="00920B91">
        <w:t>di tassa annua per studente</w:t>
      </w:r>
      <w:r w:rsidRPr="00CC0346">
        <w:t>)</w:t>
      </w:r>
      <w:r>
        <w:t xml:space="preserve">; allo stesso tempo </w:t>
      </w:r>
      <w:r w:rsidRPr="00CC0346">
        <w:t>il costo aggiuntivo per il Cantone è ridotto</w:t>
      </w:r>
      <w:r>
        <w:t xml:space="preserve"> in ragione del limite del 5</w:t>
      </w:r>
      <w:r w:rsidRPr="00CC0346">
        <w:t>0% applicato nel calcolo dell’importo in base all’art. 2</w:t>
      </w:r>
      <w:r>
        <w:t>2</w:t>
      </w:r>
      <w:r w:rsidRPr="00CC0346">
        <w:t xml:space="preserve"> del </w:t>
      </w:r>
      <w:proofErr w:type="spellStart"/>
      <w:r>
        <w:t>C</w:t>
      </w:r>
      <w:r w:rsidRPr="00CC0346">
        <w:t>dp</w:t>
      </w:r>
      <w:proofErr w:type="spellEnd"/>
      <w:r w:rsidRPr="00CC0346">
        <w:t xml:space="preserve"> e del tetto massimo di contributo concesso secondo l’art. 27.</w:t>
      </w:r>
    </w:p>
    <w:p w:rsidR="0024207A" w:rsidRPr="00D6413E" w:rsidRDefault="0024207A" w:rsidP="0024207A">
      <w:pPr>
        <w:rPr>
          <w:sz w:val="20"/>
        </w:rPr>
      </w:pPr>
    </w:p>
    <w:p w:rsidR="0024207A" w:rsidRPr="00CC0346" w:rsidRDefault="0024207A" w:rsidP="0024207A">
      <w:r w:rsidRPr="00CC0346">
        <w:t xml:space="preserve">L’obiettivo del minimo di studenti provenienti da altri </w:t>
      </w:r>
      <w:r>
        <w:t>C</w:t>
      </w:r>
      <w:r w:rsidRPr="00CC0346">
        <w:t xml:space="preserve">antoni non appare </w:t>
      </w:r>
      <w:r>
        <w:t>realisticamente</w:t>
      </w:r>
      <w:r w:rsidRPr="00CC0346">
        <w:t xml:space="preserve"> raggiungibile a </w:t>
      </w:r>
      <w:r>
        <w:t>breve</w:t>
      </w:r>
      <w:r w:rsidRPr="00CC0346">
        <w:t xml:space="preserve"> termine. Potrà </w:t>
      </w:r>
      <w:r>
        <w:t xml:space="preserve">comunque </w:t>
      </w:r>
      <w:r w:rsidRPr="00CC0346">
        <w:t>esserlo nel lungo termine</w:t>
      </w:r>
      <w:r>
        <w:t>.</w:t>
      </w:r>
    </w:p>
    <w:p w:rsidR="0024207A" w:rsidRPr="00D6413E" w:rsidRDefault="0024207A" w:rsidP="0024207A">
      <w:pPr>
        <w:rPr>
          <w:rStyle w:val="Normale1"/>
          <w:rFonts w:ascii="Arial" w:hAnsi="Arial" w:cs="Arial"/>
          <w:lang w:eastAsia="en-US"/>
        </w:rPr>
      </w:pPr>
    </w:p>
    <w:p w:rsidR="0024207A" w:rsidRPr="0024207A" w:rsidRDefault="0024207A" w:rsidP="0024207A">
      <w:pPr>
        <w:rPr>
          <w:rStyle w:val="Normale1"/>
          <w:rFonts w:ascii="Arial" w:hAnsi="Arial" w:cs="Arial"/>
          <w:sz w:val="24"/>
          <w:szCs w:val="24"/>
          <w:lang w:eastAsia="en-US"/>
        </w:rPr>
      </w:pPr>
      <w:r w:rsidRPr="0024207A">
        <w:rPr>
          <w:rStyle w:val="Normale1"/>
          <w:rFonts w:ascii="Arial" w:hAnsi="Arial" w:cs="Arial"/>
          <w:sz w:val="24"/>
          <w:szCs w:val="24"/>
          <w:lang w:eastAsia="en-US"/>
        </w:rPr>
        <w:t>Analizzando i dati relativi al numero di studenti per facoltà si può rilevare quanto segue:</w:t>
      </w:r>
    </w:p>
    <w:p w:rsidR="0024207A" w:rsidRPr="0024207A" w:rsidRDefault="0024207A" w:rsidP="0024207A">
      <w:pPr>
        <w:numPr>
          <w:ilvl w:val="0"/>
          <w:numId w:val="32"/>
        </w:numPr>
        <w:tabs>
          <w:tab w:val="clear" w:pos="720"/>
          <w:tab w:val="num" w:pos="284"/>
        </w:tabs>
        <w:spacing w:before="120"/>
        <w:ind w:left="284" w:hanging="284"/>
        <w:rPr>
          <w:rStyle w:val="Normale1"/>
          <w:rFonts w:ascii="Arial" w:hAnsi="Arial" w:cs="Arial"/>
          <w:sz w:val="24"/>
          <w:szCs w:val="24"/>
        </w:rPr>
      </w:pPr>
      <w:r w:rsidRPr="0024207A">
        <w:rPr>
          <w:rStyle w:val="Normale1"/>
          <w:rFonts w:ascii="Arial" w:hAnsi="Arial" w:cs="Arial"/>
          <w:bCs/>
          <w:sz w:val="24"/>
          <w:szCs w:val="24"/>
        </w:rPr>
        <w:t xml:space="preserve">Accademia di architettura: </w:t>
      </w:r>
      <w:r w:rsidRPr="0024207A">
        <w:rPr>
          <w:rStyle w:val="Normale1"/>
          <w:rFonts w:ascii="Arial" w:hAnsi="Arial" w:cs="Arial"/>
          <w:sz w:val="24"/>
          <w:szCs w:val="24"/>
        </w:rPr>
        <w:t>da qualche anno si è raggiunta la saturazione del numero di studenti in relazione alle strutture disponibili (720-750 studenti). Rispetto ai primi anni, la composizione per provenienza è sbilanciata nel senso che più dei 2/3 degli iscritti provengono dall’Italia. Per questo motivo dal 2007 è stato introdotto un esame di ammissione per i candidati provenienti dall’estero;</w:t>
      </w:r>
    </w:p>
    <w:p w:rsidR="0024207A" w:rsidRPr="0024207A" w:rsidRDefault="0024207A" w:rsidP="0024207A">
      <w:pPr>
        <w:numPr>
          <w:ilvl w:val="0"/>
          <w:numId w:val="32"/>
        </w:numPr>
        <w:tabs>
          <w:tab w:val="clear" w:pos="720"/>
          <w:tab w:val="num" w:pos="284"/>
        </w:tabs>
        <w:spacing w:before="100"/>
        <w:ind w:left="284" w:hanging="284"/>
        <w:rPr>
          <w:rStyle w:val="Normale1"/>
          <w:rFonts w:ascii="Arial" w:hAnsi="Arial" w:cs="Arial"/>
          <w:sz w:val="24"/>
          <w:szCs w:val="24"/>
        </w:rPr>
      </w:pPr>
      <w:r w:rsidRPr="0024207A">
        <w:rPr>
          <w:rStyle w:val="Normale1"/>
          <w:rFonts w:ascii="Arial" w:hAnsi="Arial" w:cs="Arial"/>
          <w:bCs/>
          <w:sz w:val="24"/>
          <w:szCs w:val="24"/>
        </w:rPr>
        <w:t>Scienze della c</w:t>
      </w:r>
      <w:r w:rsidRPr="0024207A">
        <w:rPr>
          <w:rStyle w:val="bold"/>
          <w:rFonts w:ascii="Arial" w:hAnsi="Arial" w:cs="Arial"/>
          <w:i/>
          <w:spacing w:val="-2"/>
          <w:sz w:val="24"/>
          <w:szCs w:val="24"/>
        </w:rPr>
        <w:t>omunicazione</w:t>
      </w:r>
      <w:r w:rsidRPr="0024207A">
        <w:rPr>
          <w:rStyle w:val="bold"/>
          <w:rFonts w:ascii="Arial" w:hAnsi="Arial" w:cs="Arial"/>
          <w:spacing w:val="-2"/>
          <w:sz w:val="24"/>
          <w:szCs w:val="24"/>
        </w:rPr>
        <w:t>:</w:t>
      </w:r>
      <w:r w:rsidRPr="0024207A">
        <w:rPr>
          <w:rStyle w:val="Normale1"/>
          <w:rFonts w:ascii="Arial" w:hAnsi="Arial" w:cs="Arial"/>
          <w:spacing w:val="-2"/>
          <w:sz w:val="24"/>
          <w:szCs w:val="24"/>
        </w:rPr>
        <w:t xml:space="preserve"> il numero degli iscritti, così come delle matricole, è complessivamente stabile. Abbastanza stabile rimane anche il numero dei nuovi iscritti ai programmi di master. La composizione per provenienza è diversificata: gli studenti ticinesi oscillano attorno alle 300 unità (294 nel semestre autunnale 2017); gli studenti </w:t>
      </w:r>
      <w:r w:rsidRPr="0024207A">
        <w:rPr>
          <w:rStyle w:val="Normale1"/>
          <w:rFonts w:ascii="Arial" w:hAnsi="Arial" w:cs="Arial"/>
          <w:spacing w:val="-2"/>
          <w:sz w:val="24"/>
          <w:szCs w:val="24"/>
        </w:rPr>
        <w:lastRenderedPageBreak/>
        <w:t>provenienti dagli altri Cantoni sono scesi a meno del 10% (52 contro i 168 equivalenti al 24% nel 2001/2002). La progressiva crescita degli studenti italiani registrata negli scorsi anni (da 139 pari al 21% nel 2000/2001 a 278 pari al 37% nel 2014/2015) si è ridimensionata raggiungendo le 246 unità nel semestre autunnale 2017. In declino anche il numero di studenti provenienti da altri Stati (62 pari al 9% a fronte di 145 pari al 20% nel 2010/2011);</w:t>
      </w:r>
    </w:p>
    <w:p w:rsidR="0024207A" w:rsidRPr="0024207A" w:rsidRDefault="0024207A" w:rsidP="0024207A">
      <w:pPr>
        <w:numPr>
          <w:ilvl w:val="0"/>
          <w:numId w:val="32"/>
        </w:numPr>
        <w:tabs>
          <w:tab w:val="clear" w:pos="720"/>
          <w:tab w:val="num" w:pos="284"/>
        </w:tabs>
        <w:spacing w:before="100" w:after="120"/>
        <w:ind w:left="284" w:hanging="284"/>
        <w:rPr>
          <w:rStyle w:val="Normale1"/>
          <w:rFonts w:ascii="Arial" w:hAnsi="Arial" w:cs="Arial"/>
          <w:sz w:val="24"/>
          <w:szCs w:val="24"/>
        </w:rPr>
      </w:pPr>
      <w:r w:rsidRPr="0024207A">
        <w:rPr>
          <w:rStyle w:val="Normale1"/>
          <w:rFonts w:ascii="Arial" w:hAnsi="Arial" w:cs="Arial"/>
          <w:bCs/>
          <w:sz w:val="24"/>
          <w:szCs w:val="24"/>
        </w:rPr>
        <w:t>Scienze e</w:t>
      </w:r>
      <w:r w:rsidRPr="0024207A">
        <w:rPr>
          <w:rStyle w:val="bold"/>
          <w:rFonts w:ascii="Arial" w:hAnsi="Arial" w:cs="Arial"/>
          <w:i/>
          <w:sz w:val="24"/>
          <w:szCs w:val="24"/>
        </w:rPr>
        <w:t>conomiche</w:t>
      </w:r>
      <w:r w:rsidRPr="0024207A">
        <w:rPr>
          <w:rStyle w:val="bold"/>
          <w:rFonts w:ascii="Arial" w:hAnsi="Arial" w:cs="Arial"/>
          <w:sz w:val="24"/>
          <w:szCs w:val="24"/>
        </w:rPr>
        <w:t>:</w:t>
      </w:r>
      <w:r w:rsidRPr="0024207A">
        <w:rPr>
          <w:rStyle w:val="Normale1"/>
          <w:rFonts w:ascii="Arial" w:hAnsi="Arial" w:cs="Arial"/>
          <w:sz w:val="24"/>
          <w:szCs w:val="24"/>
        </w:rPr>
        <w:t xml:space="preserve"> i numeri documentano una costante crescita (da 253 nel 2000/2001 a 812 nel semestre autunnale 2017/2018) e una consistente internazionalizzazione. Gli studenti ticinesi, che rappresentavano l’80% degli iscritti nel 2001/2002 (217 su 271), sono stabili (253 nel semestre autunnale 2017 corrispondente al 38% del totale). Gli studenti provenienti dall’Italia sono aumentati fino al 2014 (410 pari a 48%) per poi diminuire sensibilmente (308 nel semestre autunnale 2017), analogamente gli studenti da altri Stati (238 pari al 27% nel 2011), ora ridotti a un terzo (86 pari al 13% nel semestre autunnale 2017). Il numero di iscritti confederati resta invece poco significativo; </w:t>
      </w:r>
    </w:p>
    <w:p w:rsidR="0024207A" w:rsidRPr="0024207A" w:rsidRDefault="0024207A" w:rsidP="0024207A">
      <w:pPr>
        <w:numPr>
          <w:ilvl w:val="0"/>
          <w:numId w:val="32"/>
        </w:numPr>
        <w:tabs>
          <w:tab w:val="clear" w:pos="720"/>
        </w:tabs>
        <w:ind w:left="284" w:hanging="284"/>
        <w:rPr>
          <w:rStyle w:val="Normale1"/>
          <w:rFonts w:ascii="Arial" w:hAnsi="Arial" w:cs="Arial"/>
          <w:sz w:val="24"/>
          <w:szCs w:val="24"/>
        </w:rPr>
      </w:pPr>
      <w:r w:rsidRPr="0024207A">
        <w:rPr>
          <w:rStyle w:val="Normale1"/>
          <w:rFonts w:ascii="Arial" w:hAnsi="Arial" w:cs="Arial"/>
          <w:iCs/>
          <w:sz w:val="24"/>
          <w:szCs w:val="24"/>
        </w:rPr>
        <w:t>Scienze i</w:t>
      </w:r>
      <w:r w:rsidRPr="0024207A">
        <w:rPr>
          <w:rStyle w:val="bold"/>
          <w:rFonts w:ascii="Arial" w:hAnsi="Arial" w:cs="Arial"/>
          <w:i/>
          <w:iCs/>
          <w:sz w:val="24"/>
          <w:szCs w:val="24"/>
        </w:rPr>
        <w:t>nformatiche</w:t>
      </w:r>
      <w:r w:rsidRPr="0024207A">
        <w:rPr>
          <w:rStyle w:val="Normale1"/>
          <w:rFonts w:ascii="Arial" w:hAnsi="Arial" w:cs="Arial"/>
          <w:sz w:val="24"/>
          <w:szCs w:val="24"/>
        </w:rPr>
        <w:t>: gli studenti sono aumentati, arrivando a quota 216 studenti nel</w:t>
      </w:r>
      <w:r w:rsidRPr="0024207A">
        <w:rPr>
          <w:rStyle w:val="Normale1"/>
          <w:rFonts w:ascii="Arial" w:hAnsi="Arial" w:cs="Arial"/>
          <w:sz w:val="24"/>
          <w:szCs w:val="24"/>
          <w:highlight w:val="yellow"/>
        </w:rPr>
        <w:t xml:space="preserve"> </w:t>
      </w:r>
      <w:r w:rsidRPr="0024207A">
        <w:rPr>
          <w:rStyle w:val="Normale1"/>
          <w:rFonts w:ascii="Arial" w:hAnsi="Arial" w:cs="Arial"/>
          <w:sz w:val="24"/>
          <w:szCs w:val="24"/>
        </w:rPr>
        <w:t xml:space="preserve">semestre autunnale 2017/18. Gli studenti nel </w:t>
      </w:r>
      <w:proofErr w:type="spellStart"/>
      <w:r w:rsidRPr="0024207A">
        <w:rPr>
          <w:rStyle w:val="Normale1"/>
          <w:rFonts w:ascii="Arial" w:hAnsi="Arial" w:cs="Arial"/>
          <w:sz w:val="24"/>
          <w:szCs w:val="24"/>
        </w:rPr>
        <w:t>bachelor</w:t>
      </w:r>
      <w:proofErr w:type="spellEnd"/>
      <w:r w:rsidRPr="0024207A">
        <w:rPr>
          <w:rStyle w:val="Normale1"/>
          <w:rFonts w:ascii="Arial" w:hAnsi="Arial" w:cs="Arial"/>
          <w:sz w:val="24"/>
          <w:szCs w:val="24"/>
        </w:rPr>
        <w:t xml:space="preserve"> provengono prevalentemente dai licei ticinesi, mentre gli studenti iscritti ai programmi di master (88 nel semestre autunnale 2017/18) provengono in prevalenza dall’estero, tra questi molti da Stati extraeuropei.</w:t>
      </w:r>
    </w:p>
    <w:p w:rsidR="0024207A" w:rsidRPr="00D6413E" w:rsidRDefault="0024207A" w:rsidP="0024207A">
      <w:pPr>
        <w:rPr>
          <w:rFonts w:cs="Arial"/>
          <w:sz w:val="20"/>
        </w:rPr>
      </w:pPr>
    </w:p>
    <w:p w:rsidR="0024207A" w:rsidRPr="0024207A" w:rsidRDefault="0024207A" w:rsidP="0024207A">
      <w:pPr>
        <w:rPr>
          <w:rStyle w:val="Normale1"/>
          <w:rFonts w:ascii="Arial" w:hAnsi="Arial" w:cs="Arial"/>
          <w:sz w:val="24"/>
          <w:szCs w:val="24"/>
        </w:rPr>
      </w:pPr>
      <w:r w:rsidRPr="0024207A">
        <w:rPr>
          <w:rFonts w:cs="Arial"/>
          <w:szCs w:val="24"/>
        </w:rPr>
        <w:t xml:space="preserve">Il </w:t>
      </w:r>
      <w:proofErr w:type="spellStart"/>
      <w:r w:rsidRPr="0024207A">
        <w:rPr>
          <w:rFonts w:cs="Arial"/>
          <w:szCs w:val="24"/>
        </w:rPr>
        <w:t>Cdp</w:t>
      </w:r>
      <w:proofErr w:type="spellEnd"/>
      <w:r w:rsidRPr="0024207A">
        <w:rPr>
          <w:rFonts w:cs="Arial"/>
          <w:szCs w:val="24"/>
        </w:rPr>
        <w:t xml:space="preserve"> prevede anche indicatori per la verifica dei dati riguardanti i diplomati e l’attrattività dell’USI per coloro che sono in possesso della maturità liceale rilasciata dalle scuole cantonali. Per questo indicatore i dati riguardanti il 2017/2018 riportano 755 </w:t>
      </w:r>
      <w:r w:rsidRPr="0024207A">
        <w:rPr>
          <w:rStyle w:val="Normale1"/>
          <w:rFonts w:ascii="Arial" w:hAnsi="Arial" w:cs="Arial"/>
          <w:sz w:val="24"/>
          <w:szCs w:val="24"/>
        </w:rPr>
        <w:t xml:space="preserve">iscritti all’USI con maturità conseguita nel Cantone Ticino, pari al 15% degli studenti ticinesi iscritti alle università svizzere. </w:t>
      </w:r>
      <w:r w:rsidRPr="0024207A">
        <w:rPr>
          <w:rStyle w:val="normale10"/>
          <w:iCs/>
          <w:sz w:val="24"/>
          <w:szCs w:val="24"/>
        </w:rPr>
        <w:t xml:space="preserve">I neo-immatricolati ticinesi a un programma di </w:t>
      </w:r>
      <w:proofErr w:type="spellStart"/>
      <w:r w:rsidRPr="0024207A">
        <w:rPr>
          <w:rStyle w:val="normale10"/>
          <w:iCs/>
          <w:sz w:val="24"/>
          <w:szCs w:val="24"/>
        </w:rPr>
        <w:t>bachelor</w:t>
      </w:r>
      <w:proofErr w:type="spellEnd"/>
      <w:r w:rsidRPr="0024207A">
        <w:rPr>
          <w:rStyle w:val="normale10"/>
          <w:iCs/>
          <w:sz w:val="24"/>
          <w:szCs w:val="24"/>
        </w:rPr>
        <w:t xml:space="preserve"> USI sono stati 184 a fronte di 804</w:t>
      </w:r>
      <w:r w:rsidRPr="0024207A">
        <w:rPr>
          <w:rFonts w:cs="Arial"/>
          <w:iCs/>
          <w:szCs w:val="24"/>
        </w:rPr>
        <w:t xml:space="preserve"> attestati di maturità liceale e 280</w:t>
      </w:r>
      <w:r w:rsidRPr="0024207A">
        <w:rPr>
          <w:rFonts w:cs="Arial"/>
          <w:iCs/>
          <w:szCs w:val="24"/>
          <w:shd w:val="clear" w:color="auto" w:fill="FFFFFF"/>
        </w:rPr>
        <w:t xml:space="preserve"> </w:t>
      </w:r>
      <w:r w:rsidRPr="0024207A">
        <w:rPr>
          <w:rFonts w:cs="Arial"/>
          <w:iCs/>
          <w:szCs w:val="24"/>
        </w:rPr>
        <w:t xml:space="preserve">attestati di maturità commerciale cantonale </w:t>
      </w:r>
      <w:r w:rsidRPr="0024207A">
        <w:rPr>
          <w:rStyle w:val="normale10"/>
          <w:iCs/>
          <w:sz w:val="24"/>
          <w:szCs w:val="24"/>
        </w:rPr>
        <w:t xml:space="preserve">rilasciati nel 2017. </w:t>
      </w:r>
      <w:r w:rsidRPr="0024207A">
        <w:rPr>
          <w:rFonts w:cs="Arial"/>
          <w:iCs/>
          <w:szCs w:val="24"/>
        </w:rPr>
        <w:t>A questi si aggiungono 83 studenti che hanno conseguito la maturità svizzera (superando l’esame svizzero di maturità) e 23 studenti che hanno superato l'esame complementare passerella "maturità professionale - scuole universitarie". Tali dati confermano che l’USI è uno sbocco sempre importante e attrattivo per i giovani ticinesi.</w:t>
      </w:r>
    </w:p>
    <w:p w:rsidR="0024207A" w:rsidRPr="00D6413E" w:rsidRDefault="0024207A" w:rsidP="0024207A">
      <w:pPr>
        <w:rPr>
          <w:rStyle w:val="Normale1"/>
          <w:rFonts w:ascii="Arial" w:hAnsi="Arial" w:cs="Arial"/>
        </w:rPr>
      </w:pPr>
    </w:p>
    <w:p w:rsidR="0024207A" w:rsidRPr="0024207A" w:rsidRDefault="0024207A" w:rsidP="0024207A">
      <w:pPr>
        <w:rPr>
          <w:rFonts w:cs="Arial"/>
          <w:szCs w:val="24"/>
        </w:rPr>
      </w:pPr>
      <w:r w:rsidRPr="0024207A">
        <w:rPr>
          <w:rStyle w:val="Normale1"/>
          <w:rFonts w:ascii="Arial" w:hAnsi="Arial" w:cs="Arial"/>
          <w:sz w:val="24"/>
          <w:szCs w:val="24"/>
        </w:rPr>
        <w:t xml:space="preserve">Un altro indicatore riguarda il grado di soddisfazione dei diplomati: Il servizio Career dell’USI ha condotto un’indagine sulla soddisfazione dei laureati a 1 anno dal diploma (diplomati 2015) e a 5 anni dal diploma (laureati 2011) in merito alla formazione ricevuta e alla coerenza dello studio con l’attività lavorativa. L’indagine 2017 ha coinvolto 1’132 laureati con un tasso di risposta del 50%. </w:t>
      </w:r>
      <w:r w:rsidRPr="0024207A">
        <w:rPr>
          <w:rFonts w:cs="Arial"/>
          <w:szCs w:val="24"/>
        </w:rPr>
        <w:t xml:space="preserve">Dall’indagine risulta che il 95.1% dei neolaureati e il 95.8% di chi ha concluso da 5 anni si dichiara soddisfatto delle competenze maturate all’USI. L’80.2% di chi ha risposto svolge un’attività lavorativa coerente con la formazione maturata all’USI e il 91.7% si dichiara soddisfatto dell’attuale occupazione professionale. Percentuali che, a 5 anni dalla laurea, sono rispettivamente del 78.0% (coerenza) e del 95.8% (soddisfazione). Questo dato conferma la percezione di qualità dell’insegnamento e la corretta preparazione di professionisti per il mercato del lavoro svizzero e in particolar modo per quello ticinese. </w:t>
      </w:r>
    </w:p>
    <w:p w:rsidR="0024207A" w:rsidRPr="00D6413E" w:rsidRDefault="0024207A" w:rsidP="0024207A">
      <w:pPr>
        <w:rPr>
          <w:rFonts w:cs="Arial"/>
          <w:sz w:val="20"/>
        </w:rPr>
      </w:pPr>
    </w:p>
    <w:p w:rsidR="0024207A" w:rsidRPr="0024207A" w:rsidRDefault="0024207A" w:rsidP="0024207A">
      <w:pPr>
        <w:rPr>
          <w:rFonts w:cs="Arial"/>
          <w:szCs w:val="24"/>
          <w:lang w:val="it-CH"/>
        </w:rPr>
      </w:pPr>
      <w:r w:rsidRPr="0024207A">
        <w:rPr>
          <w:rFonts w:cs="Arial"/>
          <w:szCs w:val="24"/>
        </w:rPr>
        <w:t xml:space="preserve">Per quanto riguarda l’indicatore di output sui diplomati, ovvero il grado di adeguatezza delle competenze acquisite a 5 anni dal conseguimento del titolo, secondo l’analisi dei dati pubblicati UST, </w:t>
      </w:r>
      <w:r w:rsidRPr="0024207A">
        <w:rPr>
          <w:rFonts w:cs="Arial"/>
          <w:szCs w:val="24"/>
          <w:lang w:val="it-CH"/>
        </w:rPr>
        <w:t xml:space="preserve">il grado di adeguatezza delle competenze acquisite dai diplomati dell’USI risulta nel complesso inferiore rispetto alla media svizzera.  </w:t>
      </w:r>
    </w:p>
    <w:p w:rsidR="0024207A" w:rsidRPr="00D6413E" w:rsidRDefault="0024207A" w:rsidP="0024207A">
      <w:pPr>
        <w:rPr>
          <w:rFonts w:cs="Arial"/>
          <w:sz w:val="20"/>
          <w:lang w:val="it-CH"/>
        </w:rPr>
      </w:pPr>
    </w:p>
    <w:p w:rsidR="0024207A" w:rsidRPr="0024207A" w:rsidRDefault="0024207A" w:rsidP="0024207A">
      <w:pPr>
        <w:rPr>
          <w:rFonts w:cs="Arial"/>
          <w:szCs w:val="24"/>
        </w:rPr>
      </w:pPr>
      <w:r w:rsidRPr="0024207A">
        <w:rPr>
          <w:rFonts w:cs="Arial"/>
          <w:szCs w:val="24"/>
          <w:lang w:val="it-CH"/>
        </w:rPr>
        <w:t xml:space="preserve">Infine, ancora per quanto riguarda i diplomati, il servizio Career con l’indagine citata in precedenza ha rilevato il tasso di occupazione dei diplomati e il tempo medio di ingresso </w:t>
      </w:r>
      <w:r w:rsidRPr="0024207A">
        <w:rPr>
          <w:rFonts w:cs="Arial"/>
          <w:szCs w:val="24"/>
          <w:lang w:val="it-CH"/>
        </w:rPr>
        <w:lastRenderedPageBreak/>
        <w:t>nel mondo del lavoro. I dati confermano quelli degli scorsi anni con percentuali di occupazione superiori al 90%. A</w:t>
      </w:r>
      <w:r w:rsidRPr="0024207A">
        <w:rPr>
          <w:rFonts w:cs="Arial"/>
          <w:szCs w:val="24"/>
        </w:rPr>
        <w:t xml:space="preserve"> un anno dalla laurea il 92.9% dei laureati è occupato: di questi lavora il 68.2%, il 10.8% studia e lavora e l’1.5% lavora e svolge il Dottorato. Il 7.1% (21 unità) dei laureati è in cerca di occupazione: di questi il 19.0% (4 unità) ha concluso il </w:t>
      </w:r>
      <w:proofErr w:type="spellStart"/>
      <w:r w:rsidRPr="0024207A">
        <w:rPr>
          <w:rFonts w:cs="Arial"/>
          <w:szCs w:val="24"/>
        </w:rPr>
        <w:t>bachelor</w:t>
      </w:r>
      <w:proofErr w:type="spellEnd"/>
      <w:r w:rsidRPr="0024207A">
        <w:rPr>
          <w:rFonts w:cs="Arial"/>
          <w:szCs w:val="24"/>
        </w:rPr>
        <w:t xml:space="preserve">, il 76.2% (16 unità) il master e il 4.8% (1 unità) il dottorato. Il tempo di ingresso nel mondo del lavoro è in linea con i dati degli scorsi anni e risulta in media di 2.5 mesi. Anche il dato riguardante la localizzazione lavorativa è stato rilevato, in modo da capire quanti laureati iniziano la loro attività lavorativa in Ticino e in Svizzera. Il rilevamento ha confermato che dopo 1 anno dalla laurea in Ticino lavora il 37.4% dei laureati, mentre l’occupazione in altri cantoni svizzeri è pari a 21.8%. I laureati da 5 anni lavorano in Ticino per il 43.0% e in altri cantoni svizzeri per il 22.5%. Queste percentuali possono essere definite buone e in linea con gli scorsi anni. </w:t>
      </w:r>
    </w:p>
    <w:p w:rsidR="0024207A" w:rsidRPr="0024207A" w:rsidRDefault="0024207A" w:rsidP="0024207A">
      <w:pPr>
        <w:rPr>
          <w:rStyle w:val="Normale1"/>
          <w:rFonts w:ascii="Arial" w:hAnsi="Arial" w:cs="Arial"/>
          <w:sz w:val="24"/>
          <w:szCs w:val="24"/>
          <w:lang w:eastAsia="en-US"/>
        </w:rPr>
      </w:pPr>
    </w:p>
    <w:p w:rsidR="0024207A" w:rsidRPr="0024207A" w:rsidRDefault="0024207A" w:rsidP="0024207A">
      <w:pPr>
        <w:rPr>
          <w:rStyle w:val="Normale1"/>
          <w:rFonts w:ascii="Arial" w:hAnsi="Arial" w:cs="Arial"/>
          <w:sz w:val="24"/>
          <w:szCs w:val="24"/>
          <w:lang w:eastAsia="en-US"/>
        </w:rPr>
      </w:pPr>
      <w:r w:rsidRPr="0024207A">
        <w:rPr>
          <w:rStyle w:val="Normale1"/>
          <w:rFonts w:ascii="Arial" w:hAnsi="Arial" w:cs="Arial"/>
          <w:sz w:val="24"/>
          <w:szCs w:val="24"/>
          <w:lang w:eastAsia="en-US"/>
        </w:rPr>
        <w:t xml:space="preserve">Il </w:t>
      </w:r>
      <w:proofErr w:type="spellStart"/>
      <w:r w:rsidRPr="0024207A">
        <w:rPr>
          <w:rStyle w:val="Normale1"/>
          <w:rFonts w:ascii="Arial" w:hAnsi="Arial" w:cs="Arial"/>
          <w:sz w:val="24"/>
          <w:szCs w:val="24"/>
          <w:lang w:eastAsia="en-US"/>
        </w:rPr>
        <w:t>Cdp</w:t>
      </w:r>
      <w:proofErr w:type="spellEnd"/>
      <w:r w:rsidRPr="0024207A">
        <w:rPr>
          <w:rStyle w:val="Normale1"/>
          <w:rFonts w:ascii="Arial" w:hAnsi="Arial" w:cs="Arial"/>
          <w:sz w:val="24"/>
          <w:szCs w:val="24"/>
          <w:lang w:eastAsia="en-US"/>
        </w:rPr>
        <w:t xml:space="preserve"> riporta tra gli obiettivi di efficienza della formazione di base il tasso d’inquadramento e la durata media degli studi. Nella Tabella 2 si riporta il tasso d’inquadramento dell’USI per facoltà e la media svizzera. Il tasso calcolato dall’UST rappresenta il rapporto tra il numero di studenti e il numero di rappresentanti del corpo insegnante. Un tasso d’inquadramento ridotto è da considerarsi positivo, poiché rispecchia la migliore possibilità di seguire gli studenti in maniera individuale.</w:t>
      </w:r>
    </w:p>
    <w:p w:rsidR="0024207A" w:rsidRPr="0024207A" w:rsidRDefault="0024207A" w:rsidP="0024207A">
      <w:pPr>
        <w:rPr>
          <w:rStyle w:val="Normale1"/>
          <w:rFonts w:ascii="Arial" w:hAnsi="Arial" w:cs="Arial"/>
          <w:sz w:val="24"/>
          <w:szCs w:val="24"/>
          <w:lang w:eastAsia="en-US"/>
        </w:rPr>
      </w:pPr>
    </w:p>
    <w:p w:rsidR="0024207A" w:rsidRPr="0024207A" w:rsidRDefault="0024207A" w:rsidP="0024207A">
      <w:pPr>
        <w:spacing w:after="120"/>
        <w:jc w:val="left"/>
        <w:rPr>
          <w:rStyle w:val="Normale1"/>
          <w:rFonts w:cs="Arial"/>
          <w:b/>
          <w:sz w:val="22"/>
          <w:szCs w:val="22"/>
          <w:lang w:val="it-CH"/>
        </w:rPr>
      </w:pPr>
      <w:r w:rsidRPr="0024207A">
        <w:rPr>
          <w:rFonts w:cs="Arial"/>
          <w:b/>
          <w:sz w:val="22"/>
          <w:szCs w:val="22"/>
        </w:rPr>
        <w:t xml:space="preserve">Tabella 2 - Tasso di inquadramento USI vs media svizzera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9"/>
        <w:gridCol w:w="1791"/>
        <w:gridCol w:w="3433"/>
        <w:gridCol w:w="2091"/>
      </w:tblGrid>
      <w:tr w:rsidR="0024207A" w:rsidRPr="0024207A" w:rsidTr="0024207A">
        <w:tc>
          <w:tcPr>
            <w:tcW w:w="2197" w:type="pct"/>
            <w:gridSpan w:val="2"/>
            <w:shd w:val="clear" w:color="auto" w:fill="auto"/>
          </w:tcPr>
          <w:p w:rsidR="0024207A" w:rsidRPr="00D6413E" w:rsidRDefault="0024207A" w:rsidP="00430A34">
            <w:pPr>
              <w:spacing w:before="40" w:after="40"/>
              <w:jc w:val="center"/>
              <w:rPr>
                <w:rStyle w:val="Normale1"/>
                <w:rFonts w:ascii="Arial" w:hAnsi="Arial" w:cs="Arial"/>
                <w:b/>
                <w:sz w:val="22"/>
                <w:szCs w:val="22"/>
                <w:lang w:eastAsia="en-US"/>
              </w:rPr>
            </w:pPr>
            <w:r w:rsidRPr="00430A34">
              <w:rPr>
                <w:rStyle w:val="Normale1"/>
                <w:rFonts w:ascii="Arial" w:hAnsi="Arial" w:cs="Arial"/>
                <w:b/>
                <w:sz w:val="22"/>
                <w:szCs w:val="22"/>
                <w:lang w:eastAsia="en-US"/>
              </w:rPr>
              <w:t xml:space="preserve">Tasso di inquadramento USI </w:t>
            </w:r>
          </w:p>
        </w:tc>
        <w:tc>
          <w:tcPr>
            <w:tcW w:w="2803" w:type="pct"/>
            <w:gridSpan w:val="2"/>
            <w:shd w:val="clear" w:color="auto" w:fill="auto"/>
          </w:tcPr>
          <w:p w:rsidR="0024207A" w:rsidRPr="00D6413E" w:rsidRDefault="0024207A" w:rsidP="00430A34">
            <w:pPr>
              <w:spacing w:before="40" w:after="40"/>
              <w:jc w:val="center"/>
              <w:rPr>
                <w:rStyle w:val="Normale1"/>
                <w:rFonts w:ascii="Arial" w:hAnsi="Arial" w:cs="Arial"/>
                <w:b/>
                <w:sz w:val="22"/>
                <w:szCs w:val="22"/>
                <w:lang w:eastAsia="en-US"/>
              </w:rPr>
            </w:pPr>
            <w:r w:rsidRPr="00430A34">
              <w:rPr>
                <w:rStyle w:val="Normale1"/>
                <w:rFonts w:ascii="Arial" w:hAnsi="Arial" w:cs="Arial"/>
                <w:b/>
                <w:sz w:val="22"/>
                <w:szCs w:val="22"/>
                <w:lang w:eastAsia="en-US"/>
              </w:rPr>
              <w:t xml:space="preserve">Tasso di inquadramento CH </w:t>
            </w:r>
          </w:p>
        </w:tc>
      </w:tr>
      <w:tr w:rsidR="0024207A" w:rsidRPr="0024207A" w:rsidTr="0024207A">
        <w:tc>
          <w:tcPr>
            <w:tcW w:w="1288" w:type="pct"/>
            <w:shd w:val="clear" w:color="auto" w:fill="auto"/>
          </w:tcPr>
          <w:p w:rsidR="0024207A" w:rsidRPr="0024207A" w:rsidRDefault="0024207A" w:rsidP="00430A34">
            <w:pPr>
              <w:spacing w:before="40" w:after="40"/>
              <w:rPr>
                <w:rStyle w:val="Normale1"/>
                <w:rFonts w:ascii="Arial" w:hAnsi="Arial" w:cs="Arial"/>
                <w:sz w:val="22"/>
                <w:szCs w:val="22"/>
                <w:lang w:eastAsia="en-US"/>
              </w:rPr>
            </w:pPr>
            <w:r w:rsidRPr="0024207A">
              <w:rPr>
                <w:rStyle w:val="Normale1"/>
                <w:rFonts w:ascii="Arial" w:hAnsi="Arial" w:cs="Arial"/>
                <w:sz w:val="22"/>
                <w:szCs w:val="22"/>
                <w:lang w:eastAsia="en-US"/>
              </w:rPr>
              <w:t>Architettura</w:t>
            </w:r>
          </w:p>
        </w:tc>
        <w:tc>
          <w:tcPr>
            <w:tcW w:w="909" w:type="pct"/>
            <w:shd w:val="clear" w:color="auto" w:fill="auto"/>
          </w:tcPr>
          <w:p w:rsidR="0024207A" w:rsidRPr="0024207A" w:rsidRDefault="0024207A" w:rsidP="00430A34">
            <w:pPr>
              <w:spacing w:before="40" w:after="40"/>
              <w:jc w:val="center"/>
              <w:rPr>
                <w:rStyle w:val="Normale1"/>
                <w:rFonts w:ascii="Arial" w:hAnsi="Arial" w:cs="Arial"/>
                <w:sz w:val="22"/>
                <w:szCs w:val="22"/>
                <w:lang w:eastAsia="en-US"/>
              </w:rPr>
            </w:pPr>
            <w:r w:rsidRPr="0024207A">
              <w:rPr>
                <w:rStyle w:val="Normale1"/>
                <w:rFonts w:ascii="Arial" w:hAnsi="Arial" w:cs="Arial"/>
                <w:sz w:val="22"/>
                <w:szCs w:val="22"/>
                <w:lang w:eastAsia="en-US"/>
              </w:rPr>
              <w:t>23.8</w:t>
            </w:r>
          </w:p>
        </w:tc>
        <w:tc>
          <w:tcPr>
            <w:tcW w:w="1742" w:type="pct"/>
            <w:shd w:val="clear" w:color="auto" w:fill="auto"/>
          </w:tcPr>
          <w:p w:rsidR="0024207A" w:rsidRPr="0024207A" w:rsidRDefault="0024207A" w:rsidP="00430A34">
            <w:pPr>
              <w:spacing w:before="40" w:after="40"/>
              <w:rPr>
                <w:rStyle w:val="Normale1"/>
                <w:rFonts w:ascii="Arial" w:hAnsi="Arial" w:cs="Arial"/>
                <w:sz w:val="22"/>
                <w:szCs w:val="22"/>
                <w:lang w:eastAsia="en-US"/>
              </w:rPr>
            </w:pPr>
            <w:r w:rsidRPr="0024207A">
              <w:rPr>
                <w:rStyle w:val="Normale1"/>
                <w:rFonts w:ascii="Arial" w:hAnsi="Arial" w:cs="Arial"/>
                <w:sz w:val="22"/>
                <w:szCs w:val="22"/>
                <w:lang w:eastAsia="en-US"/>
              </w:rPr>
              <w:t>Scienze della costruzione</w:t>
            </w:r>
          </w:p>
        </w:tc>
        <w:tc>
          <w:tcPr>
            <w:tcW w:w="1061" w:type="pct"/>
            <w:shd w:val="clear" w:color="auto" w:fill="auto"/>
          </w:tcPr>
          <w:p w:rsidR="0024207A" w:rsidRPr="0024207A" w:rsidRDefault="0024207A" w:rsidP="00430A34">
            <w:pPr>
              <w:spacing w:before="40" w:after="40"/>
              <w:jc w:val="center"/>
              <w:rPr>
                <w:rStyle w:val="Normale1"/>
                <w:rFonts w:ascii="Arial" w:hAnsi="Arial" w:cs="Arial"/>
                <w:sz w:val="22"/>
                <w:szCs w:val="22"/>
                <w:lang w:eastAsia="en-US"/>
              </w:rPr>
            </w:pPr>
            <w:r w:rsidRPr="0024207A">
              <w:rPr>
                <w:rStyle w:val="Normale1"/>
                <w:rFonts w:ascii="Arial" w:hAnsi="Arial" w:cs="Arial"/>
                <w:sz w:val="22"/>
                <w:szCs w:val="22"/>
                <w:lang w:eastAsia="en-US"/>
              </w:rPr>
              <w:t>21.2</w:t>
            </w:r>
          </w:p>
        </w:tc>
      </w:tr>
      <w:tr w:rsidR="0024207A" w:rsidRPr="0024207A" w:rsidTr="0024207A">
        <w:tc>
          <w:tcPr>
            <w:tcW w:w="1288" w:type="pct"/>
            <w:shd w:val="clear" w:color="auto" w:fill="auto"/>
          </w:tcPr>
          <w:p w:rsidR="0024207A" w:rsidRPr="0024207A" w:rsidRDefault="0024207A" w:rsidP="00430A34">
            <w:pPr>
              <w:spacing w:before="40" w:after="40"/>
              <w:rPr>
                <w:rStyle w:val="Normale1"/>
                <w:rFonts w:ascii="Arial" w:hAnsi="Arial" w:cs="Arial"/>
                <w:sz w:val="22"/>
                <w:szCs w:val="22"/>
                <w:lang w:eastAsia="en-US"/>
              </w:rPr>
            </w:pPr>
            <w:r w:rsidRPr="0024207A">
              <w:rPr>
                <w:rStyle w:val="Normale1"/>
                <w:rFonts w:ascii="Arial" w:hAnsi="Arial" w:cs="Arial"/>
                <w:sz w:val="22"/>
                <w:szCs w:val="22"/>
                <w:lang w:eastAsia="en-US"/>
              </w:rPr>
              <w:t>Economia</w:t>
            </w:r>
          </w:p>
        </w:tc>
        <w:tc>
          <w:tcPr>
            <w:tcW w:w="909" w:type="pct"/>
            <w:shd w:val="clear" w:color="auto" w:fill="auto"/>
          </w:tcPr>
          <w:p w:rsidR="0024207A" w:rsidRPr="0024207A" w:rsidRDefault="0024207A" w:rsidP="00430A34">
            <w:pPr>
              <w:spacing w:before="40" w:after="40"/>
              <w:jc w:val="center"/>
              <w:rPr>
                <w:rStyle w:val="Normale1"/>
                <w:rFonts w:ascii="Arial" w:hAnsi="Arial" w:cs="Arial"/>
                <w:sz w:val="22"/>
                <w:szCs w:val="22"/>
                <w:lang w:eastAsia="en-US"/>
              </w:rPr>
            </w:pPr>
            <w:r w:rsidRPr="0024207A">
              <w:rPr>
                <w:rStyle w:val="Normale1"/>
                <w:rFonts w:ascii="Arial" w:hAnsi="Arial" w:cs="Arial"/>
                <w:sz w:val="22"/>
                <w:szCs w:val="22"/>
                <w:lang w:eastAsia="en-US"/>
              </w:rPr>
              <w:t>18.0</w:t>
            </w:r>
          </w:p>
        </w:tc>
        <w:tc>
          <w:tcPr>
            <w:tcW w:w="1742" w:type="pct"/>
            <w:shd w:val="clear" w:color="auto" w:fill="auto"/>
          </w:tcPr>
          <w:p w:rsidR="0024207A" w:rsidRPr="0024207A" w:rsidRDefault="0024207A" w:rsidP="00430A34">
            <w:pPr>
              <w:spacing w:before="40" w:after="40"/>
              <w:rPr>
                <w:rStyle w:val="Normale1"/>
                <w:rFonts w:ascii="Arial" w:hAnsi="Arial" w:cs="Arial"/>
                <w:sz w:val="22"/>
                <w:szCs w:val="22"/>
                <w:lang w:eastAsia="en-US"/>
              </w:rPr>
            </w:pPr>
            <w:r w:rsidRPr="0024207A">
              <w:rPr>
                <w:rStyle w:val="Normale1"/>
                <w:rFonts w:ascii="Arial" w:hAnsi="Arial" w:cs="Arial"/>
                <w:sz w:val="22"/>
                <w:szCs w:val="22"/>
                <w:lang w:eastAsia="en-US"/>
              </w:rPr>
              <w:t>Scienze economiche</w:t>
            </w:r>
          </w:p>
        </w:tc>
        <w:tc>
          <w:tcPr>
            <w:tcW w:w="1061" w:type="pct"/>
            <w:shd w:val="clear" w:color="auto" w:fill="auto"/>
          </w:tcPr>
          <w:p w:rsidR="0024207A" w:rsidRPr="0024207A" w:rsidRDefault="0024207A" w:rsidP="00430A34">
            <w:pPr>
              <w:spacing w:before="40" w:after="40"/>
              <w:jc w:val="center"/>
              <w:rPr>
                <w:rStyle w:val="Normale1"/>
                <w:rFonts w:ascii="Arial" w:hAnsi="Arial" w:cs="Arial"/>
                <w:sz w:val="22"/>
                <w:szCs w:val="22"/>
                <w:lang w:eastAsia="en-US"/>
              </w:rPr>
            </w:pPr>
            <w:r w:rsidRPr="0024207A">
              <w:rPr>
                <w:rStyle w:val="Normale1"/>
                <w:rFonts w:ascii="Arial" w:hAnsi="Arial" w:cs="Arial"/>
                <w:sz w:val="22"/>
                <w:szCs w:val="22"/>
                <w:lang w:eastAsia="en-US"/>
              </w:rPr>
              <w:t>29.6</w:t>
            </w:r>
          </w:p>
        </w:tc>
      </w:tr>
      <w:tr w:rsidR="0024207A" w:rsidRPr="0024207A" w:rsidTr="0024207A">
        <w:tc>
          <w:tcPr>
            <w:tcW w:w="1288" w:type="pct"/>
            <w:shd w:val="clear" w:color="auto" w:fill="auto"/>
          </w:tcPr>
          <w:p w:rsidR="0024207A" w:rsidRPr="0024207A" w:rsidRDefault="0024207A" w:rsidP="00430A34">
            <w:pPr>
              <w:spacing w:before="40" w:after="40"/>
              <w:rPr>
                <w:rStyle w:val="Normale1"/>
                <w:rFonts w:ascii="Arial" w:hAnsi="Arial" w:cs="Arial"/>
                <w:sz w:val="22"/>
                <w:szCs w:val="22"/>
                <w:lang w:eastAsia="en-US"/>
              </w:rPr>
            </w:pPr>
            <w:r w:rsidRPr="0024207A">
              <w:rPr>
                <w:rStyle w:val="Normale1"/>
                <w:rFonts w:ascii="Arial" w:hAnsi="Arial" w:cs="Arial"/>
                <w:sz w:val="22"/>
                <w:szCs w:val="22"/>
                <w:lang w:eastAsia="en-US"/>
              </w:rPr>
              <w:t>Comunicazione</w:t>
            </w:r>
          </w:p>
        </w:tc>
        <w:tc>
          <w:tcPr>
            <w:tcW w:w="909" w:type="pct"/>
            <w:shd w:val="clear" w:color="auto" w:fill="auto"/>
          </w:tcPr>
          <w:p w:rsidR="0024207A" w:rsidRPr="0024207A" w:rsidRDefault="0024207A" w:rsidP="00430A34">
            <w:pPr>
              <w:spacing w:before="40" w:after="40"/>
              <w:jc w:val="center"/>
              <w:rPr>
                <w:rStyle w:val="Normale1"/>
                <w:rFonts w:ascii="Arial" w:hAnsi="Arial" w:cs="Arial"/>
                <w:sz w:val="22"/>
                <w:szCs w:val="22"/>
                <w:lang w:eastAsia="en-US"/>
              </w:rPr>
            </w:pPr>
            <w:r w:rsidRPr="0024207A">
              <w:rPr>
                <w:rStyle w:val="Normale1"/>
                <w:rFonts w:ascii="Arial" w:hAnsi="Arial" w:cs="Arial"/>
                <w:sz w:val="22"/>
                <w:szCs w:val="22"/>
                <w:lang w:eastAsia="en-US"/>
              </w:rPr>
              <w:t>17.8</w:t>
            </w:r>
          </w:p>
        </w:tc>
        <w:tc>
          <w:tcPr>
            <w:tcW w:w="1742" w:type="pct"/>
            <w:shd w:val="clear" w:color="auto" w:fill="auto"/>
          </w:tcPr>
          <w:p w:rsidR="0024207A" w:rsidRPr="0024207A" w:rsidRDefault="0024207A" w:rsidP="00430A34">
            <w:pPr>
              <w:spacing w:before="40" w:after="40"/>
              <w:rPr>
                <w:rStyle w:val="Normale1"/>
                <w:rFonts w:ascii="Arial" w:hAnsi="Arial" w:cs="Arial"/>
                <w:sz w:val="22"/>
                <w:szCs w:val="22"/>
                <w:lang w:eastAsia="en-US"/>
              </w:rPr>
            </w:pPr>
            <w:r w:rsidRPr="0024207A">
              <w:rPr>
                <w:rStyle w:val="Normale1"/>
                <w:rFonts w:ascii="Arial" w:hAnsi="Arial" w:cs="Arial"/>
                <w:sz w:val="22"/>
                <w:szCs w:val="22"/>
                <w:lang w:eastAsia="en-US"/>
              </w:rPr>
              <w:t>Scienze sociali</w:t>
            </w:r>
          </w:p>
        </w:tc>
        <w:tc>
          <w:tcPr>
            <w:tcW w:w="1061" w:type="pct"/>
            <w:shd w:val="clear" w:color="auto" w:fill="auto"/>
          </w:tcPr>
          <w:p w:rsidR="0024207A" w:rsidRPr="0024207A" w:rsidRDefault="0024207A" w:rsidP="00430A34">
            <w:pPr>
              <w:spacing w:before="40" w:after="40"/>
              <w:jc w:val="center"/>
              <w:rPr>
                <w:rStyle w:val="Normale1"/>
                <w:rFonts w:ascii="Arial" w:hAnsi="Arial" w:cs="Arial"/>
                <w:sz w:val="22"/>
                <w:szCs w:val="22"/>
                <w:lang w:eastAsia="en-US"/>
              </w:rPr>
            </w:pPr>
            <w:r w:rsidRPr="0024207A">
              <w:rPr>
                <w:rStyle w:val="Normale1"/>
                <w:rFonts w:ascii="Arial" w:hAnsi="Arial" w:cs="Arial"/>
                <w:sz w:val="22"/>
                <w:szCs w:val="22"/>
                <w:lang w:eastAsia="en-US"/>
              </w:rPr>
              <w:t>27.5</w:t>
            </w:r>
          </w:p>
        </w:tc>
      </w:tr>
      <w:tr w:rsidR="0024207A" w:rsidRPr="0024207A" w:rsidTr="0024207A">
        <w:tc>
          <w:tcPr>
            <w:tcW w:w="1288" w:type="pct"/>
            <w:shd w:val="clear" w:color="auto" w:fill="auto"/>
          </w:tcPr>
          <w:p w:rsidR="0024207A" w:rsidRPr="0024207A" w:rsidRDefault="0024207A" w:rsidP="00430A34">
            <w:pPr>
              <w:spacing w:before="40" w:after="40"/>
              <w:rPr>
                <w:rStyle w:val="Normale1"/>
                <w:rFonts w:ascii="Arial" w:hAnsi="Arial" w:cs="Arial"/>
                <w:sz w:val="22"/>
                <w:szCs w:val="22"/>
                <w:lang w:eastAsia="en-US"/>
              </w:rPr>
            </w:pPr>
            <w:r w:rsidRPr="0024207A">
              <w:rPr>
                <w:rStyle w:val="Normale1"/>
                <w:rFonts w:ascii="Arial" w:hAnsi="Arial" w:cs="Arial"/>
                <w:sz w:val="22"/>
                <w:szCs w:val="22"/>
                <w:lang w:eastAsia="en-US"/>
              </w:rPr>
              <w:t>Informatica</w:t>
            </w:r>
          </w:p>
        </w:tc>
        <w:tc>
          <w:tcPr>
            <w:tcW w:w="909" w:type="pct"/>
            <w:shd w:val="clear" w:color="auto" w:fill="auto"/>
          </w:tcPr>
          <w:p w:rsidR="0024207A" w:rsidRPr="0024207A" w:rsidRDefault="0024207A" w:rsidP="00430A34">
            <w:pPr>
              <w:spacing w:before="40" w:after="40"/>
              <w:jc w:val="center"/>
              <w:rPr>
                <w:rStyle w:val="Normale1"/>
                <w:rFonts w:ascii="Arial" w:hAnsi="Arial" w:cs="Arial"/>
                <w:sz w:val="22"/>
                <w:szCs w:val="22"/>
                <w:lang w:eastAsia="en-US"/>
              </w:rPr>
            </w:pPr>
            <w:r w:rsidRPr="0024207A">
              <w:rPr>
                <w:rStyle w:val="Normale1"/>
                <w:rFonts w:ascii="Arial" w:hAnsi="Arial" w:cs="Arial"/>
                <w:sz w:val="22"/>
                <w:szCs w:val="22"/>
                <w:lang w:eastAsia="en-US"/>
              </w:rPr>
              <w:t>6.9</w:t>
            </w:r>
          </w:p>
        </w:tc>
        <w:tc>
          <w:tcPr>
            <w:tcW w:w="1742" w:type="pct"/>
            <w:shd w:val="clear" w:color="auto" w:fill="auto"/>
          </w:tcPr>
          <w:p w:rsidR="0024207A" w:rsidRPr="0024207A" w:rsidRDefault="0024207A" w:rsidP="00430A34">
            <w:pPr>
              <w:spacing w:before="40" w:after="40"/>
              <w:rPr>
                <w:rStyle w:val="Normale1"/>
                <w:rFonts w:ascii="Arial" w:hAnsi="Arial" w:cs="Arial"/>
                <w:sz w:val="22"/>
                <w:szCs w:val="22"/>
                <w:lang w:eastAsia="en-US"/>
              </w:rPr>
            </w:pPr>
            <w:r w:rsidRPr="0024207A">
              <w:rPr>
                <w:rStyle w:val="Normale1"/>
                <w:rFonts w:ascii="Arial" w:hAnsi="Arial" w:cs="Arial"/>
                <w:sz w:val="22"/>
                <w:szCs w:val="22"/>
                <w:lang w:eastAsia="en-US"/>
              </w:rPr>
              <w:t>Scienze esatte</w:t>
            </w:r>
          </w:p>
        </w:tc>
        <w:tc>
          <w:tcPr>
            <w:tcW w:w="1061" w:type="pct"/>
            <w:shd w:val="clear" w:color="auto" w:fill="auto"/>
          </w:tcPr>
          <w:p w:rsidR="0024207A" w:rsidRPr="0024207A" w:rsidRDefault="0024207A" w:rsidP="00430A34">
            <w:pPr>
              <w:spacing w:before="40" w:after="40"/>
              <w:jc w:val="center"/>
              <w:rPr>
                <w:rStyle w:val="Normale1"/>
                <w:rFonts w:ascii="Arial" w:hAnsi="Arial" w:cs="Arial"/>
                <w:sz w:val="22"/>
                <w:szCs w:val="22"/>
                <w:lang w:eastAsia="en-US"/>
              </w:rPr>
            </w:pPr>
            <w:r w:rsidRPr="0024207A">
              <w:rPr>
                <w:rStyle w:val="Normale1"/>
                <w:rFonts w:ascii="Arial" w:hAnsi="Arial" w:cs="Arial"/>
                <w:sz w:val="22"/>
                <w:szCs w:val="22"/>
                <w:lang w:eastAsia="en-US"/>
              </w:rPr>
              <w:t>13.5</w:t>
            </w:r>
          </w:p>
        </w:tc>
      </w:tr>
    </w:tbl>
    <w:p w:rsidR="0024207A" w:rsidRPr="0024207A" w:rsidRDefault="0024207A" w:rsidP="0024207A">
      <w:pPr>
        <w:tabs>
          <w:tab w:val="left" w:pos="4962"/>
        </w:tabs>
        <w:rPr>
          <w:rStyle w:val="Normale1"/>
          <w:rFonts w:ascii="Arial" w:hAnsi="Arial" w:cs="Arial"/>
          <w:sz w:val="18"/>
          <w:szCs w:val="18"/>
          <w:lang w:val="it-CH" w:eastAsia="en-US"/>
        </w:rPr>
      </w:pPr>
    </w:p>
    <w:p w:rsidR="0024207A" w:rsidRPr="0024207A" w:rsidRDefault="0024207A" w:rsidP="0024207A">
      <w:pPr>
        <w:tabs>
          <w:tab w:val="left" w:pos="4962"/>
        </w:tabs>
        <w:rPr>
          <w:rStyle w:val="Normale1"/>
          <w:rFonts w:ascii="Arial" w:hAnsi="Arial" w:cs="Arial"/>
          <w:i/>
          <w:sz w:val="16"/>
          <w:szCs w:val="16"/>
          <w:lang w:eastAsia="en-US"/>
        </w:rPr>
      </w:pPr>
      <w:r w:rsidRPr="0024207A">
        <w:rPr>
          <w:rStyle w:val="Normale1"/>
          <w:rFonts w:ascii="Arial" w:hAnsi="Arial" w:cs="Arial"/>
          <w:sz w:val="16"/>
          <w:szCs w:val="16"/>
          <w:lang w:eastAsia="en-US"/>
        </w:rPr>
        <w:t>Fonte: Ufficio federale di statistica, 2017</w:t>
      </w:r>
    </w:p>
    <w:p w:rsidR="0024207A" w:rsidRDefault="0024207A" w:rsidP="0024207A">
      <w:pPr>
        <w:tabs>
          <w:tab w:val="left" w:pos="4962"/>
        </w:tabs>
        <w:spacing w:before="120"/>
        <w:rPr>
          <w:rStyle w:val="Normale1"/>
          <w:rFonts w:ascii="Arial" w:hAnsi="Arial" w:cs="Arial"/>
          <w:sz w:val="24"/>
          <w:szCs w:val="24"/>
          <w:lang w:eastAsia="en-US"/>
        </w:rPr>
      </w:pPr>
    </w:p>
    <w:p w:rsidR="0024207A" w:rsidRPr="00E3249F" w:rsidRDefault="0024207A" w:rsidP="0024207A">
      <w:r w:rsidRPr="0024207A">
        <w:rPr>
          <w:rStyle w:val="Normale1"/>
          <w:rFonts w:ascii="Arial" w:hAnsi="Arial" w:cs="Arial"/>
          <w:sz w:val="24"/>
          <w:szCs w:val="24"/>
          <w:lang w:eastAsia="en-US"/>
        </w:rPr>
        <w:t xml:space="preserve">I dati rilevano un tasso d’inquadramento dell’USI sotto la media svizzera, frutto della dimensione più contenuta dell’USI rispetto alle altre Università. Architettura rimane sopra la media svizzera poiché </w:t>
      </w:r>
      <w:r w:rsidRPr="0024207A">
        <w:t>la</w:t>
      </w:r>
      <w:r w:rsidRPr="00E3249F">
        <w:t xml:space="preserve"> media svizzera del settore “</w:t>
      </w:r>
      <w:r>
        <w:t>S</w:t>
      </w:r>
      <w:r w:rsidRPr="00E3249F">
        <w:t xml:space="preserve">cienze della costruzione” comprende i Politecnici federali, che dispongono di maggiori mezzi e di un maggior numero di unità nel corpo insegnante. </w:t>
      </w:r>
    </w:p>
    <w:p w:rsidR="0024207A" w:rsidRPr="00430A34" w:rsidRDefault="0024207A" w:rsidP="0024207A">
      <w:pPr>
        <w:rPr>
          <w:sz w:val="20"/>
        </w:rPr>
      </w:pPr>
    </w:p>
    <w:p w:rsidR="0024207A" w:rsidRPr="00E3249F" w:rsidRDefault="0024207A" w:rsidP="0024207A">
      <w:r w:rsidRPr="00E3249F">
        <w:t xml:space="preserve">Per quanto riguarda la durata media degli studi di </w:t>
      </w:r>
      <w:proofErr w:type="spellStart"/>
      <w:r w:rsidRPr="00E3249F">
        <w:t>bachelor</w:t>
      </w:r>
      <w:proofErr w:type="spellEnd"/>
      <w:r w:rsidRPr="00E3249F">
        <w:t xml:space="preserve"> e di master, basta considerare la percentuale degli studenti immatricolati che non hanno concluso gli studi nei tempi minimi previsti (3 anni per il </w:t>
      </w:r>
      <w:proofErr w:type="spellStart"/>
      <w:r w:rsidRPr="00E3249F">
        <w:t>bachelor</w:t>
      </w:r>
      <w:proofErr w:type="spellEnd"/>
      <w:r w:rsidRPr="00E3249F">
        <w:t xml:space="preserve"> e 2 anni per il master). </w:t>
      </w:r>
      <w:r w:rsidRPr="007E2681">
        <w:t xml:space="preserve">La </w:t>
      </w:r>
      <w:r>
        <w:t>T</w:t>
      </w:r>
      <w:r w:rsidRPr="00CF5575">
        <w:t>abella 3</w:t>
      </w:r>
      <w:r w:rsidRPr="00E3249F">
        <w:t xml:space="preserve"> riporta i dati del semestre autunnale 2017/</w:t>
      </w:r>
      <w:r>
        <w:t>20</w:t>
      </w:r>
      <w:r w:rsidRPr="00E3249F">
        <w:t>18.</w:t>
      </w:r>
    </w:p>
    <w:p w:rsidR="0024207A" w:rsidRPr="0049199C" w:rsidRDefault="0024207A" w:rsidP="0024207A">
      <w:pPr>
        <w:tabs>
          <w:tab w:val="left" w:pos="4962"/>
        </w:tabs>
        <w:rPr>
          <w:rFonts w:cs="Arial"/>
          <w:szCs w:val="24"/>
        </w:rPr>
      </w:pPr>
    </w:p>
    <w:p w:rsidR="0024207A" w:rsidRPr="0024207A" w:rsidRDefault="0024207A" w:rsidP="0024207A">
      <w:pPr>
        <w:spacing w:after="120"/>
        <w:jc w:val="left"/>
        <w:rPr>
          <w:b/>
          <w:sz w:val="22"/>
          <w:szCs w:val="22"/>
          <w:lang w:val="it-CH"/>
        </w:rPr>
      </w:pPr>
      <w:r w:rsidRPr="0024207A">
        <w:rPr>
          <w:b/>
          <w:sz w:val="22"/>
          <w:szCs w:val="22"/>
        </w:rPr>
        <w:t>Tabella 3 - Numeri e percentuali di studenti che superano la durata standard degli studi per facoltà (semestre autunnale 2017/18)</w:t>
      </w:r>
    </w:p>
    <w:tbl>
      <w:tblPr>
        <w:tblW w:w="5000" w:type="pct"/>
        <w:tblCellMar>
          <w:left w:w="70" w:type="dxa"/>
          <w:right w:w="70" w:type="dxa"/>
        </w:tblCellMar>
        <w:tblLook w:val="04A0" w:firstRow="1" w:lastRow="0" w:firstColumn="1" w:lastColumn="0" w:noHBand="0" w:noVBand="1"/>
      </w:tblPr>
      <w:tblGrid>
        <w:gridCol w:w="2468"/>
        <w:gridCol w:w="1412"/>
        <w:gridCol w:w="1396"/>
        <w:gridCol w:w="931"/>
        <w:gridCol w:w="1242"/>
        <w:gridCol w:w="1242"/>
        <w:gridCol w:w="1087"/>
      </w:tblGrid>
      <w:tr w:rsidR="0024207A" w:rsidRPr="00D6413E" w:rsidTr="0024207A">
        <w:trPr>
          <w:trHeight w:val="255"/>
        </w:trPr>
        <w:tc>
          <w:tcPr>
            <w:tcW w:w="1262" w:type="pct"/>
            <w:tcBorders>
              <w:top w:val="single" w:sz="4" w:space="0" w:color="auto"/>
              <w:left w:val="single" w:sz="4" w:space="0" w:color="auto"/>
              <w:bottom w:val="single" w:sz="4" w:space="0" w:color="auto"/>
              <w:right w:val="single" w:sz="4" w:space="0" w:color="auto"/>
            </w:tcBorders>
            <w:shd w:val="clear" w:color="auto" w:fill="auto"/>
            <w:noWrap/>
            <w:vAlign w:val="bottom"/>
          </w:tcPr>
          <w:p w:rsidR="0024207A" w:rsidRPr="00D6413E" w:rsidRDefault="0024207A" w:rsidP="00430A34">
            <w:pPr>
              <w:spacing w:before="20" w:after="20"/>
              <w:rPr>
                <w:rFonts w:cs="Arial"/>
                <w:b/>
                <w:bCs/>
                <w:sz w:val="22"/>
                <w:szCs w:val="22"/>
                <w:lang w:val="it-CH"/>
              </w:rPr>
            </w:pPr>
          </w:p>
        </w:tc>
        <w:tc>
          <w:tcPr>
            <w:tcW w:w="722" w:type="pct"/>
            <w:tcBorders>
              <w:top w:val="single" w:sz="4" w:space="0" w:color="auto"/>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
                <w:sz w:val="22"/>
                <w:szCs w:val="22"/>
                <w:lang w:val="it-CH"/>
              </w:rPr>
            </w:pPr>
            <w:proofErr w:type="spellStart"/>
            <w:r w:rsidRPr="00430A34">
              <w:rPr>
                <w:rFonts w:cs="Arial"/>
                <w:b/>
                <w:sz w:val="22"/>
                <w:szCs w:val="22"/>
                <w:lang w:val="it-CH"/>
              </w:rPr>
              <w:t>Bachelor</w:t>
            </w:r>
            <w:proofErr w:type="spellEnd"/>
          </w:p>
        </w:tc>
        <w:tc>
          <w:tcPr>
            <w:tcW w:w="714" w:type="pct"/>
            <w:tcBorders>
              <w:top w:val="single" w:sz="4" w:space="0" w:color="auto"/>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
                <w:sz w:val="22"/>
                <w:szCs w:val="22"/>
                <w:lang w:val="it-CH"/>
              </w:rPr>
            </w:pPr>
            <w:r w:rsidRPr="00430A34">
              <w:rPr>
                <w:rFonts w:cs="Arial"/>
                <w:b/>
                <w:sz w:val="22"/>
                <w:szCs w:val="22"/>
                <w:lang w:val="it-CH"/>
              </w:rPr>
              <w:t xml:space="preserve">Totale </w:t>
            </w:r>
          </w:p>
        </w:tc>
        <w:tc>
          <w:tcPr>
            <w:tcW w:w="476" w:type="pct"/>
            <w:tcBorders>
              <w:top w:val="single" w:sz="4" w:space="0" w:color="auto"/>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
                <w:sz w:val="22"/>
                <w:szCs w:val="22"/>
                <w:lang w:val="it-CH"/>
              </w:rPr>
            </w:pPr>
            <w:r w:rsidRPr="00430A34">
              <w:rPr>
                <w:rFonts w:cs="Arial"/>
                <w:b/>
                <w:sz w:val="22"/>
                <w:szCs w:val="22"/>
                <w:lang w:val="it-CH"/>
              </w:rPr>
              <w:t>%</w:t>
            </w:r>
          </w:p>
        </w:tc>
        <w:tc>
          <w:tcPr>
            <w:tcW w:w="635" w:type="pct"/>
            <w:tcBorders>
              <w:top w:val="single" w:sz="4" w:space="0" w:color="auto"/>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
                <w:sz w:val="22"/>
                <w:szCs w:val="22"/>
                <w:lang w:val="it-CH"/>
              </w:rPr>
            </w:pPr>
            <w:r w:rsidRPr="00430A34">
              <w:rPr>
                <w:rFonts w:cs="Arial"/>
                <w:b/>
                <w:sz w:val="22"/>
                <w:szCs w:val="22"/>
                <w:lang w:val="it-CH"/>
              </w:rPr>
              <w:t>Master</w:t>
            </w:r>
          </w:p>
        </w:tc>
        <w:tc>
          <w:tcPr>
            <w:tcW w:w="635" w:type="pct"/>
            <w:tcBorders>
              <w:top w:val="single" w:sz="4" w:space="0" w:color="auto"/>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
                <w:sz w:val="22"/>
                <w:szCs w:val="22"/>
                <w:lang w:val="it-CH"/>
              </w:rPr>
            </w:pPr>
            <w:r w:rsidRPr="00430A34">
              <w:rPr>
                <w:rFonts w:cs="Arial"/>
                <w:b/>
                <w:sz w:val="22"/>
                <w:szCs w:val="22"/>
                <w:lang w:val="it-CH"/>
              </w:rPr>
              <w:t xml:space="preserve">Totale </w:t>
            </w:r>
          </w:p>
        </w:tc>
        <w:tc>
          <w:tcPr>
            <w:tcW w:w="556" w:type="pct"/>
            <w:tcBorders>
              <w:top w:val="single" w:sz="4" w:space="0" w:color="auto"/>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
                <w:sz w:val="22"/>
                <w:szCs w:val="22"/>
                <w:lang w:val="it-CH"/>
              </w:rPr>
            </w:pPr>
            <w:r w:rsidRPr="00430A34">
              <w:rPr>
                <w:rFonts w:cs="Arial"/>
                <w:b/>
                <w:sz w:val="22"/>
                <w:szCs w:val="22"/>
                <w:lang w:val="it-CH"/>
              </w:rPr>
              <w:t>%</w:t>
            </w:r>
          </w:p>
        </w:tc>
      </w:tr>
      <w:tr w:rsidR="0024207A" w:rsidRPr="00D6413E" w:rsidTr="0024207A">
        <w:trPr>
          <w:trHeight w:val="255"/>
        </w:trPr>
        <w:tc>
          <w:tcPr>
            <w:tcW w:w="1262" w:type="pct"/>
            <w:tcBorders>
              <w:top w:val="nil"/>
              <w:left w:val="single" w:sz="4" w:space="0" w:color="auto"/>
              <w:bottom w:val="single" w:sz="4" w:space="0" w:color="auto"/>
              <w:right w:val="single" w:sz="4" w:space="0" w:color="auto"/>
            </w:tcBorders>
            <w:shd w:val="clear" w:color="auto" w:fill="auto"/>
            <w:noWrap/>
            <w:vAlign w:val="bottom"/>
          </w:tcPr>
          <w:p w:rsidR="0024207A" w:rsidRPr="00D6413E" w:rsidRDefault="0024207A" w:rsidP="00430A34">
            <w:pPr>
              <w:spacing w:before="20" w:after="20"/>
              <w:rPr>
                <w:rFonts w:cs="Arial"/>
                <w:sz w:val="22"/>
                <w:szCs w:val="22"/>
                <w:lang w:val="it-CH"/>
              </w:rPr>
            </w:pPr>
            <w:r w:rsidRPr="00D6413E">
              <w:rPr>
                <w:rFonts w:cs="Arial"/>
                <w:sz w:val="22"/>
                <w:szCs w:val="22"/>
                <w:lang w:val="it-CH"/>
              </w:rPr>
              <w:t>Architettura</w:t>
            </w:r>
          </w:p>
        </w:tc>
        <w:tc>
          <w:tcPr>
            <w:tcW w:w="722"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48</w:t>
            </w:r>
          </w:p>
        </w:tc>
        <w:tc>
          <w:tcPr>
            <w:tcW w:w="714"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490</w:t>
            </w:r>
          </w:p>
        </w:tc>
        <w:tc>
          <w:tcPr>
            <w:tcW w:w="476"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10%</w:t>
            </w:r>
          </w:p>
        </w:tc>
        <w:tc>
          <w:tcPr>
            <w:tcW w:w="635"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12</w:t>
            </w:r>
          </w:p>
        </w:tc>
        <w:tc>
          <w:tcPr>
            <w:tcW w:w="635"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300</w:t>
            </w:r>
          </w:p>
        </w:tc>
        <w:tc>
          <w:tcPr>
            <w:tcW w:w="556"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4%</w:t>
            </w:r>
          </w:p>
        </w:tc>
      </w:tr>
      <w:tr w:rsidR="0024207A" w:rsidRPr="00D6413E" w:rsidTr="0024207A">
        <w:trPr>
          <w:trHeight w:val="255"/>
        </w:trPr>
        <w:tc>
          <w:tcPr>
            <w:tcW w:w="1262" w:type="pct"/>
            <w:tcBorders>
              <w:top w:val="nil"/>
              <w:left w:val="single" w:sz="4" w:space="0" w:color="auto"/>
              <w:bottom w:val="single" w:sz="4" w:space="0" w:color="auto"/>
              <w:right w:val="single" w:sz="4" w:space="0" w:color="auto"/>
            </w:tcBorders>
            <w:shd w:val="clear" w:color="auto" w:fill="auto"/>
            <w:noWrap/>
            <w:vAlign w:val="bottom"/>
          </w:tcPr>
          <w:p w:rsidR="0024207A" w:rsidRPr="00D6413E" w:rsidRDefault="0024207A" w:rsidP="00430A34">
            <w:pPr>
              <w:spacing w:before="20" w:after="20"/>
              <w:rPr>
                <w:rFonts w:cs="Arial"/>
                <w:sz w:val="22"/>
                <w:szCs w:val="22"/>
                <w:lang w:val="it-CH"/>
              </w:rPr>
            </w:pPr>
            <w:r w:rsidRPr="00D6413E">
              <w:rPr>
                <w:rFonts w:cs="Arial"/>
                <w:sz w:val="22"/>
                <w:szCs w:val="22"/>
                <w:lang w:val="it-CH"/>
              </w:rPr>
              <w:t>Economia</w:t>
            </w:r>
          </w:p>
        </w:tc>
        <w:tc>
          <w:tcPr>
            <w:tcW w:w="722"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32</w:t>
            </w:r>
          </w:p>
        </w:tc>
        <w:tc>
          <w:tcPr>
            <w:tcW w:w="714"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341</w:t>
            </w:r>
          </w:p>
        </w:tc>
        <w:tc>
          <w:tcPr>
            <w:tcW w:w="476"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9%</w:t>
            </w:r>
          </w:p>
        </w:tc>
        <w:tc>
          <w:tcPr>
            <w:tcW w:w="635"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82</w:t>
            </w:r>
          </w:p>
        </w:tc>
        <w:tc>
          <w:tcPr>
            <w:tcW w:w="635"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330</w:t>
            </w:r>
          </w:p>
        </w:tc>
        <w:tc>
          <w:tcPr>
            <w:tcW w:w="556"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25%</w:t>
            </w:r>
          </w:p>
        </w:tc>
      </w:tr>
      <w:tr w:rsidR="0024207A" w:rsidRPr="00D6413E" w:rsidTr="0024207A">
        <w:trPr>
          <w:trHeight w:val="255"/>
        </w:trPr>
        <w:tc>
          <w:tcPr>
            <w:tcW w:w="1262" w:type="pct"/>
            <w:tcBorders>
              <w:top w:val="nil"/>
              <w:left w:val="single" w:sz="4" w:space="0" w:color="auto"/>
              <w:bottom w:val="single" w:sz="4" w:space="0" w:color="auto"/>
              <w:right w:val="single" w:sz="4" w:space="0" w:color="auto"/>
            </w:tcBorders>
            <w:shd w:val="clear" w:color="auto" w:fill="auto"/>
            <w:noWrap/>
            <w:vAlign w:val="bottom"/>
          </w:tcPr>
          <w:p w:rsidR="0024207A" w:rsidRPr="00D6413E" w:rsidRDefault="0024207A" w:rsidP="00430A34">
            <w:pPr>
              <w:spacing w:before="20" w:after="20"/>
              <w:rPr>
                <w:rFonts w:cs="Arial"/>
                <w:sz w:val="22"/>
                <w:szCs w:val="22"/>
                <w:lang w:val="it-CH"/>
              </w:rPr>
            </w:pPr>
            <w:r w:rsidRPr="00D6413E">
              <w:rPr>
                <w:rFonts w:cs="Arial"/>
                <w:sz w:val="22"/>
                <w:szCs w:val="22"/>
                <w:lang w:val="it-CH"/>
              </w:rPr>
              <w:t>Comunicazione</w:t>
            </w:r>
          </w:p>
        </w:tc>
        <w:tc>
          <w:tcPr>
            <w:tcW w:w="722"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68</w:t>
            </w:r>
          </w:p>
        </w:tc>
        <w:tc>
          <w:tcPr>
            <w:tcW w:w="714"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359</w:t>
            </w:r>
          </w:p>
        </w:tc>
        <w:tc>
          <w:tcPr>
            <w:tcW w:w="476"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19%</w:t>
            </w:r>
          </w:p>
        </w:tc>
        <w:tc>
          <w:tcPr>
            <w:tcW w:w="635"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98</w:t>
            </w:r>
          </w:p>
        </w:tc>
        <w:tc>
          <w:tcPr>
            <w:tcW w:w="635"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295</w:t>
            </w:r>
          </w:p>
        </w:tc>
        <w:tc>
          <w:tcPr>
            <w:tcW w:w="556"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33%</w:t>
            </w:r>
          </w:p>
        </w:tc>
      </w:tr>
      <w:tr w:rsidR="0024207A" w:rsidRPr="00D6413E" w:rsidTr="0024207A">
        <w:trPr>
          <w:trHeight w:val="255"/>
        </w:trPr>
        <w:tc>
          <w:tcPr>
            <w:tcW w:w="1262" w:type="pct"/>
            <w:tcBorders>
              <w:top w:val="nil"/>
              <w:left w:val="single" w:sz="4" w:space="0" w:color="auto"/>
              <w:bottom w:val="single" w:sz="4" w:space="0" w:color="auto"/>
              <w:right w:val="single" w:sz="4" w:space="0" w:color="auto"/>
            </w:tcBorders>
            <w:shd w:val="clear" w:color="auto" w:fill="auto"/>
            <w:noWrap/>
            <w:vAlign w:val="bottom"/>
          </w:tcPr>
          <w:p w:rsidR="0024207A" w:rsidRPr="00D6413E" w:rsidRDefault="0024207A" w:rsidP="00430A34">
            <w:pPr>
              <w:spacing w:before="20" w:after="20"/>
              <w:rPr>
                <w:rFonts w:cs="Arial"/>
                <w:sz w:val="22"/>
                <w:szCs w:val="22"/>
                <w:lang w:val="it-CH"/>
              </w:rPr>
            </w:pPr>
            <w:r w:rsidRPr="00D6413E">
              <w:rPr>
                <w:rFonts w:cs="Arial"/>
                <w:sz w:val="22"/>
                <w:szCs w:val="22"/>
                <w:lang w:val="it-CH"/>
              </w:rPr>
              <w:t>Informatica</w:t>
            </w:r>
          </w:p>
        </w:tc>
        <w:tc>
          <w:tcPr>
            <w:tcW w:w="722"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5</w:t>
            </w:r>
          </w:p>
        </w:tc>
        <w:tc>
          <w:tcPr>
            <w:tcW w:w="714"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128</w:t>
            </w:r>
          </w:p>
        </w:tc>
        <w:tc>
          <w:tcPr>
            <w:tcW w:w="476"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4%</w:t>
            </w:r>
          </w:p>
        </w:tc>
        <w:tc>
          <w:tcPr>
            <w:tcW w:w="635"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16</w:t>
            </w:r>
          </w:p>
        </w:tc>
        <w:tc>
          <w:tcPr>
            <w:tcW w:w="635"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88</w:t>
            </w:r>
          </w:p>
        </w:tc>
        <w:tc>
          <w:tcPr>
            <w:tcW w:w="556"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18%</w:t>
            </w:r>
          </w:p>
        </w:tc>
      </w:tr>
      <w:tr w:rsidR="0024207A" w:rsidRPr="00D6413E" w:rsidTr="0024207A">
        <w:trPr>
          <w:trHeight w:val="255"/>
        </w:trPr>
        <w:tc>
          <w:tcPr>
            <w:tcW w:w="1262" w:type="pct"/>
            <w:tcBorders>
              <w:top w:val="nil"/>
              <w:left w:val="single" w:sz="4" w:space="0" w:color="auto"/>
              <w:bottom w:val="single" w:sz="4" w:space="0" w:color="auto"/>
              <w:right w:val="single" w:sz="4" w:space="0" w:color="auto"/>
            </w:tcBorders>
            <w:shd w:val="clear" w:color="auto" w:fill="auto"/>
            <w:noWrap/>
            <w:vAlign w:val="bottom"/>
          </w:tcPr>
          <w:p w:rsidR="0024207A" w:rsidRPr="00D6413E" w:rsidRDefault="0024207A" w:rsidP="00430A34">
            <w:pPr>
              <w:spacing w:before="20" w:after="20"/>
              <w:rPr>
                <w:rFonts w:cs="Arial"/>
                <w:sz w:val="22"/>
                <w:szCs w:val="22"/>
                <w:lang w:val="it-CH"/>
              </w:rPr>
            </w:pPr>
            <w:r w:rsidRPr="00D6413E">
              <w:rPr>
                <w:rFonts w:cs="Arial"/>
                <w:sz w:val="22"/>
                <w:szCs w:val="22"/>
                <w:lang w:val="it-CH"/>
              </w:rPr>
              <w:t>Totale</w:t>
            </w:r>
          </w:p>
        </w:tc>
        <w:tc>
          <w:tcPr>
            <w:tcW w:w="722"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153</w:t>
            </w:r>
          </w:p>
        </w:tc>
        <w:tc>
          <w:tcPr>
            <w:tcW w:w="714"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1318</w:t>
            </w:r>
          </w:p>
        </w:tc>
        <w:tc>
          <w:tcPr>
            <w:tcW w:w="476"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
                <w:bCs/>
                <w:sz w:val="22"/>
                <w:szCs w:val="22"/>
              </w:rPr>
            </w:pPr>
            <w:r w:rsidRPr="00430A34">
              <w:rPr>
                <w:rFonts w:cs="Arial"/>
                <w:b/>
                <w:bCs/>
                <w:sz w:val="22"/>
                <w:szCs w:val="22"/>
              </w:rPr>
              <w:t>12%</w:t>
            </w:r>
          </w:p>
        </w:tc>
        <w:tc>
          <w:tcPr>
            <w:tcW w:w="635"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208</w:t>
            </w:r>
          </w:p>
        </w:tc>
        <w:tc>
          <w:tcPr>
            <w:tcW w:w="635"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Cs/>
                <w:sz w:val="22"/>
                <w:szCs w:val="22"/>
              </w:rPr>
            </w:pPr>
            <w:r w:rsidRPr="00430A34">
              <w:rPr>
                <w:rFonts w:cs="Arial"/>
                <w:bCs/>
                <w:sz w:val="22"/>
                <w:szCs w:val="22"/>
              </w:rPr>
              <w:t>1013</w:t>
            </w:r>
          </w:p>
        </w:tc>
        <w:tc>
          <w:tcPr>
            <w:tcW w:w="556" w:type="pct"/>
            <w:tcBorders>
              <w:top w:val="nil"/>
              <w:left w:val="nil"/>
              <w:bottom w:val="single" w:sz="4" w:space="0" w:color="auto"/>
              <w:right w:val="single" w:sz="4" w:space="0" w:color="auto"/>
            </w:tcBorders>
            <w:shd w:val="clear" w:color="auto" w:fill="auto"/>
            <w:noWrap/>
            <w:vAlign w:val="bottom"/>
          </w:tcPr>
          <w:p w:rsidR="0024207A" w:rsidRPr="00430A34" w:rsidRDefault="0024207A" w:rsidP="00430A34">
            <w:pPr>
              <w:spacing w:before="20" w:after="20"/>
              <w:jc w:val="center"/>
              <w:rPr>
                <w:rFonts w:cs="Arial"/>
                <w:b/>
                <w:bCs/>
                <w:sz w:val="22"/>
                <w:szCs w:val="22"/>
              </w:rPr>
            </w:pPr>
            <w:r w:rsidRPr="00430A34">
              <w:rPr>
                <w:rFonts w:cs="Arial"/>
                <w:b/>
                <w:bCs/>
                <w:sz w:val="22"/>
                <w:szCs w:val="22"/>
              </w:rPr>
              <w:t>21%</w:t>
            </w:r>
          </w:p>
        </w:tc>
      </w:tr>
    </w:tbl>
    <w:p w:rsidR="0024207A" w:rsidRPr="00C625CC" w:rsidRDefault="0024207A" w:rsidP="0024207A">
      <w:pPr>
        <w:rPr>
          <w:rFonts w:cs="Arial"/>
          <w:sz w:val="16"/>
          <w:szCs w:val="16"/>
        </w:rPr>
      </w:pPr>
    </w:p>
    <w:p w:rsidR="0024207A" w:rsidRPr="003072B3" w:rsidRDefault="0024207A" w:rsidP="0024207A">
      <w:pPr>
        <w:rPr>
          <w:rFonts w:cs="Arial"/>
          <w:i/>
          <w:szCs w:val="24"/>
        </w:rPr>
      </w:pPr>
      <w:r w:rsidRPr="003072B3">
        <w:rPr>
          <w:rFonts w:cs="Arial"/>
          <w:i/>
          <w:sz w:val="16"/>
          <w:szCs w:val="16"/>
        </w:rPr>
        <w:t xml:space="preserve">Fonte: USI </w:t>
      </w:r>
    </w:p>
    <w:p w:rsidR="0024207A" w:rsidRDefault="0024207A">
      <w:pPr>
        <w:jc w:val="left"/>
        <w:rPr>
          <w:rFonts w:cs="Arial"/>
          <w:szCs w:val="24"/>
        </w:rPr>
      </w:pPr>
      <w:r>
        <w:rPr>
          <w:rFonts w:cs="Arial"/>
          <w:szCs w:val="24"/>
        </w:rPr>
        <w:br w:type="page"/>
      </w:r>
    </w:p>
    <w:p w:rsidR="0024207A" w:rsidRDefault="0024207A" w:rsidP="0024207A">
      <w:r w:rsidRPr="00DD3834">
        <w:lastRenderedPageBreak/>
        <w:t xml:space="preserve">Dai dati si deduce che la situazione </w:t>
      </w:r>
      <w:r>
        <w:t>relativa</w:t>
      </w:r>
      <w:r w:rsidRPr="00DD3834">
        <w:t xml:space="preserve"> ai programmi di </w:t>
      </w:r>
      <w:proofErr w:type="spellStart"/>
      <w:r w:rsidRPr="00DD3834">
        <w:t>bachelor</w:t>
      </w:r>
      <w:proofErr w:type="spellEnd"/>
      <w:r w:rsidRPr="00DD3834">
        <w:t xml:space="preserve"> è </w:t>
      </w:r>
      <w:r>
        <w:t>molto soddisfacente;</w:t>
      </w:r>
      <w:r w:rsidRPr="00DD3834">
        <w:t xml:space="preserve"> </w:t>
      </w:r>
      <w:r>
        <w:t>la</w:t>
      </w:r>
      <w:r w:rsidRPr="00DD3834">
        <w:t xml:space="preserve"> percentuale media complessiva </w:t>
      </w:r>
      <w:r>
        <w:t xml:space="preserve">di </w:t>
      </w:r>
      <w:r w:rsidRPr="00DD3834">
        <w:t>ch</w:t>
      </w:r>
      <w:r>
        <w:t>i</w:t>
      </w:r>
      <w:r w:rsidRPr="00DD3834">
        <w:t xml:space="preserve"> non </w:t>
      </w:r>
      <w:r w:rsidRPr="00CC0346">
        <w:t xml:space="preserve">conclude la formazione nel triennio standard è </w:t>
      </w:r>
      <w:r>
        <w:t>del 12</w:t>
      </w:r>
      <w:r w:rsidRPr="00CC0346">
        <w:t>%</w:t>
      </w:r>
      <w:r>
        <w:t>, in linea con lo scorso anno</w:t>
      </w:r>
      <w:r w:rsidRPr="00CC0346">
        <w:t>. La percentuale è molto più alta nei programmi master</w:t>
      </w:r>
      <w:r>
        <w:t xml:space="preserve"> (21%)</w:t>
      </w:r>
      <w:r w:rsidRPr="00CC0346">
        <w:t xml:space="preserve">, ma la maggior parte degli studenti fuori corso termina comunque </w:t>
      </w:r>
      <w:r>
        <w:t xml:space="preserve">gli studi </w:t>
      </w:r>
      <w:r w:rsidRPr="00CC0346">
        <w:t xml:space="preserve">in 5 o </w:t>
      </w:r>
      <w:r>
        <w:t>6 semestri.</w:t>
      </w:r>
    </w:p>
    <w:p w:rsidR="0024207A" w:rsidRDefault="0024207A" w:rsidP="0024207A"/>
    <w:p w:rsidR="0024207A" w:rsidRDefault="0024207A" w:rsidP="0024207A"/>
    <w:p w:rsidR="0024207A" w:rsidRPr="00A06AFD" w:rsidRDefault="0024207A" w:rsidP="0024207A">
      <w:pPr>
        <w:pStyle w:val="Titolo2"/>
      </w:pPr>
      <w:bookmarkStart w:id="34" w:name="_Toc268859945"/>
      <w:bookmarkStart w:id="35" w:name="_Toc303080075"/>
      <w:r w:rsidRPr="00A06AFD">
        <w:t>2.3</w:t>
      </w:r>
      <w:r>
        <w:tab/>
      </w:r>
      <w:r w:rsidRPr="00A06AFD">
        <w:t>Attività di ricerca all’USI</w:t>
      </w:r>
      <w:bookmarkEnd w:id="34"/>
      <w:bookmarkEnd w:id="35"/>
    </w:p>
    <w:p w:rsidR="0024207A" w:rsidRPr="00CC0346" w:rsidRDefault="0024207A" w:rsidP="0024207A">
      <w:r w:rsidRPr="00A06AFD">
        <w:t xml:space="preserve">Il mandato di ricerca dell’USI è un punto fondamentale del </w:t>
      </w:r>
      <w:proofErr w:type="spellStart"/>
      <w:r>
        <w:t>Cdp</w:t>
      </w:r>
      <w:proofErr w:type="spellEnd"/>
      <w:r w:rsidRPr="00A06AFD">
        <w:t xml:space="preserve">, sia per l’importanza che riveste </w:t>
      </w:r>
      <w:r>
        <w:t>in relazione alla</w:t>
      </w:r>
      <w:r w:rsidRPr="00A06AFD">
        <w:t xml:space="preserve"> qualità della formazione</w:t>
      </w:r>
      <w:r>
        <w:t>,</w:t>
      </w:r>
      <w:r w:rsidRPr="00A06AFD">
        <w:t xml:space="preserve"> sia per l’impatto socioeconomico a livello regionale, </w:t>
      </w:r>
      <w:r w:rsidRPr="00CC0346">
        <w:t>nazionale e internazionale. La ricerca dell’USI è prioritariamente di tipo fondamentale ("di base")</w:t>
      </w:r>
      <w:r>
        <w:t>:</w:t>
      </w:r>
      <w:r w:rsidRPr="00CC0346">
        <w:t xml:space="preserve"> </w:t>
      </w:r>
      <w:r>
        <w:t>s</w:t>
      </w:r>
      <w:r w:rsidRPr="00CC0346">
        <w:t>i tratta d</w:t>
      </w:r>
      <w:r>
        <w:t xml:space="preserve">i un </w:t>
      </w:r>
      <w:r w:rsidRPr="00CC0346">
        <w:t>investimento orientat</w:t>
      </w:r>
      <w:r>
        <w:t>o</w:t>
      </w:r>
      <w:r w:rsidRPr="00CC0346">
        <w:t xml:space="preserve"> a benefici futuri</w:t>
      </w:r>
      <w:r>
        <w:t xml:space="preserve">, </w:t>
      </w:r>
      <w:r w:rsidRPr="00CC0346">
        <w:t xml:space="preserve">ragione </w:t>
      </w:r>
      <w:r>
        <w:t xml:space="preserve">per cui </w:t>
      </w:r>
      <w:r w:rsidRPr="00CC0346">
        <w:t>il settore viene finanziato prioritariamente da fondi pubblici.</w:t>
      </w:r>
    </w:p>
    <w:p w:rsidR="0024207A" w:rsidRDefault="0024207A" w:rsidP="0024207A">
      <w:pPr>
        <w:rPr>
          <w:szCs w:val="24"/>
        </w:rPr>
      </w:pPr>
    </w:p>
    <w:p w:rsidR="0024207A" w:rsidRPr="008E30A3" w:rsidRDefault="0024207A" w:rsidP="0024207A">
      <w:pPr>
        <w:rPr>
          <w:szCs w:val="24"/>
        </w:rPr>
      </w:pPr>
      <w:r w:rsidRPr="00CC0346">
        <w:rPr>
          <w:szCs w:val="24"/>
        </w:rPr>
        <w:t>Per la ricerca il meccanismo</w:t>
      </w:r>
      <w:r w:rsidRPr="008E30A3">
        <w:rPr>
          <w:szCs w:val="24"/>
        </w:rPr>
        <w:t xml:space="preserve"> di finanziamento del </w:t>
      </w:r>
      <w:proofErr w:type="spellStart"/>
      <w:r>
        <w:rPr>
          <w:szCs w:val="24"/>
        </w:rPr>
        <w:t>Cdp</w:t>
      </w:r>
      <w:proofErr w:type="spellEnd"/>
      <w:r w:rsidRPr="008E30A3">
        <w:rPr>
          <w:szCs w:val="24"/>
        </w:rPr>
        <w:t xml:space="preserve"> calcola un </w:t>
      </w:r>
      <w:r>
        <w:rPr>
          <w:szCs w:val="24"/>
        </w:rPr>
        <w:t xml:space="preserve">effetto moltiplicatore </w:t>
      </w:r>
      <w:r w:rsidRPr="008E30A3">
        <w:rPr>
          <w:szCs w:val="24"/>
        </w:rPr>
        <w:t xml:space="preserve">del </w:t>
      </w:r>
      <w:r>
        <w:rPr>
          <w:szCs w:val="24"/>
        </w:rPr>
        <w:t>3</w:t>
      </w:r>
      <w:r w:rsidRPr="008E30A3">
        <w:rPr>
          <w:szCs w:val="24"/>
        </w:rPr>
        <w:t xml:space="preserve">0% sui ricavi effettivi dei progetti di ricerca competitiva. </w:t>
      </w:r>
      <w:r>
        <w:rPr>
          <w:szCs w:val="24"/>
        </w:rPr>
        <w:t>Q</w:t>
      </w:r>
      <w:r w:rsidRPr="008E30A3">
        <w:rPr>
          <w:szCs w:val="24"/>
        </w:rPr>
        <w:t xml:space="preserve">uesti progetti sono ottenuti in concorrenza con altri </w:t>
      </w:r>
      <w:r>
        <w:rPr>
          <w:szCs w:val="24"/>
        </w:rPr>
        <w:t>partecipanti</w:t>
      </w:r>
      <w:r w:rsidRPr="008E30A3">
        <w:rPr>
          <w:szCs w:val="24"/>
        </w:rPr>
        <w:t xml:space="preserve"> e valutati da agenzie che si avvalgono di un </w:t>
      </w:r>
      <w:proofErr w:type="spellStart"/>
      <w:r w:rsidRPr="008E30A3">
        <w:rPr>
          <w:i/>
          <w:szCs w:val="24"/>
        </w:rPr>
        <w:t>peer</w:t>
      </w:r>
      <w:proofErr w:type="spellEnd"/>
      <w:r w:rsidRPr="008E30A3">
        <w:rPr>
          <w:i/>
          <w:szCs w:val="24"/>
        </w:rPr>
        <w:t xml:space="preserve"> </w:t>
      </w:r>
      <w:proofErr w:type="spellStart"/>
      <w:r w:rsidRPr="008E30A3">
        <w:rPr>
          <w:i/>
          <w:szCs w:val="24"/>
        </w:rPr>
        <w:t>review</w:t>
      </w:r>
      <w:proofErr w:type="spellEnd"/>
      <w:r w:rsidRPr="008E30A3">
        <w:rPr>
          <w:i/>
          <w:szCs w:val="24"/>
        </w:rPr>
        <w:t xml:space="preserve"> </w:t>
      </w:r>
      <w:r w:rsidRPr="008E30A3">
        <w:rPr>
          <w:szCs w:val="24"/>
        </w:rPr>
        <w:t>esterno</w:t>
      </w:r>
      <w:r>
        <w:rPr>
          <w:szCs w:val="24"/>
        </w:rPr>
        <w:t>.</w:t>
      </w:r>
      <w:r w:rsidRPr="008E30A3">
        <w:rPr>
          <w:szCs w:val="24"/>
        </w:rPr>
        <w:t xml:space="preserve"> Le due fonti principali di finanziamento della ricerca competitiva dell’USI sono il Fondo nazionale svizzero per la ricerca scientifica (FN</w:t>
      </w:r>
      <w:r>
        <w:rPr>
          <w:szCs w:val="24"/>
        </w:rPr>
        <w:t>R</w:t>
      </w:r>
      <w:r w:rsidRPr="008E30A3">
        <w:rPr>
          <w:szCs w:val="24"/>
        </w:rPr>
        <w:t xml:space="preserve">S) e i programmi di ricerca dell’Unione Europea (UE). </w:t>
      </w:r>
    </w:p>
    <w:p w:rsidR="0024207A" w:rsidRDefault="0024207A" w:rsidP="0024207A">
      <w:pPr>
        <w:rPr>
          <w:szCs w:val="24"/>
        </w:rPr>
      </w:pPr>
    </w:p>
    <w:p w:rsidR="0024207A" w:rsidRPr="008E30A3" w:rsidRDefault="0024207A" w:rsidP="0024207A">
      <w:pPr>
        <w:rPr>
          <w:szCs w:val="24"/>
          <w:lang w:val="it-CH"/>
        </w:rPr>
      </w:pPr>
      <w:r w:rsidRPr="008E30A3">
        <w:rPr>
          <w:szCs w:val="24"/>
        </w:rPr>
        <w:t xml:space="preserve">Inoltre il </w:t>
      </w:r>
      <w:proofErr w:type="spellStart"/>
      <w:r>
        <w:rPr>
          <w:szCs w:val="24"/>
        </w:rPr>
        <w:t>Cdp</w:t>
      </w:r>
      <w:proofErr w:type="spellEnd"/>
      <w:r w:rsidRPr="008E30A3">
        <w:rPr>
          <w:szCs w:val="24"/>
        </w:rPr>
        <w:t xml:space="preserve"> prevede un ulteriore meccanismo di finanziamento della ricerca tramite il versamento di un quoziente del 1</w:t>
      </w:r>
      <w:r>
        <w:rPr>
          <w:szCs w:val="24"/>
        </w:rPr>
        <w:t>5</w:t>
      </w:r>
      <w:r w:rsidRPr="008E30A3">
        <w:rPr>
          <w:szCs w:val="24"/>
        </w:rPr>
        <w:t xml:space="preserve">% dei ricavi della formazione di base quale </w:t>
      </w:r>
      <w:r>
        <w:rPr>
          <w:szCs w:val="24"/>
          <w:lang w:val="it-CH"/>
        </w:rPr>
        <w:t>“dotazione di ricerca”</w:t>
      </w:r>
      <w:r w:rsidRPr="00461AEF">
        <w:rPr>
          <w:szCs w:val="24"/>
          <w:lang w:val="it-CH"/>
        </w:rPr>
        <w:t>,</w:t>
      </w:r>
      <w:r>
        <w:rPr>
          <w:szCs w:val="24"/>
          <w:lang w:val="it-CH"/>
        </w:rPr>
        <w:t xml:space="preserve"> </w:t>
      </w:r>
      <w:r w:rsidRPr="008E30A3">
        <w:rPr>
          <w:szCs w:val="24"/>
          <w:lang w:val="it-CH"/>
        </w:rPr>
        <w:t>che garantisce negli anni un</w:t>
      </w:r>
      <w:r>
        <w:rPr>
          <w:szCs w:val="24"/>
          <w:lang w:val="it-CH"/>
        </w:rPr>
        <w:t xml:space="preserve">a base </w:t>
      </w:r>
      <w:r w:rsidRPr="008E30A3">
        <w:rPr>
          <w:szCs w:val="24"/>
          <w:lang w:val="it-CH"/>
        </w:rPr>
        <w:t>relativamente stabile di finanziamento della ricerca</w:t>
      </w:r>
      <w:r>
        <w:rPr>
          <w:szCs w:val="24"/>
          <w:lang w:val="it-CH"/>
        </w:rPr>
        <w:t>.</w:t>
      </w:r>
      <w:r w:rsidRPr="006906D3">
        <w:rPr>
          <w:szCs w:val="24"/>
          <w:lang w:val="it-CH"/>
        </w:rPr>
        <w:t xml:space="preserve"> </w:t>
      </w:r>
      <w:r>
        <w:rPr>
          <w:szCs w:val="24"/>
          <w:lang w:val="it-CH"/>
        </w:rPr>
        <w:t xml:space="preserve">Lo scopo è quello di </w:t>
      </w:r>
      <w:r w:rsidRPr="008E30A3">
        <w:rPr>
          <w:szCs w:val="24"/>
          <w:lang w:val="it-CH"/>
        </w:rPr>
        <w:t xml:space="preserve">coprire i costi fissi e </w:t>
      </w:r>
      <w:r>
        <w:rPr>
          <w:szCs w:val="24"/>
          <w:lang w:val="it-CH"/>
        </w:rPr>
        <w:t xml:space="preserve">i costi della </w:t>
      </w:r>
      <w:r w:rsidRPr="008E30A3">
        <w:rPr>
          <w:szCs w:val="24"/>
          <w:lang w:val="it-CH"/>
        </w:rPr>
        <w:t xml:space="preserve">preparazione dei progetti o </w:t>
      </w:r>
      <w:r>
        <w:rPr>
          <w:szCs w:val="24"/>
          <w:lang w:val="it-CH"/>
        </w:rPr>
        <w:t>della</w:t>
      </w:r>
      <w:r w:rsidRPr="008E30A3">
        <w:rPr>
          <w:szCs w:val="24"/>
          <w:lang w:val="it-CH"/>
        </w:rPr>
        <w:t xml:space="preserve"> conduzione di progetti ad alto rischio.</w:t>
      </w:r>
    </w:p>
    <w:p w:rsidR="0024207A" w:rsidRDefault="0024207A" w:rsidP="0024207A"/>
    <w:p w:rsidR="0024207A" w:rsidRDefault="0024207A" w:rsidP="0024207A">
      <w:r w:rsidRPr="00A06AFD">
        <w:t>La ricerca è uno degli assi portanti dello sviluppo dell’istituzione</w:t>
      </w:r>
      <w:r>
        <w:t xml:space="preserve">: </w:t>
      </w:r>
      <w:r w:rsidRPr="00A06AFD">
        <w:t xml:space="preserve">i dati </w:t>
      </w:r>
      <w:r>
        <w:t>2017</w:t>
      </w:r>
      <w:r w:rsidRPr="00A06AFD">
        <w:t xml:space="preserve"> </w:t>
      </w:r>
      <w:r w:rsidRPr="009D4ECE">
        <w:t>confermano</w:t>
      </w:r>
      <w:r w:rsidRPr="004A71ED">
        <w:t xml:space="preserve"> </w:t>
      </w:r>
      <w:r>
        <w:t>il consolidamento avvenuto negli ultimi anni del volume della ricerca</w:t>
      </w:r>
      <w:r w:rsidRPr="004A71ED">
        <w:t>,</w:t>
      </w:r>
      <w:r w:rsidRPr="00A06AFD">
        <w:t xml:space="preserve"> </w:t>
      </w:r>
      <w:r>
        <w:t xml:space="preserve">soprattutto per i fondi competitivi della ricerca di base </w:t>
      </w:r>
      <w:r w:rsidRPr="00A06AFD">
        <w:t>(</w:t>
      </w:r>
      <w:r>
        <w:t>cfr. T</w:t>
      </w:r>
      <w:r w:rsidRPr="00D1320A">
        <w:t>abella 4</w:t>
      </w:r>
      <w:r w:rsidRPr="00A06AFD">
        <w:t>).</w:t>
      </w:r>
    </w:p>
    <w:p w:rsidR="0024207A" w:rsidRDefault="0024207A" w:rsidP="0024207A"/>
    <w:p w:rsidR="0024207A" w:rsidRPr="0024207A" w:rsidRDefault="0024207A" w:rsidP="0024207A">
      <w:pPr>
        <w:keepLines/>
        <w:widowControl w:val="0"/>
        <w:spacing w:after="120"/>
        <w:rPr>
          <w:rFonts w:cs="Arial"/>
          <w:sz w:val="22"/>
          <w:szCs w:val="22"/>
        </w:rPr>
      </w:pPr>
      <w:r w:rsidRPr="0024207A">
        <w:rPr>
          <w:b/>
          <w:sz w:val="22"/>
          <w:szCs w:val="22"/>
        </w:rPr>
        <w:t>Tabella 4 - Evoluzione dei ricavi dalla ricerca USI (</w:t>
      </w:r>
      <w:r w:rsidRPr="0024207A">
        <w:rPr>
          <w:rFonts w:cs="Arial"/>
          <w:b/>
          <w:sz w:val="22"/>
          <w:szCs w:val="22"/>
        </w:rPr>
        <w:t xml:space="preserve">cifre in migliaia di </w:t>
      </w:r>
      <w:proofErr w:type="spellStart"/>
      <w:r w:rsidRPr="0024207A">
        <w:rPr>
          <w:rFonts w:cs="Arial"/>
          <w:b/>
          <w:sz w:val="22"/>
          <w:szCs w:val="22"/>
        </w:rPr>
        <w:t>fr</w:t>
      </w:r>
      <w:proofErr w:type="spellEnd"/>
      <w:r w:rsidRPr="0024207A">
        <w:rPr>
          <w:rFonts w:cs="Arial"/>
          <w:b/>
          <w:sz w:val="22"/>
          <w:szCs w:val="22"/>
        </w:rPr>
        <w:t>.</w:t>
      </w:r>
      <w:r w:rsidRPr="0024207A">
        <w:rPr>
          <w:b/>
          <w:sz w:val="22"/>
          <w:szCs w:val="22"/>
        </w:rPr>
        <w:t>)</w:t>
      </w:r>
    </w:p>
    <w:tbl>
      <w:tblPr>
        <w:tblW w:w="9703" w:type="dxa"/>
        <w:tblInd w:w="70" w:type="dxa"/>
        <w:tblCellMar>
          <w:left w:w="70" w:type="dxa"/>
          <w:right w:w="70" w:type="dxa"/>
        </w:tblCellMar>
        <w:tblLook w:val="0000" w:firstRow="0" w:lastRow="0" w:firstColumn="0" w:lastColumn="0" w:noHBand="0" w:noVBand="0"/>
      </w:tblPr>
      <w:tblGrid>
        <w:gridCol w:w="2977"/>
        <w:gridCol w:w="1056"/>
        <w:gridCol w:w="1134"/>
        <w:gridCol w:w="1134"/>
        <w:gridCol w:w="1134"/>
        <w:gridCol w:w="1134"/>
        <w:gridCol w:w="1134"/>
      </w:tblGrid>
      <w:tr w:rsidR="0024207A" w:rsidRPr="00B06324" w:rsidTr="0024207A">
        <w:trPr>
          <w:trHeight w:val="255"/>
        </w:trPr>
        <w:tc>
          <w:tcPr>
            <w:tcW w:w="2977" w:type="dxa"/>
            <w:tcBorders>
              <w:top w:val="single" w:sz="4" w:space="0" w:color="auto"/>
              <w:left w:val="nil"/>
              <w:bottom w:val="single" w:sz="4" w:space="0" w:color="auto"/>
              <w:right w:val="nil"/>
            </w:tcBorders>
            <w:shd w:val="clear" w:color="auto" w:fill="auto"/>
            <w:vAlign w:val="bottom"/>
          </w:tcPr>
          <w:p w:rsidR="0024207A" w:rsidRPr="00A06AFD" w:rsidRDefault="0024207A" w:rsidP="0024207A">
            <w:pPr>
              <w:keepLines/>
              <w:widowControl w:val="0"/>
              <w:jc w:val="left"/>
              <w:rPr>
                <w:rFonts w:cs="Arial"/>
                <w:b/>
                <w:bCs/>
                <w:sz w:val="22"/>
                <w:szCs w:val="22"/>
              </w:rPr>
            </w:pPr>
            <w:r w:rsidRPr="00A06AFD">
              <w:rPr>
                <w:rFonts w:cs="Arial"/>
                <w:b/>
                <w:bCs/>
                <w:sz w:val="22"/>
                <w:szCs w:val="22"/>
              </w:rPr>
              <w:t> </w:t>
            </w:r>
          </w:p>
        </w:tc>
        <w:tc>
          <w:tcPr>
            <w:tcW w:w="1056" w:type="dxa"/>
            <w:tcBorders>
              <w:top w:val="single" w:sz="4" w:space="0" w:color="auto"/>
              <w:left w:val="nil"/>
              <w:bottom w:val="single" w:sz="4" w:space="0" w:color="auto"/>
              <w:right w:val="nil"/>
            </w:tcBorders>
            <w:shd w:val="clear" w:color="auto" w:fill="auto"/>
            <w:vAlign w:val="center"/>
          </w:tcPr>
          <w:p w:rsidR="0024207A" w:rsidRPr="00DD3834" w:rsidRDefault="0024207A" w:rsidP="0024207A">
            <w:pPr>
              <w:jc w:val="right"/>
              <w:rPr>
                <w:rFonts w:cs="Arial"/>
                <w:bCs/>
                <w:color w:val="000000"/>
                <w:sz w:val="22"/>
                <w:szCs w:val="22"/>
              </w:rPr>
            </w:pPr>
            <w:r w:rsidRPr="00DD3834">
              <w:rPr>
                <w:rFonts w:cs="Arial"/>
                <w:bCs/>
                <w:color w:val="000000"/>
                <w:sz w:val="22"/>
                <w:szCs w:val="22"/>
              </w:rPr>
              <w:t>2012</w:t>
            </w:r>
          </w:p>
        </w:tc>
        <w:tc>
          <w:tcPr>
            <w:tcW w:w="1134" w:type="dxa"/>
            <w:tcBorders>
              <w:top w:val="single" w:sz="4" w:space="0" w:color="auto"/>
              <w:left w:val="nil"/>
              <w:bottom w:val="single" w:sz="4" w:space="0" w:color="auto"/>
              <w:right w:val="nil"/>
            </w:tcBorders>
            <w:shd w:val="clear" w:color="auto" w:fill="auto"/>
            <w:vAlign w:val="center"/>
          </w:tcPr>
          <w:p w:rsidR="0024207A" w:rsidRPr="00F76E6C" w:rsidRDefault="0024207A" w:rsidP="0024207A">
            <w:pPr>
              <w:jc w:val="right"/>
              <w:rPr>
                <w:rFonts w:cs="Arial"/>
                <w:bCs/>
                <w:color w:val="000000"/>
                <w:sz w:val="22"/>
                <w:szCs w:val="22"/>
              </w:rPr>
            </w:pPr>
            <w:r w:rsidRPr="00F76E6C">
              <w:rPr>
                <w:rFonts w:cs="Arial"/>
                <w:bCs/>
                <w:color w:val="000000"/>
                <w:sz w:val="22"/>
                <w:szCs w:val="22"/>
              </w:rPr>
              <w:t>2013</w:t>
            </w:r>
          </w:p>
        </w:tc>
        <w:tc>
          <w:tcPr>
            <w:tcW w:w="1134" w:type="dxa"/>
            <w:tcBorders>
              <w:top w:val="single" w:sz="4" w:space="0" w:color="auto"/>
              <w:left w:val="nil"/>
              <w:bottom w:val="single" w:sz="4" w:space="0" w:color="auto"/>
              <w:right w:val="nil"/>
            </w:tcBorders>
            <w:shd w:val="clear" w:color="auto" w:fill="auto"/>
            <w:vAlign w:val="center"/>
          </w:tcPr>
          <w:p w:rsidR="0024207A" w:rsidRPr="0077273D" w:rsidRDefault="0024207A" w:rsidP="0024207A">
            <w:pPr>
              <w:jc w:val="right"/>
              <w:rPr>
                <w:rFonts w:cs="Arial"/>
                <w:bCs/>
                <w:color w:val="000000"/>
                <w:sz w:val="22"/>
                <w:szCs w:val="22"/>
              </w:rPr>
            </w:pPr>
            <w:r w:rsidRPr="0077273D">
              <w:rPr>
                <w:rFonts w:cs="Arial"/>
                <w:bCs/>
                <w:color w:val="000000"/>
                <w:sz w:val="22"/>
                <w:szCs w:val="22"/>
              </w:rPr>
              <w:t>2014</w:t>
            </w:r>
          </w:p>
        </w:tc>
        <w:tc>
          <w:tcPr>
            <w:tcW w:w="1134" w:type="dxa"/>
            <w:tcBorders>
              <w:top w:val="single" w:sz="4" w:space="0" w:color="auto"/>
              <w:left w:val="nil"/>
              <w:bottom w:val="single" w:sz="4" w:space="0" w:color="auto"/>
              <w:right w:val="nil"/>
            </w:tcBorders>
            <w:shd w:val="clear" w:color="auto" w:fill="auto"/>
            <w:vAlign w:val="center"/>
          </w:tcPr>
          <w:p w:rsidR="0024207A" w:rsidRPr="009E4D38" w:rsidRDefault="0024207A" w:rsidP="0024207A">
            <w:pPr>
              <w:jc w:val="right"/>
              <w:rPr>
                <w:rFonts w:cs="Arial"/>
                <w:bCs/>
                <w:color w:val="000000"/>
                <w:sz w:val="22"/>
                <w:szCs w:val="22"/>
              </w:rPr>
            </w:pPr>
            <w:r w:rsidRPr="009E4D38">
              <w:rPr>
                <w:rFonts w:cs="Arial"/>
                <w:bCs/>
                <w:color w:val="000000"/>
                <w:sz w:val="22"/>
                <w:szCs w:val="22"/>
              </w:rPr>
              <w:t>2015</w:t>
            </w:r>
          </w:p>
        </w:tc>
        <w:tc>
          <w:tcPr>
            <w:tcW w:w="1134" w:type="dxa"/>
            <w:tcBorders>
              <w:top w:val="single" w:sz="4" w:space="0" w:color="auto"/>
              <w:left w:val="nil"/>
              <w:bottom w:val="single" w:sz="4" w:space="0" w:color="auto"/>
              <w:right w:val="nil"/>
            </w:tcBorders>
            <w:vAlign w:val="center"/>
          </w:tcPr>
          <w:p w:rsidR="0024207A" w:rsidRPr="004B15DA" w:rsidRDefault="0024207A" w:rsidP="0024207A">
            <w:pPr>
              <w:jc w:val="right"/>
              <w:rPr>
                <w:rFonts w:cs="Arial"/>
                <w:bCs/>
                <w:color w:val="000000"/>
                <w:sz w:val="22"/>
                <w:szCs w:val="22"/>
              </w:rPr>
            </w:pPr>
            <w:r w:rsidRPr="004B15DA">
              <w:rPr>
                <w:rFonts w:cs="Arial"/>
                <w:bCs/>
                <w:color w:val="000000"/>
                <w:sz w:val="22"/>
                <w:szCs w:val="22"/>
              </w:rPr>
              <w:t>2016</w:t>
            </w:r>
          </w:p>
        </w:tc>
        <w:tc>
          <w:tcPr>
            <w:tcW w:w="1134" w:type="dxa"/>
            <w:tcBorders>
              <w:top w:val="single" w:sz="4" w:space="0" w:color="auto"/>
              <w:left w:val="nil"/>
              <w:bottom w:val="single" w:sz="4" w:space="0" w:color="auto"/>
              <w:right w:val="nil"/>
            </w:tcBorders>
            <w:vAlign w:val="center"/>
          </w:tcPr>
          <w:p w:rsidR="0024207A" w:rsidRPr="004B15DA" w:rsidRDefault="0024207A" w:rsidP="0024207A">
            <w:pPr>
              <w:jc w:val="right"/>
              <w:rPr>
                <w:rFonts w:cs="Arial"/>
                <w:b/>
                <w:bCs/>
                <w:color w:val="000000"/>
                <w:sz w:val="22"/>
                <w:szCs w:val="22"/>
              </w:rPr>
            </w:pPr>
            <w:r w:rsidRPr="004B15DA">
              <w:rPr>
                <w:rFonts w:cs="Arial"/>
                <w:b/>
                <w:bCs/>
                <w:color w:val="000000"/>
                <w:sz w:val="22"/>
                <w:szCs w:val="22"/>
              </w:rPr>
              <w:t>2017</w:t>
            </w:r>
          </w:p>
        </w:tc>
      </w:tr>
      <w:tr w:rsidR="0024207A" w:rsidRPr="00B06324" w:rsidTr="0024207A">
        <w:trPr>
          <w:trHeight w:val="285"/>
        </w:trPr>
        <w:tc>
          <w:tcPr>
            <w:tcW w:w="2977" w:type="dxa"/>
            <w:tcBorders>
              <w:top w:val="nil"/>
              <w:left w:val="nil"/>
              <w:bottom w:val="nil"/>
              <w:right w:val="nil"/>
            </w:tcBorders>
            <w:shd w:val="clear" w:color="auto" w:fill="auto"/>
            <w:noWrap/>
            <w:vAlign w:val="bottom"/>
          </w:tcPr>
          <w:p w:rsidR="0024207A" w:rsidRPr="00A06AFD" w:rsidRDefault="0024207A" w:rsidP="0024207A">
            <w:pPr>
              <w:keepLines/>
              <w:widowControl w:val="0"/>
              <w:jc w:val="left"/>
              <w:rPr>
                <w:rFonts w:cs="Arial"/>
                <w:sz w:val="22"/>
                <w:szCs w:val="22"/>
              </w:rPr>
            </w:pPr>
            <w:r w:rsidRPr="00A06AFD">
              <w:rPr>
                <w:rFonts w:cs="Arial"/>
                <w:sz w:val="22"/>
                <w:szCs w:val="22"/>
              </w:rPr>
              <w:t>FN</w:t>
            </w:r>
            <w:r>
              <w:rPr>
                <w:rFonts w:cs="Arial"/>
                <w:sz w:val="22"/>
                <w:szCs w:val="22"/>
              </w:rPr>
              <w:t>R</w:t>
            </w:r>
            <w:r w:rsidRPr="00A06AFD">
              <w:rPr>
                <w:rFonts w:cs="Arial"/>
                <w:sz w:val="22"/>
                <w:szCs w:val="22"/>
              </w:rPr>
              <w:t>S</w:t>
            </w:r>
          </w:p>
        </w:tc>
        <w:tc>
          <w:tcPr>
            <w:tcW w:w="1056" w:type="dxa"/>
            <w:tcBorders>
              <w:top w:val="nil"/>
              <w:left w:val="nil"/>
              <w:bottom w:val="nil"/>
              <w:right w:val="nil"/>
            </w:tcBorders>
            <w:shd w:val="clear" w:color="auto" w:fill="auto"/>
            <w:vAlign w:val="center"/>
          </w:tcPr>
          <w:p w:rsidR="0024207A" w:rsidRPr="00D346F6" w:rsidRDefault="0024207A" w:rsidP="0024207A">
            <w:pPr>
              <w:jc w:val="right"/>
              <w:rPr>
                <w:rFonts w:cs="Arial"/>
                <w:bCs/>
                <w:color w:val="000000"/>
                <w:sz w:val="22"/>
                <w:szCs w:val="22"/>
              </w:rPr>
            </w:pPr>
            <w:r w:rsidRPr="00D346F6">
              <w:rPr>
                <w:rFonts w:cs="Arial"/>
                <w:bCs/>
                <w:color w:val="000000"/>
                <w:sz w:val="22"/>
                <w:szCs w:val="22"/>
              </w:rPr>
              <w:t>6'432</w:t>
            </w:r>
          </w:p>
        </w:tc>
        <w:tc>
          <w:tcPr>
            <w:tcW w:w="1134" w:type="dxa"/>
            <w:tcBorders>
              <w:top w:val="nil"/>
              <w:left w:val="nil"/>
              <w:bottom w:val="nil"/>
              <w:right w:val="nil"/>
            </w:tcBorders>
            <w:shd w:val="clear" w:color="auto" w:fill="auto"/>
            <w:vAlign w:val="center"/>
          </w:tcPr>
          <w:p w:rsidR="0024207A" w:rsidRPr="00F76E6C" w:rsidRDefault="0024207A" w:rsidP="0024207A">
            <w:pPr>
              <w:jc w:val="right"/>
              <w:rPr>
                <w:rFonts w:cs="Arial"/>
                <w:bCs/>
                <w:color w:val="000000"/>
                <w:sz w:val="22"/>
                <w:szCs w:val="22"/>
              </w:rPr>
            </w:pPr>
            <w:r w:rsidRPr="00F76E6C">
              <w:rPr>
                <w:rFonts w:cs="Arial"/>
                <w:bCs/>
                <w:color w:val="000000"/>
                <w:sz w:val="22"/>
                <w:szCs w:val="22"/>
              </w:rPr>
              <w:t>6'585</w:t>
            </w:r>
          </w:p>
        </w:tc>
        <w:tc>
          <w:tcPr>
            <w:tcW w:w="1134" w:type="dxa"/>
            <w:tcBorders>
              <w:top w:val="nil"/>
              <w:left w:val="nil"/>
              <w:bottom w:val="nil"/>
              <w:right w:val="nil"/>
            </w:tcBorders>
            <w:shd w:val="clear" w:color="auto" w:fill="auto"/>
            <w:vAlign w:val="center"/>
          </w:tcPr>
          <w:p w:rsidR="0024207A" w:rsidRPr="0077273D" w:rsidRDefault="0024207A" w:rsidP="0024207A">
            <w:pPr>
              <w:jc w:val="right"/>
              <w:rPr>
                <w:rFonts w:cs="Arial"/>
                <w:bCs/>
                <w:color w:val="000000"/>
                <w:sz w:val="22"/>
                <w:szCs w:val="22"/>
              </w:rPr>
            </w:pPr>
            <w:r w:rsidRPr="0077273D">
              <w:rPr>
                <w:rFonts w:cs="Arial"/>
                <w:bCs/>
                <w:color w:val="000000"/>
                <w:sz w:val="22"/>
                <w:szCs w:val="22"/>
              </w:rPr>
              <w:t>6’664</w:t>
            </w:r>
          </w:p>
        </w:tc>
        <w:tc>
          <w:tcPr>
            <w:tcW w:w="1134" w:type="dxa"/>
            <w:tcBorders>
              <w:top w:val="nil"/>
              <w:left w:val="nil"/>
              <w:bottom w:val="nil"/>
              <w:right w:val="nil"/>
            </w:tcBorders>
            <w:shd w:val="clear" w:color="auto" w:fill="auto"/>
            <w:vAlign w:val="center"/>
          </w:tcPr>
          <w:p w:rsidR="0024207A" w:rsidRPr="009E4D38" w:rsidRDefault="0024207A" w:rsidP="0024207A">
            <w:pPr>
              <w:jc w:val="right"/>
              <w:rPr>
                <w:rFonts w:cs="Arial"/>
                <w:bCs/>
                <w:color w:val="000000"/>
                <w:sz w:val="22"/>
                <w:szCs w:val="22"/>
              </w:rPr>
            </w:pPr>
            <w:r w:rsidRPr="009E4D38">
              <w:rPr>
                <w:rFonts w:cs="Arial"/>
                <w:bCs/>
                <w:color w:val="000000"/>
                <w:sz w:val="22"/>
                <w:szCs w:val="22"/>
              </w:rPr>
              <w:t>6’761</w:t>
            </w:r>
          </w:p>
        </w:tc>
        <w:tc>
          <w:tcPr>
            <w:tcW w:w="1134" w:type="dxa"/>
            <w:tcBorders>
              <w:top w:val="nil"/>
              <w:left w:val="nil"/>
              <w:bottom w:val="nil"/>
              <w:right w:val="nil"/>
            </w:tcBorders>
            <w:vAlign w:val="center"/>
          </w:tcPr>
          <w:p w:rsidR="0024207A" w:rsidRPr="004B15DA" w:rsidRDefault="0024207A" w:rsidP="0024207A">
            <w:pPr>
              <w:jc w:val="right"/>
              <w:rPr>
                <w:rFonts w:cs="Arial"/>
                <w:bCs/>
                <w:color w:val="000000"/>
                <w:sz w:val="22"/>
                <w:szCs w:val="22"/>
              </w:rPr>
            </w:pPr>
            <w:r w:rsidRPr="004B15DA">
              <w:rPr>
                <w:rFonts w:cs="Arial"/>
                <w:bCs/>
                <w:color w:val="000000"/>
                <w:sz w:val="22"/>
                <w:szCs w:val="22"/>
              </w:rPr>
              <w:t>6’665</w:t>
            </w:r>
          </w:p>
        </w:tc>
        <w:tc>
          <w:tcPr>
            <w:tcW w:w="1134" w:type="dxa"/>
            <w:tcBorders>
              <w:top w:val="single" w:sz="4" w:space="0" w:color="auto"/>
              <w:left w:val="nil"/>
              <w:bottom w:val="nil"/>
              <w:right w:val="nil"/>
            </w:tcBorders>
            <w:shd w:val="clear" w:color="auto" w:fill="FFFFFF"/>
            <w:vAlign w:val="center"/>
          </w:tcPr>
          <w:p w:rsidR="0024207A" w:rsidRPr="004B15DA" w:rsidRDefault="0024207A" w:rsidP="0024207A">
            <w:pPr>
              <w:spacing w:line="276" w:lineRule="auto"/>
              <w:jc w:val="right"/>
              <w:rPr>
                <w:rFonts w:cs="Arial"/>
                <w:b/>
                <w:bCs/>
                <w:color w:val="000000"/>
                <w:sz w:val="22"/>
                <w:szCs w:val="22"/>
              </w:rPr>
            </w:pPr>
            <w:r w:rsidRPr="004B15DA">
              <w:rPr>
                <w:rFonts w:cs="Arial"/>
                <w:b/>
                <w:bCs/>
                <w:color w:val="000000"/>
                <w:sz w:val="22"/>
                <w:szCs w:val="22"/>
              </w:rPr>
              <w:t>6’702</w:t>
            </w:r>
          </w:p>
        </w:tc>
      </w:tr>
      <w:tr w:rsidR="0024207A" w:rsidRPr="00B06324" w:rsidTr="0024207A">
        <w:trPr>
          <w:trHeight w:val="285"/>
        </w:trPr>
        <w:tc>
          <w:tcPr>
            <w:tcW w:w="2977" w:type="dxa"/>
            <w:tcBorders>
              <w:top w:val="nil"/>
              <w:left w:val="nil"/>
              <w:bottom w:val="nil"/>
              <w:right w:val="nil"/>
            </w:tcBorders>
            <w:shd w:val="clear" w:color="auto" w:fill="auto"/>
            <w:noWrap/>
            <w:vAlign w:val="bottom"/>
          </w:tcPr>
          <w:p w:rsidR="0024207A" w:rsidRPr="00A06AFD" w:rsidRDefault="0024207A" w:rsidP="0024207A">
            <w:pPr>
              <w:keepLines/>
              <w:widowControl w:val="0"/>
              <w:jc w:val="left"/>
              <w:rPr>
                <w:rFonts w:cs="Arial"/>
                <w:sz w:val="22"/>
                <w:szCs w:val="22"/>
              </w:rPr>
            </w:pPr>
            <w:r w:rsidRPr="00A06AFD">
              <w:rPr>
                <w:rFonts w:cs="Arial"/>
                <w:sz w:val="22"/>
                <w:szCs w:val="22"/>
              </w:rPr>
              <w:t>CTI</w:t>
            </w:r>
          </w:p>
        </w:tc>
        <w:tc>
          <w:tcPr>
            <w:tcW w:w="1056" w:type="dxa"/>
            <w:tcBorders>
              <w:top w:val="nil"/>
              <w:left w:val="nil"/>
              <w:bottom w:val="nil"/>
              <w:right w:val="nil"/>
            </w:tcBorders>
            <w:shd w:val="clear" w:color="auto" w:fill="auto"/>
            <w:vAlign w:val="center"/>
          </w:tcPr>
          <w:p w:rsidR="0024207A" w:rsidRPr="00D346F6" w:rsidRDefault="0024207A" w:rsidP="0024207A">
            <w:pPr>
              <w:jc w:val="right"/>
              <w:rPr>
                <w:rFonts w:cs="Arial"/>
                <w:bCs/>
                <w:color w:val="000000"/>
                <w:sz w:val="22"/>
                <w:szCs w:val="22"/>
              </w:rPr>
            </w:pPr>
            <w:r w:rsidRPr="00D346F6">
              <w:rPr>
                <w:rFonts w:cs="Arial"/>
                <w:bCs/>
                <w:color w:val="000000"/>
                <w:sz w:val="22"/>
                <w:szCs w:val="22"/>
              </w:rPr>
              <w:t>281</w:t>
            </w:r>
          </w:p>
        </w:tc>
        <w:tc>
          <w:tcPr>
            <w:tcW w:w="1134" w:type="dxa"/>
            <w:tcBorders>
              <w:top w:val="nil"/>
              <w:left w:val="nil"/>
              <w:bottom w:val="nil"/>
              <w:right w:val="nil"/>
            </w:tcBorders>
            <w:shd w:val="clear" w:color="auto" w:fill="auto"/>
            <w:vAlign w:val="center"/>
          </w:tcPr>
          <w:p w:rsidR="0024207A" w:rsidRPr="00F76E6C" w:rsidRDefault="0024207A" w:rsidP="0024207A">
            <w:pPr>
              <w:jc w:val="right"/>
              <w:rPr>
                <w:rFonts w:cs="Arial"/>
                <w:bCs/>
                <w:color w:val="000000"/>
                <w:sz w:val="22"/>
                <w:szCs w:val="22"/>
              </w:rPr>
            </w:pPr>
            <w:r w:rsidRPr="00F76E6C">
              <w:rPr>
                <w:rFonts w:cs="Arial"/>
                <w:bCs/>
                <w:color w:val="000000"/>
                <w:sz w:val="22"/>
                <w:szCs w:val="22"/>
              </w:rPr>
              <w:t>463</w:t>
            </w:r>
          </w:p>
        </w:tc>
        <w:tc>
          <w:tcPr>
            <w:tcW w:w="1134" w:type="dxa"/>
            <w:tcBorders>
              <w:top w:val="nil"/>
              <w:left w:val="nil"/>
              <w:bottom w:val="nil"/>
              <w:right w:val="nil"/>
            </w:tcBorders>
            <w:shd w:val="clear" w:color="auto" w:fill="auto"/>
            <w:vAlign w:val="center"/>
          </w:tcPr>
          <w:p w:rsidR="0024207A" w:rsidRPr="0077273D" w:rsidRDefault="0024207A" w:rsidP="0024207A">
            <w:pPr>
              <w:jc w:val="right"/>
              <w:rPr>
                <w:rFonts w:cs="Arial"/>
                <w:bCs/>
                <w:color w:val="000000"/>
                <w:sz w:val="22"/>
                <w:szCs w:val="22"/>
              </w:rPr>
            </w:pPr>
            <w:r w:rsidRPr="0077273D">
              <w:rPr>
                <w:rFonts w:cs="Arial"/>
                <w:bCs/>
                <w:color w:val="000000"/>
                <w:sz w:val="22"/>
                <w:szCs w:val="22"/>
              </w:rPr>
              <w:t>484</w:t>
            </w:r>
          </w:p>
        </w:tc>
        <w:tc>
          <w:tcPr>
            <w:tcW w:w="1134" w:type="dxa"/>
            <w:tcBorders>
              <w:top w:val="nil"/>
              <w:left w:val="nil"/>
              <w:bottom w:val="nil"/>
              <w:right w:val="nil"/>
            </w:tcBorders>
            <w:shd w:val="clear" w:color="auto" w:fill="auto"/>
            <w:vAlign w:val="center"/>
          </w:tcPr>
          <w:p w:rsidR="0024207A" w:rsidRPr="009E4D38" w:rsidRDefault="0024207A" w:rsidP="0024207A">
            <w:pPr>
              <w:jc w:val="right"/>
              <w:rPr>
                <w:rFonts w:cs="Arial"/>
                <w:bCs/>
                <w:color w:val="000000"/>
                <w:sz w:val="22"/>
                <w:szCs w:val="22"/>
              </w:rPr>
            </w:pPr>
            <w:r w:rsidRPr="009E4D38">
              <w:rPr>
                <w:rFonts w:cs="Arial"/>
                <w:bCs/>
                <w:color w:val="000000"/>
                <w:sz w:val="22"/>
                <w:szCs w:val="22"/>
              </w:rPr>
              <w:t>539</w:t>
            </w:r>
          </w:p>
        </w:tc>
        <w:tc>
          <w:tcPr>
            <w:tcW w:w="1134" w:type="dxa"/>
            <w:tcBorders>
              <w:top w:val="nil"/>
              <w:left w:val="nil"/>
              <w:bottom w:val="nil"/>
              <w:right w:val="nil"/>
            </w:tcBorders>
            <w:vAlign w:val="center"/>
          </w:tcPr>
          <w:p w:rsidR="0024207A" w:rsidRPr="004B15DA" w:rsidRDefault="0024207A" w:rsidP="0024207A">
            <w:pPr>
              <w:jc w:val="right"/>
              <w:rPr>
                <w:rFonts w:cs="Arial"/>
                <w:bCs/>
                <w:color w:val="000000"/>
                <w:sz w:val="22"/>
                <w:szCs w:val="22"/>
              </w:rPr>
            </w:pPr>
            <w:r w:rsidRPr="004B15DA">
              <w:rPr>
                <w:rFonts w:cs="Arial"/>
                <w:bCs/>
                <w:color w:val="000000"/>
                <w:sz w:val="22"/>
                <w:szCs w:val="22"/>
              </w:rPr>
              <w:t>595</w:t>
            </w:r>
          </w:p>
        </w:tc>
        <w:tc>
          <w:tcPr>
            <w:tcW w:w="1134" w:type="dxa"/>
            <w:tcBorders>
              <w:top w:val="nil"/>
              <w:left w:val="nil"/>
              <w:bottom w:val="nil"/>
              <w:right w:val="nil"/>
            </w:tcBorders>
            <w:shd w:val="clear" w:color="auto" w:fill="FFFFFF"/>
            <w:vAlign w:val="center"/>
          </w:tcPr>
          <w:p w:rsidR="0024207A" w:rsidRPr="004B15DA" w:rsidRDefault="0024207A" w:rsidP="0024207A">
            <w:pPr>
              <w:spacing w:line="276" w:lineRule="auto"/>
              <w:jc w:val="right"/>
              <w:rPr>
                <w:rFonts w:cs="Arial"/>
                <w:b/>
                <w:bCs/>
                <w:color w:val="000000"/>
                <w:sz w:val="22"/>
                <w:szCs w:val="22"/>
              </w:rPr>
            </w:pPr>
            <w:r w:rsidRPr="004B15DA">
              <w:rPr>
                <w:rFonts w:cs="Arial"/>
                <w:b/>
                <w:bCs/>
                <w:color w:val="000000"/>
                <w:sz w:val="22"/>
                <w:szCs w:val="22"/>
              </w:rPr>
              <w:t>679</w:t>
            </w:r>
          </w:p>
        </w:tc>
      </w:tr>
      <w:tr w:rsidR="0024207A" w:rsidRPr="00B06324" w:rsidTr="0024207A">
        <w:trPr>
          <w:trHeight w:val="285"/>
        </w:trPr>
        <w:tc>
          <w:tcPr>
            <w:tcW w:w="2977" w:type="dxa"/>
            <w:tcBorders>
              <w:top w:val="nil"/>
              <w:left w:val="nil"/>
              <w:bottom w:val="nil"/>
              <w:right w:val="nil"/>
            </w:tcBorders>
            <w:shd w:val="clear" w:color="auto" w:fill="auto"/>
            <w:noWrap/>
            <w:vAlign w:val="bottom"/>
          </w:tcPr>
          <w:p w:rsidR="0024207A" w:rsidRPr="00A06AFD" w:rsidRDefault="0024207A" w:rsidP="0024207A">
            <w:pPr>
              <w:keepLines/>
              <w:widowControl w:val="0"/>
              <w:jc w:val="left"/>
              <w:rPr>
                <w:rFonts w:cs="Arial"/>
                <w:sz w:val="22"/>
                <w:szCs w:val="22"/>
              </w:rPr>
            </w:pPr>
            <w:r w:rsidRPr="00A06AFD">
              <w:rPr>
                <w:rFonts w:cs="Arial"/>
                <w:sz w:val="22"/>
                <w:szCs w:val="22"/>
              </w:rPr>
              <w:t>UE</w:t>
            </w:r>
          </w:p>
        </w:tc>
        <w:tc>
          <w:tcPr>
            <w:tcW w:w="1056" w:type="dxa"/>
            <w:tcBorders>
              <w:top w:val="nil"/>
              <w:left w:val="nil"/>
              <w:bottom w:val="nil"/>
              <w:right w:val="nil"/>
            </w:tcBorders>
            <w:shd w:val="clear" w:color="auto" w:fill="auto"/>
            <w:vAlign w:val="center"/>
          </w:tcPr>
          <w:p w:rsidR="0024207A" w:rsidRPr="00D346F6" w:rsidRDefault="0024207A" w:rsidP="0024207A">
            <w:pPr>
              <w:jc w:val="right"/>
              <w:rPr>
                <w:rFonts w:cs="Arial"/>
                <w:bCs/>
                <w:color w:val="000000"/>
                <w:sz w:val="22"/>
                <w:szCs w:val="22"/>
              </w:rPr>
            </w:pPr>
            <w:r w:rsidRPr="00D346F6">
              <w:rPr>
                <w:rFonts w:cs="Arial"/>
                <w:bCs/>
                <w:color w:val="000000"/>
                <w:sz w:val="22"/>
                <w:szCs w:val="22"/>
              </w:rPr>
              <w:t>1'718</w:t>
            </w:r>
          </w:p>
        </w:tc>
        <w:tc>
          <w:tcPr>
            <w:tcW w:w="1134" w:type="dxa"/>
            <w:tcBorders>
              <w:top w:val="nil"/>
              <w:left w:val="nil"/>
              <w:bottom w:val="nil"/>
              <w:right w:val="nil"/>
            </w:tcBorders>
            <w:shd w:val="clear" w:color="auto" w:fill="auto"/>
            <w:vAlign w:val="center"/>
          </w:tcPr>
          <w:p w:rsidR="0024207A" w:rsidRPr="00F76E6C" w:rsidRDefault="0024207A" w:rsidP="0024207A">
            <w:pPr>
              <w:jc w:val="right"/>
              <w:rPr>
                <w:rFonts w:cs="Arial"/>
                <w:bCs/>
                <w:color w:val="000000"/>
                <w:sz w:val="22"/>
                <w:szCs w:val="22"/>
              </w:rPr>
            </w:pPr>
            <w:r w:rsidRPr="00F76E6C">
              <w:rPr>
                <w:rFonts w:cs="Arial"/>
                <w:bCs/>
                <w:color w:val="000000"/>
                <w:sz w:val="22"/>
                <w:szCs w:val="22"/>
              </w:rPr>
              <w:t>1'227</w:t>
            </w:r>
          </w:p>
        </w:tc>
        <w:tc>
          <w:tcPr>
            <w:tcW w:w="1134" w:type="dxa"/>
            <w:tcBorders>
              <w:top w:val="nil"/>
              <w:left w:val="nil"/>
              <w:bottom w:val="nil"/>
              <w:right w:val="nil"/>
            </w:tcBorders>
            <w:shd w:val="clear" w:color="auto" w:fill="auto"/>
            <w:vAlign w:val="center"/>
          </w:tcPr>
          <w:p w:rsidR="0024207A" w:rsidRPr="0077273D" w:rsidRDefault="0024207A" w:rsidP="0024207A">
            <w:pPr>
              <w:jc w:val="right"/>
              <w:rPr>
                <w:rFonts w:cs="Arial"/>
                <w:bCs/>
                <w:color w:val="000000"/>
                <w:sz w:val="22"/>
                <w:szCs w:val="22"/>
              </w:rPr>
            </w:pPr>
            <w:r w:rsidRPr="0077273D">
              <w:rPr>
                <w:rFonts w:cs="Arial"/>
                <w:bCs/>
                <w:color w:val="000000"/>
                <w:sz w:val="22"/>
                <w:szCs w:val="22"/>
              </w:rPr>
              <w:t>1’522</w:t>
            </w:r>
          </w:p>
        </w:tc>
        <w:tc>
          <w:tcPr>
            <w:tcW w:w="1134" w:type="dxa"/>
            <w:tcBorders>
              <w:top w:val="nil"/>
              <w:left w:val="nil"/>
              <w:bottom w:val="nil"/>
              <w:right w:val="nil"/>
            </w:tcBorders>
            <w:shd w:val="clear" w:color="auto" w:fill="auto"/>
            <w:vAlign w:val="center"/>
          </w:tcPr>
          <w:p w:rsidR="0024207A" w:rsidRPr="009E4D38" w:rsidRDefault="0024207A" w:rsidP="0024207A">
            <w:pPr>
              <w:jc w:val="right"/>
              <w:rPr>
                <w:rFonts w:cs="Arial"/>
                <w:bCs/>
                <w:color w:val="000000"/>
                <w:sz w:val="22"/>
                <w:szCs w:val="22"/>
              </w:rPr>
            </w:pPr>
            <w:r w:rsidRPr="009E4D38">
              <w:rPr>
                <w:rFonts w:cs="Arial"/>
                <w:bCs/>
                <w:color w:val="000000"/>
                <w:sz w:val="22"/>
                <w:szCs w:val="22"/>
              </w:rPr>
              <w:t>1’527</w:t>
            </w:r>
          </w:p>
        </w:tc>
        <w:tc>
          <w:tcPr>
            <w:tcW w:w="1134" w:type="dxa"/>
            <w:tcBorders>
              <w:top w:val="nil"/>
              <w:left w:val="nil"/>
              <w:bottom w:val="nil"/>
              <w:right w:val="nil"/>
            </w:tcBorders>
            <w:vAlign w:val="center"/>
          </w:tcPr>
          <w:p w:rsidR="0024207A" w:rsidRPr="004B15DA" w:rsidRDefault="0024207A" w:rsidP="0024207A">
            <w:pPr>
              <w:jc w:val="right"/>
              <w:rPr>
                <w:rFonts w:cs="Arial"/>
                <w:bCs/>
                <w:color w:val="000000"/>
                <w:sz w:val="22"/>
                <w:szCs w:val="22"/>
              </w:rPr>
            </w:pPr>
            <w:r w:rsidRPr="004B15DA">
              <w:rPr>
                <w:rFonts w:cs="Arial"/>
                <w:bCs/>
                <w:color w:val="000000"/>
                <w:sz w:val="22"/>
                <w:szCs w:val="22"/>
              </w:rPr>
              <w:t>1’727</w:t>
            </w:r>
          </w:p>
        </w:tc>
        <w:tc>
          <w:tcPr>
            <w:tcW w:w="1134" w:type="dxa"/>
            <w:tcBorders>
              <w:top w:val="nil"/>
              <w:left w:val="nil"/>
              <w:bottom w:val="nil"/>
              <w:right w:val="nil"/>
            </w:tcBorders>
            <w:shd w:val="clear" w:color="auto" w:fill="FFFFFF"/>
            <w:vAlign w:val="center"/>
          </w:tcPr>
          <w:p w:rsidR="0024207A" w:rsidRPr="004B15DA" w:rsidRDefault="0024207A" w:rsidP="0024207A">
            <w:pPr>
              <w:spacing w:line="276" w:lineRule="auto"/>
              <w:jc w:val="right"/>
              <w:rPr>
                <w:rFonts w:cs="Arial"/>
                <w:b/>
                <w:bCs/>
                <w:color w:val="000000"/>
                <w:sz w:val="22"/>
                <w:szCs w:val="22"/>
              </w:rPr>
            </w:pPr>
            <w:r w:rsidRPr="004B15DA">
              <w:rPr>
                <w:rFonts w:cs="Arial"/>
                <w:b/>
                <w:bCs/>
                <w:color w:val="000000"/>
                <w:sz w:val="22"/>
                <w:szCs w:val="22"/>
              </w:rPr>
              <w:t>1’005</w:t>
            </w:r>
          </w:p>
        </w:tc>
      </w:tr>
      <w:tr w:rsidR="0024207A" w:rsidRPr="00B06324" w:rsidTr="0024207A">
        <w:trPr>
          <w:trHeight w:val="255"/>
        </w:trPr>
        <w:tc>
          <w:tcPr>
            <w:tcW w:w="2977" w:type="dxa"/>
            <w:tcBorders>
              <w:top w:val="nil"/>
              <w:left w:val="nil"/>
              <w:bottom w:val="nil"/>
              <w:right w:val="nil"/>
            </w:tcBorders>
            <w:shd w:val="clear" w:color="auto" w:fill="auto"/>
            <w:vAlign w:val="bottom"/>
          </w:tcPr>
          <w:p w:rsidR="0024207A" w:rsidRPr="00A06AFD" w:rsidRDefault="0024207A" w:rsidP="0024207A">
            <w:pPr>
              <w:keepLines/>
              <w:widowControl w:val="0"/>
              <w:jc w:val="left"/>
              <w:rPr>
                <w:rFonts w:cs="Arial"/>
                <w:sz w:val="22"/>
                <w:szCs w:val="22"/>
              </w:rPr>
            </w:pPr>
            <w:r w:rsidRPr="00A06AFD">
              <w:rPr>
                <w:rFonts w:cs="Arial"/>
                <w:sz w:val="22"/>
                <w:szCs w:val="22"/>
              </w:rPr>
              <w:t>Altri fondi (</w:t>
            </w:r>
            <w:proofErr w:type="spellStart"/>
            <w:r w:rsidRPr="00A06AFD">
              <w:rPr>
                <w:rFonts w:cs="Arial"/>
                <w:sz w:val="22"/>
                <w:szCs w:val="22"/>
              </w:rPr>
              <w:t>Interreg</w:t>
            </w:r>
            <w:proofErr w:type="spellEnd"/>
            <w:r w:rsidRPr="00A06AFD">
              <w:rPr>
                <w:rFonts w:cs="Arial"/>
                <w:sz w:val="22"/>
                <w:szCs w:val="22"/>
              </w:rPr>
              <w:t xml:space="preserve">, </w:t>
            </w:r>
            <w:proofErr w:type="spellStart"/>
            <w:r w:rsidRPr="00A06AFD">
              <w:rPr>
                <w:rFonts w:cs="Arial"/>
                <w:sz w:val="22"/>
                <w:szCs w:val="22"/>
              </w:rPr>
              <w:t>Hasler</w:t>
            </w:r>
            <w:proofErr w:type="spellEnd"/>
            <w:r w:rsidRPr="00A06AFD">
              <w:rPr>
                <w:rFonts w:cs="Arial"/>
                <w:sz w:val="22"/>
                <w:szCs w:val="22"/>
              </w:rPr>
              <w:t>)</w:t>
            </w:r>
          </w:p>
        </w:tc>
        <w:tc>
          <w:tcPr>
            <w:tcW w:w="1056" w:type="dxa"/>
            <w:tcBorders>
              <w:top w:val="nil"/>
              <w:left w:val="nil"/>
              <w:bottom w:val="nil"/>
              <w:right w:val="nil"/>
            </w:tcBorders>
            <w:shd w:val="clear" w:color="auto" w:fill="auto"/>
            <w:vAlign w:val="center"/>
          </w:tcPr>
          <w:p w:rsidR="0024207A" w:rsidRPr="00D346F6" w:rsidRDefault="0024207A" w:rsidP="0024207A">
            <w:pPr>
              <w:jc w:val="right"/>
              <w:rPr>
                <w:rFonts w:cs="Arial"/>
                <w:bCs/>
                <w:color w:val="000000"/>
                <w:sz w:val="22"/>
                <w:szCs w:val="22"/>
              </w:rPr>
            </w:pPr>
            <w:r w:rsidRPr="00D346F6">
              <w:rPr>
                <w:rFonts w:cs="Arial"/>
                <w:bCs/>
                <w:color w:val="000000"/>
                <w:sz w:val="22"/>
                <w:szCs w:val="22"/>
              </w:rPr>
              <w:t>1'237</w:t>
            </w:r>
          </w:p>
        </w:tc>
        <w:tc>
          <w:tcPr>
            <w:tcW w:w="1134" w:type="dxa"/>
            <w:tcBorders>
              <w:top w:val="nil"/>
              <w:left w:val="nil"/>
              <w:bottom w:val="nil"/>
              <w:right w:val="nil"/>
            </w:tcBorders>
            <w:shd w:val="clear" w:color="auto" w:fill="auto"/>
            <w:vAlign w:val="center"/>
          </w:tcPr>
          <w:p w:rsidR="0024207A" w:rsidRPr="00F76E6C" w:rsidRDefault="0024207A" w:rsidP="0024207A">
            <w:pPr>
              <w:jc w:val="right"/>
              <w:rPr>
                <w:rFonts w:cs="Arial"/>
                <w:bCs/>
                <w:color w:val="000000"/>
                <w:sz w:val="22"/>
                <w:szCs w:val="22"/>
              </w:rPr>
            </w:pPr>
            <w:r w:rsidRPr="00F76E6C">
              <w:rPr>
                <w:rFonts w:cs="Arial"/>
                <w:bCs/>
                <w:color w:val="000000"/>
                <w:sz w:val="22"/>
                <w:szCs w:val="22"/>
              </w:rPr>
              <w:t>1'716</w:t>
            </w:r>
          </w:p>
        </w:tc>
        <w:tc>
          <w:tcPr>
            <w:tcW w:w="1134" w:type="dxa"/>
            <w:tcBorders>
              <w:top w:val="nil"/>
              <w:left w:val="nil"/>
              <w:bottom w:val="nil"/>
              <w:right w:val="nil"/>
            </w:tcBorders>
            <w:shd w:val="clear" w:color="auto" w:fill="auto"/>
            <w:vAlign w:val="center"/>
          </w:tcPr>
          <w:p w:rsidR="0024207A" w:rsidRPr="0077273D" w:rsidRDefault="0024207A" w:rsidP="0024207A">
            <w:pPr>
              <w:jc w:val="right"/>
              <w:rPr>
                <w:rFonts w:cs="Arial"/>
                <w:bCs/>
                <w:color w:val="000000"/>
                <w:sz w:val="22"/>
                <w:szCs w:val="22"/>
              </w:rPr>
            </w:pPr>
            <w:r w:rsidRPr="0077273D">
              <w:rPr>
                <w:rFonts w:cs="Arial"/>
                <w:bCs/>
                <w:color w:val="000000"/>
                <w:sz w:val="22"/>
                <w:szCs w:val="22"/>
              </w:rPr>
              <w:t>1’677</w:t>
            </w:r>
          </w:p>
        </w:tc>
        <w:tc>
          <w:tcPr>
            <w:tcW w:w="1134" w:type="dxa"/>
            <w:tcBorders>
              <w:top w:val="nil"/>
              <w:left w:val="nil"/>
              <w:bottom w:val="nil"/>
              <w:right w:val="nil"/>
            </w:tcBorders>
            <w:shd w:val="clear" w:color="auto" w:fill="auto"/>
            <w:vAlign w:val="center"/>
          </w:tcPr>
          <w:p w:rsidR="0024207A" w:rsidRPr="009E4D38" w:rsidRDefault="0024207A" w:rsidP="0024207A">
            <w:pPr>
              <w:jc w:val="right"/>
              <w:rPr>
                <w:rFonts w:cs="Arial"/>
                <w:bCs/>
                <w:color w:val="000000"/>
                <w:sz w:val="22"/>
                <w:szCs w:val="22"/>
              </w:rPr>
            </w:pPr>
            <w:r w:rsidRPr="009E4D38">
              <w:rPr>
                <w:rFonts w:cs="Arial"/>
                <w:bCs/>
                <w:color w:val="000000"/>
                <w:sz w:val="22"/>
                <w:szCs w:val="22"/>
              </w:rPr>
              <w:t>1’811</w:t>
            </w:r>
          </w:p>
        </w:tc>
        <w:tc>
          <w:tcPr>
            <w:tcW w:w="1134" w:type="dxa"/>
            <w:tcBorders>
              <w:top w:val="nil"/>
              <w:left w:val="nil"/>
              <w:bottom w:val="nil"/>
              <w:right w:val="nil"/>
            </w:tcBorders>
            <w:vAlign w:val="center"/>
          </w:tcPr>
          <w:p w:rsidR="0024207A" w:rsidRPr="004B15DA" w:rsidRDefault="0024207A" w:rsidP="0024207A">
            <w:pPr>
              <w:jc w:val="right"/>
              <w:rPr>
                <w:rFonts w:cs="Arial"/>
                <w:bCs/>
                <w:color w:val="000000"/>
                <w:sz w:val="22"/>
                <w:szCs w:val="22"/>
              </w:rPr>
            </w:pPr>
            <w:r w:rsidRPr="004B15DA">
              <w:rPr>
                <w:rFonts w:cs="Arial"/>
                <w:bCs/>
                <w:color w:val="000000"/>
                <w:sz w:val="22"/>
                <w:szCs w:val="22"/>
              </w:rPr>
              <w:t>1’396</w:t>
            </w:r>
          </w:p>
        </w:tc>
        <w:tc>
          <w:tcPr>
            <w:tcW w:w="1134" w:type="dxa"/>
            <w:tcBorders>
              <w:top w:val="nil"/>
              <w:left w:val="nil"/>
              <w:bottom w:val="nil"/>
              <w:right w:val="nil"/>
            </w:tcBorders>
            <w:shd w:val="clear" w:color="auto" w:fill="FFFFFF"/>
            <w:vAlign w:val="center"/>
          </w:tcPr>
          <w:p w:rsidR="0024207A" w:rsidRPr="004B15DA" w:rsidRDefault="0024207A" w:rsidP="0024207A">
            <w:pPr>
              <w:spacing w:line="276" w:lineRule="auto"/>
              <w:jc w:val="right"/>
              <w:rPr>
                <w:rFonts w:cs="Arial"/>
                <w:b/>
                <w:bCs/>
                <w:color w:val="000000"/>
                <w:sz w:val="22"/>
                <w:szCs w:val="22"/>
              </w:rPr>
            </w:pPr>
            <w:r w:rsidRPr="004B15DA">
              <w:rPr>
                <w:rFonts w:cs="Arial"/>
                <w:b/>
                <w:bCs/>
                <w:color w:val="000000"/>
                <w:sz w:val="22"/>
                <w:szCs w:val="22"/>
              </w:rPr>
              <w:t>1’644</w:t>
            </w:r>
          </w:p>
        </w:tc>
      </w:tr>
      <w:tr w:rsidR="0024207A" w:rsidRPr="00B06324" w:rsidTr="0024207A">
        <w:trPr>
          <w:trHeight w:val="255"/>
        </w:trPr>
        <w:tc>
          <w:tcPr>
            <w:tcW w:w="2977" w:type="dxa"/>
            <w:tcBorders>
              <w:top w:val="nil"/>
              <w:left w:val="nil"/>
              <w:bottom w:val="nil"/>
              <w:right w:val="nil"/>
            </w:tcBorders>
            <w:shd w:val="clear" w:color="auto" w:fill="auto"/>
            <w:vAlign w:val="bottom"/>
          </w:tcPr>
          <w:p w:rsidR="0024207A" w:rsidRPr="00A06AFD" w:rsidRDefault="0024207A" w:rsidP="0024207A">
            <w:pPr>
              <w:keepLines/>
              <w:widowControl w:val="0"/>
              <w:jc w:val="left"/>
              <w:rPr>
                <w:rFonts w:cs="Arial"/>
                <w:sz w:val="22"/>
                <w:szCs w:val="22"/>
              </w:rPr>
            </w:pPr>
            <w:r w:rsidRPr="00A06AFD">
              <w:rPr>
                <w:rFonts w:cs="Arial"/>
                <w:sz w:val="22"/>
                <w:szCs w:val="22"/>
              </w:rPr>
              <w:t>Programmi PIC</w:t>
            </w:r>
          </w:p>
        </w:tc>
        <w:tc>
          <w:tcPr>
            <w:tcW w:w="1056" w:type="dxa"/>
            <w:tcBorders>
              <w:top w:val="nil"/>
              <w:left w:val="nil"/>
              <w:bottom w:val="nil"/>
              <w:right w:val="nil"/>
            </w:tcBorders>
            <w:shd w:val="clear" w:color="auto" w:fill="auto"/>
            <w:vAlign w:val="center"/>
          </w:tcPr>
          <w:p w:rsidR="0024207A" w:rsidRPr="00D346F6" w:rsidRDefault="0024207A" w:rsidP="0024207A">
            <w:pPr>
              <w:jc w:val="right"/>
              <w:rPr>
                <w:rFonts w:cs="Arial"/>
                <w:bCs/>
                <w:color w:val="000000"/>
                <w:sz w:val="22"/>
                <w:szCs w:val="22"/>
              </w:rPr>
            </w:pPr>
            <w:r w:rsidRPr="00D346F6">
              <w:rPr>
                <w:rFonts w:cs="Arial"/>
                <w:bCs/>
                <w:color w:val="000000"/>
                <w:sz w:val="22"/>
                <w:szCs w:val="22"/>
              </w:rPr>
              <w:t>2'847</w:t>
            </w:r>
          </w:p>
        </w:tc>
        <w:tc>
          <w:tcPr>
            <w:tcW w:w="1134" w:type="dxa"/>
            <w:tcBorders>
              <w:top w:val="nil"/>
              <w:left w:val="nil"/>
              <w:bottom w:val="nil"/>
              <w:right w:val="nil"/>
            </w:tcBorders>
            <w:shd w:val="clear" w:color="auto" w:fill="auto"/>
            <w:vAlign w:val="center"/>
          </w:tcPr>
          <w:p w:rsidR="0024207A" w:rsidRPr="00F76E6C" w:rsidRDefault="0024207A" w:rsidP="0024207A">
            <w:pPr>
              <w:jc w:val="right"/>
              <w:rPr>
                <w:rFonts w:cs="Arial"/>
                <w:bCs/>
                <w:color w:val="000000"/>
                <w:sz w:val="22"/>
                <w:szCs w:val="22"/>
              </w:rPr>
            </w:pPr>
            <w:r w:rsidRPr="00F76E6C">
              <w:rPr>
                <w:rFonts w:cs="Arial"/>
                <w:bCs/>
                <w:color w:val="000000"/>
                <w:sz w:val="22"/>
                <w:szCs w:val="22"/>
              </w:rPr>
              <w:t>1’798</w:t>
            </w:r>
          </w:p>
        </w:tc>
        <w:tc>
          <w:tcPr>
            <w:tcW w:w="1134" w:type="dxa"/>
            <w:tcBorders>
              <w:top w:val="nil"/>
              <w:left w:val="nil"/>
              <w:bottom w:val="nil"/>
              <w:right w:val="nil"/>
            </w:tcBorders>
            <w:shd w:val="clear" w:color="auto" w:fill="auto"/>
            <w:vAlign w:val="center"/>
          </w:tcPr>
          <w:p w:rsidR="0024207A" w:rsidRPr="0077273D" w:rsidRDefault="0024207A" w:rsidP="0024207A">
            <w:pPr>
              <w:jc w:val="right"/>
              <w:rPr>
                <w:rFonts w:cs="Arial"/>
                <w:bCs/>
                <w:color w:val="000000"/>
                <w:sz w:val="22"/>
                <w:szCs w:val="22"/>
              </w:rPr>
            </w:pPr>
            <w:r w:rsidRPr="0077273D">
              <w:rPr>
                <w:rFonts w:cs="Arial"/>
                <w:bCs/>
                <w:color w:val="000000"/>
                <w:sz w:val="22"/>
                <w:szCs w:val="22"/>
              </w:rPr>
              <w:t>1’565</w:t>
            </w:r>
          </w:p>
        </w:tc>
        <w:tc>
          <w:tcPr>
            <w:tcW w:w="1134" w:type="dxa"/>
            <w:tcBorders>
              <w:top w:val="nil"/>
              <w:left w:val="nil"/>
              <w:bottom w:val="nil"/>
              <w:right w:val="nil"/>
            </w:tcBorders>
            <w:shd w:val="clear" w:color="auto" w:fill="auto"/>
            <w:vAlign w:val="center"/>
          </w:tcPr>
          <w:p w:rsidR="0024207A" w:rsidRPr="009E4D38" w:rsidRDefault="0024207A" w:rsidP="0024207A">
            <w:pPr>
              <w:jc w:val="right"/>
              <w:rPr>
                <w:rFonts w:cs="Arial"/>
                <w:bCs/>
                <w:color w:val="000000"/>
                <w:sz w:val="22"/>
                <w:szCs w:val="22"/>
              </w:rPr>
            </w:pPr>
            <w:r w:rsidRPr="009E4D38">
              <w:rPr>
                <w:rFonts w:cs="Arial"/>
                <w:bCs/>
                <w:color w:val="000000"/>
                <w:sz w:val="22"/>
                <w:szCs w:val="22"/>
              </w:rPr>
              <w:t>1’392</w:t>
            </w:r>
          </w:p>
        </w:tc>
        <w:tc>
          <w:tcPr>
            <w:tcW w:w="1134" w:type="dxa"/>
            <w:tcBorders>
              <w:top w:val="nil"/>
              <w:left w:val="nil"/>
              <w:bottom w:val="nil"/>
              <w:right w:val="nil"/>
            </w:tcBorders>
            <w:vAlign w:val="center"/>
          </w:tcPr>
          <w:p w:rsidR="0024207A" w:rsidRPr="004B15DA" w:rsidRDefault="0024207A" w:rsidP="0024207A">
            <w:pPr>
              <w:jc w:val="right"/>
              <w:rPr>
                <w:rFonts w:cs="Arial"/>
                <w:bCs/>
                <w:color w:val="000000"/>
                <w:sz w:val="22"/>
                <w:szCs w:val="22"/>
              </w:rPr>
            </w:pPr>
            <w:r w:rsidRPr="004B15DA">
              <w:rPr>
                <w:rFonts w:cs="Arial"/>
                <w:bCs/>
                <w:color w:val="000000"/>
                <w:sz w:val="22"/>
                <w:szCs w:val="22"/>
              </w:rPr>
              <w:t>1’863</w:t>
            </w:r>
          </w:p>
        </w:tc>
        <w:tc>
          <w:tcPr>
            <w:tcW w:w="1134" w:type="dxa"/>
            <w:tcBorders>
              <w:top w:val="nil"/>
              <w:left w:val="nil"/>
              <w:bottom w:val="nil"/>
              <w:right w:val="nil"/>
            </w:tcBorders>
            <w:shd w:val="clear" w:color="auto" w:fill="FFFFFF"/>
            <w:vAlign w:val="center"/>
          </w:tcPr>
          <w:p w:rsidR="0024207A" w:rsidRPr="004B15DA" w:rsidRDefault="0024207A" w:rsidP="0024207A">
            <w:pPr>
              <w:spacing w:line="276" w:lineRule="auto"/>
              <w:jc w:val="right"/>
              <w:rPr>
                <w:rFonts w:cs="Arial"/>
                <w:b/>
                <w:bCs/>
                <w:color w:val="000000"/>
                <w:sz w:val="22"/>
                <w:szCs w:val="22"/>
              </w:rPr>
            </w:pPr>
            <w:r w:rsidRPr="004B15DA">
              <w:rPr>
                <w:rFonts w:cs="Arial"/>
                <w:b/>
                <w:bCs/>
                <w:color w:val="000000"/>
                <w:sz w:val="22"/>
                <w:szCs w:val="22"/>
              </w:rPr>
              <w:t>2’468</w:t>
            </w:r>
          </w:p>
        </w:tc>
      </w:tr>
      <w:tr w:rsidR="0024207A" w:rsidRPr="00B06324" w:rsidTr="0024207A">
        <w:trPr>
          <w:trHeight w:val="255"/>
        </w:trPr>
        <w:tc>
          <w:tcPr>
            <w:tcW w:w="2977" w:type="dxa"/>
            <w:tcBorders>
              <w:top w:val="nil"/>
              <w:left w:val="nil"/>
              <w:bottom w:val="single" w:sz="4" w:space="0" w:color="auto"/>
              <w:right w:val="nil"/>
            </w:tcBorders>
            <w:shd w:val="clear" w:color="auto" w:fill="auto"/>
            <w:vAlign w:val="bottom"/>
          </w:tcPr>
          <w:p w:rsidR="0024207A" w:rsidRPr="00A06AFD" w:rsidRDefault="0024207A" w:rsidP="0024207A">
            <w:pPr>
              <w:keepLines/>
              <w:widowControl w:val="0"/>
              <w:jc w:val="left"/>
              <w:rPr>
                <w:rFonts w:cs="Arial"/>
                <w:i/>
                <w:iCs/>
                <w:sz w:val="22"/>
                <w:szCs w:val="22"/>
              </w:rPr>
            </w:pPr>
            <w:r w:rsidRPr="00A06AFD">
              <w:rPr>
                <w:rFonts w:cs="Arial"/>
                <w:i/>
                <w:iCs/>
                <w:sz w:val="22"/>
                <w:szCs w:val="22"/>
              </w:rPr>
              <w:t>Volume totale</w:t>
            </w:r>
          </w:p>
        </w:tc>
        <w:tc>
          <w:tcPr>
            <w:tcW w:w="1056" w:type="dxa"/>
            <w:tcBorders>
              <w:top w:val="nil"/>
              <w:left w:val="nil"/>
              <w:bottom w:val="single" w:sz="4" w:space="0" w:color="auto"/>
              <w:right w:val="nil"/>
            </w:tcBorders>
            <w:shd w:val="clear" w:color="auto" w:fill="auto"/>
            <w:vAlign w:val="bottom"/>
          </w:tcPr>
          <w:p w:rsidR="0024207A" w:rsidRPr="00D346F6" w:rsidRDefault="0024207A" w:rsidP="0024207A">
            <w:pPr>
              <w:jc w:val="right"/>
              <w:rPr>
                <w:rFonts w:cs="Arial"/>
                <w:color w:val="000000"/>
                <w:sz w:val="22"/>
                <w:szCs w:val="22"/>
              </w:rPr>
            </w:pPr>
            <w:r w:rsidRPr="00D346F6">
              <w:rPr>
                <w:rFonts w:cs="Arial"/>
                <w:color w:val="000000"/>
                <w:sz w:val="22"/>
                <w:szCs w:val="22"/>
              </w:rPr>
              <w:t>12'515</w:t>
            </w:r>
          </w:p>
        </w:tc>
        <w:tc>
          <w:tcPr>
            <w:tcW w:w="1134" w:type="dxa"/>
            <w:tcBorders>
              <w:top w:val="nil"/>
              <w:left w:val="nil"/>
              <w:bottom w:val="single" w:sz="4" w:space="0" w:color="auto"/>
              <w:right w:val="nil"/>
            </w:tcBorders>
            <w:shd w:val="clear" w:color="auto" w:fill="auto"/>
            <w:vAlign w:val="bottom"/>
          </w:tcPr>
          <w:p w:rsidR="0024207A" w:rsidRPr="00F76E6C" w:rsidRDefault="0024207A" w:rsidP="0024207A">
            <w:pPr>
              <w:jc w:val="right"/>
              <w:rPr>
                <w:rFonts w:cs="Arial"/>
                <w:color w:val="000000"/>
                <w:sz w:val="22"/>
                <w:szCs w:val="22"/>
              </w:rPr>
            </w:pPr>
            <w:r w:rsidRPr="00F76E6C">
              <w:rPr>
                <w:rFonts w:cs="Arial"/>
                <w:color w:val="000000"/>
                <w:sz w:val="22"/>
                <w:szCs w:val="22"/>
              </w:rPr>
              <w:t>11'789</w:t>
            </w:r>
          </w:p>
        </w:tc>
        <w:tc>
          <w:tcPr>
            <w:tcW w:w="1134" w:type="dxa"/>
            <w:tcBorders>
              <w:top w:val="nil"/>
              <w:left w:val="nil"/>
              <w:bottom w:val="single" w:sz="4" w:space="0" w:color="auto"/>
              <w:right w:val="nil"/>
            </w:tcBorders>
            <w:shd w:val="clear" w:color="auto" w:fill="auto"/>
            <w:vAlign w:val="bottom"/>
          </w:tcPr>
          <w:p w:rsidR="0024207A" w:rsidRPr="0077273D" w:rsidRDefault="0024207A" w:rsidP="0024207A">
            <w:pPr>
              <w:jc w:val="right"/>
              <w:rPr>
                <w:rFonts w:cs="Arial"/>
                <w:color w:val="000000"/>
                <w:sz w:val="22"/>
                <w:szCs w:val="22"/>
              </w:rPr>
            </w:pPr>
            <w:r w:rsidRPr="0077273D">
              <w:rPr>
                <w:rFonts w:cs="Arial"/>
                <w:color w:val="000000"/>
                <w:sz w:val="22"/>
                <w:szCs w:val="22"/>
              </w:rPr>
              <w:t>11‘912</w:t>
            </w:r>
          </w:p>
        </w:tc>
        <w:tc>
          <w:tcPr>
            <w:tcW w:w="1134" w:type="dxa"/>
            <w:tcBorders>
              <w:top w:val="nil"/>
              <w:left w:val="nil"/>
              <w:bottom w:val="single" w:sz="4" w:space="0" w:color="auto"/>
              <w:right w:val="nil"/>
            </w:tcBorders>
            <w:shd w:val="clear" w:color="auto" w:fill="auto"/>
            <w:vAlign w:val="bottom"/>
          </w:tcPr>
          <w:p w:rsidR="0024207A" w:rsidRPr="009E4D38" w:rsidRDefault="0024207A" w:rsidP="0024207A">
            <w:pPr>
              <w:jc w:val="right"/>
              <w:rPr>
                <w:rFonts w:cs="Arial"/>
                <w:color w:val="000000"/>
                <w:sz w:val="22"/>
                <w:szCs w:val="22"/>
              </w:rPr>
            </w:pPr>
            <w:r w:rsidRPr="009E4D38">
              <w:rPr>
                <w:rFonts w:cs="Arial"/>
                <w:color w:val="000000"/>
                <w:sz w:val="22"/>
                <w:szCs w:val="22"/>
              </w:rPr>
              <w:t>12’030</w:t>
            </w:r>
          </w:p>
        </w:tc>
        <w:tc>
          <w:tcPr>
            <w:tcW w:w="1134" w:type="dxa"/>
            <w:tcBorders>
              <w:top w:val="nil"/>
              <w:left w:val="nil"/>
              <w:bottom w:val="single" w:sz="4" w:space="0" w:color="auto"/>
              <w:right w:val="nil"/>
            </w:tcBorders>
            <w:vAlign w:val="bottom"/>
          </w:tcPr>
          <w:p w:rsidR="0024207A" w:rsidRPr="004B15DA" w:rsidRDefault="0024207A" w:rsidP="0024207A">
            <w:pPr>
              <w:jc w:val="right"/>
              <w:rPr>
                <w:rFonts w:cs="Arial"/>
                <w:color w:val="000000"/>
                <w:sz w:val="22"/>
                <w:szCs w:val="22"/>
              </w:rPr>
            </w:pPr>
            <w:r w:rsidRPr="004B15DA">
              <w:rPr>
                <w:rFonts w:cs="Arial"/>
                <w:color w:val="000000"/>
                <w:sz w:val="22"/>
                <w:szCs w:val="22"/>
              </w:rPr>
              <w:t>12’246</w:t>
            </w:r>
          </w:p>
        </w:tc>
        <w:tc>
          <w:tcPr>
            <w:tcW w:w="1134" w:type="dxa"/>
            <w:tcBorders>
              <w:top w:val="nil"/>
              <w:left w:val="nil"/>
              <w:bottom w:val="single" w:sz="4" w:space="0" w:color="auto"/>
              <w:right w:val="nil"/>
            </w:tcBorders>
            <w:shd w:val="clear" w:color="auto" w:fill="FFFFFF"/>
            <w:vAlign w:val="bottom"/>
          </w:tcPr>
          <w:p w:rsidR="0024207A" w:rsidRPr="004B15DA" w:rsidRDefault="0024207A" w:rsidP="0024207A">
            <w:pPr>
              <w:spacing w:line="276" w:lineRule="auto"/>
              <w:jc w:val="right"/>
              <w:rPr>
                <w:rFonts w:cs="Arial"/>
                <w:b/>
                <w:color w:val="000000"/>
                <w:sz w:val="22"/>
                <w:szCs w:val="22"/>
              </w:rPr>
            </w:pPr>
            <w:r w:rsidRPr="004B15DA">
              <w:rPr>
                <w:rFonts w:cs="Arial"/>
                <w:b/>
                <w:color w:val="000000"/>
                <w:sz w:val="22"/>
                <w:szCs w:val="22"/>
              </w:rPr>
              <w:t>12’498</w:t>
            </w:r>
          </w:p>
        </w:tc>
      </w:tr>
    </w:tbl>
    <w:p w:rsidR="0024207A" w:rsidRPr="00C625CC" w:rsidRDefault="0024207A" w:rsidP="0024207A">
      <w:pPr>
        <w:rPr>
          <w:sz w:val="16"/>
          <w:szCs w:val="16"/>
        </w:rPr>
      </w:pPr>
    </w:p>
    <w:p w:rsidR="0024207A" w:rsidRPr="003072B3" w:rsidRDefault="0024207A" w:rsidP="0024207A">
      <w:pPr>
        <w:rPr>
          <w:i/>
          <w:szCs w:val="24"/>
        </w:rPr>
      </w:pPr>
      <w:r w:rsidRPr="003072B3">
        <w:rPr>
          <w:i/>
          <w:sz w:val="16"/>
          <w:szCs w:val="16"/>
        </w:rPr>
        <w:t>Fonte: USI</w:t>
      </w:r>
    </w:p>
    <w:p w:rsidR="0024207A" w:rsidRPr="001F1B4B" w:rsidRDefault="0024207A" w:rsidP="0024207A">
      <w:pPr>
        <w:rPr>
          <w:sz w:val="36"/>
          <w:szCs w:val="36"/>
        </w:rPr>
      </w:pPr>
    </w:p>
    <w:p w:rsidR="0024207A" w:rsidRDefault="0024207A" w:rsidP="0024207A">
      <w:r w:rsidRPr="004B15DA">
        <w:t xml:space="preserve">Dalla </w:t>
      </w:r>
      <w:r>
        <w:t>T</w:t>
      </w:r>
      <w:r w:rsidRPr="004B15DA">
        <w:t xml:space="preserve">abella </w:t>
      </w:r>
      <w:r>
        <w:t>4</w:t>
      </w:r>
      <w:r w:rsidRPr="004B15DA">
        <w:t xml:space="preserve"> si nota che il volume dei progetti di ricerca finanziati dal FNRS risulta tendenzialmente costante</w:t>
      </w:r>
      <w:r>
        <w:t>,</w:t>
      </w:r>
      <w:r w:rsidRPr="004B15DA">
        <w:t xml:space="preserve"> mentre si constata una diminuzione del valore dei progetti finanziati dall’UE. Si tenga presente che tali finanziamenti</w:t>
      </w:r>
      <w:r>
        <w:t xml:space="preserve">, riguardanti in particolare progetti tecnologici, </w:t>
      </w:r>
      <w:r w:rsidRPr="004B15DA">
        <w:t xml:space="preserve">sono di fatto accessibili alla sola </w:t>
      </w:r>
      <w:r>
        <w:t>F</w:t>
      </w:r>
      <w:r w:rsidRPr="004B15DA">
        <w:t xml:space="preserve">acoltà </w:t>
      </w:r>
      <w:r>
        <w:t xml:space="preserve">di </w:t>
      </w:r>
      <w:r w:rsidRPr="004B15DA">
        <w:t xml:space="preserve">scienze informatiche. La nomina di due nuovi professori titolari di progetti UE consentirà una ripresa </w:t>
      </w:r>
      <w:r>
        <w:t>de</w:t>
      </w:r>
      <w:r w:rsidRPr="004B15DA">
        <w:t>i valori medi degli anni precedenti.</w:t>
      </w:r>
      <w:r>
        <w:t xml:space="preserve"> </w:t>
      </w:r>
    </w:p>
    <w:p w:rsidR="0024207A" w:rsidRDefault="0024207A" w:rsidP="0024207A"/>
    <w:p w:rsidR="0024207A" w:rsidRDefault="0024207A" w:rsidP="0024207A">
      <w:r w:rsidRPr="00A06AFD">
        <w:t xml:space="preserve">Non va </w:t>
      </w:r>
      <w:r w:rsidRPr="008E30A3">
        <w:t>dimenticato che la ricerca ha anche effetto immediato sulla qualità della formazione</w:t>
      </w:r>
      <w:r>
        <w:t xml:space="preserve"> e sul buon nome dell’università</w:t>
      </w:r>
      <w:r w:rsidRPr="008E30A3">
        <w:t xml:space="preserve">. La </w:t>
      </w:r>
      <w:r w:rsidRPr="00CC0346">
        <w:t xml:space="preserve">reputazione dell’istituzione universitaria </w:t>
      </w:r>
      <w:r w:rsidRPr="00CC0346">
        <w:lastRenderedPageBreak/>
        <w:t xml:space="preserve">dipende in maniera significativa </w:t>
      </w:r>
      <w:r>
        <w:t>dal livello delle pubblicazioni dei</w:t>
      </w:r>
      <w:r w:rsidRPr="00CC0346">
        <w:t xml:space="preserve"> professori </w:t>
      </w:r>
      <w:r>
        <w:t xml:space="preserve">che </w:t>
      </w:r>
      <w:r w:rsidRPr="00CC0346">
        <w:t>v’insegnano e vi svolgono la propria attività di</w:t>
      </w:r>
      <w:r>
        <w:t xml:space="preserve"> ricerca.</w:t>
      </w:r>
    </w:p>
    <w:p w:rsidR="0024207A" w:rsidRDefault="0024207A" w:rsidP="0024207A">
      <w:pPr>
        <w:rPr>
          <w:rFonts w:cs="Arial"/>
          <w:szCs w:val="24"/>
        </w:rPr>
      </w:pPr>
    </w:p>
    <w:p w:rsidR="0024207A" w:rsidRDefault="0024207A" w:rsidP="0024207A">
      <w:r w:rsidRPr="00575FFB">
        <w:rPr>
          <w:rFonts w:cs="Arial"/>
          <w:szCs w:val="24"/>
        </w:rPr>
        <w:t xml:space="preserve">Il </w:t>
      </w:r>
      <w:proofErr w:type="spellStart"/>
      <w:r>
        <w:rPr>
          <w:rFonts w:cs="Arial"/>
          <w:szCs w:val="24"/>
        </w:rPr>
        <w:t>C</w:t>
      </w:r>
      <w:r w:rsidRPr="00575FFB">
        <w:rPr>
          <w:rFonts w:cs="Arial"/>
          <w:szCs w:val="24"/>
        </w:rPr>
        <w:t>dp</w:t>
      </w:r>
      <w:proofErr w:type="spellEnd"/>
      <w:r w:rsidRPr="00575FFB">
        <w:rPr>
          <w:rFonts w:cs="Arial"/>
          <w:szCs w:val="24"/>
        </w:rPr>
        <w:t xml:space="preserve"> </w:t>
      </w:r>
      <w:r>
        <w:rPr>
          <w:rFonts w:cs="Arial"/>
          <w:szCs w:val="24"/>
        </w:rPr>
        <w:t>verifica anche</w:t>
      </w:r>
      <w:r w:rsidRPr="00575FFB">
        <w:rPr>
          <w:rFonts w:cs="Arial"/>
          <w:szCs w:val="24"/>
        </w:rPr>
        <w:t xml:space="preserve"> </w:t>
      </w:r>
      <w:r w:rsidRPr="00575FFB">
        <w:t xml:space="preserve">l’efficacia </w:t>
      </w:r>
      <w:r>
        <w:t xml:space="preserve">dei collaboratori attivi sulla ricerca, </w:t>
      </w:r>
      <w:r w:rsidRPr="00575FFB">
        <w:t>misurando la percentuale di progetti accettati da enti di ricerca competitiva in rapporto al totale</w:t>
      </w:r>
      <w:r>
        <w:t xml:space="preserve"> dei progetti presentati</w:t>
      </w:r>
      <w:r w:rsidRPr="00575FFB">
        <w:t xml:space="preserve">. </w:t>
      </w:r>
      <w:r>
        <w:t>Ovviamente questo fattore dipende, oltre che dalle altre università, anche da cicli di fasi di preparazione di progetti, in particolare per i progetti UE che richiedono lunghi periodi preparatori che si accavallano sui semestri e anni, determinando una ripartizione non sempre costante dei dati. Per questo motivo è utile nell’analisi dei dati considerare un periodo di almeno 5 anni. Il G</w:t>
      </w:r>
      <w:r w:rsidRPr="00C65DAB">
        <w:t>rafico 1</w:t>
      </w:r>
      <w:r w:rsidRPr="008D4E7E">
        <w:t xml:space="preserve"> riporta</w:t>
      </w:r>
      <w:r>
        <w:t xml:space="preserve"> i dati </w:t>
      </w:r>
      <w:r w:rsidRPr="00575FFB">
        <w:t xml:space="preserve">forniti dall’USI </w:t>
      </w:r>
      <w:r>
        <w:t>per il</w:t>
      </w:r>
      <w:r w:rsidRPr="00575FFB">
        <w:t xml:space="preserve"> periodo 2007</w:t>
      </w:r>
      <w:r>
        <w:t>-</w:t>
      </w:r>
      <w:r w:rsidRPr="00575FFB">
        <w:t>201</w:t>
      </w:r>
      <w:r>
        <w:t>7.</w:t>
      </w:r>
    </w:p>
    <w:p w:rsidR="0024207A" w:rsidRPr="00DB25BB" w:rsidRDefault="0024207A" w:rsidP="0024207A">
      <w:pPr>
        <w:spacing w:before="120"/>
        <w:rPr>
          <w:rFonts w:cs="Arial"/>
          <w:szCs w:val="24"/>
        </w:rPr>
      </w:pPr>
    </w:p>
    <w:p w:rsidR="0024207A" w:rsidRPr="0024207A" w:rsidRDefault="0024207A" w:rsidP="0024207A">
      <w:pPr>
        <w:spacing w:after="120"/>
        <w:jc w:val="left"/>
        <w:rPr>
          <w:noProof/>
          <w:sz w:val="22"/>
          <w:szCs w:val="22"/>
          <w:lang w:val="it-CH"/>
        </w:rPr>
      </w:pPr>
      <w:r w:rsidRPr="0024207A">
        <w:rPr>
          <w:rFonts w:cs="Arial"/>
          <w:b/>
          <w:sz w:val="22"/>
          <w:szCs w:val="22"/>
        </w:rPr>
        <w:t xml:space="preserve">Grafico 1 - Tassi di successo nell'ottenimento di finanziamenti per progetti sottoposti al FNRS (incluso IRB) </w:t>
      </w:r>
    </w:p>
    <w:p w:rsidR="0024207A" w:rsidRPr="003110E6" w:rsidRDefault="0024207A" w:rsidP="0024207A">
      <w:pPr>
        <w:spacing w:after="120"/>
        <w:jc w:val="left"/>
        <w:rPr>
          <w:rFonts w:cs="Arial"/>
          <w:i/>
          <w:szCs w:val="24"/>
        </w:rPr>
      </w:pPr>
      <w:r>
        <w:rPr>
          <w:noProof/>
          <w:lang w:val="it-CH" w:eastAsia="it-CH"/>
        </w:rPr>
        <w:drawing>
          <wp:inline distT="0" distB="0" distL="0" distR="0" wp14:anchorId="57C64CE0" wp14:editId="6D801A18">
            <wp:extent cx="5965825" cy="3092450"/>
            <wp:effectExtent l="0" t="0" r="15875" b="12700"/>
            <wp:docPr id="1"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4207A" w:rsidRPr="003072B3" w:rsidRDefault="0024207A" w:rsidP="0024207A">
      <w:pPr>
        <w:rPr>
          <w:rFonts w:cs="Arial"/>
          <w:i/>
          <w:sz w:val="16"/>
          <w:szCs w:val="16"/>
        </w:rPr>
      </w:pPr>
      <w:r w:rsidRPr="003072B3">
        <w:rPr>
          <w:rFonts w:cs="Arial"/>
          <w:i/>
          <w:noProof/>
          <w:sz w:val="16"/>
          <w:szCs w:val="16"/>
          <w:lang w:val="it-CH"/>
        </w:rPr>
        <w:t>Fonte: USI</w:t>
      </w:r>
    </w:p>
    <w:p w:rsidR="0024207A" w:rsidRDefault="0024207A" w:rsidP="0024207A">
      <w:pPr>
        <w:tabs>
          <w:tab w:val="right" w:pos="426"/>
          <w:tab w:val="left" w:pos="993"/>
        </w:tabs>
      </w:pPr>
    </w:p>
    <w:p w:rsidR="0024207A" w:rsidRDefault="0024207A" w:rsidP="0024207A">
      <w:pPr>
        <w:tabs>
          <w:tab w:val="right" w:pos="426"/>
          <w:tab w:val="left" w:pos="993"/>
        </w:tabs>
      </w:pPr>
    </w:p>
    <w:p w:rsidR="0024207A" w:rsidRDefault="0024207A" w:rsidP="0024207A">
      <w:pPr>
        <w:rPr>
          <w:rFonts w:cs="Consolas"/>
          <w:szCs w:val="24"/>
        </w:rPr>
      </w:pPr>
      <w:r>
        <w:t>Dal grafico risulta</w:t>
      </w:r>
      <w:r w:rsidRPr="00575FFB">
        <w:t xml:space="preserve"> </w:t>
      </w:r>
      <w:r>
        <w:t>una</w:t>
      </w:r>
      <w:r w:rsidRPr="00575FFB">
        <w:t xml:space="preserve"> percentuale di progetti accettati dal FN</w:t>
      </w:r>
      <w:r>
        <w:t>R</w:t>
      </w:r>
      <w:r w:rsidRPr="00575FFB">
        <w:t xml:space="preserve">S </w:t>
      </w:r>
      <w:r>
        <w:t xml:space="preserve">tendenzialmente </w:t>
      </w:r>
      <w:r w:rsidRPr="00575FFB">
        <w:t>superiore al 50% e spesso</w:t>
      </w:r>
      <w:r>
        <w:t xml:space="preserve"> superiore alla media svizzera. </w:t>
      </w:r>
      <w:r w:rsidRPr="00AB116E">
        <w:rPr>
          <w:rFonts w:cs="Arial"/>
          <w:szCs w:val="24"/>
        </w:rPr>
        <w:t xml:space="preserve">Il dato di diminuzione del tasso di successo misurato ad ottobre 2017 è da </w:t>
      </w:r>
      <w:r>
        <w:rPr>
          <w:rFonts w:cs="Arial"/>
          <w:szCs w:val="24"/>
        </w:rPr>
        <w:t>attribuire,</w:t>
      </w:r>
      <w:r w:rsidRPr="00AB116E">
        <w:rPr>
          <w:rFonts w:cs="Arial"/>
          <w:szCs w:val="24"/>
        </w:rPr>
        <w:t xml:space="preserve"> </w:t>
      </w:r>
      <w:r>
        <w:rPr>
          <w:rFonts w:cs="Arial"/>
          <w:szCs w:val="24"/>
        </w:rPr>
        <w:t xml:space="preserve">come spiegato in precedenza, a fattori periodici e quindi </w:t>
      </w:r>
      <w:r w:rsidRPr="00AB116E">
        <w:rPr>
          <w:rFonts w:cs="Consolas"/>
          <w:szCs w:val="24"/>
        </w:rPr>
        <w:t>al basso numero di domande inoltrate</w:t>
      </w:r>
      <w:r>
        <w:rPr>
          <w:rFonts w:cs="Consolas"/>
          <w:szCs w:val="24"/>
        </w:rPr>
        <w:t>. Va infatti considerato che a</w:t>
      </w:r>
      <w:r w:rsidRPr="00AB116E">
        <w:rPr>
          <w:rFonts w:cs="Consolas"/>
          <w:szCs w:val="24"/>
        </w:rPr>
        <w:t>d un singolo professore non è più concesso inoltrare pi</w:t>
      </w:r>
      <w:r>
        <w:rPr>
          <w:rFonts w:cs="Consolas"/>
          <w:szCs w:val="24"/>
        </w:rPr>
        <w:t>ù progetti in tempi ravvicinati.</w:t>
      </w:r>
    </w:p>
    <w:p w:rsidR="0024207A" w:rsidRDefault="0024207A" w:rsidP="0024207A">
      <w:pPr>
        <w:rPr>
          <w:szCs w:val="24"/>
        </w:rPr>
      </w:pPr>
    </w:p>
    <w:p w:rsidR="0024207A" w:rsidRDefault="0024207A" w:rsidP="0024207A">
      <w:pPr>
        <w:rPr>
          <w:rFonts w:cs="Arial"/>
          <w:szCs w:val="24"/>
        </w:rPr>
      </w:pPr>
      <w:r w:rsidRPr="008E30A3">
        <w:rPr>
          <w:szCs w:val="24"/>
        </w:rPr>
        <w:t xml:space="preserve">Infine, </w:t>
      </w:r>
      <w:r>
        <w:rPr>
          <w:szCs w:val="24"/>
        </w:rPr>
        <w:t>per la</w:t>
      </w:r>
      <w:r w:rsidRPr="008E30A3">
        <w:rPr>
          <w:szCs w:val="24"/>
        </w:rPr>
        <w:t xml:space="preserve"> verifica </w:t>
      </w:r>
      <w:r>
        <w:rPr>
          <w:szCs w:val="24"/>
        </w:rPr>
        <w:t>del</w:t>
      </w:r>
      <w:r w:rsidRPr="008E30A3">
        <w:t>l’efficacia dell’attività</w:t>
      </w:r>
      <w:r w:rsidRPr="00A85297">
        <w:t xml:space="preserve"> </w:t>
      </w:r>
      <w:r>
        <w:t>di ricerca, l’</w:t>
      </w:r>
      <w:r w:rsidRPr="008E30A3">
        <w:rPr>
          <w:szCs w:val="24"/>
        </w:rPr>
        <w:t xml:space="preserve">indicatore </w:t>
      </w:r>
      <w:r>
        <w:rPr>
          <w:szCs w:val="24"/>
        </w:rPr>
        <w:t xml:space="preserve">dei ricavi acquisiti misura </w:t>
      </w:r>
      <w:r w:rsidRPr="00A85297">
        <w:t xml:space="preserve">l’evoluzione del volume (espresso in franchi) in rapporto all’evoluzione del numero (espresso in unità a tempo pieno </w:t>
      </w:r>
      <w:r>
        <w:t>-</w:t>
      </w:r>
      <w:r w:rsidRPr="00A85297">
        <w:t xml:space="preserve"> UTP </w:t>
      </w:r>
      <w:r>
        <w:t xml:space="preserve">- </w:t>
      </w:r>
      <w:r w:rsidRPr="00A85297">
        <w:t>ovvero al 10% di occupazione) dei professori</w:t>
      </w:r>
      <w:r w:rsidRPr="00123CC6">
        <w:rPr>
          <w:rFonts w:cs="Arial"/>
          <w:i/>
          <w:szCs w:val="24"/>
        </w:rPr>
        <w:t xml:space="preserve"> </w:t>
      </w:r>
      <w:r w:rsidRPr="00A85297">
        <w:rPr>
          <w:rFonts w:cs="Arial"/>
          <w:szCs w:val="24"/>
        </w:rPr>
        <w:t xml:space="preserve">e </w:t>
      </w:r>
      <w:r>
        <w:rPr>
          <w:rFonts w:cs="Arial"/>
          <w:szCs w:val="24"/>
        </w:rPr>
        <w:t xml:space="preserve">dei </w:t>
      </w:r>
      <w:r w:rsidRPr="00A85297">
        <w:rPr>
          <w:rFonts w:cs="Arial"/>
          <w:szCs w:val="24"/>
        </w:rPr>
        <w:t>professori-assistenti</w:t>
      </w:r>
      <w:r w:rsidRPr="002A3A5E">
        <w:rPr>
          <w:rFonts w:cs="Arial"/>
          <w:szCs w:val="24"/>
        </w:rPr>
        <w:t>.</w:t>
      </w:r>
      <w:r w:rsidRPr="002A3A5E">
        <w:t xml:space="preserve"> Il </w:t>
      </w:r>
      <w:r>
        <w:t>G</w:t>
      </w:r>
      <w:r w:rsidRPr="00C65DAB">
        <w:t>rafico 2</w:t>
      </w:r>
      <w:r>
        <w:t xml:space="preserve"> riporta l’evoluzione di tale indicatore a part</w:t>
      </w:r>
      <w:r w:rsidRPr="00AB116E">
        <w:rPr>
          <w:rFonts w:cs="Arial"/>
          <w:szCs w:val="24"/>
        </w:rPr>
        <w:t>i</w:t>
      </w:r>
      <w:r>
        <w:rPr>
          <w:rFonts w:cs="Arial"/>
          <w:szCs w:val="24"/>
        </w:rPr>
        <w:t>re dal 2011.</w:t>
      </w:r>
    </w:p>
    <w:p w:rsidR="0024207A" w:rsidRDefault="0024207A" w:rsidP="0024207A">
      <w:pPr>
        <w:rPr>
          <w:rFonts w:cs="Arial"/>
          <w:szCs w:val="24"/>
        </w:rPr>
      </w:pPr>
    </w:p>
    <w:p w:rsidR="0024207A" w:rsidRDefault="0024207A">
      <w:pPr>
        <w:jc w:val="left"/>
        <w:rPr>
          <w:b/>
          <w:szCs w:val="24"/>
        </w:rPr>
      </w:pPr>
      <w:r>
        <w:rPr>
          <w:b/>
          <w:szCs w:val="24"/>
        </w:rPr>
        <w:br w:type="page"/>
      </w:r>
    </w:p>
    <w:p w:rsidR="0024207A" w:rsidRPr="0024207A" w:rsidRDefault="0024207A" w:rsidP="0024207A">
      <w:pPr>
        <w:tabs>
          <w:tab w:val="right" w:pos="426"/>
          <w:tab w:val="left" w:pos="993"/>
        </w:tabs>
        <w:spacing w:before="120"/>
        <w:rPr>
          <w:rFonts w:cs="Arial"/>
          <w:b/>
          <w:sz w:val="22"/>
          <w:szCs w:val="22"/>
        </w:rPr>
      </w:pPr>
      <w:r w:rsidRPr="0024207A">
        <w:rPr>
          <w:b/>
          <w:sz w:val="22"/>
          <w:szCs w:val="22"/>
        </w:rPr>
        <w:lastRenderedPageBreak/>
        <w:t>Grafico 2 -</w:t>
      </w:r>
      <w:r w:rsidRPr="0024207A">
        <w:rPr>
          <w:rFonts w:cs="Arial"/>
          <w:b/>
          <w:sz w:val="22"/>
          <w:szCs w:val="22"/>
        </w:rPr>
        <w:t xml:space="preserve"> Ricavi acquisiti tramite progetti di ricerca competitiva per numero dei professori dal 2011 al 2017</w:t>
      </w:r>
    </w:p>
    <w:p w:rsidR="0024207A" w:rsidRPr="003072B3" w:rsidRDefault="0024207A" w:rsidP="0024207A">
      <w:pPr>
        <w:tabs>
          <w:tab w:val="right" w:pos="426"/>
          <w:tab w:val="left" w:pos="993"/>
        </w:tabs>
        <w:spacing w:before="120"/>
        <w:rPr>
          <w:rFonts w:cs="Arial"/>
          <w:i/>
          <w:sz w:val="16"/>
          <w:szCs w:val="16"/>
        </w:rPr>
      </w:pPr>
      <w:r>
        <w:rPr>
          <w:noProof/>
          <w:lang w:val="it-CH" w:eastAsia="it-CH"/>
        </w:rPr>
        <w:drawing>
          <wp:inline distT="0" distB="0" distL="0" distR="0" wp14:anchorId="6675FA0F" wp14:editId="57070E81">
            <wp:extent cx="6075680" cy="2623820"/>
            <wp:effectExtent l="0" t="0" r="20320" b="24130"/>
            <wp:docPr id="2" name="Chart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4207A" w:rsidRPr="003072B3" w:rsidRDefault="0024207A" w:rsidP="0024207A">
      <w:pPr>
        <w:rPr>
          <w:rFonts w:cs="Arial"/>
          <w:i/>
          <w:sz w:val="16"/>
          <w:szCs w:val="16"/>
        </w:rPr>
      </w:pPr>
      <w:r w:rsidRPr="003072B3">
        <w:rPr>
          <w:rFonts w:cs="Arial"/>
          <w:i/>
          <w:sz w:val="16"/>
          <w:szCs w:val="16"/>
        </w:rPr>
        <w:t>Fonte: USI</w:t>
      </w:r>
    </w:p>
    <w:p w:rsidR="0024207A" w:rsidRDefault="0024207A" w:rsidP="0024207A">
      <w:pPr>
        <w:rPr>
          <w:rFonts w:cs="Arial"/>
          <w:szCs w:val="24"/>
        </w:rPr>
      </w:pPr>
    </w:p>
    <w:p w:rsidR="0024207A" w:rsidRDefault="0024207A" w:rsidP="0024207A">
      <w:pPr>
        <w:rPr>
          <w:rFonts w:cs="Arial"/>
          <w:szCs w:val="24"/>
        </w:rPr>
      </w:pPr>
    </w:p>
    <w:p w:rsidR="0024207A" w:rsidRDefault="0024207A" w:rsidP="0024207A">
      <w:pPr>
        <w:rPr>
          <w:rFonts w:cs="Arial"/>
          <w:szCs w:val="24"/>
        </w:rPr>
      </w:pPr>
      <w:r>
        <w:rPr>
          <w:rFonts w:cs="Arial"/>
          <w:szCs w:val="24"/>
        </w:rPr>
        <w:t>I</w:t>
      </w:r>
      <w:r w:rsidRPr="00AB116E">
        <w:rPr>
          <w:rFonts w:cs="Arial"/>
          <w:szCs w:val="24"/>
        </w:rPr>
        <w:t xml:space="preserve"> </w:t>
      </w:r>
      <w:r>
        <w:rPr>
          <w:rFonts w:cs="Arial"/>
        </w:rPr>
        <w:t>dati 2017 confermano quelli degli anni precedenti</w:t>
      </w:r>
      <w:r w:rsidRPr="00AB116E">
        <w:rPr>
          <w:rFonts w:cs="Arial"/>
        </w:rPr>
        <w:t xml:space="preserve">. </w:t>
      </w:r>
      <w:r w:rsidRPr="00A85297">
        <w:rPr>
          <w:rFonts w:cs="Arial"/>
          <w:szCs w:val="24"/>
        </w:rPr>
        <w:t xml:space="preserve">Dal </w:t>
      </w:r>
      <w:r>
        <w:rPr>
          <w:rFonts w:cs="Arial"/>
          <w:szCs w:val="24"/>
        </w:rPr>
        <w:t>G</w:t>
      </w:r>
      <w:r w:rsidRPr="00A85297">
        <w:rPr>
          <w:rFonts w:cs="Arial"/>
          <w:szCs w:val="24"/>
        </w:rPr>
        <w:t xml:space="preserve">rafico </w:t>
      </w:r>
      <w:r>
        <w:rPr>
          <w:rFonts w:cs="Arial"/>
          <w:szCs w:val="24"/>
        </w:rPr>
        <w:t xml:space="preserve">2 </w:t>
      </w:r>
      <w:r w:rsidRPr="00A85297">
        <w:rPr>
          <w:rFonts w:cs="Arial"/>
          <w:szCs w:val="24"/>
        </w:rPr>
        <w:t>risulta che la capacità di acquisizione di ricavi da ricerca competit</w:t>
      </w:r>
      <w:r>
        <w:rPr>
          <w:rFonts w:cs="Arial"/>
          <w:szCs w:val="24"/>
        </w:rPr>
        <w:t xml:space="preserve">iva per professore è migliorata e si è stabilizzata </w:t>
      </w:r>
      <w:r w:rsidRPr="008E30A3">
        <w:rPr>
          <w:rFonts w:cs="Arial"/>
          <w:szCs w:val="24"/>
        </w:rPr>
        <w:t xml:space="preserve">negli ultimi anni. </w:t>
      </w:r>
      <w:r>
        <w:rPr>
          <w:rFonts w:cs="Arial"/>
          <w:szCs w:val="24"/>
        </w:rPr>
        <w:t>A</w:t>
      </w:r>
      <w:r w:rsidRPr="00AB116E">
        <w:rPr>
          <w:rFonts w:cs="Arial"/>
          <w:szCs w:val="24"/>
        </w:rPr>
        <w:t>nche per il 2017</w:t>
      </w:r>
      <w:r>
        <w:rPr>
          <w:rFonts w:cs="Arial"/>
          <w:szCs w:val="24"/>
        </w:rPr>
        <w:t xml:space="preserve"> l</w:t>
      </w:r>
      <w:r w:rsidRPr="00AB116E">
        <w:rPr>
          <w:rFonts w:cs="Arial"/>
        </w:rPr>
        <w:t xml:space="preserve">a media complessiva dell’USI </w:t>
      </w:r>
      <w:r>
        <w:rPr>
          <w:rFonts w:cs="Arial"/>
          <w:szCs w:val="24"/>
        </w:rPr>
        <w:t xml:space="preserve">è stabilmente attorno ai </w:t>
      </w:r>
      <w:r w:rsidRPr="00AB116E">
        <w:rPr>
          <w:rFonts w:cs="Arial"/>
          <w:szCs w:val="24"/>
        </w:rPr>
        <w:t>100'000 franchi per professore</w:t>
      </w:r>
      <w:r>
        <w:rPr>
          <w:rFonts w:cs="Arial"/>
          <w:szCs w:val="24"/>
        </w:rPr>
        <w:t>.</w:t>
      </w:r>
    </w:p>
    <w:p w:rsidR="0024207A" w:rsidRDefault="0024207A" w:rsidP="0024207A">
      <w:pPr>
        <w:rPr>
          <w:rFonts w:cs="Arial"/>
          <w:szCs w:val="24"/>
        </w:rPr>
      </w:pPr>
    </w:p>
    <w:p w:rsidR="0024207A" w:rsidRPr="00A85297" w:rsidRDefault="0024207A" w:rsidP="0024207A">
      <w:pPr>
        <w:rPr>
          <w:rFonts w:cs="Arial"/>
          <w:szCs w:val="24"/>
        </w:rPr>
      </w:pPr>
    </w:p>
    <w:p w:rsidR="0024207A" w:rsidRPr="00FA161B" w:rsidRDefault="0024207A" w:rsidP="0024207A">
      <w:pPr>
        <w:pStyle w:val="Titolo2"/>
        <w:spacing w:after="0"/>
      </w:pPr>
      <w:bookmarkStart w:id="36" w:name="_Toc268859949"/>
      <w:bookmarkStart w:id="37" w:name="_Toc303080076"/>
      <w:r w:rsidRPr="00FA161B">
        <w:t>2</w:t>
      </w:r>
      <w:r>
        <w:t>.</w:t>
      </w:r>
      <w:r w:rsidRPr="00FA161B">
        <w:t>4</w:t>
      </w:r>
      <w:r>
        <w:tab/>
      </w:r>
      <w:r w:rsidRPr="00FA161B">
        <w:t>Formazione continua all’USI</w:t>
      </w:r>
      <w:bookmarkEnd w:id="36"/>
      <w:bookmarkEnd w:id="37"/>
    </w:p>
    <w:p w:rsidR="0024207A" w:rsidRPr="00D45B59" w:rsidRDefault="0024207A" w:rsidP="0024207A">
      <w:pPr>
        <w:spacing w:before="120"/>
        <w:rPr>
          <w:rFonts w:cs="Arial"/>
          <w:color w:val="000000"/>
          <w:szCs w:val="24"/>
        </w:rPr>
      </w:pPr>
      <w:r>
        <w:rPr>
          <w:szCs w:val="24"/>
        </w:rPr>
        <w:t>La</w:t>
      </w:r>
      <w:r w:rsidRPr="00FA161B">
        <w:rPr>
          <w:szCs w:val="24"/>
        </w:rPr>
        <w:t xml:space="preserve"> formazione continua presso l’USI non è un elemento specifico del mandato cantonale e quindi non è contemplata nell’ambito del </w:t>
      </w:r>
      <w:proofErr w:type="spellStart"/>
      <w:r>
        <w:rPr>
          <w:szCs w:val="24"/>
        </w:rPr>
        <w:t>Cdp</w:t>
      </w:r>
      <w:proofErr w:type="spellEnd"/>
      <w:r w:rsidRPr="00FA161B">
        <w:rPr>
          <w:szCs w:val="24"/>
        </w:rPr>
        <w:t xml:space="preserve">. </w:t>
      </w:r>
      <w:r w:rsidRPr="00D45B59">
        <w:rPr>
          <w:szCs w:val="24"/>
        </w:rPr>
        <w:t xml:space="preserve">Nonostante ciò l’USI offre diverse </w:t>
      </w:r>
      <w:r w:rsidRPr="00D45B59">
        <w:rPr>
          <w:rFonts w:cs="Arial"/>
          <w:szCs w:val="24"/>
        </w:rPr>
        <w:t xml:space="preserve">formazioni che si autofinanziano tramite tasse d’iscrizione e contributi vari. </w:t>
      </w:r>
      <w:r w:rsidRPr="00D45B59">
        <w:rPr>
          <w:rFonts w:cs="Arial"/>
          <w:color w:val="000000"/>
          <w:szCs w:val="24"/>
        </w:rPr>
        <w:t>L’USI offre programmi executive (formazione continua per professionisti) nei seguenti ambiti:</w:t>
      </w:r>
    </w:p>
    <w:p w:rsidR="0024207A" w:rsidRPr="0024207A" w:rsidRDefault="00082AC2" w:rsidP="0024207A">
      <w:pPr>
        <w:pStyle w:val="Paragrafoelenco"/>
        <w:numPr>
          <w:ilvl w:val="0"/>
          <w:numId w:val="40"/>
        </w:numPr>
        <w:spacing w:before="40"/>
        <w:ind w:left="284" w:hanging="284"/>
        <w:contextualSpacing w:val="0"/>
        <w:jc w:val="left"/>
        <w:rPr>
          <w:rStyle w:val="normale10"/>
          <w:sz w:val="24"/>
          <w:szCs w:val="24"/>
        </w:rPr>
      </w:pPr>
      <w:hyperlink r:id="rId10" w:tgtFrame="_blank" w:history="1">
        <w:r w:rsidR="0024207A" w:rsidRPr="0024207A">
          <w:rPr>
            <w:rStyle w:val="normale10"/>
            <w:sz w:val="24"/>
            <w:szCs w:val="24"/>
          </w:rPr>
          <w:t>Business Administration (EMBA)</w:t>
        </w:r>
      </w:hyperlink>
      <w:r w:rsidR="0024207A" w:rsidRPr="0024207A">
        <w:rPr>
          <w:rStyle w:val="normale10"/>
          <w:sz w:val="24"/>
          <w:szCs w:val="24"/>
        </w:rPr>
        <w:t>;</w:t>
      </w:r>
    </w:p>
    <w:p w:rsidR="0024207A" w:rsidRPr="0024207A" w:rsidRDefault="00082AC2" w:rsidP="0024207A">
      <w:pPr>
        <w:pStyle w:val="Paragrafoelenco"/>
        <w:numPr>
          <w:ilvl w:val="0"/>
          <w:numId w:val="40"/>
        </w:numPr>
        <w:spacing w:before="40"/>
        <w:ind w:left="284" w:hanging="284"/>
        <w:contextualSpacing w:val="0"/>
        <w:jc w:val="left"/>
        <w:rPr>
          <w:rStyle w:val="normale10"/>
          <w:sz w:val="24"/>
          <w:szCs w:val="24"/>
        </w:rPr>
      </w:pPr>
      <w:hyperlink r:id="rId11" w:tgtFrame="_blank" w:history="1">
        <w:r w:rsidR="0024207A" w:rsidRPr="0024207A">
          <w:rPr>
            <w:rStyle w:val="normale10"/>
            <w:sz w:val="24"/>
            <w:szCs w:val="24"/>
          </w:rPr>
          <w:t>Communications Management (</w:t>
        </w:r>
        <w:proofErr w:type="spellStart"/>
        <w:r w:rsidR="0024207A" w:rsidRPr="0024207A">
          <w:rPr>
            <w:rStyle w:val="normale10"/>
            <w:sz w:val="24"/>
            <w:szCs w:val="24"/>
          </w:rPr>
          <w:t>EMScom</w:t>
        </w:r>
        <w:proofErr w:type="spellEnd"/>
        <w:r w:rsidR="0024207A" w:rsidRPr="0024207A">
          <w:rPr>
            <w:rStyle w:val="normale10"/>
            <w:sz w:val="24"/>
            <w:szCs w:val="24"/>
          </w:rPr>
          <w:t>)</w:t>
        </w:r>
      </w:hyperlink>
      <w:r w:rsidR="0024207A" w:rsidRPr="0024207A">
        <w:rPr>
          <w:rStyle w:val="normale10"/>
          <w:sz w:val="24"/>
          <w:szCs w:val="24"/>
        </w:rPr>
        <w:t>;</w:t>
      </w:r>
    </w:p>
    <w:p w:rsidR="0024207A" w:rsidRPr="0024207A" w:rsidRDefault="00082AC2" w:rsidP="0024207A">
      <w:pPr>
        <w:pStyle w:val="Paragrafoelenco"/>
        <w:numPr>
          <w:ilvl w:val="0"/>
          <w:numId w:val="40"/>
        </w:numPr>
        <w:spacing w:before="40"/>
        <w:ind w:left="284" w:hanging="284"/>
        <w:contextualSpacing w:val="0"/>
        <w:jc w:val="left"/>
        <w:rPr>
          <w:rStyle w:val="normale10"/>
          <w:sz w:val="24"/>
          <w:szCs w:val="24"/>
        </w:rPr>
      </w:pPr>
      <w:hyperlink r:id="rId12" w:tgtFrame="_blank" w:history="1">
        <w:r w:rsidR="0024207A" w:rsidRPr="0024207A">
          <w:rPr>
            <w:rStyle w:val="normale10"/>
            <w:sz w:val="24"/>
            <w:szCs w:val="24"/>
          </w:rPr>
          <w:t>Economia e management sanitario e sociosanitario (Net-MEGS)</w:t>
        </w:r>
      </w:hyperlink>
      <w:r w:rsidR="0024207A" w:rsidRPr="0024207A">
        <w:rPr>
          <w:rStyle w:val="normale10"/>
          <w:sz w:val="24"/>
          <w:szCs w:val="24"/>
        </w:rPr>
        <w:t>;</w:t>
      </w:r>
    </w:p>
    <w:p w:rsidR="0024207A" w:rsidRPr="0024207A" w:rsidRDefault="00082AC2" w:rsidP="0024207A">
      <w:pPr>
        <w:pStyle w:val="Paragrafoelenco"/>
        <w:numPr>
          <w:ilvl w:val="0"/>
          <w:numId w:val="40"/>
        </w:numPr>
        <w:spacing w:before="40"/>
        <w:ind w:left="284" w:hanging="284"/>
        <w:contextualSpacing w:val="0"/>
        <w:jc w:val="left"/>
        <w:rPr>
          <w:rStyle w:val="normale10"/>
          <w:sz w:val="24"/>
          <w:szCs w:val="24"/>
        </w:rPr>
      </w:pPr>
      <w:hyperlink r:id="rId13" w:tgtFrame="_blank" w:history="1">
        <w:proofErr w:type="spellStart"/>
        <w:r w:rsidR="0024207A" w:rsidRPr="0024207A">
          <w:rPr>
            <w:rStyle w:val="normale10"/>
            <w:sz w:val="24"/>
            <w:szCs w:val="24"/>
          </w:rPr>
          <w:t>Entrepreneurship</w:t>
        </w:r>
        <w:proofErr w:type="spellEnd"/>
        <w:r w:rsidR="0024207A" w:rsidRPr="0024207A">
          <w:rPr>
            <w:rStyle w:val="normale10"/>
            <w:sz w:val="24"/>
            <w:szCs w:val="24"/>
          </w:rPr>
          <w:t xml:space="preserve"> in </w:t>
        </w:r>
        <w:proofErr w:type="spellStart"/>
        <w:r w:rsidR="0024207A" w:rsidRPr="0024207A">
          <w:rPr>
            <w:rStyle w:val="normale10"/>
            <w:sz w:val="24"/>
            <w:szCs w:val="24"/>
          </w:rPr>
          <w:t>BioMedicine</w:t>
        </w:r>
        <w:proofErr w:type="spellEnd"/>
      </w:hyperlink>
      <w:r w:rsidR="0024207A" w:rsidRPr="0024207A">
        <w:rPr>
          <w:rStyle w:val="normale10"/>
          <w:sz w:val="24"/>
          <w:szCs w:val="24"/>
        </w:rPr>
        <w:t>;</w:t>
      </w:r>
    </w:p>
    <w:p w:rsidR="0024207A" w:rsidRPr="0024207A" w:rsidRDefault="00082AC2" w:rsidP="0024207A">
      <w:pPr>
        <w:pStyle w:val="Paragrafoelenco"/>
        <w:numPr>
          <w:ilvl w:val="0"/>
          <w:numId w:val="40"/>
        </w:numPr>
        <w:spacing w:before="40"/>
        <w:ind w:left="284" w:hanging="284"/>
        <w:contextualSpacing w:val="0"/>
        <w:jc w:val="left"/>
        <w:rPr>
          <w:rStyle w:val="normale10"/>
          <w:sz w:val="24"/>
          <w:szCs w:val="24"/>
        </w:rPr>
      </w:pPr>
      <w:hyperlink r:id="rId14" w:tgtFrame="_blank" w:history="1">
        <w:r w:rsidR="0024207A" w:rsidRPr="0024207A">
          <w:rPr>
            <w:rStyle w:val="normale10"/>
            <w:sz w:val="24"/>
            <w:szCs w:val="24"/>
          </w:rPr>
          <w:t>Gestione della formazione per dirigenti d'istituzioni formative (</w:t>
        </w:r>
        <w:proofErr w:type="spellStart"/>
        <w:r w:rsidR="0024207A" w:rsidRPr="0024207A">
          <w:rPr>
            <w:rStyle w:val="normale10"/>
            <w:sz w:val="24"/>
            <w:szCs w:val="24"/>
          </w:rPr>
          <w:t>GeFo</w:t>
        </w:r>
        <w:proofErr w:type="spellEnd"/>
        <w:r w:rsidR="0024207A" w:rsidRPr="0024207A">
          <w:rPr>
            <w:rStyle w:val="normale10"/>
            <w:sz w:val="24"/>
            <w:szCs w:val="24"/>
          </w:rPr>
          <w:t>)</w:t>
        </w:r>
      </w:hyperlink>
      <w:r w:rsidR="0024207A" w:rsidRPr="0024207A">
        <w:rPr>
          <w:rStyle w:val="normale10"/>
          <w:sz w:val="24"/>
          <w:szCs w:val="24"/>
        </w:rPr>
        <w:t>;</w:t>
      </w:r>
    </w:p>
    <w:p w:rsidR="0024207A" w:rsidRPr="0024207A" w:rsidRDefault="00082AC2" w:rsidP="0024207A">
      <w:pPr>
        <w:pStyle w:val="Paragrafoelenco"/>
        <w:numPr>
          <w:ilvl w:val="0"/>
          <w:numId w:val="40"/>
        </w:numPr>
        <w:spacing w:before="40"/>
        <w:ind w:left="284" w:hanging="284"/>
        <w:contextualSpacing w:val="0"/>
        <w:jc w:val="left"/>
        <w:rPr>
          <w:rStyle w:val="normale10"/>
          <w:sz w:val="24"/>
          <w:szCs w:val="24"/>
        </w:rPr>
      </w:pPr>
      <w:hyperlink r:id="rId15" w:tgtFrame="_blank" w:history="1">
        <w:proofErr w:type="spellStart"/>
        <w:r w:rsidR="0024207A" w:rsidRPr="0024207A">
          <w:rPr>
            <w:rStyle w:val="normale10"/>
            <w:sz w:val="24"/>
            <w:szCs w:val="24"/>
          </w:rPr>
          <w:t>Humanitarian</w:t>
        </w:r>
        <w:proofErr w:type="spellEnd"/>
        <w:r w:rsidR="0024207A" w:rsidRPr="0024207A">
          <w:rPr>
            <w:rStyle w:val="normale10"/>
            <w:sz w:val="24"/>
            <w:szCs w:val="24"/>
          </w:rPr>
          <w:t xml:space="preserve"> </w:t>
        </w:r>
        <w:proofErr w:type="spellStart"/>
        <w:r w:rsidR="0024207A" w:rsidRPr="0024207A">
          <w:rPr>
            <w:rStyle w:val="normale10"/>
            <w:sz w:val="24"/>
            <w:szCs w:val="24"/>
          </w:rPr>
          <w:t>Logistics</w:t>
        </w:r>
        <w:proofErr w:type="spellEnd"/>
        <w:r w:rsidR="0024207A" w:rsidRPr="0024207A">
          <w:rPr>
            <w:rStyle w:val="normale10"/>
            <w:sz w:val="24"/>
            <w:szCs w:val="24"/>
          </w:rPr>
          <w:t xml:space="preserve"> and Management (MASHLM)</w:t>
        </w:r>
      </w:hyperlink>
      <w:r w:rsidR="0024207A" w:rsidRPr="0024207A">
        <w:rPr>
          <w:rStyle w:val="normale10"/>
          <w:sz w:val="24"/>
          <w:szCs w:val="24"/>
        </w:rPr>
        <w:t>;</w:t>
      </w:r>
    </w:p>
    <w:p w:rsidR="0024207A" w:rsidRPr="0024207A" w:rsidRDefault="00082AC2" w:rsidP="0024207A">
      <w:pPr>
        <w:pStyle w:val="Paragrafoelenco"/>
        <w:numPr>
          <w:ilvl w:val="0"/>
          <w:numId w:val="40"/>
        </w:numPr>
        <w:spacing w:before="40"/>
        <w:ind w:left="284" w:hanging="284"/>
        <w:contextualSpacing w:val="0"/>
        <w:jc w:val="left"/>
        <w:rPr>
          <w:rStyle w:val="normale10"/>
          <w:sz w:val="24"/>
          <w:szCs w:val="24"/>
        </w:rPr>
      </w:pPr>
      <w:hyperlink r:id="rId16" w:tgtFrame="_blank" w:history="1">
        <w:proofErr w:type="spellStart"/>
        <w:r w:rsidR="0024207A" w:rsidRPr="0024207A">
          <w:rPr>
            <w:rStyle w:val="normale10"/>
            <w:sz w:val="24"/>
            <w:szCs w:val="24"/>
          </w:rPr>
          <w:t>Intercultural</w:t>
        </w:r>
        <w:proofErr w:type="spellEnd"/>
        <w:r w:rsidR="0024207A" w:rsidRPr="0024207A">
          <w:rPr>
            <w:rStyle w:val="normale10"/>
            <w:sz w:val="24"/>
            <w:szCs w:val="24"/>
          </w:rPr>
          <w:t xml:space="preserve"> </w:t>
        </w:r>
        <w:proofErr w:type="spellStart"/>
        <w:r w:rsidR="0024207A" w:rsidRPr="0024207A">
          <w:rPr>
            <w:rStyle w:val="normale10"/>
            <w:sz w:val="24"/>
            <w:szCs w:val="24"/>
          </w:rPr>
          <w:t>Communication</w:t>
        </w:r>
        <w:proofErr w:type="spellEnd"/>
        <w:r w:rsidR="0024207A" w:rsidRPr="0024207A">
          <w:rPr>
            <w:rStyle w:val="normale10"/>
            <w:sz w:val="24"/>
            <w:szCs w:val="24"/>
          </w:rPr>
          <w:t xml:space="preserve"> (MIC)</w:t>
        </w:r>
      </w:hyperlink>
      <w:r w:rsidR="0024207A" w:rsidRPr="0024207A">
        <w:rPr>
          <w:rStyle w:val="normale10"/>
          <w:sz w:val="24"/>
          <w:szCs w:val="24"/>
        </w:rPr>
        <w:t>;</w:t>
      </w:r>
    </w:p>
    <w:p w:rsidR="0024207A" w:rsidRPr="0024207A" w:rsidRDefault="00082AC2" w:rsidP="0024207A">
      <w:pPr>
        <w:pStyle w:val="Paragrafoelenco"/>
        <w:numPr>
          <w:ilvl w:val="0"/>
          <w:numId w:val="40"/>
        </w:numPr>
        <w:spacing w:before="40"/>
        <w:ind w:left="284" w:hanging="284"/>
        <w:contextualSpacing w:val="0"/>
        <w:jc w:val="left"/>
        <w:rPr>
          <w:rStyle w:val="normale10"/>
          <w:sz w:val="24"/>
          <w:szCs w:val="24"/>
          <w:lang w:val="en-US"/>
        </w:rPr>
      </w:pPr>
      <w:hyperlink r:id="rId17" w:tgtFrame="_blank" w:history="1">
        <w:r w:rsidR="0024207A" w:rsidRPr="0024207A">
          <w:rPr>
            <w:rStyle w:val="normale10"/>
            <w:sz w:val="24"/>
            <w:szCs w:val="24"/>
            <w:lang w:val="en-US"/>
          </w:rPr>
          <w:t>Risk Management in Banking and Asset Management</w:t>
        </w:r>
      </w:hyperlink>
      <w:r w:rsidR="0024207A" w:rsidRPr="0024207A">
        <w:rPr>
          <w:rStyle w:val="normale10"/>
          <w:sz w:val="24"/>
          <w:szCs w:val="24"/>
          <w:lang w:val="en-US"/>
        </w:rPr>
        <w:t>;</w:t>
      </w:r>
    </w:p>
    <w:p w:rsidR="0024207A" w:rsidRPr="0024207A" w:rsidRDefault="00082AC2" w:rsidP="0024207A">
      <w:pPr>
        <w:pStyle w:val="Paragrafoelenco"/>
        <w:numPr>
          <w:ilvl w:val="0"/>
          <w:numId w:val="40"/>
        </w:numPr>
        <w:spacing w:before="40"/>
        <w:ind w:left="284" w:hanging="284"/>
        <w:contextualSpacing w:val="0"/>
        <w:jc w:val="left"/>
        <w:rPr>
          <w:rStyle w:val="normale10"/>
          <w:sz w:val="24"/>
          <w:szCs w:val="24"/>
          <w:lang w:val="en-US"/>
        </w:rPr>
      </w:pPr>
      <w:hyperlink r:id="rId18" w:tgtFrame="_blank" w:history="1">
        <w:r w:rsidR="0024207A" w:rsidRPr="0024207A">
          <w:rPr>
            <w:rStyle w:val="normale10"/>
            <w:sz w:val="24"/>
            <w:szCs w:val="24"/>
            <w:lang w:val="en-US"/>
          </w:rPr>
          <w:t>Private Banking and Wealth Management</w:t>
        </w:r>
      </w:hyperlink>
      <w:r w:rsidR="0024207A" w:rsidRPr="0024207A">
        <w:rPr>
          <w:rStyle w:val="normale10"/>
          <w:sz w:val="24"/>
          <w:szCs w:val="24"/>
          <w:lang w:val="en-US"/>
        </w:rPr>
        <w:t xml:space="preserve">. </w:t>
      </w:r>
    </w:p>
    <w:p w:rsidR="0024207A" w:rsidRPr="00D45B59" w:rsidRDefault="0024207A" w:rsidP="0024207A">
      <w:pPr>
        <w:rPr>
          <w:rFonts w:cs="Arial"/>
          <w:szCs w:val="24"/>
          <w:lang w:val="en-US"/>
        </w:rPr>
      </w:pPr>
    </w:p>
    <w:p w:rsidR="0024207A" w:rsidRPr="0024207A" w:rsidRDefault="0024207A" w:rsidP="0024207A">
      <w:pPr>
        <w:rPr>
          <w:rFonts w:cs="Arial"/>
          <w:szCs w:val="24"/>
        </w:rPr>
      </w:pPr>
      <w:r w:rsidRPr="0024207A">
        <w:rPr>
          <w:rFonts w:cs="Arial"/>
          <w:szCs w:val="24"/>
          <w:lang w:val="it-CH"/>
        </w:rPr>
        <w:t xml:space="preserve">Gli ultimi due master sono stati avviati nel 2017 in collaborazione con il Centro Studi Bancari, che li ospita. </w:t>
      </w:r>
      <w:r w:rsidRPr="0024207A">
        <w:rPr>
          <w:rFonts w:cs="Arial"/>
          <w:szCs w:val="24"/>
        </w:rPr>
        <w:t>Nell’anno</w:t>
      </w:r>
      <w:r w:rsidRPr="0024207A">
        <w:rPr>
          <w:rStyle w:val="Normale1"/>
          <w:rFonts w:ascii="Arial" w:hAnsi="Arial" w:cs="Arial"/>
          <w:sz w:val="24"/>
          <w:szCs w:val="24"/>
          <w:lang w:eastAsia="en-US"/>
        </w:rPr>
        <w:t xml:space="preserve"> accademico 2017/2018 erano attivi 5 programmi executive per un totale di </w:t>
      </w:r>
      <w:r w:rsidRPr="0024207A">
        <w:rPr>
          <w:rFonts w:cs="Arial"/>
          <w:szCs w:val="24"/>
        </w:rPr>
        <w:t>206 iscritti.</w:t>
      </w:r>
    </w:p>
    <w:p w:rsidR="0024207A" w:rsidRDefault="0024207A" w:rsidP="0024207A">
      <w:pPr>
        <w:rPr>
          <w:rFonts w:cs="Arial"/>
          <w:szCs w:val="24"/>
        </w:rPr>
      </w:pPr>
    </w:p>
    <w:p w:rsidR="0024207A" w:rsidRDefault="0024207A" w:rsidP="0024207A">
      <w:pPr>
        <w:rPr>
          <w:rFonts w:cs="Arial"/>
          <w:szCs w:val="24"/>
        </w:rPr>
      </w:pPr>
    </w:p>
    <w:p w:rsidR="0024207A" w:rsidRPr="00245751" w:rsidRDefault="0024207A" w:rsidP="0024207A">
      <w:pPr>
        <w:pStyle w:val="Titolo2"/>
        <w:spacing w:after="0"/>
      </w:pPr>
      <w:r w:rsidRPr="00972401">
        <w:t>2.</w:t>
      </w:r>
      <w:r>
        <w:t>5</w:t>
      </w:r>
      <w:r w:rsidRPr="00245751">
        <w:tab/>
      </w:r>
      <w:r>
        <w:t>Facoltà di Scienze biomediche</w:t>
      </w:r>
    </w:p>
    <w:p w:rsidR="0024207A" w:rsidRPr="006802E3" w:rsidRDefault="0024207A" w:rsidP="0024207A">
      <w:pPr>
        <w:tabs>
          <w:tab w:val="left" w:pos="2552"/>
        </w:tabs>
        <w:spacing w:before="120"/>
        <w:ind w:right="-1"/>
        <w:rPr>
          <w:rFonts w:cs="Arial"/>
          <w:szCs w:val="24"/>
          <w:lang w:val="it-CH"/>
        </w:rPr>
      </w:pPr>
      <w:r>
        <w:rPr>
          <w:rFonts w:cs="Arial"/>
        </w:rPr>
        <w:t xml:space="preserve">Nel corso del 2017 il Consiglio dei professori della Facoltà di Scienze biomediche ha proseguito i lavori per l’elaborazione del </w:t>
      </w:r>
      <w:r w:rsidRPr="00B92D29">
        <w:rPr>
          <w:rFonts w:cs="Arial"/>
        </w:rPr>
        <w:t xml:space="preserve">programma di </w:t>
      </w:r>
      <w:r>
        <w:rPr>
          <w:rFonts w:cs="Arial"/>
        </w:rPr>
        <w:t>m</w:t>
      </w:r>
      <w:r w:rsidRPr="00B92D29">
        <w:rPr>
          <w:rFonts w:cs="Arial"/>
        </w:rPr>
        <w:t xml:space="preserve">aster. </w:t>
      </w:r>
      <w:r>
        <w:rPr>
          <w:rFonts w:cs="Arial"/>
        </w:rPr>
        <w:t>L</w:t>
      </w:r>
      <w:r w:rsidRPr="00B92D29">
        <w:rPr>
          <w:rFonts w:cs="Arial"/>
        </w:rPr>
        <w:t xml:space="preserve">a </w:t>
      </w:r>
      <w:r>
        <w:rPr>
          <w:rFonts w:cs="Arial"/>
        </w:rPr>
        <w:t>f</w:t>
      </w:r>
      <w:r w:rsidRPr="00B92D29">
        <w:rPr>
          <w:rFonts w:cs="Arial"/>
        </w:rPr>
        <w:t xml:space="preserve">acoltà proporrà un </w:t>
      </w:r>
      <w:r>
        <w:rPr>
          <w:rFonts w:cs="Arial"/>
        </w:rPr>
        <w:t>m</w:t>
      </w:r>
      <w:r w:rsidRPr="00B92D29">
        <w:rPr>
          <w:rStyle w:val="Enfasigrassetto"/>
          <w:rFonts w:cs="Arial"/>
        </w:rPr>
        <w:t>aster in medicina umana (triennio di formazione clinica)</w:t>
      </w:r>
      <w:r w:rsidRPr="00B92D29">
        <w:rPr>
          <w:rFonts w:cs="Arial"/>
        </w:rPr>
        <w:t xml:space="preserve"> a</w:t>
      </w:r>
      <w:r w:rsidRPr="002849F5">
        <w:rPr>
          <w:rFonts w:cs="Arial"/>
        </w:rPr>
        <w:t xml:space="preserve"> partire dal 2020, nel </w:t>
      </w:r>
      <w:r w:rsidRPr="002849F5">
        <w:rPr>
          <w:rFonts w:cs="Arial"/>
        </w:rPr>
        <w:lastRenderedPageBreak/>
        <w:t xml:space="preserve">quadro della collaborazione con ETH </w:t>
      </w:r>
      <w:proofErr w:type="spellStart"/>
      <w:r w:rsidRPr="002849F5">
        <w:rPr>
          <w:rFonts w:cs="Arial"/>
        </w:rPr>
        <w:t>Zürich</w:t>
      </w:r>
      <w:proofErr w:type="spellEnd"/>
      <w:r w:rsidRPr="002849F5">
        <w:rPr>
          <w:rFonts w:cs="Arial"/>
        </w:rPr>
        <w:t xml:space="preserve">, con le Università di Basilea e di Zurigo per la parte accademica, con l’Ente </w:t>
      </w:r>
      <w:r>
        <w:rPr>
          <w:rFonts w:cs="Arial"/>
        </w:rPr>
        <w:t>o</w:t>
      </w:r>
      <w:r w:rsidRPr="002849F5">
        <w:rPr>
          <w:rFonts w:cs="Arial"/>
        </w:rPr>
        <w:t xml:space="preserve">spedaliero </w:t>
      </w:r>
      <w:r>
        <w:rPr>
          <w:rFonts w:cs="Arial"/>
        </w:rPr>
        <w:t>c</w:t>
      </w:r>
      <w:r w:rsidRPr="002849F5">
        <w:rPr>
          <w:rFonts w:cs="Arial"/>
        </w:rPr>
        <w:t xml:space="preserve">antonale </w:t>
      </w:r>
      <w:r>
        <w:rPr>
          <w:rFonts w:cs="Arial"/>
        </w:rPr>
        <w:t xml:space="preserve">(EOC) </w:t>
      </w:r>
      <w:r w:rsidRPr="002849F5">
        <w:rPr>
          <w:rFonts w:cs="Arial"/>
        </w:rPr>
        <w:t xml:space="preserve">e con cliniche private del Canton Ticino per la formazione al letto del paziente. </w:t>
      </w:r>
      <w:r>
        <w:rPr>
          <w:rFonts w:cs="Arial"/>
        </w:rPr>
        <w:t>In base ad un accordo, i</w:t>
      </w:r>
      <w:r w:rsidRPr="002849F5">
        <w:rPr>
          <w:rFonts w:cs="Arial"/>
        </w:rPr>
        <w:t xml:space="preserve"> primi studenti iscritti all’USI (15 studenti) hanno iniziato il loro percorso </w:t>
      </w:r>
      <w:proofErr w:type="spellStart"/>
      <w:r>
        <w:rPr>
          <w:rFonts w:cs="Arial"/>
        </w:rPr>
        <w:t>b</w:t>
      </w:r>
      <w:r w:rsidRPr="002849F5">
        <w:rPr>
          <w:rFonts w:cs="Arial"/>
        </w:rPr>
        <w:t>achelor</w:t>
      </w:r>
      <w:proofErr w:type="spellEnd"/>
      <w:r w:rsidRPr="002849F5">
        <w:rPr>
          <w:rFonts w:cs="Arial"/>
        </w:rPr>
        <w:t xml:space="preserve"> a Basilea. </w:t>
      </w:r>
      <w:r>
        <w:rPr>
          <w:rFonts w:cs="Arial"/>
        </w:rPr>
        <w:t xml:space="preserve">Durante il 2017 il Consiglio dei professori ha pure elaborato lo statuto della facoltà che è stato approvato dal Consiglio dell’USI. Il Consiglio dei professori ha inoltre redatto i propri regolamenti e le direttive per il conferimento dei titoli in linea con le facoltà di medicina svizzere (Dr. </w:t>
      </w:r>
      <w:proofErr w:type="spellStart"/>
      <w:r>
        <w:rPr>
          <w:rFonts w:cs="Arial"/>
        </w:rPr>
        <w:t>med</w:t>
      </w:r>
      <w:proofErr w:type="spellEnd"/>
      <w:r>
        <w:rPr>
          <w:rFonts w:cs="Arial"/>
        </w:rPr>
        <w:t>., libero docente</w:t>
      </w:r>
      <w:r w:rsidRPr="00D45B59">
        <w:rPr>
          <w:rFonts w:cs="Arial"/>
        </w:rPr>
        <w:t xml:space="preserve">, professore titolare) definendo i requisiti e le procedure in analogia ai </w:t>
      </w:r>
      <w:r w:rsidRPr="00D45B59">
        <w:rPr>
          <w:rFonts w:cs="Arial"/>
          <w:szCs w:val="24"/>
        </w:rPr>
        <w:t xml:space="preserve">regolamenti delle università partner. È anche prevista una procedura accelerata riguardante i medici già in possesso di un titolo conseguito in un'altra università. </w:t>
      </w:r>
      <w:r w:rsidRPr="00D45B59">
        <w:rPr>
          <w:rFonts w:cs="Arial"/>
          <w:szCs w:val="24"/>
          <w:lang w:val="it-CH"/>
        </w:rPr>
        <w:t xml:space="preserve">Nel corso dell’anno </w:t>
      </w:r>
      <w:r>
        <w:rPr>
          <w:rFonts w:cs="Arial"/>
          <w:szCs w:val="24"/>
          <w:lang w:val="it-CH"/>
        </w:rPr>
        <w:t xml:space="preserve">si </w:t>
      </w:r>
      <w:r w:rsidRPr="00D45B59">
        <w:rPr>
          <w:rFonts w:cs="Arial"/>
          <w:szCs w:val="24"/>
          <w:lang w:val="it-CH"/>
        </w:rPr>
        <w:t xml:space="preserve">è </w:t>
      </w:r>
      <w:r>
        <w:rPr>
          <w:rFonts w:cs="Arial"/>
          <w:szCs w:val="24"/>
          <w:lang w:val="it-CH"/>
        </w:rPr>
        <w:t xml:space="preserve">tenuto </w:t>
      </w:r>
      <w:r w:rsidRPr="00D45B59">
        <w:rPr>
          <w:rFonts w:cs="Arial"/>
          <w:szCs w:val="24"/>
          <w:lang w:val="it-CH"/>
        </w:rPr>
        <w:t xml:space="preserve">il concorso per la posizione di primario EOC-professore di chirurgia con la nomina del Prof. </w:t>
      </w:r>
      <w:proofErr w:type="spellStart"/>
      <w:r w:rsidRPr="00D45B59">
        <w:rPr>
          <w:rFonts w:cs="Arial"/>
          <w:szCs w:val="24"/>
          <w:lang w:val="it-CH"/>
        </w:rPr>
        <w:t>Dr.med</w:t>
      </w:r>
      <w:proofErr w:type="spellEnd"/>
      <w:r w:rsidRPr="00D45B59">
        <w:rPr>
          <w:rFonts w:cs="Arial"/>
          <w:szCs w:val="24"/>
          <w:lang w:val="it-CH"/>
        </w:rPr>
        <w:t xml:space="preserve"> Pietro </w:t>
      </w:r>
      <w:proofErr w:type="spellStart"/>
      <w:r w:rsidRPr="00D45B59">
        <w:rPr>
          <w:rFonts w:cs="Arial"/>
          <w:szCs w:val="24"/>
          <w:lang w:val="it-CH"/>
        </w:rPr>
        <w:t>Majno</w:t>
      </w:r>
      <w:proofErr w:type="spellEnd"/>
      <w:r w:rsidRPr="00D45B59">
        <w:rPr>
          <w:rFonts w:cs="Arial"/>
          <w:szCs w:val="24"/>
          <w:lang w:val="it-CH"/>
        </w:rPr>
        <w:t xml:space="preserve"> e sono stati pubblicati i concorsi per altre due posizioni di professore di ruolo (Ginecologia e Public </w:t>
      </w:r>
      <w:proofErr w:type="spellStart"/>
      <w:r w:rsidRPr="00D45B59">
        <w:rPr>
          <w:rFonts w:cs="Arial"/>
          <w:szCs w:val="24"/>
          <w:lang w:val="it-CH"/>
        </w:rPr>
        <w:t>Health</w:t>
      </w:r>
      <w:proofErr w:type="spellEnd"/>
      <w:r>
        <w:rPr>
          <w:rFonts w:cs="Arial"/>
          <w:szCs w:val="24"/>
          <w:lang w:val="it-CH"/>
        </w:rPr>
        <w:t>), come indicato</w:t>
      </w:r>
      <w:r w:rsidRPr="00D45B59">
        <w:rPr>
          <w:rFonts w:cs="Arial"/>
          <w:szCs w:val="24"/>
          <w:lang w:val="it-CH"/>
        </w:rPr>
        <w:t xml:space="preserve"> nell’ambito del </w:t>
      </w:r>
      <w:r>
        <w:rPr>
          <w:rFonts w:cs="Arial"/>
          <w:szCs w:val="24"/>
          <w:lang w:val="it-CH"/>
        </w:rPr>
        <w:t>M</w:t>
      </w:r>
      <w:r w:rsidRPr="00D45B59">
        <w:rPr>
          <w:rFonts w:cs="Arial"/>
          <w:szCs w:val="24"/>
          <w:lang w:val="it-CH"/>
        </w:rPr>
        <w:t xml:space="preserve">essaggio </w:t>
      </w:r>
      <w:r>
        <w:rPr>
          <w:rFonts w:cs="Arial"/>
          <w:szCs w:val="24"/>
          <w:lang w:val="it-CH"/>
        </w:rPr>
        <w:t>n.</w:t>
      </w:r>
      <w:r w:rsidRPr="00D45B59">
        <w:rPr>
          <w:rFonts w:cs="Arial"/>
          <w:szCs w:val="24"/>
          <w:lang w:val="it-CH"/>
        </w:rPr>
        <w:t xml:space="preserve"> 6920. Per le rimanenti tre posizioni (Patologia, Psichiatria e Medicina generale II) i concorsi saranno pubblicati nell’autunno 2018.</w:t>
      </w:r>
    </w:p>
    <w:p w:rsidR="0024207A" w:rsidRDefault="0024207A" w:rsidP="0024207A">
      <w:pPr>
        <w:rPr>
          <w:lang w:val="it-CH"/>
        </w:rPr>
      </w:pPr>
    </w:p>
    <w:p w:rsidR="0024207A" w:rsidRPr="00B9520D" w:rsidRDefault="0024207A" w:rsidP="0024207A">
      <w:pPr>
        <w:rPr>
          <w:lang w:val="it-CH"/>
        </w:rPr>
      </w:pPr>
      <w:r>
        <w:rPr>
          <w:lang w:val="it-CH"/>
        </w:rPr>
        <w:t xml:space="preserve">Per </w:t>
      </w:r>
      <w:r w:rsidRPr="00B9520D">
        <w:rPr>
          <w:lang w:val="it-CH"/>
        </w:rPr>
        <w:t xml:space="preserve">quanto riguarda il </w:t>
      </w:r>
      <w:r>
        <w:rPr>
          <w:lang w:val="it-CH"/>
        </w:rPr>
        <w:t>m</w:t>
      </w:r>
      <w:r w:rsidRPr="00B9520D">
        <w:rPr>
          <w:lang w:val="it-CH"/>
        </w:rPr>
        <w:t>aster, il cui sviluppo è il principale mandato conferito dall’USI al Consiglio dei professori della nuova facoltà, durante il 2017 è sta</w:t>
      </w:r>
      <w:r>
        <w:rPr>
          <w:lang w:val="it-CH"/>
        </w:rPr>
        <w:t xml:space="preserve">ta elaborata </w:t>
      </w:r>
      <w:r w:rsidRPr="00B9520D">
        <w:rPr>
          <w:lang w:val="it-CH"/>
        </w:rPr>
        <w:t>l’architettura di un proprio modello di curricolo di studio articolato in moduli tematici e competenze trasversali interdisciplinari</w:t>
      </w:r>
      <w:r>
        <w:rPr>
          <w:lang w:val="it-CH"/>
        </w:rPr>
        <w:t>,</w:t>
      </w:r>
      <w:r w:rsidRPr="00B9520D">
        <w:rPr>
          <w:lang w:val="it-CH"/>
        </w:rPr>
        <w:t xml:space="preserve"> ponendosi quale obiettivo specifico quello di identificare alcuni punti di forza al fine di attrarre a Lugano i futuri studenti. </w:t>
      </w:r>
      <w:r>
        <w:rPr>
          <w:lang w:val="it-CH"/>
        </w:rPr>
        <w:t>I</w:t>
      </w:r>
      <w:r w:rsidRPr="00B9520D">
        <w:rPr>
          <w:lang w:val="it-CH"/>
        </w:rPr>
        <w:t xml:space="preserve"> punti di forza sono: </w:t>
      </w:r>
    </w:p>
    <w:p w:rsidR="0024207A" w:rsidRPr="00B9520D" w:rsidRDefault="0024207A" w:rsidP="0024207A">
      <w:pPr>
        <w:pStyle w:val="Paragrafoelenco"/>
        <w:numPr>
          <w:ilvl w:val="0"/>
          <w:numId w:val="39"/>
        </w:numPr>
        <w:spacing w:before="60"/>
        <w:ind w:left="284" w:hanging="284"/>
        <w:contextualSpacing w:val="0"/>
        <w:rPr>
          <w:rFonts w:cs="Arial"/>
        </w:rPr>
      </w:pPr>
      <w:r w:rsidRPr="00B9520D">
        <w:rPr>
          <w:rFonts w:cs="Arial"/>
        </w:rPr>
        <w:t>lo stretto contatto tra studenti</w:t>
      </w:r>
      <w:r>
        <w:rPr>
          <w:rFonts w:cs="Arial"/>
        </w:rPr>
        <w:t xml:space="preserve">, </w:t>
      </w:r>
      <w:r w:rsidRPr="00B9520D">
        <w:rPr>
          <w:rFonts w:cs="Arial"/>
        </w:rPr>
        <w:t>professori e docenti;</w:t>
      </w:r>
    </w:p>
    <w:p w:rsidR="0024207A" w:rsidRPr="00B9520D" w:rsidRDefault="0024207A" w:rsidP="0024207A">
      <w:pPr>
        <w:pStyle w:val="Paragrafoelenco"/>
        <w:numPr>
          <w:ilvl w:val="0"/>
          <w:numId w:val="39"/>
        </w:numPr>
        <w:spacing w:before="60"/>
        <w:ind w:left="284" w:hanging="284"/>
        <w:contextualSpacing w:val="0"/>
        <w:rPr>
          <w:rFonts w:cs="Arial"/>
        </w:rPr>
      </w:pPr>
      <w:r w:rsidRPr="00B9520D">
        <w:rPr>
          <w:rFonts w:cs="Arial"/>
        </w:rPr>
        <w:t>l’insegnamento orientato alla pratica sia in piccoli gruppi sia al letto del paziente;</w:t>
      </w:r>
    </w:p>
    <w:p w:rsidR="0024207A" w:rsidRPr="002F2D0D" w:rsidRDefault="0024207A" w:rsidP="0024207A">
      <w:pPr>
        <w:pStyle w:val="Paragrafoelenco"/>
        <w:numPr>
          <w:ilvl w:val="0"/>
          <w:numId w:val="39"/>
        </w:numPr>
        <w:spacing w:before="60"/>
        <w:ind w:left="284" w:hanging="284"/>
        <w:contextualSpacing w:val="0"/>
        <w:rPr>
          <w:rFonts w:cs="Arial"/>
        </w:rPr>
      </w:pPr>
      <w:r w:rsidRPr="00B9520D">
        <w:rPr>
          <w:rFonts w:cs="Arial"/>
        </w:rPr>
        <w:t xml:space="preserve">un curricolo di studio conforme alle direttive </w:t>
      </w:r>
      <w:r w:rsidRPr="002F2D0D">
        <w:rPr>
          <w:rFonts w:cs="Arial"/>
        </w:rPr>
        <w:t>“</w:t>
      </w:r>
      <w:proofErr w:type="spellStart"/>
      <w:r w:rsidRPr="002F2D0D">
        <w:rPr>
          <w:rFonts w:cs="Arial"/>
        </w:rPr>
        <w:t>Principal</w:t>
      </w:r>
      <w:proofErr w:type="spellEnd"/>
      <w:r w:rsidRPr="002F2D0D">
        <w:rPr>
          <w:rFonts w:cs="Arial"/>
        </w:rPr>
        <w:t xml:space="preserve"> </w:t>
      </w:r>
      <w:proofErr w:type="spellStart"/>
      <w:r w:rsidRPr="002F2D0D">
        <w:rPr>
          <w:rFonts w:cs="Arial"/>
        </w:rPr>
        <w:t>Relevant</w:t>
      </w:r>
      <w:proofErr w:type="spellEnd"/>
      <w:r w:rsidRPr="002F2D0D">
        <w:rPr>
          <w:rFonts w:cs="Arial"/>
        </w:rPr>
        <w:t xml:space="preserve"> </w:t>
      </w:r>
      <w:proofErr w:type="spellStart"/>
      <w:r w:rsidRPr="002F2D0D">
        <w:rPr>
          <w:rFonts w:cs="Arial"/>
        </w:rPr>
        <w:t>Objectives</w:t>
      </w:r>
      <w:proofErr w:type="spellEnd"/>
      <w:r w:rsidRPr="002F2D0D">
        <w:rPr>
          <w:rFonts w:cs="Arial"/>
        </w:rPr>
        <w:t xml:space="preserve"> For integrative Learning and </w:t>
      </w:r>
      <w:proofErr w:type="spellStart"/>
      <w:r w:rsidRPr="002F2D0D">
        <w:rPr>
          <w:rFonts w:cs="Arial"/>
        </w:rPr>
        <w:t>Education</w:t>
      </w:r>
      <w:proofErr w:type="spellEnd"/>
      <w:r w:rsidRPr="002F2D0D">
        <w:rPr>
          <w:rFonts w:cs="Arial"/>
        </w:rPr>
        <w:t xml:space="preserve"> in </w:t>
      </w:r>
      <w:proofErr w:type="spellStart"/>
      <w:r w:rsidRPr="002F2D0D">
        <w:rPr>
          <w:rFonts w:cs="Arial"/>
        </w:rPr>
        <w:t>Switzerland</w:t>
      </w:r>
      <w:proofErr w:type="spellEnd"/>
      <w:r w:rsidRPr="002F2D0D">
        <w:rPr>
          <w:rFonts w:cs="Arial"/>
        </w:rPr>
        <w:t>” recentemente pubblicate dall’Ufficio federale della sanità pubblica;</w:t>
      </w:r>
    </w:p>
    <w:p w:rsidR="0024207A" w:rsidRPr="00B9520D" w:rsidRDefault="0024207A" w:rsidP="0024207A">
      <w:pPr>
        <w:pStyle w:val="Paragrafoelenco"/>
        <w:numPr>
          <w:ilvl w:val="0"/>
          <w:numId w:val="39"/>
        </w:numPr>
        <w:spacing w:before="60"/>
        <w:ind w:left="284" w:hanging="284"/>
        <w:contextualSpacing w:val="0"/>
        <w:rPr>
          <w:rFonts w:cs="Arial"/>
        </w:rPr>
      </w:pPr>
      <w:r w:rsidRPr="00B9520D">
        <w:rPr>
          <w:rFonts w:cs="Arial"/>
        </w:rPr>
        <w:t xml:space="preserve">la possibilità di iniziare il programma per conseguire il titolo di Dr. </w:t>
      </w:r>
      <w:proofErr w:type="spellStart"/>
      <w:r w:rsidRPr="00B9520D">
        <w:rPr>
          <w:rFonts w:cs="Arial"/>
        </w:rPr>
        <w:t>med</w:t>
      </w:r>
      <w:proofErr w:type="spellEnd"/>
      <w:r w:rsidRPr="00B9520D">
        <w:rPr>
          <w:rFonts w:cs="Arial"/>
        </w:rPr>
        <w:t xml:space="preserve"> e di MD-</w:t>
      </w:r>
      <w:proofErr w:type="spellStart"/>
      <w:r w:rsidRPr="00B9520D">
        <w:rPr>
          <w:rFonts w:cs="Arial"/>
        </w:rPr>
        <w:t>PhD</w:t>
      </w:r>
      <w:proofErr w:type="spellEnd"/>
      <w:r w:rsidRPr="00B9520D">
        <w:rPr>
          <w:rFonts w:cs="Arial"/>
        </w:rPr>
        <w:t xml:space="preserve"> alla fine del 5°</w:t>
      </w:r>
      <w:r>
        <w:rPr>
          <w:rFonts w:cs="Arial"/>
        </w:rPr>
        <w:t xml:space="preserve"> </w:t>
      </w:r>
      <w:r w:rsidRPr="00B9520D">
        <w:rPr>
          <w:rFonts w:cs="Arial"/>
        </w:rPr>
        <w:t>semestre</w:t>
      </w:r>
      <w:r>
        <w:rPr>
          <w:rFonts w:cs="Arial"/>
        </w:rPr>
        <w:t>;</w:t>
      </w:r>
    </w:p>
    <w:p w:rsidR="0024207A" w:rsidRPr="00B9520D" w:rsidRDefault="0024207A" w:rsidP="0024207A">
      <w:pPr>
        <w:pStyle w:val="Paragrafoelenco"/>
        <w:numPr>
          <w:ilvl w:val="0"/>
          <w:numId w:val="39"/>
        </w:numPr>
        <w:spacing w:before="60"/>
        <w:ind w:left="284" w:hanging="284"/>
        <w:contextualSpacing w:val="0"/>
        <w:rPr>
          <w:rFonts w:cs="Arial"/>
        </w:rPr>
      </w:pPr>
      <w:r w:rsidRPr="00B9520D">
        <w:rPr>
          <w:rFonts w:cs="Arial"/>
        </w:rPr>
        <w:t xml:space="preserve">una variegata offerta di corsi e seminari di ricerca </w:t>
      </w:r>
      <w:r>
        <w:rPr>
          <w:rFonts w:cs="Arial"/>
        </w:rPr>
        <w:t>che valorizzano</w:t>
      </w:r>
      <w:r w:rsidRPr="00B9520D">
        <w:rPr>
          <w:rFonts w:cs="Arial"/>
        </w:rPr>
        <w:t xml:space="preserve"> l’apporto dei professori e ricercatori IRB e IOR.</w:t>
      </w:r>
    </w:p>
    <w:p w:rsidR="0024207A" w:rsidRDefault="0024207A" w:rsidP="0024207A">
      <w:pPr>
        <w:tabs>
          <w:tab w:val="left" w:pos="2552"/>
        </w:tabs>
        <w:ind w:right="-1"/>
        <w:rPr>
          <w:rFonts w:cs="Arial"/>
          <w:szCs w:val="24"/>
          <w:lang w:val="it-CH"/>
        </w:rPr>
      </w:pPr>
    </w:p>
    <w:p w:rsidR="0024207A" w:rsidRPr="00B9520D" w:rsidRDefault="0024207A" w:rsidP="0024207A">
      <w:pPr>
        <w:rPr>
          <w:lang w:val="it-CH"/>
        </w:rPr>
      </w:pPr>
      <w:r w:rsidRPr="00B9520D">
        <w:rPr>
          <w:lang w:val="it-CH"/>
        </w:rPr>
        <w:t>Infine</w:t>
      </w:r>
      <w:r>
        <w:rPr>
          <w:lang w:val="it-CH"/>
        </w:rPr>
        <w:t>,</w:t>
      </w:r>
      <w:r w:rsidRPr="00B9520D">
        <w:rPr>
          <w:lang w:val="it-CH"/>
        </w:rPr>
        <w:t xml:space="preserve"> nel 2017 la </w:t>
      </w:r>
      <w:r>
        <w:rPr>
          <w:lang w:val="it-CH"/>
        </w:rPr>
        <w:t>f</w:t>
      </w:r>
      <w:r w:rsidRPr="00B9520D">
        <w:rPr>
          <w:lang w:val="it-CH"/>
        </w:rPr>
        <w:t>acoltà ha iniziato a prendere in esame il complesso tema de</w:t>
      </w:r>
      <w:r>
        <w:rPr>
          <w:lang w:val="it-CH"/>
        </w:rPr>
        <w:t>i</w:t>
      </w:r>
      <w:r w:rsidRPr="00B9520D">
        <w:rPr>
          <w:lang w:val="it-CH"/>
        </w:rPr>
        <w:t xml:space="preserve"> nuovi mezzi d</w:t>
      </w:r>
      <w:r>
        <w:rPr>
          <w:lang w:val="it-CH"/>
        </w:rPr>
        <w:t>’</w:t>
      </w:r>
      <w:r w:rsidRPr="00B9520D">
        <w:rPr>
          <w:lang w:val="it-CH"/>
        </w:rPr>
        <w:t>insegnamento (e-learn</w:t>
      </w:r>
      <w:r>
        <w:rPr>
          <w:lang w:val="it-CH"/>
        </w:rPr>
        <w:t>ing</w:t>
      </w:r>
      <w:r w:rsidRPr="00B9520D">
        <w:rPr>
          <w:lang w:val="it-CH"/>
        </w:rPr>
        <w:t xml:space="preserve"> e simulazioni)</w:t>
      </w:r>
      <w:r>
        <w:rPr>
          <w:lang w:val="it-CH"/>
        </w:rPr>
        <w:t>, coinvolgendo i</w:t>
      </w:r>
      <w:r w:rsidRPr="00B9520D">
        <w:rPr>
          <w:lang w:val="it-CH"/>
        </w:rPr>
        <w:t xml:space="preserve"> servizi competenti dell’USI.</w:t>
      </w:r>
    </w:p>
    <w:p w:rsidR="0024207A" w:rsidRDefault="0024207A" w:rsidP="0024207A"/>
    <w:p w:rsidR="0024207A" w:rsidRPr="006802E3" w:rsidRDefault="0024207A" w:rsidP="0024207A">
      <w:pPr>
        <w:rPr>
          <w:bCs/>
        </w:rPr>
      </w:pPr>
      <w:r>
        <w:t>Dal punto di vista istituzionale, si ricorda che a</w:t>
      </w:r>
      <w:r w:rsidRPr="006802E3">
        <w:t xml:space="preserve">lla Facoltà </w:t>
      </w:r>
      <w:r>
        <w:t xml:space="preserve">di scienze biomediche </w:t>
      </w:r>
      <w:r w:rsidRPr="006802E3">
        <w:t>sono affiliati l’IRB</w:t>
      </w:r>
      <w:r>
        <w:t xml:space="preserve"> </w:t>
      </w:r>
      <w:r w:rsidRPr="006802E3">
        <w:t>e l</w:t>
      </w:r>
      <w:r>
        <w:t>o IOR</w:t>
      </w:r>
      <w:r w:rsidRPr="006802E3">
        <w:t>, entrambi con sede a Bellinzona. Il C</w:t>
      </w:r>
      <w:r>
        <w:t xml:space="preserve">onsiglio di Stato </w:t>
      </w:r>
      <w:r w:rsidRPr="006802E3">
        <w:t xml:space="preserve">ha inoltre approvato in data </w:t>
      </w:r>
      <w:r w:rsidRPr="006802E3">
        <w:rPr>
          <w:color w:val="000000"/>
        </w:rPr>
        <w:t>30 gennaio 2018 l’associazione all’USI</w:t>
      </w:r>
      <w:r>
        <w:rPr>
          <w:color w:val="000000"/>
        </w:rPr>
        <w:t xml:space="preserve"> </w:t>
      </w:r>
      <w:r w:rsidRPr="006802E3">
        <w:rPr>
          <w:color w:val="000000"/>
        </w:rPr>
        <w:t xml:space="preserve">della </w:t>
      </w:r>
      <w:r>
        <w:rPr>
          <w:color w:val="000000"/>
        </w:rPr>
        <w:t>f</w:t>
      </w:r>
      <w:r w:rsidRPr="006802E3">
        <w:rPr>
          <w:color w:val="000000"/>
        </w:rPr>
        <w:t xml:space="preserve">ondazione </w:t>
      </w:r>
      <w:proofErr w:type="spellStart"/>
      <w:r w:rsidRPr="006802E3">
        <w:rPr>
          <w:color w:val="000000"/>
        </w:rPr>
        <w:t>European</w:t>
      </w:r>
      <w:proofErr w:type="spellEnd"/>
      <w:r w:rsidRPr="006802E3">
        <w:rPr>
          <w:color w:val="000000"/>
        </w:rPr>
        <w:t xml:space="preserve"> School for Advanced </w:t>
      </w:r>
      <w:proofErr w:type="spellStart"/>
      <w:r w:rsidRPr="006802E3">
        <w:rPr>
          <w:color w:val="000000"/>
        </w:rPr>
        <w:t>Studies</w:t>
      </w:r>
      <w:proofErr w:type="spellEnd"/>
      <w:r w:rsidRPr="006802E3">
        <w:rPr>
          <w:color w:val="000000"/>
        </w:rPr>
        <w:t xml:space="preserve"> in </w:t>
      </w:r>
      <w:proofErr w:type="spellStart"/>
      <w:r w:rsidRPr="006802E3">
        <w:rPr>
          <w:color w:val="000000"/>
        </w:rPr>
        <w:t>Ophthalmology</w:t>
      </w:r>
      <w:proofErr w:type="spellEnd"/>
      <w:r w:rsidRPr="006802E3">
        <w:rPr>
          <w:color w:val="000000"/>
        </w:rPr>
        <w:t xml:space="preserve"> (ESASO)</w:t>
      </w:r>
      <w:r>
        <w:rPr>
          <w:color w:val="000000"/>
        </w:rPr>
        <w:t xml:space="preserve">, </w:t>
      </w:r>
      <w:r w:rsidRPr="006802E3">
        <w:rPr>
          <w:color w:val="000000"/>
        </w:rPr>
        <w:t xml:space="preserve">secondo le modalità di cui all’art. 12 cpv. 5-7 LUSI-SUPSI. La </w:t>
      </w:r>
      <w:r>
        <w:rPr>
          <w:color w:val="000000"/>
        </w:rPr>
        <w:t>f</w:t>
      </w:r>
      <w:r w:rsidRPr="006802E3">
        <w:rPr>
          <w:color w:val="000000"/>
        </w:rPr>
        <w:t xml:space="preserve">ondazione ESASO </w:t>
      </w:r>
      <w:r w:rsidRPr="006802E3">
        <w:rPr>
          <w:bCs/>
        </w:rPr>
        <w:t xml:space="preserve">nasce nel 2008 con </w:t>
      </w:r>
      <w:r>
        <w:rPr>
          <w:bCs/>
        </w:rPr>
        <w:t>sede</w:t>
      </w:r>
      <w:r w:rsidRPr="006802E3">
        <w:rPr>
          <w:bCs/>
        </w:rPr>
        <w:t xml:space="preserve"> a Lugano ed è </w:t>
      </w:r>
      <w:r>
        <w:rPr>
          <w:bCs/>
        </w:rPr>
        <w:t>sostenuta</w:t>
      </w:r>
      <w:r w:rsidRPr="006802E3">
        <w:rPr>
          <w:bCs/>
        </w:rPr>
        <w:t xml:space="preserve"> dal Comune di Lugano e dall’EOC. ESASO</w:t>
      </w:r>
      <w:r>
        <w:rPr>
          <w:bCs/>
        </w:rPr>
        <w:t>, oltre a organizzare convegni annuali</w:t>
      </w:r>
      <w:r w:rsidRPr="006802E3">
        <w:t xml:space="preserve"> </w:t>
      </w:r>
      <w:r>
        <w:t>con la</w:t>
      </w:r>
      <w:r w:rsidRPr="006802E3">
        <w:t xml:space="preserve"> partecipazione di medici specialisti</w:t>
      </w:r>
      <w:r>
        <w:t xml:space="preserve"> qualificati</w:t>
      </w:r>
      <w:r>
        <w:rPr>
          <w:bCs/>
        </w:rPr>
        <w:t>,</w:t>
      </w:r>
      <w:r w:rsidRPr="006802E3">
        <w:rPr>
          <w:bCs/>
        </w:rPr>
        <w:t xml:space="preserve"> si occupa di formazione continua, </w:t>
      </w:r>
      <w:r w:rsidRPr="006802E3">
        <w:t>mettendo a disposizione di medici e personale ausiliario nel campo dell’oftalmologia una formazione specifica post-laurea per soddisfare esigenze</w:t>
      </w:r>
      <w:r>
        <w:t xml:space="preserve"> peculiari</w:t>
      </w:r>
      <w:r w:rsidRPr="006802E3">
        <w:t xml:space="preserve"> di formazione altamente qualificata, attingendo alle competenze di professori provenienti da tutto il mondo e grazie al sostegno di diverse </w:t>
      </w:r>
      <w:r>
        <w:t>u</w:t>
      </w:r>
      <w:r w:rsidRPr="006802E3">
        <w:t xml:space="preserve">niversità. </w:t>
      </w:r>
      <w:r>
        <w:t>Tali competenze saranno molto utili alla Facoltà di Scienze biomediche.</w:t>
      </w:r>
      <w:r w:rsidRPr="006802E3">
        <w:t xml:space="preserve"> </w:t>
      </w:r>
    </w:p>
    <w:p w:rsidR="0024207A" w:rsidRDefault="0024207A" w:rsidP="0024207A"/>
    <w:p w:rsidR="0024207A" w:rsidRDefault="0024207A" w:rsidP="0024207A">
      <w:r w:rsidRPr="002849F5">
        <w:t xml:space="preserve">La </w:t>
      </w:r>
      <w:r>
        <w:t>f</w:t>
      </w:r>
      <w:r w:rsidRPr="002849F5">
        <w:t>acoltà</w:t>
      </w:r>
      <w:r>
        <w:t>, oltre che con affiliate e associate,</w:t>
      </w:r>
      <w:r w:rsidRPr="002849F5">
        <w:t xml:space="preserve"> lavorerà in modo sinergico con </w:t>
      </w:r>
      <w:r>
        <w:t xml:space="preserve">le </w:t>
      </w:r>
      <w:r w:rsidRPr="002849F5">
        <w:t xml:space="preserve">altre </w:t>
      </w:r>
      <w:r>
        <w:t>f</w:t>
      </w:r>
      <w:r w:rsidRPr="002849F5">
        <w:t xml:space="preserve">acoltà dell’USI in campi quali la comunicazione sanitaria, la gestione e l’economia della sanità, l’applicazione medica della scienza computazionale. Il Center of Advanced </w:t>
      </w:r>
      <w:proofErr w:type="spellStart"/>
      <w:r w:rsidRPr="002849F5">
        <w:t>Studies</w:t>
      </w:r>
      <w:proofErr w:type="spellEnd"/>
      <w:r w:rsidRPr="002849F5">
        <w:t xml:space="preserve"> on </w:t>
      </w:r>
      <w:proofErr w:type="spellStart"/>
      <w:r w:rsidRPr="002849F5">
        <w:lastRenderedPageBreak/>
        <w:t>Entrepreneurship</w:t>
      </w:r>
      <w:proofErr w:type="spellEnd"/>
      <w:r w:rsidRPr="002849F5">
        <w:t xml:space="preserve"> in </w:t>
      </w:r>
      <w:proofErr w:type="spellStart"/>
      <w:r w:rsidRPr="002849F5">
        <w:t>BioMedicine</w:t>
      </w:r>
      <w:proofErr w:type="spellEnd"/>
      <w:r w:rsidRPr="002849F5">
        <w:t xml:space="preserve"> (CASE </w:t>
      </w:r>
      <w:proofErr w:type="spellStart"/>
      <w:r w:rsidRPr="002849F5">
        <w:t>BioMed</w:t>
      </w:r>
      <w:proofErr w:type="spellEnd"/>
      <w:r w:rsidRPr="002849F5">
        <w:t>) completa la formazione medica e scientifica proposta dalla Facoltà di scienze biomediche tramite programmi di formazione continua (</w:t>
      </w:r>
      <w:proofErr w:type="spellStart"/>
      <w:r w:rsidRPr="002849F5">
        <w:t>BioBusiness</w:t>
      </w:r>
      <w:proofErr w:type="spellEnd"/>
      <w:r w:rsidRPr="002849F5">
        <w:t xml:space="preserve"> e </w:t>
      </w:r>
      <w:proofErr w:type="spellStart"/>
      <w:r w:rsidRPr="002849F5">
        <w:t>MedTech</w:t>
      </w:r>
      <w:proofErr w:type="spellEnd"/>
      <w:r w:rsidRPr="002849F5">
        <w:t xml:space="preserve"> Business). </w:t>
      </w:r>
      <w:r w:rsidRPr="004769A0">
        <w:t>Questi programmi offrono alle giovani imprese attive nel settore delle biotecnologie e delle tecnologie mediche le conoscenze e le competenze necessarie a sviluppare, finanziare e immettere sul mercato innovazioni nel campo biomedico.</w:t>
      </w:r>
    </w:p>
    <w:p w:rsidR="0024207A" w:rsidRDefault="0024207A" w:rsidP="0024207A"/>
    <w:p w:rsidR="0024207A" w:rsidRPr="00F81062" w:rsidRDefault="0024207A" w:rsidP="0024207A">
      <w:pPr>
        <w:rPr>
          <w:lang w:val="it-CH"/>
        </w:rPr>
      </w:pPr>
      <w:r>
        <w:t>Per</w:t>
      </w:r>
      <w:r w:rsidRPr="00F81062">
        <w:t xml:space="preserve"> </w:t>
      </w:r>
      <w:r w:rsidRPr="00F81062">
        <w:rPr>
          <w:lang w:val="it-CH"/>
        </w:rPr>
        <w:t>la fase d’avvio</w:t>
      </w:r>
      <w:r>
        <w:rPr>
          <w:lang w:val="it-CH"/>
        </w:rPr>
        <w:t xml:space="preserve"> della nuova facoltà</w:t>
      </w:r>
      <w:r w:rsidRPr="00F81062">
        <w:rPr>
          <w:lang w:val="it-CH"/>
        </w:rPr>
        <w:t xml:space="preserve"> </w:t>
      </w:r>
      <w:r>
        <w:rPr>
          <w:lang w:val="it-CH"/>
        </w:rPr>
        <w:t>l’USI</w:t>
      </w:r>
      <w:r w:rsidRPr="00F81062">
        <w:rPr>
          <w:lang w:val="it-CH"/>
        </w:rPr>
        <w:t xml:space="preserve"> beneficia di due fonti di finanziamento: un apporto supplementare di start up da parte del Cantone</w:t>
      </w:r>
      <w:r>
        <w:rPr>
          <w:lang w:val="it-CH"/>
        </w:rPr>
        <w:t>,</w:t>
      </w:r>
      <w:r w:rsidRPr="00F81062">
        <w:rPr>
          <w:lang w:val="it-CH"/>
        </w:rPr>
        <w:t xml:space="preserve"> già previst</w:t>
      </w:r>
      <w:r>
        <w:rPr>
          <w:lang w:val="it-CH"/>
        </w:rPr>
        <w:t>o</w:t>
      </w:r>
      <w:r w:rsidRPr="00F81062">
        <w:rPr>
          <w:lang w:val="it-CH"/>
        </w:rPr>
        <w:t xml:space="preserve"> nel </w:t>
      </w:r>
      <w:r>
        <w:rPr>
          <w:lang w:val="it-CH"/>
        </w:rPr>
        <w:t>M</w:t>
      </w:r>
      <w:r w:rsidRPr="00F81062">
        <w:rPr>
          <w:lang w:val="it-CH"/>
        </w:rPr>
        <w:t xml:space="preserve">essaggio </w:t>
      </w:r>
      <w:r>
        <w:rPr>
          <w:lang w:val="it-CH"/>
        </w:rPr>
        <w:t xml:space="preserve">n. </w:t>
      </w:r>
      <w:r w:rsidRPr="00F81062">
        <w:rPr>
          <w:lang w:val="it-CH"/>
        </w:rPr>
        <w:t>6920</w:t>
      </w:r>
      <w:r>
        <w:rPr>
          <w:lang w:val="it-CH"/>
        </w:rPr>
        <w:t>,</w:t>
      </w:r>
      <w:r w:rsidRPr="00F81062">
        <w:rPr>
          <w:lang w:val="it-CH"/>
        </w:rPr>
        <w:t xml:space="preserve"> e i fondi del </w:t>
      </w:r>
      <w:r>
        <w:rPr>
          <w:lang w:val="it-CH"/>
        </w:rPr>
        <w:t xml:space="preserve">Programma Speciale </w:t>
      </w:r>
      <w:r w:rsidRPr="00F81062">
        <w:rPr>
          <w:lang w:val="it-CH"/>
        </w:rPr>
        <w:t xml:space="preserve">sulla medicina </w:t>
      </w:r>
      <w:r>
        <w:rPr>
          <w:lang w:val="it-CH"/>
        </w:rPr>
        <w:t>(</w:t>
      </w:r>
      <w:proofErr w:type="spellStart"/>
      <w:r w:rsidRPr="00F81062">
        <w:rPr>
          <w:i/>
          <w:lang w:val="it-CH"/>
        </w:rPr>
        <w:t>Sonderpr</w:t>
      </w:r>
      <w:r>
        <w:rPr>
          <w:i/>
          <w:lang w:val="it-CH"/>
        </w:rPr>
        <w:t>o</w:t>
      </w:r>
      <w:r w:rsidRPr="00F81062">
        <w:rPr>
          <w:i/>
          <w:lang w:val="it-CH"/>
        </w:rPr>
        <w:t>gramm</w:t>
      </w:r>
      <w:proofErr w:type="spellEnd"/>
      <w:r>
        <w:rPr>
          <w:lang w:val="it-CH"/>
        </w:rPr>
        <w:t>),</w:t>
      </w:r>
      <w:r w:rsidRPr="00F81062">
        <w:rPr>
          <w:lang w:val="it-CH"/>
        </w:rPr>
        <w:t xml:space="preserve"> promosso dalla Confederazione per l’incremento dei diplomi di medicina. Per coprire i 2 milioni di costi del 2017 l’USI ha quindi potuto fare affidamento sui 1.65 milioni </w:t>
      </w:r>
      <w:r>
        <w:rPr>
          <w:lang w:val="it-CH"/>
        </w:rPr>
        <w:t>d</w:t>
      </w:r>
      <w:r w:rsidRPr="00F81062">
        <w:rPr>
          <w:lang w:val="it-CH"/>
        </w:rPr>
        <w:t xml:space="preserve">i sussidi federali (di cui </w:t>
      </w:r>
      <w:r>
        <w:rPr>
          <w:lang w:val="it-CH"/>
        </w:rPr>
        <w:t xml:space="preserve">0.4 milioni riportati al 2018) </w:t>
      </w:r>
      <w:r w:rsidRPr="00F81062">
        <w:rPr>
          <w:lang w:val="it-CH"/>
        </w:rPr>
        <w:t xml:space="preserve">ricevuti in ambito del </w:t>
      </w:r>
      <w:proofErr w:type="spellStart"/>
      <w:r w:rsidRPr="00F81062">
        <w:rPr>
          <w:i/>
          <w:lang w:val="it-CH"/>
        </w:rPr>
        <w:t>Sonderprogramm</w:t>
      </w:r>
      <w:proofErr w:type="spellEnd"/>
      <w:r w:rsidRPr="00F81062">
        <w:rPr>
          <w:lang w:val="it-CH"/>
        </w:rPr>
        <w:t xml:space="preserve"> e </w:t>
      </w:r>
      <w:r>
        <w:rPr>
          <w:lang w:val="it-CH"/>
        </w:rPr>
        <w:t>sui</w:t>
      </w:r>
      <w:r w:rsidRPr="00F81062">
        <w:rPr>
          <w:lang w:val="it-CH"/>
        </w:rPr>
        <w:t xml:space="preserve"> 0.75 milioni di sussidi cantonali di start up </w:t>
      </w:r>
      <w:r>
        <w:rPr>
          <w:lang w:val="it-CH"/>
        </w:rPr>
        <w:t>concessi con</w:t>
      </w:r>
      <w:r w:rsidRPr="00F81062">
        <w:rPr>
          <w:lang w:val="it-CH"/>
        </w:rPr>
        <w:t xml:space="preserve"> RG </w:t>
      </w:r>
      <w:r>
        <w:rPr>
          <w:lang w:val="it-CH"/>
        </w:rPr>
        <w:t xml:space="preserve">3101 del 5 luglio 2017. Un rapporto finanziario è stato presentato dall’USI con la chiusura dei conti 2017, da questo si evince la natura dei costi sostenuti nel 2017 e la rispettiva necessità di finanziamento di 2 milioni di franchi coperta dalle citate fonti cantonali e federali. </w:t>
      </w:r>
    </w:p>
    <w:p w:rsidR="0024207A" w:rsidRDefault="0024207A" w:rsidP="0024207A">
      <w:pPr>
        <w:rPr>
          <w:highlight w:val="yellow"/>
        </w:rPr>
      </w:pPr>
    </w:p>
    <w:p w:rsidR="0024207A" w:rsidRDefault="0024207A" w:rsidP="0024207A">
      <w:pPr>
        <w:rPr>
          <w:highlight w:val="yellow"/>
        </w:rPr>
      </w:pPr>
    </w:p>
    <w:p w:rsidR="0024207A" w:rsidRDefault="0024207A" w:rsidP="0024207A">
      <w:pPr>
        <w:pStyle w:val="Titolo2"/>
        <w:spacing w:after="0"/>
      </w:pPr>
      <w:bookmarkStart w:id="38" w:name="_Toc241919553"/>
      <w:bookmarkStart w:id="39" w:name="_Toc241919583"/>
      <w:bookmarkStart w:id="40" w:name="_Toc241920445"/>
      <w:bookmarkStart w:id="41" w:name="_Toc241920705"/>
      <w:bookmarkStart w:id="42" w:name="_Toc242173219"/>
      <w:bookmarkStart w:id="43" w:name="_Toc303080078"/>
      <w:r w:rsidRPr="00972401">
        <w:t>2.</w:t>
      </w:r>
      <w:r>
        <w:t>6</w:t>
      </w:r>
      <w:r w:rsidRPr="00972401">
        <w:tab/>
        <w:t xml:space="preserve">Dati finanziari </w:t>
      </w:r>
      <w:bookmarkEnd w:id="38"/>
      <w:bookmarkEnd w:id="39"/>
      <w:bookmarkEnd w:id="40"/>
      <w:bookmarkEnd w:id="41"/>
      <w:r>
        <w:t>2017</w:t>
      </w:r>
      <w:bookmarkEnd w:id="42"/>
      <w:bookmarkEnd w:id="43"/>
      <w:r>
        <w:t xml:space="preserve"> dell’USI e contratto di prestazioni</w:t>
      </w:r>
    </w:p>
    <w:p w:rsidR="0024207A" w:rsidRDefault="0024207A" w:rsidP="0024207A">
      <w:pPr>
        <w:tabs>
          <w:tab w:val="left" w:pos="4962"/>
        </w:tabs>
        <w:spacing w:before="120"/>
        <w:rPr>
          <w:szCs w:val="24"/>
        </w:rPr>
      </w:pPr>
      <w:r w:rsidRPr="00972401">
        <w:rPr>
          <w:szCs w:val="24"/>
        </w:rPr>
        <w:t>Il C</w:t>
      </w:r>
      <w:r>
        <w:rPr>
          <w:szCs w:val="24"/>
        </w:rPr>
        <w:t xml:space="preserve">ontrollo cantonale delle finanze (CCF) </w:t>
      </w:r>
      <w:r w:rsidRPr="00123CC6">
        <w:rPr>
          <w:szCs w:val="24"/>
        </w:rPr>
        <w:t xml:space="preserve">nel suo Rapporto di revisione verifica alcuni aspetti finanziari del </w:t>
      </w:r>
      <w:proofErr w:type="spellStart"/>
      <w:r>
        <w:rPr>
          <w:szCs w:val="24"/>
        </w:rPr>
        <w:t>Cdp</w:t>
      </w:r>
      <w:proofErr w:type="spellEnd"/>
      <w:r w:rsidRPr="00123CC6">
        <w:rPr>
          <w:szCs w:val="24"/>
        </w:rPr>
        <w:t xml:space="preserve">, in particolare legati ai parametri di calcolo secondo l’art. 22. Inoltre l’art. 24 del </w:t>
      </w:r>
      <w:proofErr w:type="spellStart"/>
      <w:r>
        <w:rPr>
          <w:szCs w:val="24"/>
        </w:rPr>
        <w:t>Cdp</w:t>
      </w:r>
      <w:proofErr w:type="spellEnd"/>
      <w:r w:rsidRPr="00123CC6">
        <w:rPr>
          <w:szCs w:val="24"/>
        </w:rPr>
        <w:t xml:space="preserve"> prevede che, in caso di eccedenze</w:t>
      </w:r>
      <w:r>
        <w:rPr>
          <w:szCs w:val="24"/>
        </w:rPr>
        <w:t xml:space="preserve"> o disavanzi d’esercizio, questi</w:t>
      </w:r>
      <w:r w:rsidRPr="00123CC6">
        <w:rPr>
          <w:szCs w:val="24"/>
        </w:rPr>
        <w:t xml:space="preserve">, per </w:t>
      </w:r>
      <w:r>
        <w:rPr>
          <w:szCs w:val="24"/>
        </w:rPr>
        <w:t xml:space="preserve">quel che riguarda </w:t>
      </w:r>
      <w:r w:rsidRPr="00123CC6">
        <w:rPr>
          <w:szCs w:val="24"/>
        </w:rPr>
        <w:t xml:space="preserve">la parte finanziata dallo </w:t>
      </w:r>
      <w:r>
        <w:rPr>
          <w:szCs w:val="24"/>
        </w:rPr>
        <w:t>S</w:t>
      </w:r>
      <w:r w:rsidRPr="00123CC6">
        <w:rPr>
          <w:szCs w:val="24"/>
        </w:rPr>
        <w:t>tato</w:t>
      </w:r>
      <w:r>
        <w:rPr>
          <w:szCs w:val="24"/>
        </w:rPr>
        <w:t>, incidano sul “fondo di compensazione rischi” esposto a bilancio. Questo fondo è stato voluto per permettere una gestione bilanciata sul medio-breve periodo.</w:t>
      </w:r>
    </w:p>
    <w:p w:rsidR="0024207A" w:rsidRDefault="0024207A" w:rsidP="0024207A"/>
    <w:p w:rsidR="0024207A" w:rsidRDefault="0024207A" w:rsidP="0024207A">
      <w:pPr>
        <w:rPr>
          <w:rFonts w:cs="Arial"/>
          <w:lang w:val="it-CH"/>
        </w:rPr>
      </w:pPr>
      <w:r w:rsidRPr="00B97321">
        <w:t xml:space="preserve">Per </w:t>
      </w:r>
      <w:r w:rsidRPr="00224C09">
        <w:t>il 201</w:t>
      </w:r>
      <w:r>
        <w:t>7</w:t>
      </w:r>
      <w:r w:rsidRPr="00224C09">
        <w:t xml:space="preserve"> il risultato</w:t>
      </w:r>
      <w:r>
        <w:t xml:space="preserve"> d’esercizio dell’USI indica una perdita </w:t>
      </w:r>
      <w:r w:rsidRPr="00224C09">
        <w:rPr>
          <w:rFonts w:cs="Arial"/>
        </w:rPr>
        <w:t xml:space="preserve">d’esercizio di </w:t>
      </w:r>
      <w:proofErr w:type="spellStart"/>
      <w:r w:rsidRPr="00224C09">
        <w:rPr>
          <w:rFonts w:cs="Arial"/>
        </w:rPr>
        <w:t>fr</w:t>
      </w:r>
      <w:proofErr w:type="spellEnd"/>
      <w:r w:rsidRPr="00224C09">
        <w:rPr>
          <w:rFonts w:cs="Arial"/>
        </w:rPr>
        <w:t xml:space="preserve">. </w:t>
      </w:r>
      <w:r>
        <w:rPr>
          <w:rFonts w:cs="Arial"/>
        </w:rPr>
        <w:t>453</w:t>
      </w:r>
      <w:r w:rsidRPr="00224C09">
        <w:rPr>
          <w:rFonts w:cs="Arial"/>
        </w:rPr>
        <w:t>'</w:t>
      </w:r>
      <w:r>
        <w:rPr>
          <w:rFonts w:cs="Arial"/>
        </w:rPr>
        <w:t>272.-</w:t>
      </w:r>
      <w:r w:rsidRPr="00224C09">
        <w:rPr>
          <w:rFonts w:cs="Arial"/>
        </w:rPr>
        <w:t>.</w:t>
      </w:r>
      <w:r w:rsidRPr="00224C09">
        <w:t xml:space="preserve"> </w:t>
      </w:r>
      <w:r>
        <w:t>I</w:t>
      </w:r>
      <w:r w:rsidRPr="00224C09">
        <w:rPr>
          <w:rFonts w:cs="Arial"/>
          <w:lang w:val="it-CH"/>
        </w:rPr>
        <w:t>l 31 dicembre 201</w:t>
      </w:r>
      <w:r>
        <w:rPr>
          <w:rFonts w:cs="Arial"/>
          <w:lang w:val="it-CH"/>
        </w:rPr>
        <w:t>7</w:t>
      </w:r>
      <w:r w:rsidRPr="00224C09">
        <w:rPr>
          <w:rFonts w:cs="Arial"/>
          <w:lang w:val="it-CH"/>
        </w:rPr>
        <w:t xml:space="preserve"> il fondo di compensazione rischi previsto dall’art. 24 del </w:t>
      </w:r>
      <w:proofErr w:type="spellStart"/>
      <w:r>
        <w:rPr>
          <w:rFonts w:cs="Arial"/>
          <w:lang w:val="it-CH"/>
        </w:rPr>
        <w:t>Cdp</w:t>
      </w:r>
      <w:proofErr w:type="spellEnd"/>
      <w:r w:rsidRPr="00224C09">
        <w:rPr>
          <w:rFonts w:cs="Arial"/>
          <w:lang w:val="it-CH"/>
        </w:rPr>
        <w:t xml:space="preserve"> ammonta</w:t>
      </w:r>
      <w:r>
        <w:rPr>
          <w:rFonts w:cs="Arial"/>
          <w:lang w:val="it-CH"/>
        </w:rPr>
        <w:t>va</w:t>
      </w:r>
      <w:r w:rsidRPr="00224C09">
        <w:rPr>
          <w:rFonts w:cs="Arial"/>
          <w:lang w:val="it-CH"/>
        </w:rPr>
        <w:t xml:space="preserve"> a </w:t>
      </w:r>
      <w:r>
        <w:rPr>
          <w:rFonts w:cs="Arial"/>
          <w:lang w:val="it-CH"/>
        </w:rPr>
        <w:t>2</w:t>
      </w:r>
      <w:r w:rsidRPr="00224C09">
        <w:rPr>
          <w:rFonts w:cs="Arial"/>
          <w:lang w:val="it-CH"/>
        </w:rPr>
        <w:t>'</w:t>
      </w:r>
      <w:r>
        <w:rPr>
          <w:rFonts w:cs="Arial"/>
          <w:lang w:val="it-CH"/>
        </w:rPr>
        <w:t>55</w:t>
      </w:r>
      <w:r w:rsidRPr="00224C09">
        <w:rPr>
          <w:rFonts w:cs="Arial"/>
          <w:lang w:val="it-CH"/>
        </w:rPr>
        <w:t>0'000.-</w:t>
      </w:r>
      <w:r>
        <w:rPr>
          <w:rFonts w:cs="Arial"/>
          <w:lang w:val="it-CH"/>
        </w:rPr>
        <w:t xml:space="preserve"> franchi, in diminuzione rispetto al 2016, visto che la perdita di 0.63 milioni di franchi del 2016 è stata coperta con tale fondo</w:t>
      </w:r>
      <w:r w:rsidRPr="00224C09">
        <w:rPr>
          <w:rFonts w:cs="Arial"/>
          <w:lang w:val="it-CH"/>
        </w:rPr>
        <w:t xml:space="preserve">. </w:t>
      </w:r>
      <w:r>
        <w:rPr>
          <w:rFonts w:cs="Arial"/>
          <w:lang w:val="it-CH"/>
        </w:rPr>
        <w:t xml:space="preserve">Con la perdita riportata del 2017 il fondo di compensazione rischi risulterà appena superiore a 2 milioni di franchi. Tale fondo è stato pensato per garantire un’autonomia finanziaria dell’USI in caso di periodiche perdite d’esercizio, non per gestire perdite ricorrenti. Questa situazione andrà quindi monitorata da vicino per capire con il partner USI se il finanziamento cantonale e federale attuale sia coerente con una gestione di qualità dell’istituto e con le prestazioni da esso svolte. </w:t>
      </w:r>
    </w:p>
    <w:p w:rsidR="0024207A" w:rsidRDefault="0024207A" w:rsidP="0024207A">
      <w:pPr>
        <w:rPr>
          <w:rFonts w:cs="Arial"/>
        </w:rPr>
      </w:pPr>
    </w:p>
    <w:p w:rsidR="0024207A" w:rsidRPr="00CC0346" w:rsidRDefault="0024207A" w:rsidP="0024207A">
      <w:pPr>
        <w:rPr>
          <w:rFonts w:cs="Arial"/>
        </w:rPr>
      </w:pPr>
      <w:r w:rsidRPr="00CC0346">
        <w:rPr>
          <w:rFonts w:cs="Arial"/>
        </w:rPr>
        <w:t>Il CCF raccomanda di approvare il conto annuale dell’USI e attesta che: “</w:t>
      </w:r>
      <w:r w:rsidRPr="004939BE">
        <w:rPr>
          <w:rFonts w:cs="Arial"/>
        </w:rPr>
        <w:t>la contabilità e il conto annuale sono conformi alle disposizioni legali e regolamentari</w:t>
      </w:r>
      <w:r w:rsidRPr="00CC0346">
        <w:rPr>
          <w:rFonts w:cs="Arial"/>
        </w:rPr>
        <w:t>”.</w:t>
      </w:r>
    </w:p>
    <w:p w:rsidR="0024207A" w:rsidRDefault="0024207A" w:rsidP="0024207A"/>
    <w:p w:rsidR="0024207A" w:rsidRDefault="0024207A" w:rsidP="0024207A">
      <w:r>
        <w:t>La T</w:t>
      </w:r>
      <w:r w:rsidRPr="00C65DAB">
        <w:t>abella 5</w:t>
      </w:r>
      <w:r>
        <w:t xml:space="preserve"> illustra l’evoluzione del finanziamento cantonale all’USI riguardante la gestione corrente, ovvero la parte di finanziamento cantonale attribuita in base al </w:t>
      </w:r>
      <w:proofErr w:type="spellStart"/>
      <w:r>
        <w:t>Cdp</w:t>
      </w:r>
      <w:proofErr w:type="spellEnd"/>
      <w:r>
        <w:t>.</w:t>
      </w:r>
    </w:p>
    <w:p w:rsidR="0024207A" w:rsidRPr="00224C09" w:rsidRDefault="0024207A" w:rsidP="0024207A">
      <w:pPr>
        <w:autoSpaceDE w:val="0"/>
        <w:autoSpaceDN w:val="0"/>
        <w:adjustRightInd w:val="0"/>
        <w:rPr>
          <w:rFonts w:cs="Arial"/>
          <w:szCs w:val="24"/>
          <w:lang w:val="it-CH"/>
        </w:rPr>
      </w:pPr>
    </w:p>
    <w:p w:rsidR="001F1B4B" w:rsidRDefault="001F1B4B">
      <w:pPr>
        <w:jc w:val="left"/>
        <w:rPr>
          <w:b/>
          <w:sz w:val="22"/>
          <w:szCs w:val="22"/>
          <w:lang w:val="it-CH"/>
        </w:rPr>
      </w:pPr>
      <w:r>
        <w:rPr>
          <w:b/>
          <w:sz w:val="22"/>
          <w:szCs w:val="22"/>
          <w:lang w:val="it-CH"/>
        </w:rPr>
        <w:br w:type="page"/>
      </w:r>
    </w:p>
    <w:p w:rsidR="0024207A" w:rsidRPr="0024207A" w:rsidRDefault="0024207A" w:rsidP="0024207A">
      <w:pPr>
        <w:spacing w:after="120"/>
        <w:rPr>
          <w:rFonts w:cs="Arial"/>
          <w:b/>
          <w:sz w:val="22"/>
          <w:szCs w:val="22"/>
          <w:lang w:val="it-CH"/>
        </w:rPr>
      </w:pPr>
      <w:r w:rsidRPr="0024207A">
        <w:rPr>
          <w:b/>
          <w:sz w:val="22"/>
          <w:szCs w:val="22"/>
          <w:lang w:val="it-CH"/>
        </w:rPr>
        <w:lastRenderedPageBreak/>
        <w:t>Tabella 5 - Evoluzione del finanziamento del contratto di prestazioni dell’USI nelle sue componenti (</w:t>
      </w:r>
      <w:r w:rsidRPr="0024207A">
        <w:rPr>
          <w:rFonts w:cs="Arial"/>
          <w:b/>
          <w:sz w:val="22"/>
          <w:szCs w:val="22"/>
          <w:lang w:val="it-CH"/>
        </w:rPr>
        <w:t xml:space="preserve">cifre in migliaia di </w:t>
      </w:r>
      <w:proofErr w:type="spellStart"/>
      <w:r w:rsidRPr="0024207A">
        <w:rPr>
          <w:rFonts w:cs="Arial"/>
          <w:b/>
          <w:sz w:val="22"/>
          <w:szCs w:val="22"/>
          <w:lang w:val="it-CH"/>
        </w:rPr>
        <w:t>fr</w:t>
      </w:r>
      <w:proofErr w:type="spellEnd"/>
      <w:r w:rsidRPr="0024207A">
        <w:rPr>
          <w:rFonts w:cs="Arial"/>
          <w:b/>
          <w:sz w:val="22"/>
          <w:szCs w:val="22"/>
          <w:lang w:val="it-CH"/>
        </w:rPr>
        <w:t xml:space="preserve">.) </w:t>
      </w:r>
    </w:p>
    <w:tbl>
      <w:tblPr>
        <w:tblW w:w="9752" w:type="dxa"/>
        <w:tblInd w:w="55" w:type="dxa"/>
        <w:tblCellMar>
          <w:left w:w="70" w:type="dxa"/>
          <w:right w:w="70" w:type="dxa"/>
        </w:tblCellMar>
        <w:tblLook w:val="0000" w:firstRow="0" w:lastRow="0" w:firstColumn="0" w:lastColumn="0" w:noHBand="0" w:noVBand="0"/>
      </w:tblPr>
      <w:tblGrid>
        <w:gridCol w:w="3418"/>
        <w:gridCol w:w="914"/>
        <w:gridCol w:w="913"/>
        <w:gridCol w:w="914"/>
        <w:gridCol w:w="914"/>
        <w:gridCol w:w="914"/>
        <w:gridCol w:w="960"/>
        <w:gridCol w:w="805"/>
      </w:tblGrid>
      <w:tr w:rsidR="0024207A" w:rsidRPr="002F7E17" w:rsidTr="0024207A">
        <w:trPr>
          <w:trHeight w:val="315"/>
        </w:trPr>
        <w:tc>
          <w:tcPr>
            <w:tcW w:w="3418" w:type="dxa"/>
            <w:tcBorders>
              <w:top w:val="single" w:sz="8" w:space="0" w:color="auto"/>
              <w:left w:val="nil"/>
              <w:bottom w:val="nil"/>
              <w:right w:val="nil"/>
            </w:tcBorders>
            <w:shd w:val="clear" w:color="auto" w:fill="auto"/>
            <w:noWrap/>
            <w:vAlign w:val="bottom"/>
          </w:tcPr>
          <w:p w:rsidR="0024207A" w:rsidRPr="002F7E17" w:rsidRDefault="0024207A" w:rsidP="0024207A">
            <w:pPr>
              <w:rPr>
                <w:rFonts w:cs="Arial"/>
                <w:b/>
                <w:bCs/>
                <w:sz w:val="22"/>
                <w:szCs w:val="22"/>
                <w:lang w:val="it-CH"/>
              </w:rPr>
            </w:pPr>
            <w:r w:rsidRPr="002F7E17">
              <w:rPr>
                <w:rFonts w:cs="Arial"/>
                <w:b/>
                <w:bCs/>
                <w:sz w:val="22"/>
                <w:szCs w:val="22"/>
                <w:lang w:val="it-CH"/>
              </w:rPr>
              <w:t> </w:t>
            </w:r>
          </w:p>
        </w:tc>
        <w:tc>
          <w:tcPr>
            <w:tcW w:w="914" w:type="dxa"/>
            <w:tcBorders>
              <w:top w:val="single" w:sz="8" w:space="0" w:color="auto"/>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2011</w:t>
            </w:r>
          </w:p>
        </w:tc>
        <w:tc>
          <w:tcPr>
            <w:tcW w:w="913" w:type="dxa"/>
            <w:tcBorders>
              <w:top w:val="single" w:sz="8" w:space="0" w:color="auto"/>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2012</w:t>
            </w:r>
          </w:p>
        </w:tc>
        <w:tc>
          <w:tcPr>
            <w:tcW w:w="914" w:type="dxa"/>
            <w:tcBorders>
              <w:top w:val="single" w:sz="8" w:space="0" w:color="auto"/>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2013</w:t>
            </w:r>
          </w:p>
        </w:tc>
        <w:tc>
          <w:tcPr>
            <w:tcW w:w="914" w:type="dxa"/>
            <w:tcBorders>
              <w:top w:val="single" w:sz="8" w:space="0" w:color="auto"/>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2014</w:t>
            </w:r>
          </w:p>
        </w:tc>
        <w:tc>
          <w:tcPr>
            <w:tcW w:w="914" w:type="dxa"/>
            <w:tcBorders>
              <w:top w:val="single" w:sz="8" w:space="0" w:color="auto"/>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201</w:t>
            </w:r>
            <w:r>
              <w:rPr>
                <w:rFonts w:cs="Arial"/>
                <w:b/>
                <w:bCs/>
                <w:sz w:val="22"/>
                <w:szCs w:val="22"/>
                <w:lang w:val="it-CH"/>
              </w:rPr>
              <w:t>5</w:t>
            </w:r>
          </w:p>
        </w:tc>
        <w:tc>
          <w:tcPr>
            <w:tcW w:w="960" w:type="dxa"/>
            <w:tcBorders>
              <w:top w:val="single" w:sz="8" w:space="0" w:color="auto"/>
              <w:left w:val="nil"/>
              <w:bottom w:val="nil"/>
              <w:right w:val="nil"/>
            </w:tcBorders>
            <w:shd w:val="clear" w:color="auto" w:fill="auto"/>
            <w:noWrap/>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201</w:t>
            </w:r>
            <w:r>
              <w:rPr>
                <w:rFonts w:cs="Arial"/>
                <w:b/>
                <w:bCs/>
                <w:sz w:val="22"/>
                <w:szCs w:val="22"/>
                <w:lang w:val="it-CH"/>
              </w:rPr>
              <w:t>6</w:t>
            </w:r>
          </w:p>
        </w:tc>
        <w:tc>
          <w:tcPr>
            <w:tcW w:w="805" w:type="dxa"/>
            <w:tcBorders>
              <w:top w:val="single" w:sz="8" w:space="0" w:color="auto"/>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201</w:t>
            </w:r>
            <w:r>
              <w:rPr>
                <w:rFonts w:cs="Arial"/>
                <w:b/>
                <w:bCs/>
                <w:sz w:val="22"/>
                <w:szCs w:val="22"/>
                <w:lang w:val="it-CH"/>
              </w:rPr>
              <w:t>7</w:t>
            </w:r>
          </w:p>
        </w:tc>
      </w:tr>
      <w:tr w:rsidR="0024207A" w:rsidRPr="002F7E17" w:rsidTr="0024207A">
        <w:trPr>
          <w:trHeight w:val="285"/>
        </w:trPr>
        <w:tc>
          <w:tcPr>
            <w:tcW w:w="3418" w:type="dxa"/>
            <w:tcBorders>
              <w:top w:val="single" w:sz="8" w:space="0" w:color="auto"/>
              <w:left w:val="nil"/>
              <w:bottom w:val="nil"/>
              <w:right w:val="nil"/>
            </w:tcBorders>
            <w:shd w:val="clear" w:color="auto" w:fill="auto"/>
            <w:noWrap/>
            <w:vAlign w:val="bottom"/>
          </w:tcPr>
          <w:p w:rsidR="0024207A" w:rsidRPr="002F7E17" w:rsidRDefault="0024207A" w:rsidP="0024207A">
            <w:pPr>
              <w:rPr>
                <w:rFonts w:cs="Arial"/>
                <w:sz w:val="22"/>
                <w:szCs w:val="22"/>
                <w:lang w:val="it-CH"/>
              </w:rPr>
            </w:pPr>
            <w:r w:rsidRPr="002F7E17">
              <w:rPr>
                <w:rFonts w:cs="Arial"/>
                <w:sz w:val="22"/>
                <w:szCs w:val="22"/>
                <w:lang w:val="it-CH"/>
              </w:rPr>
              <w:t>Insegnamento</w:t>
            </w:r>
          </w:p>
        </w:tc>
        <w:tc>
          <w:tcPr>
            <w:tcW w:w="914" w:type="dxa"/>
            <w:tcBorders>
              <w:top w:val="single" w:sz="8" w:space="0" w:color="auto"/>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11'505</w:t>
            </w:r>
          </w:p>
        </w:tc>
        <w:tc>
          <w:tcPr>
            <w:tcW w:w="913" w:type="dxa"/>
            <w:tcBorders>
              <w:top w:val="single" w:sz="8" w:space="0" w:color="auto"/>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11'971</w:t>
            </w:r>
          </w:p>
        </w:tc>
        <w:tc>
          <w:tcPr>
            <w:tcW w:w="914" w:type="dxa"/>
            <w:tcBorders>
              <w:top w:val="single" w:sz="8" w:space="0" w:color="auto"/>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11'390</w:t>
            </w:r>
          </w:p>
        </w:tc>
        <w:tc>
          <w:tcPr>
            <w:tcW w:w="914" w:type="dxa"/>
            <w:tcBorders>
              <w:top w:val="single" w:sz="8" w:space="0" w:color="auto"/>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12'026</w:t>
            </w:r>
          </w:p>
        </w:tc>
        <w:tc>
          <w:tcPr>
            <w:tcW w:w="914" w:type="dxa"/>
            <w:tcBorders>
              <w:top w:val="single" w:sz="8" w:space="0" w:color="auto"/>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12'</w:t>
            </w:r>
            <w:r>
              <w:rPr>
                <w:rFonts w:cs="Arial"/>
                <w:sz w:val="22"/>
                <w:szCs w:val="22"/>
                <w:lang w:val="it-CH"/>
              </w:rPr>
              <w:t>503</w:t>
            </w:r>
          </w:p>
        </w:tc>
        <w:tc>
          <w:tcPr>
            <w:tcW w:w="960" w:type="dxa"/>
            <w:tcBorders>
              <w:top w:val="single" w:sz="8" w:space="0" w:color="auto"/>
              <w:left w:val="nil"/>
              <w:bottom w:val="nil"/>
              <w:right w:val="nil"/>
            </w:tcBorders>
            <w:shd w:val="clear" w:color="auto" w:fill="auto"/>
            <w:noWrap/>
            <w:vAlign w:val="bottom"/>
          </w:tcPr>
          <w:p w:rsidR="0024207A" w:rsidRPr="00AD6FD9" w:rsidRDefault="0024207A" w:rsidP="0024207A">
            <w:pPr>
              <w:jc w:val="right"/>
              <w:rPr>
                <w:rFonts w:cs="Arial"/>
                <w:sz w:val="22"/>
                <w:szCs w:val="22"/>
                <w:lang w:val="it-CH"/>
              </w:rPr>
            </w:pPr>
            <w:r w:rsidRPr="00AD6FD9">
              <w:rPr>
                <w:rFonts w:cs="Arial"/>
                <w:sz w:val="22"/>
                <w:szCs w:val="22"/>
                <w:lang w:val="it-CH"/>
              </w:rPr>
              <w:t>12'249</w:t>
            </w:r>
          </w:p>
        </w:tc>
        <w:tc>
          <w:tcPr>
            <w:tcW w:w="805" w:type="dxa"/>
            <w:tcBorders>
              <w:top w:val="single" w:sz="8" w:space="0" w:color="auto"/>
              <w:left w:val="nil"/>
              <w:bottom w:val="nil"/>
              <w:right w:val="nil"/>
            </w:tcBorders>
            <w:shd w:val="clear" w:color="auto" w:fill="auto"/>
            <w:vAlign w:val="bottom"/>
          </w:tcPr>
          <w:p w:rsidR="0024207A" w:rsidRPr="003E31D9" w:rsidRDefault="0024207A" w:rsidP="0024207A">
            <w:pPr>
              <w:jc w:val="right"/>
              <w:rPr>
                <w:rFonts w:cs="Arial"/>
                <w:sz w:val="22"/>
                <w:szCs w:val="22"/>
                <w:lang w:val="it-CH"/>
              </w:rPr>
            </w:pPr>
            <w:r w:rsidRPr="003E31D9">
              <w:rPr>
                <w:rFonts w:cs="Arial"/>
                <w:sz w:val="22"/>
                <w:szCs w:val="22"/>
                <w:lang w:val="it-CH"/>
              </w:rPr>
              <w:t>11'639</w:t>
            </w:r>
          </w:p>
        </w:tc>
      </w:tr>
      <w:tr w:rsidR="0024207A" w:rsidRPr="002F7E17" w:rsidTr="0024207A">
        <w:trPr>
          <w:trHeight w:val="285"/>
        </w:trPr>
        <w:tc>
          <w:tcPr>
            <w:tcW w:w="3418" w:type="dxa"/>
            <w:tcBorders>
              <w:top w:val="nil"/>
              <w:left w:val="nil"/>
              <w:bottom w:val="nil"/>
              <w:right w:val="nil"/>
            </w:tcBorders>
            <w:shd w:val="clear" w:color="auto" w:fill="auto"/>
            <w:noWrap/>
            <w:vAlign w:val="bottom"/>
          </w:tcPr>
          <w:p w:rsidR="0024207A" w:rsidRPr="002F7E17" w:rsidRDefault="0024207A" w:rsidP="0024207A">
            <w:pPr>
              <w:rPr>
                <w:rFonts w:cs="Arial"/>
                <w:sz w:val="22"/>
                <w:szCs w:val="22"/>
                <w:lang w:val="it-CH"/>
              </w:rPr>
            </w:pPr>
            <w:r w:rsidRPr="002F7E17">
              <w:rPr>
                <w:rFonts w:cs="Arial"/>
                <w:sz w:val="22"/>
                <w:szCs w:val="22"/>
                <w:lang w:val="it-CH"/>
              </w:rPr>
              <w:t>Ricerca competitiva</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3'006</w:t>
            </w:r>
          </w:p>
        </w:tc>
        <w:tc>
          <w:tcPr>
            <w:tcW w:w="913"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3'613</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3'848</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4'329</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4'</w:t>
            </w:r>
            <w:r>
              <w:rPr>
                <w:rFonts w:cs="Arial"/>
                <w:sz w:val="22"/>
                <w:szCs w:val="22"/>
                <w:lang w:val="it-CH"/>
              </w:rPr>
              <w:t>256</w:t>
            </w:r>
          </w:p>
        </w:tc>
        <w:tc>
          <w:tcPr>
            <w:tcW w:w="960" w:type="dxa"/>
            <w:tcBorders>
              <w:top w:val="nil"/>
              <w:left w:val="nil"/>
              <w:bottom w:val="nil"/>
              <w:right w:val="nil"/>
            </w:tcBorders>
            <w:shd w:val="clear" w:color="auto" w:fill="auto"/>
            <w:noWrap/>
            <w:vAlign w:val="bottom"/>
          </w:tcPr>
          <w:p w:rsidR="0024207A" w:rsidRPr="00AD6FD9" w:rsidRDefault="0024207A" w:rsidP="0024207A">
            <w:pPr>
              <w:jc w:val="right"/>
              <w:rPr>
                <w:rFonts w:cs="Arial"/>
                <w:sz w:val="22"/>
                <w:szCs w:val="22"/>
                <w:lang w:val="it-CH"/>
              </w:rPr>
            </w:pPr>
            <w:r w:rsidRPr="00AD6FD9">
              <w:rPr>
                <w:rFonts w:cs="Arial"/>
                <w:sz w:val="22"/>
                <w:szCs w:val="22"/>
                <w:lang w:val="it-CH"/>
              </w:rPr>
              <w:t>4'390</w:t>
            </w:r>
          </w:p>
        </w:tc>
        <w:tc>
          <w:tcPr>
            <w:tcW w:w="805" w:type="dxa"/>
            <w:tcBorders>
              <w:top w:val="nil"/>
              <w:left w:val="nil"/>
              <w:bottom w:val="nil"/>
              <w:right w:val="nil"/>
            </w:tcBorders>
            <w:shd w:val="clear" w:color="auto" w:fill="auto"/>
            <w:vAlign w:val="bottom"/>
          </w:tcPr>
          <w:p w:rsidR="0024207A" w:rsidRPr="003E31D9" w:rsidRDefault="0024207A" w:rsidP="0024207A">
            <w:pPr>
              <w:jc w:val="right"/>
              <w:rPr>
                <w:rFonts w:cs="Arial"/>
                <w:sz w:val="22"/>
                <w:szCs w:val="22"/>
                <w:lang w:val="it-CH"/>
              </w:rPr>
            </w:pPr>
            <w:r w:rsidRPr="003E31D9">
              <w:rPr>
                <w:rFonts w:cs="Arial"/>
                <w:sz w:val="22"/>
                <w:szCs w:val="22"/>
                <w:lang w:val="it-CH"/>
              </w:rPr>
              <w:t>6'157</w:t>
            </w:r>
          </w:p>
        </w:tc>
      </w:tr>
      <w:tr w:rsidR="0024207A" w:rsidRPr="002F7E17" w:rsidTr="0024207A">
        <w:trPr>
          <w:trHeight w:val="285"/>
        </w:trPr>
        <w:tc>
          <w:tcPr>
            <w:tcW w:w="3418" w:type="dxa"/>
            <w:tcBorders>
              <w:top w:val="nil"/>
              <w:left w:val="nil"/>
              <w:bottom w:val="nil"/>
              <w:right w:val="nil"/>
            </w:tcBorders>
            <w:shd w:val="clear" w:color="auto" w:fill="auto"/>
            <w:noWrap/>
            <w:vAlign w:val="bottom"/>
          </w:tcPr>
          <w:p w:rsidR="0024207A" w:rsidRPr="002F7E17" w:rsidRDefault="0024207A" w:rsidP="0024207A">
            <w:pPr>
              <w:rPr>
                <w:rFonts w:cs="Arial"/>
                <w:sz w:val="22"/>
                <w:szCs w:val="22"/>
                <w:lang w:val="it-CH"/>
              </w:rPr>
            </w:pPr>
            <w:r w:rsidRPr="002F7E17">
              <w:rPr>
                <w:rFonts w:cs="Arial"/>
                <w:sz w:val="22"/>
                <w:szCs w:val="22"/>
                <w:lang w:val="it-CH"/>
              </w:rPr>
              <w:t>Attività culturali</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1'855</w:t>
            </w:r>
          </w:p>
        </w:tc>
        <w:tc>
          <w:tcPr>
            <w:tcW w:w="913"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1'993</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500</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500</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500</w:t>
            </w:r>
          </w:p>
        </w:tc>
        <w:tc>
          <w:tcPr>
            <w:tcW w:w="960" w:type="dxa"/>
            <w:tcBorders>
              <w:top w:val="nil"/>
              <w:left w:val="nil"/>
              <w:bottom w:val="nil"/>
              <w:right w:val="nil"/>
            </w:tcBorders>
            <w:shd w:val="clear" w:color="auto" w:fill="auto"/>
            <w:noWrap/>
            <w:vAlign w:val="bottom"/>
          </w:tcPr>
          <w:p w:rsidR="0024207A" w:rsidRPr="00AD6FD9" w:rsidRDefault="0024207A" w:rsidP="0024207A">
            <w:pPr>
              <w:jc w:val="right"/>
              <w:rPr>
                <w:rFonts w:cs="Arial"/>
                <w:sz w:val="22"/>
                <w:szCs w:val="22"/>
                <w:lang w:val="it-CH"/>
              </w:rPr>
            </w:pPr>
            <w:r w:rsidRPr="00AD6FD9">
              <w:rPr>
                <w:rFonts w:cs="Arial"/>
                <w:sz w:val="22"/>
                <w:szCs w:val="22"/>
                <w:lang w:val="it-CH"/>
              </w:rPr>
              <w:t>500</w:t>
            </w:r>
          </w:p>
        </w:tc>
        <w:tc>
          <w:tcPr>
            <w:tcW w:w="805" w:type="dxa"/>
            <w:tcBorders>
              <w:top w:val="nil"/>
              <w:left w:val="nil"/>
              <w:bottom w:val="nil"/>
              <w:right w:val="nil"/>
            </w:tcBorders>
            <w:shd w:val="clear" w:color="auto" w:fill="auto"/>
            <w:vAlign w:val="bottom"/>
          </w:tcPr>
          <w:p w:rsidR="0024207A" w:rsidRPr="003E31D9" w:rsidRDefault="0024207A" w:rsidP="0024207A">
            <w:pPr>
              <w:jc w:val="right"/>
              <w:rPr>
                <w:rFonts w:cs="Arial"/>
                <w:sz w:val="22"/>
                <w:szCs w:val="22"/>
                <w:lang w:val="it-CH"/>
              </w:rPr>
            </w:pPr>
            <w:r w:rsidRPr="003E31D9">
              <w:rPr>
                <w:rFonts w:cs="Arial"/>
                <w:sz w:val="22"/>
                <w:szCs w:val="22"/>
                <w:lang w:val="it-CH"/>
              </w:rPr>
              <w:t>500</w:t>
            </w:r>
          </w:p>
        </w:tc>
      </w:tr>
      <w:tr w:rsidR="0024207A" w:rsidRPr="002F7E17" w:rsidTr="0024207A">
        <w:trPr>
          <w:trHeight w:val="285"/>
        </w:trPr>
        <w:tc>
          <w:tcPr>
            <w:tcW w:w="3418" w:type="dxa"/>
            <w:tcBorders>
              <w:top w:val="nil"/>
              <w:left w:val="nil"/>
              <w:bottom w:val="nil"/>
              <w:right w:val="nil"/>
            </w:tcBorders>
            <w:shd w:val="clear" w:color="auto" w:fill="auto"/>
            <w:noWrap/>
            <w:vAlign w:val="bottom"/>
          </w:tcPr>
          <w:p w:rsidR="0024207A" w:rsidRPr="002F7E17" w:rsidRDefault="0024207A" w:rsidP="0024207A">
            <w:pPr>
              <w:rPr>
                <w:rFonts w:cs="Arial"/>
                <w:sz w:val="22"/>
                <w:szCs w:val="22"/>
                <w:lang w:val="it-CH"/>
              </w:rPr>
            </w:pPr>
            <w:r w:rsidRPr="002F7E17">
              <w:rPr>
                <w:rFonts w:cs="Arial"/>
                <w:sz w:val="22"/>
                <w:szCs w:val="22"/>
                <w:lang w:val="it-CH"/>
              </w:rPr>
              <w:t>Vantaggio di ubicazione</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p>
        </w:tc>
        <w:tc>
          <w:tcPr>
            <w:tcW w:w="913" w:type="dxa"/>
            <w:tcBorders>
              <w:top w:val="nil"/>
              <w:left w:val="nil"/>
              <w:bottom w:val="nil"/>
              <w:right w:val="nil"/>
            </w:tcBorders>
            <w:vAlign w:val="bottom"/>
          </w:tcPr>
          <w:p w:rsidR="0024207A" w:rsidRPr="002F7E17" w:rsidRDefault="0024207A" w:rsidP="0024207A">
            <w:pPr>
              <w:jc w:val="right"/>
              <w:rPr>
                <w:rFonts w:cs="Arial"/>
                <w:sz w:val="22"/>
                <w:szCs w:val="22"/>
                <w:lang w:val="it-CH"/>
              </w:rPr>
            </w:pP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1’811</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1’882</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Pr>
                <w:rFonts w:cs="Arial"/>
                <w:sz w:val="22"/>
                <w:szCs w:val="22"/>
                <w:lang w:val="it-CH"/>
              </w:rPr>
              <w:t>2</w:t>
            </w:r>
            <w:r w:rsidRPr="002F7E17">
              <w:rPr>
                <w:rFonts w:cs="Arial"/>
                <w:sz w:val="22"/>
                <w:szCs w:val="22"/>
                <w:lang w:val="it-CH"/>
              </w:rPr>
              <w:t>’</w:t>
            </w:r>
            <w:r>
              <w:rPr>
                <w:rFonts w:cs="Arial"/>
                <w:sz w:val="22"/>
                <w:szCs w:val="22"/>
                <w:lang w:val="it-CH"/>
              </w:rPr>
              <w:t>036</w:t>
            </w:r>
          </w:p>
        </w:tc>
        <w:tc>
          <w:tcPr>
            <w:tcW w:w="960" w:type="dxa"/>
            <w:tcBorders>
              <w:top w:val="nil"/>
              <w:left w:val="nil"/>
              <w:bottom w:val="nil"/>
              <w:right w:val="nil"/>
            </w:tcBorders>
            <w:shd w:val="clear" w:color="auto" w:fill="auto"/>
            <w:noWrap/>
            <w:vAlign w:val="bottom"/>
          </w:tcPr>
          <w:p w:rsidR="0024207A" w:rsidRPr="00AD6FD9" w:rsidRDefault="0024207A" w:rsidP="0024207A">
            <w:pPr>
              <w:jc w:val="right"/>
              <w:rPr>
                <w:rFonts w:cs="Arial"/>
                <w:sz w:val="22"/>
                <w:szCs w:val="22"/>
                <w:lang w:val="it-CH"/>
              </w:rPr>
            </w:pPr>
            <w:r w:rsidRPr="00AD6FD9">
              <w:rPr>
                <w:rFonts w:cs="Arial"/>
                <w:sz w:val="22"/>
                <w:szCs w:val="22"/>
                <w:lang w:val="it-CH"/>
              </w:rPr>
              <w:t>2’043</w:t>
            </w:r>
          </w:p>
        </w:tc>
        <w:tc>
          <w:tcPr>
            <w:tcW w:w="805" w:type="dxa"/>
            <w:tcBorders>
              <w:top w:val="nil"/>
              <w:left w:val="nil"/>
              <w:bottom w:val="nil"/>
              <w:right w:val="nil"/>
            </w:tcBorders>
            <w:shd w:val="clear" w:color="auto" w:fill="auto"/>
            <w:vAlign w:val="bottom"/>
          </w:tcPr>
          <w:p w:rsidR="0024207A" w:rsidRPr="003E31D9" w:rsidRDefault="0024207A" w:rsidP="0024207A">
            <w:pPr>
              <w:jc w:val="right"/>
              <w:rPr>
                <w:rFonts w:cs="Arial"/>
                <w:sz w:val="22"/>
                <w:szCs w:val="22"/>
                <w:lang w:val="it-CH"/>
              </w:rPr>
            </w:pPr>
            <w:r w:rsidRPr="003E31D9">
              <w:rPr>
                <w:rFonts w:cs="Arial"/>
                <w:sz w:val="22"/>
                <w:szCs w:val="22"/>
                <w:lang w:val="it-CH"/>
              </w:rPr>
              <w:t>2’039</w:t>
            </w:r>
          </w:p>
        </w:tc>
      </w:tr>
      <w:tr w:rsidR="0024207A" w:rsidRPr="002F7E17" w:rsidTr="0024207A">
        <w:trPr>
          <w:trHeight w:val="285"/>
        </w:trPr>
        <w:tc>
          <w:tcPr>
            <w:tcW w:w="3418" w:type="dxa"/>
            <w:tcBorders>
              <w:top w:val="nil"/>
              <w:left w:val="nil"/>
              <w:bottom w:val="nil"/>
              <w:right w:val="nil"/>
            </w:tcBorders>
            <w:shd w:val="clear" w:color="auto" w:fill="auto"/>
            <w:noWrap/>
            <w:vAlign w:val="bottom"/>
          </w:tcPr>
          <w:p w:rsidR="0024207A" w:rsidRPr="002F7E17" w:rsidRDefault="0024207A" w:rsidP="0024207A">
            <w:pPr>
              <w:rPr>
                <w:rFonts w:cs="Arial"/>
                <w:sz w:val="22"/>
                <w:szCs w:val="22"/>
                <w:lang w:val="it-CH"/>
              </w:rPr>
            </w:pPr>
            <w:r w:rsidRPr="002F7E17">
              <w:rPr>
                <w:rFonts w:cs="Arial"/>
                <w:sz w:val="22"/>
                <w:szCs w:val="22"/>
                <w:lang w:val="it-CH"/>
              </w:rPr>
              <w:t>Attività innovative e sviluppo</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1'000</w:t>
            </w:r>
          </w:p>
        </w:tc>
        <w:tc>
          <w:tcPr>
            <w:tcW w:w="913"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916</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0</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0</w:t>
            </w:r>
          </w:p>
        </w:tc>
        <w:tc>
          <w:tcPr>
            <w:tcW w:w="914" w:type="dxa"/>
            <w:tcBorders>
              <w:top w:val="nil"/>
              <w:left w:val="nil"/>
              <w:bottom w:val="nil"/>
              <w:right w:val="nil"/>
            </w:tcBorders>
            <w:vAlign w:val="bottom"/>
          </w:tcPr>
          <w:p w:rsidR="0024207A" w:rsidRPr="002F7E17" w:rsidRDefault="0024207A" w:rsidP="0024207A">
            <w:pPr>
              <w:jc w:val="right"/>
              <w:rPr>
                <w:rFonts w:cs="Arial"/>
                <w:sz w:val="22"/>
                <w:szCs w:val="22"/>
                <w:lang w:val="it-CH"/>
              </w:rPr>
            </w:pPr>
            <w:r w:rsidRPr="002F7E17">
              <w:rPr>
                <w:rFonts w:cs="Arial"/>
                <w:sz w:val="22"/>
                <w:szCs w:val="22"/>
                <w:lang w:val="it-CH"/>
              </w:rPr>
              <w:t>0</w:t>
            </w:r>
          </w:p>
        </w:tc>
        <w:tc>
          <w:tcPr>
            <w:tcW w:w="960" w:type="dxa"/>
            <w:tcBorders>
              <w:top w:val="nil"/>
              <w:left w:val="nil"/>
              <w:bottom w:val="nil"/>
              <w:right w:val="nil"/>
            </w:tcBorders>
            <w:shd w:val="clear" w:color="auto" w:fill="auto"/>
            <w:noWrap/>
            <w:vAlign w:val="bottom"/>
          </w:tcPr>
          <w:p w:rsidR="0024207A" w:rsidRPr="00AD6FD9" w:rsidRDefault="0024207A" w:rsidP="0024207A">
            <w:pPr>
              <w:jc w:val="right"/>
              <w:rPr>
                <w:rFonts w:cs="Arial"/>
                <w:sz w:val="22"/>
                <w:szCs w:val="22"/>
                <w:lang w:val="it-CH"/>
              </w:rPr>
            </w:pPr>
            <w:r w:rsidRPr="00AD6FD9">
              <w:rPr>
                <w:rFonts w:cs="Arial"/>
                <w:sz w:val="22"/>
                <w:szCs w:val="22"/>
                <w:lang w:val="it-CH"/>
              </w:rPr>
              <w:t>0</w:t>
            </w:r>
          </w:p>
        </w:tc>
        <w:tc>
          <w:tcPr>
            <w:tcW w:w="805" w:type="dxa"/>
            <w:tcBorders>
              <w:top w:val="nil"/>
              <w:left w:val="nil"/>
              <w:bottom w:val="nil"/>
              <w:right w:val="nil"/>
            </w:tcBorders>
            <w:shd w:val="clear" w:color="auto" w:fill="auto"/>
            <w:vAlign w:val="bottom"/>
          </w:tcPr>
          <w:p w:rsidR="0024207A" w:rsidRPr="003E31D9" w:rsidRDefault="0024207A" w:rsidP="0024207A">
            <w:pPr>
              <w:jc w:val="right"/>
              <w:rPr>
                <w:rFonts w:cs="Arial"/>
                <w:sz w:val="22"/>
                <w:szCs w:val="22"/>
                <w:lang w:val="it-CH"/>
              </w:rPr>
            </w:pPr>
            <w:r w:rsidRPr="003E31D9">
              <w:rPr>
                <w:rFonts w:cs="Arial"/>
                <w:sz w:val="22"/>
                <w:szCs w:val="22"/>
                <w:lang w:val="it-CH"/>
              </w:rPr>
              <w:t>0</w:t>
            </w:r>
          </w:p>
        </w:tc>
      </w:tr>
      <w:tr w:rsidR="0024207A" w:rsidRPr="002F7E17" w:rsidTr="0024207A">
        <w:trPr>
          <w:trHeight w:val="300"/>
        </w:trPr>
        <w:tc>
          <w:tcPr>
            <w:tcW w:w="3418" w:type="dxa"/>
            <w:tcBorders>
              <w:top w:val="nil"/>
              <w:left w:val="nil"/>
              <w:bottom w:val="nil"/>
              <w:right w:val="nil"/>
            </w:tcBorders>
            <w:shd w:val="clear" w:color="auto" w:fill="auto"/>
            <w:noWrap/>
            <w:vAlign w:val="bottom"/>
          </w:tcPr>
          <w:p w:rsidR="0024207A" w:rsidRPr="002F7E17" w:rsidRDefault="0024207A" w:rsidP="0024207A">
            <w:pPr>
              <w:rPr>
                <w:rFonts w:cs="Arial"/>
                <w:bCs/>
                <w:sz w:val="22"/>
                <w:szCs w:val="22"/>
                <w:lang w:val="it-CH"/>
              </w:rPr>
            </w:pPr>
            <w:r w:rsidRPr="002F7E17">
              <w:rPr>
                <w:rFonts w:cs="Arial"/>
                <w:bCs/>
                <w:sz w:val="22"/>
                <w:szCs w:val="22"/>
                <w:lang w:val="it-CH"/>
              </w:rPr>
              <w:t>Contributo IRB</w:t>
            </w:r>
          </w:p>
        </w:tc>
        <w:tc>
          <w:tcPr>
            <w:tcW w:w="914" w:type="dxa"/>
            <w:tcBorders>
              <w:top w:val="nil"/>
              <w:left w:val="nil"/>
              <w:bottom w:val="nil"/>
              <w:right w:val="nil"/>
            </w:tcBorders>
            <w:vAlign w:val="bottom"/>
          </w:tcPr>
          <w:p w:rsidR="0024207A" w:rsidRPr="002F7E17" w:rsidRDefault="0024207A" w:rsidP="0024207A">
            <w:pPr>
              <w:jc w:val="right"/>
              <w:rPr>
                <w:rFonts w:cs="Arial"/>
                <w:bCs/>
                <w:sz w:val="22"/>
                <w:szCs w:val="22"/>
                <w:lang w:val="it-CH"/>
              </w:rPr>
            </w:pPr>
          </w:p>
        </w:tc>
        <w:tc>
          <w:tcPr>
            <w:tcW w:w="913" w:type="dxa"/>
            <w:tcBorders>
              <w:top w:val="nil"/>
              <w:left w:val="nil"/>
              <w:bottom w:val="nil"/>
              <w:right w:val="nil"/>
            </w:tcBorders>
            <w:vAlign w:val="bottom"/>
          </w:tcPr>
          <w:p w:rsidR="0024207A" w:rsidRPr="002F7E17" w:rsidRDefault="0024207A" w:rsidP="0024207A">
            <w:pPr>
              <w:jc w:val="right"/>
              <w:rPr>
                <w:rFonts w:cs="Arial"/>
                <w:bCs/>
                <w:sz w:val="22"/>
                <w:szCs w:val="22"/>
                <w:lang w:val="it-CH"/>
              </w:rPr>
            </w:pPr>
            <w:r w:rsidRPr="002F7E17">
              <w:rPr>
                <w:rFonts w:cs="Arial"/>
                <w:bCs/>
                <w:sz w:val="22"/>
                <w:szCs w:val="22"/>
                <w:lang w:val="it-CH"/>
              </w:rPr>
              <w:t>2’000</w:t>
            </w:r>
          </w:p>
        </w:tc>
        <w:tc>
          <w:tcPr>
            <w:tcW w:w="914" w:type="dxa"/>
            <w:tcBorders>
              <w:top w:val="nil"/>
              <w:left w:val="nil"/>
              <w:bottom w:val="nil"/>
              <w:right w:val="nil"/>
            </w:tcBorders>
            <w:vAlign w:val="bottom"/>
          </w:tcPr>
          <w:p w:rsidR="0024207A" w:rsidRPr="002F7E17" w:rsidRDefault="0024207A" w:rsidP="0024207A">
            <w:pPr>
              <w:jc w:val="right"/>
              <w:rPr>
                <w:rFonts w:cs="Arial"/>
                <w:bCs/>
                <w:sz w:val="22"/>
                <w:szCs w:val="22"/>
                <w:lang w:val="it-CH"/>
              </w:rPr>
            </w:pPr>
            <w:r w:rsidRPr="002F7E17">
              <w:rPr>
                <w:rFonts w:cs="Arial"/>
                <w:bCs/>
                <w:sz w:val="22"/>
                <w:szCs w:val="22"/>
                <w:lang w:val="it-CH"/>
              </w:rPr>
              <w:t>2'060</w:t>
            </w:r>
          </w:p>
        </w:tc>
        <w:tc>
          <w:tcPr>
            <w:tcW w:w="914" w:type="dxa"/>
            <w:tcBorders>
              <w:top w:val="nil"/>
              <w:left w:val="nil"/>
              <w:bottom w:val="nil"/>
              <w:right w:val="nil"/>
            </w:tcBorders>
            <w:vAlign w:val="bottom"/>
          </w:tcPr>
          <w:p w:rsidR="0024207A" w:rsidRPr="002F7E17" w:rsidRDefault="0024207A" w:rsidP="0024207A">
            <w:pPr>
              <w:jc w:val="right"/>
              <w:rPr>
                <w:rFonts w:cs="Arial"/>
                <w:bCs/>
                <w:sz w:val="22"/>
                <w:szCs w:val="22"/>
                <w:lang w:val="it-CH"/>
              </w:rPr>
            </w:pPr>
            <w:r w:rsidRPr="002F7E17">
              <w:rPr>
                <w:rFonts w:cs="Arial"/>
                <w:bCs/>
                <w:sz w:val="22"/>
                <w:szCs w:val="22"/>
                <w:lang w:val="it-CH"/>
              </w:rPr>
              <w:t>2'121</w:t>
            </w:r>
          </w:p>
        </w:tc>
        <w:tc>
          <w:tcPr>
            <w:tcW w:w="914" w:type="dxa"/>
            <w:tcBorders>
              <w:top w:val="nil"/>
              <w:left w:val="nil"/>
              <w:bottom w:val="nil"/>
              <w:right w:val="nil"/>
            </w:tcBorders>
            <w:vAlign w:val="bottom"/>
          </w:tcPr>
          <w:p w:rsidR="0024207A" w:rsidRPr="002F7E17" w:rsidRDefault="0024207A" w:rsidP="0024207A">
            <w:pPr>
              <w:jc w:val="right"/>
              <w:rPr>
                <w:rFonts w:cs="Arial"/>
                <w:bCs/>
                <w:sz w:val="22"/>
                <w:szCs w:val="22"/>
                <w:lang w:val="it-CH"/>
              </w:rPr>
            </w:pPr>
            <w:r w:rsidRPr="002F7E17">
              <w:rPr>
                <w:rFonts w:cs="Arial"/>
                <w:bCs/>
                <w:sz w:val="22"/>
                <w:szCs w:val="22"/>
                <w:lang w:val="it-CH"/>
              </w:rPr>
              <w:t>2'1</w:t>
            </w:r>
            <w:r>
              <w:rPr>
                <w:rFonts w:cs="Arial"/>
                <w:bCs/>
                <w:sz w:val="22"/>
                <w:szCs w:val="22"/>
                <w:lang w:val="it-CH"/>
              </w:rPr>
              <w:t>85</w:t>
            </w:r>
          </w:p>
        </w:tc>
        <w:tc>
          <w:tcPr>
            <w:tcW w:w="960" w:type="dxa"/>
            <w:tcBorders>
              <w:top w:val="nil"/>
              <w:left w:val="nil"/>
              <w:bottom w:val="nil"/>
              <w:right w:val="nil"/>
            </w:tcBorders>
            <w:shd w:val="clear" w:color="auto" w:fill="auto"/>
            <w:noWrap/>
            <w:vAlign w:val="bottom"/>
          </w:tcPr>
          <w:p w:rsidR="0024207A" w:rsidRPr="00AD6FD9" w:rsidRDefault="0024207A" w:rsidP="0024207A">
            <w:pPr>
              <w:jc w:val="right"/>
              <w:rPr>
                <w:rFonts w:cs="Arial"/>
                <w:bCs/>
                <w:sz w:val="22"/>
                <w:szCs w:val="22"/>
                <w:lang w:val="it-CH"/>
              </w:rPr>
            </w:pPr>
            <w:r w:rsidRPr="00AD6FD9">
              <w:rPr>
                <w:rFonts w:cs="Arial"/>
                <w:bCs/>
                <w:sz w:val="22"/>
                <w:szCs w:val="22"/>
                <w:lang w:val="it-CH"/>
              </w:rPr>
              <w:t>2'251</w:t>
            </w:r>
          </w:p>
        </w:tc>
        <w:tc>
          <w:tcPr>
            <w:tcW w:w="805" w:type="dxa"/>
            <w:tcBorders>
              <w:top w:val="nil"/>
              <w:left w:val="nil"/>
              <w:bottom w:val="nil"/>
              <w:right w:val="nil"/>
            </w:tcBorders>
            <w:shd w:val="clear" w:color="auto" w:fill="auto"/>
            <w:vAlign w:val="bottom"/>
          </w:tcPr>
          <w:p w:rsidR="0024207A" w:rsidRPr="003E31D9" w:rsidRDefault="0024207A" w:rsidP="0024207A">
            <w:pPr>
              <w:jc w:val="right"/>
              <w:rPr>
                <w:rFonts w:cs="Arial"/>
                <w:bCs/>
                <w:sz w:val="22"/>
                <w:szCs w:val="22"/>
                <w:lang w:val="it-CH"/>
              </w:rPr>
            </w:pPr>
            <w:r w:rsidRPr="003E31D9">
              <w:rPr>
                <w:rFonts w:cs="Arial"/>
                <w:bCs/>
                <w:sz w:val="22"/>
                <w:szCs w:val="22"/>
                <w:lang w:val="it-CH"/>
              </w:rPr>
              <w:t>2'251</w:t>
            </w:r>
          </w:p>
        </w:tc>
      </w:tr>
      <w:tr w:rsidR="0024207A" w:rsidRPr="002F7E17" w:rsidTr="0024207A">
        <w:trPr>
          <w:trHeight w:val="300"/>
        </w:trPr>
        <w:tc>
          <w:tcPr>
            <w:tcW w:w="3418" w:type="dxa"/>
            <w:tcBorders>
              <w:top w:val="nil"/>
              <w:left w:val="nil"/>
              <w:bottom w:val="nil"/>
              <w:right w:val="nil"/>
            </w:tcBorders>
            <w:shd w:val="clear" w:color="auto" w:fill="auto"/>
            <w:noWrap/>
            <w:vAlign w:val="bottom"/>
          </w:tcPr>
          <w:p w:rsidR="0024207A" w:rsidRPr="00CC0346" w:rsidRDefault="0024207A" w:rsidP="0024207A">
            <w:pPr>
              <w:rPr>
                <w:rFonts w:cs="Arial"/>
                <w:b/>
                <w:bCs/>
                <w:sz w:val="22"/>
                <w:szCs w:val="22"/>
                <w:lang w:val="it-CH"/>
              </w:rPr>
            </w:pPr>
            <w:r w:rsidRPr="00CC0346">
              <w:rPr>
                <w:rFonts w:cs="Arial"/>
                <w:b/>
                <w:bCs/>
                <w:sz w:val="22"/>
                <w:szCs w:val="22"/>
                <w:lang w:val="it-CH"/>
              </w:rPr>
              <w:t>Totale richiesto</w:t>
            </w:r>
          </w:p>
        </w:tc>
        <w:tc>
          <w:tcPr>
            <w:tcW w:w="914" w:type="dxa"/>
            <w:tcBorders>
              <w:top w:val="nil"/>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17'366</w:t>
            </w:r>
          </w:p>
        </w:tc>
        <w:tc>
          <w:tcPr>
            <w:tcW w:w="913" w:type="dxa"/>
            <w:tcBorders>
              <w:top w:val="nil"/>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20'493</w:t>
            </w:r>
          </w:p>
        </w:tc>
        <w:tc>
          <w:tcPr>
            <w:tcW w:w="914" w:type="dxa"/>
            <w:tcBorders>
              <w:top w:val="nil"/>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19'609</w:t>
            </w:r>
          </w:p>
        </w:tc>
        <w:tc>
          <w:tcPr>
            <w:tcW w:w="914" w:type="dxa"/>
            <w:tcBorders>
              <w:top w:val="nil"/>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20'861</w:t>
            </w:r>
          </w:p>
        </w:tc>
        <w:tc>
          <w:tcPr>
            <w:tcW w:w="914" w:type="dxa"/>
            <w:tcBorders>
              <w:top w:val="nil"/>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2</w:t>
            </w:r>
            <w:r>
              <w:rPr>
                <w:rFonts w:cs="Arial"/>
                <w:b/>
                <w:bCs/>
                <w:sz w:val="22"/>
                <w:szCs w:val="22"/>
                <w:lang w:val="it-CH"/>
              </w:rPr>
              <w:t>1</w:t>
            </w:r>
            <w:r w:rsidRPr="002F7E17">
              <w:rPr>
                <w:rFonts w:cs="Arial"/>
                <w:b/>
                <w:bCs/>
                <w:sz w:val="22"/>
                <w:szCs w:val="22"/>
                <w:lang w:val="it-CH"/>
              </w:rPr>
              <w:t>'</w:t>
            </w:r>
            <w:r>
              <w:rPr>
                <w:rFonts w:cs="Arial"/>
                <w:b/>
                <w:bCs/>
                <w:sz w:val="22"/>
                <w:szCs w:val="22"/>
                <w:lang w:val="it-CH"/>
              </w:rPr>
              <w:t>480</w:t>
            </w:r>
          </w:p>
        </w:tc>
        <w:tc>
          <w:tcPr>
            <w:tcW w:w="960" w:type="dxa"/>
            <w:tcBorders>
              <w:top w:val="nil"/>
              <w:left w:val="nil"/>
              <w:bottom w:val="nil"/>
              <w:right w:val="nil"/>
            </w:tcBorders>
            <w:shd w:val="clear" w:color="auto" w:fill="auto"/>
            <w:noWrap/>
            <w:vAlign w:val="bottom"/>
          </w:tcPr>
          <w:p w:rsidR="0024207A" w:rsidRPr="00AD6FD9" w:rsidRDefault="0024207A" w:rsidP="0024207A">
            <w:pPr>
              <w:jc w:val="right"/>
              <w:rPr>
                <w:rFonts w:cs="Arial"/>
                <w:b/>
                <w:bCs/>
                <w:sz w:val="22"/>
                <w:szCs w:val="22"/>
                <w:lang w:val="it-CH"/>
              </w:rPr>
            </w:pPr>
            <w:r w:rsidRPr="00AD6FD9">
              <w:rPr>
                <w:rFonts w:cs="Arial"/>
                <w:b/>
                <w:bCs/>
                <w:sz w:val="22"/>
                <w:szCs w:val="22"/>
                <w:lang w:val="it-CH"/>
              </w:rPr>
              <w:t>21'433</w:t>
            </w:r>
          </w:p>
        </w:tc>
        <w:tc>
          <w:tcPr>
            <w:tcW w:w="805" w:type="dxa"/>
            <w:tcBorders>
              <w:top w:val="nil"/>
              <w:left w:val="nil"/>
              <w:bottom w:val="nil"/>
              <w:right w:val="nil"/>
            </w:tcBorders>
            <w:shd w:val="clear" w:color="auto" w:fill="auto"/>
            <w:vAlign w:val="bottom"/>
          </w:tcPr>
          <w:p w:rsidR="0024207A" w:rsidRPr="003E31D9" w:rsidRDefault="0024207A" w:rsidP="0024207A">
            <w:pPr>
              <w:jc w:val="right"/>
              <w:rPr>
                <w:rFonts w:cs="Arial"/>
                <w:b/>
                <w:bCs/>
                <w:sz w:val="22"/>
                <w:szCs w:val="22"/>
                <w:lang w:val="it-CH"/>
              </w:rPr>
            </w:pPr>
            <w:r w:rsidRPr="003E31D9">
              <w:rPr>
                <w:rFonts w:cs="Arial"/>
                <w:b/>
                <w:bCs/>
                <w:sz w:val="22"/>
                <w:szCs w:val="22"/>
                <w:lang w:val="it-CH"/>
              </w:rPr>
              <w:t>22'586</w:t>
            </w:r>
          </w:p>
        </w:tc>
      </w:tr>
      <w:tr w:rsidR="0024207A" w:rsidRPr="002F7E17" w:rsidTr="0024207A">
        <w:trPr>
          <w:trHeight w:val="285"/>
        </w:trPr>
        <w:tc>
          <w:tcPr>
            <w:tcW w:w="3418" w:type="dxa"/>
            <w:tcBorders>
              <w:top w:val="nil"/>
              <w:left w:val="nil"/>
              <w:bottom w:val="nil"/>
              <w:right w:val="nil"/>
            </w:tcBorders>
            <w:shd w:val="clear" w:color="auto" w:fill="auto"/>
            <w:noWrap/>
            <w:vAlign w:val="bottom"/>
          </w:tcPr>
          <w:p w:rsidR="0024207A" w:rsidRPr="00CC0346" w:rsidRDefault="0024207A" w:rsidP="0024207A">
            <w:pPr>
              <w:rPr>
                <w:rFonts w:cs="Arial"/>
                <w:i/>
                <w:iCs/>
                <w:sz w:val="22"/>
                <w:szCs w:val="22"/>
                <w:lang w:val="it-CH"/>
              </w:rPr>
            </w:pPr>
            <w:r w:rsidRPr="00CC0346">
              <w:rPr>
                <w:rFonts w:cs="Arial"/>
                <w:i/>
                <w:iCs/>
                <w:sz w:val="22"/>
                <w:szCs w:val="22"/>
                <w:lang w:val="it-CH"/>
              </w:rPr>
              <w:t>Differenza richiesto-concesso</w:t>
            </w:r>
          </w:p>
        </w:tc>
        <w:tc>
          <w:tcPr>
            <w:tcW w:w="914" w:type="dxa"/>
            <w:tcBorders>
              <w:top w:val="nil"/>
              <w:left w:val="nil"/>
              <w:bottom w:val="nil"/>
              <w:right w:val="nil"/>
            </w:tcBorders>
            <w:vAlign w:val="bottom"/>
          </w:tcPr>
          <w:p w:rsidR="0024207A" w:rsidRPr="002F7E17" w:rsidRDefault="0024207A" w:rsidP="0024207A">
            <w:pPr>
              <w:jc w:val="right"/>
              <w:rPr>
                <w:rFonts w:cs="Arial"/>
                <w:i/>
                <w:iCs/>
                <w:sz w:val="22"/>
                <w:szCs w:val="22"/>
                <w:lang w:val="it-CH"/>
              </w:rPr>
            </w:pPr>
            <w:r w:rsidRPr="002F7E17">
              <w:rPr>
                <w:rFonts w:cs="Arial"/>
                <w:i/>
                <w:iCs/>
                <w:sz w:val="22"/>
                <w:szCs w:val="22"/>
                <w:lang w:val="it-CH"/>
              </w:rPr>
              <w:t>966</w:t>
            </w:r>
          </w:p>
        </w:tc>
        <w:tc>
          <w:tcPr>
            <w:tcW w:w="913" w:type="dxa"/>
            <w:tcBorders>
              <w:top w:val="nil"/>
              <w:left w:val="nil"/>
              <w:bottom w:val="nil"/>
              <w:right w:val="nil"/>
            </w:tcBorders>
            <w:vAlign w:val="bottom"/>
          </w:tcPr>
          <w:p w:rsidR="0024207A" w:rsidRPr="002F7E17" w:rsidRDefault="0024207A" w:rsidP="0024207A">
            <w:pPr>
              <w:jc w:val="right"/>
              <w:rPr>
                <w:rFonts w:cs="Arial"/>
                <w:i/>
                <w:iCs/>
                <w:sz w:val="22"/>
                <w:szCs w:val="22"/>
                <w:lang w:val="it-CH"/>
              </w:rPr>
            </w:pPr>
            <w:r w:rsidRPr="002F7E17">
              <w:rPr>
                <w:rFonts w:cs="Arial"/>
                <w:i/>
                <w:iCs/>
                <w:sz w:val="22"/>
                <w:szCs w:val="22"/>
                <w:lang w:val="it-CH"/>
              </w:rPr>
              <w:t>1'423</w:t>
            </w:r>
          </w:p>
        </w:tc>
        <w:tc>
          <w:tcPr>
            <w:tcW w:w="914" w:type="dxa"/>
            <w:tcBorders>
              <w:top w:val="nil"/>
              <w:left w:val="nil"/>
              <w:bottom w:val="nil"/>
              <w:right w:val="nil"/>
            </w:tcBorders>
            <w:vAlign w:val="bottom"/>
          </w:tcPr>
          <w:p w:rsidR="0024207A" w:rsidRPr="002F7E17" w:rsidRDefault="0024207A" w:rsidP="0024207A">
            <w:pPr>
              <w:jc w:val="right"/>
              <w:rPr>
                <w:rFonts w:cs="Arial"/>
                <w:i/>
                <w:iCs/>
                <w:sz w:val="22"/>
                <w:szCs w:val="22"/>
                <w:lang w:val="it-CH"/>
              </w:rPr>
            </w:pPr>
            <w:r w:rsidRPr="002F7E17">
              <w:rPr>
                <w:rFonts w:cs="Arial"/>
                <w:i/>
                <w:iCs/>
                <w:sz w:val="22"/>
                <w:szCs w:val="22"/>
                <w:lang w:val="it-CH"/>
              </w:rPr>
              <w:t>361</w:t>
            </w:r>
          </w:p>
        </w:tc>
        <w:tc>
          <w:tcPr>
            <w:tcW w:w="914" w:type="dxa"/>
            <w:tcBorders>
              <w:top w:val="nil"/>
              <w:left w:val="nil"/>
              <w:bottom w:val="nil"/>
              <w:right w:val="nil"/>
            </w:tcBorders>
            <w:vAlign w:val="bottom"/>
          </w:tcPr>
          <w:p w:rsidR="0024207A" w:rsidRPr="002F7E17" w:rsidRDefault="0024207A" w:rsidP="0024207A">
            <w:pPr>
              <w:jc w:val="right"/>
              <w:rPr>
                <w:rFonts w:cs="Arial"/>
                <w:i/>
                <w:iCs/>
                <w:sz w:val="22"/>
                <w:szCs w:val="22"/>
                <w:lang w:val="it-CH"/>
              </w:rPr>
            </w:pPr>
            <w:r>
              <w:rPr>
                <w:rFonts w:cs="Arial"/>
                <w:i/>
                <w:iCs/>
                <w:sz w:val="22"/>
                <w:szCs w:val="22"/>
                <w:lang w:val="it-CH"/>
              </w:rPr>
              <w:t>1’42</w:t>
            </w:r>
            <w:r w:rsidRPr="002F7E17">
              <w:rPr>
                <w:rFonts w:cs="Arial"/>
                <w:i/>
                <w:iCs/>
                <w:sz w:val="22"/>
                <w:szCs w:val="22"/>
                <w:lang w:val="it-CH"/>
              </w:rPr>
              <w:t>1</w:t>
            </w:r>
          </w:p>
        </w:tc>
        <w:tc>
          <w:tcPr>
            <w:tcW w:w="914" w:type="dxa"/>
            <w:tcBorders>
              <w:top w:val="nil"/>
              <w:left w:val="nil"/>
              <w:bottom w:val="nil"/>
              <w:right w:val="nil"/>
            </w:tcBorders>
            <w:vAlign w:val="bottom"/>
          </w:tcPr>
          <w:p w:rsidR="0024207A" w:rsidRPr="002F7E17" w:rsidRDefault="0024207A" w:rsidP="0024207A">
            <w:pPr>
              <w:jc w:val="right"/>
              <w:rPr>
                <w:rFonts w:cs="Arial"/>
                <w:i/>
                <w:iCs/>
                <w:sz w:val="22"/>
                <w:szCs w:val="22"/>
                <w:lang w:val="it-CH"/>
              </w:rPr>
            </w:pPr>
            <w:r>
              <w:rPr>
                <w:rFonts w:cs="Arial"/>
                <w:i/>
                <w:iCs/>
                <w:sz w:val="22"/>
                <w:szCs w:val="22"/>
                <w:lang w:val="it-CH"/>
              </w:rPr>
              <w:t>1’230</w:t>
            </w:r>
          </w:p>
        </w:tc>
        <w:tc>
          <w:tcPr>
            <w:tcW w:w="960" w:type="dxa"/>
            <w:tcBorders>
              <w:top w:val="nil"/>
              <w:left w:val="nil"/>
              <w:bottom w:val="nil"/>
              <w:right w:val="nil"/>
            </w:tcBorders>
            <w:shd w:val="clear" w:color="auto" w:fill="auto"/>
            <w:noWrap/>
            <w:vAlign w:val="bottom"/>
          </w:tcPr>
          <w:p w:rsidR="0024207A" w:rsidRPr="00AD6FD9" w:rsidRDefault="0024207A" w:rsidP="0024207A">
            <w:pPr>
              <w:jc w:val="right"/>
              <w:rPr>
                <w:rFonts w:cs="Arial"/>
                <w:i/>
                <w:iCs/>
                <w:sz w:val="22"/>
                <w:szCs w:val="22"/>
                <w:lang w:val="it-CH"/>
              </w:rPr>
            </w:pPr>
            <w:r w:rsidRPr="00AD6FD9">
              <w:rPr>
                <w:rFonts w:cs="Arial"/>
                <w:i/>
                <w:iCs/>
                <w:sz w:val="22"/>
                <w:szCs w:val="22"/>
                <w:lang w:val="it-CH"/>
              </w:rPr>
              <w:t>433</w:t>
            </w:r>
          </w:p>
        </w:tc>
        <w:tc>
          <w:tcPr>
            <w:tcW w:w="805" w:type="dxa"/>
            <w:tcBorders>
              <w:top w:val="nil"/>
              <w:left w:val="nil"/>
              <w:bottom w:val="nil"/>
              <w:right w:val="nil"/>
            </w:tcBorders>
            <w:shd w:val="clear" w:color="auto" w:fill="auto"/>
            <w:vAlign w:val="bottom"/>
          </w:tcPr>
          <w:p w:rsidR="0024207A" w:rsidRPr="003E31D9" w:rsidRDefault="0024207A" w:rsidP="0024207A">
            <w:pPr>
              <w:jc w:val="right"/>
              <w:rPr>
                <w:rFonts w:cs="Arial"/>
                <w:i/>
                <w:iCs/>
                <w:sz w:val="22"/>
                <w:szCs w:val="22"/>
                <w:lang w:val="it-CH"/>
              </w:rPr>
            </w:pPr>
            <w:r w:rsidRPr="003E31D9">
              <w:rPr>
                <w:rFonts w:cs="Arial"/>
                <w:i/>
                <w:iCs/>
                <w:sz w:val="22"/>
                <w:szCs w:val="22"/>
                <w:lang w:val="it-CH"/>
              </w:rPr>
              <w:t>1’586</w:t>
            </w:r>
          </w:p>
        </w:tc>
      </w:tr>
      <w:tr w:rsidR="0024207A" w:rsidRPr="002F7E17" w:rsidTr="0024207A">
        <w:trPr>
          <w:trHeight w:val="285"/>
        </w:trPr>
        <w:tc>
          <w:tcPr>
            <w:tcW w:w="3418" w:type="dxa"/>
            <w:tcBorders>
              <w:top w:val="nil"/>
              <w:left w:val="nil"/>
              <w:bottom w:val="nil"/>
              <w:right w:val="nil"/>
            </w:tcBorders>
            <w:shd w:val="clear" w:color="auto" w:fill="auto"/>
            <w:noWrap/>
            <w:vAlign w:val="bottom"/>
          </w:tcPr>
          <w:p w:rsidR="0024207A" w:rsidRPr="00CC0346" w:rsidRDefault="0024207A" w:rsidP="0024207A">
            <w:pPr>
              <w:rPr>
                <w:rFonts w:cs="Arial"/>
                <w:i/>
                <w:iCs/>
                <w:sz w:val="22"/>
                <w:szCs w:val="22"/>
                <w:lang w:val="it-CH"/>
              </w:rPr>
            </w:pPr>
            <w:r w:rsidRPr="00CC0346">
              <w:rPr>
                <w:rFonts w:cs="Arial"/>
                <w:i/>
                <w:iCs/>
                <w:sz w:val="22"/>
                <w:szCs w:val="22"/>
                <w:lang w:val="it-CH"/>
              </w:rPr>
              <w:t>in %</w:t>
            </w:r>
          </w:p>
        </w:tc>
        <w:tc>
          <w:tcPr>
            <w:tcW w:w="914" w:type="dxa"/>
            <w:tcBorders>
              <w:top w:val="nil"/>
              <w:left w:val="nil"/>
              <w:bottom w:val="nil"/>
              <w:right w:val="nil"/>
            </w:tcBorders>
            <w:vAlign w:val="bottom"/>
          </w:tcPr>
          <w:p w:rsidR="0024207A" w:rsidRPr="002F7E17" w:rsidRDefault="0024207A" w:rsidP="0024207A">
            <w:pPr>
              <w:jc w:val="right"/>
              <w:rPr>
                <w:rFonts w:cs="Arial"/>
                <w:i/>
                <w:iCs/>
                <w:sz w:val="22"/>
                <w:szCs w:val="22"/>
                <w:lang w:val="it-CH"/>
              </w:rPr>
            </w:pPr>
            <w:r w:rsidRPr="002F7E17">
              <w:rPr>
                <w:rFonts w:cs="Arial"/>
                <w:i/>
                <w:iCs/>
                <w:sz w:val="22"/>
                <w:szCs w:val="22"/>
                <w:lang w:val="it-CH"/>
              </w:rPr>
              <w:t>5.56%</w:t>
            </w:r>
          </w:p>
        </w:tc>
        <w:tc>
          <w:tcPr>
            <w:tcW w:w="913" w:type="dxa"/>
            <w:tcBorders>
              <w:top w:val="nil"/>
              <w:left w:val="nil"/>
              <w:bottom w:val="nil"/>
              <w:right w:val="nil"/>
            </w:tcBorders>
            <w:vAlign w:val="bottom"/>
          </w:tcPr>
          <w:p w:rsidR="0024207A" w:rsidRPr="002F7E17" w:rsidRDefault="0024207A" w:rsidP="0024207A">
            <w:pPr>
              <w:jc w:val="right"/>
              <w:rPr>
                <w:rFonts w:cs="Arial"/>
                <w:i/>
                <w:iCs/>
                <w:sz w:val="22"/>
                <w:szCs w:val="22"/>
                <w:lang w:val="it-CH"/>
              </w:rPr>
            </w:pPr>
            <w:r w:rsidRPr="002F7E17">
              <w:rPr>
                <w:rFonts w:cs="Arial"/>
                <w:i/>
                <w:iCs/>
                <w:sz w:val="22"/>
                <w:szCs w:val="22"/>
                <w:lang w:val="it-CH"/>
              </w:rPr>
              <w:t>6.94%</w:t>
            </w:r>
          </w:p>
        </w:tc>
        <w:tc>
          <w:tcPr>
            <w:tcW w:w="914" w:type="dxa"/>
            <w:tcBorders>
              <w:top w:val="nil"/>
              <w:left w:val="nil"/>
              <w:bottom w:val="nil"/>
              <w:right w:val="nil"/>
            </w:tcBorders>
            <w:vAlign w:val="bottom"/>
          </w:tcPr>
          <w:p w:rsidR="0024207A" w:rsidRPr="002F7E17" w:rsidRDefault="0024207A" w:rsidP="0024207A">
            <w:pPr>
              <w:jc w:val="right"/>
              <w:rPr>
                <w:rFonts w:cs="Arial"/>
                <w:i/>
                <w:iCs/>
                <w:sz w:val="22"/>
                <w:szCs w:val="22"/>
                <w:lang w:val="it-CH"/>
              </w:rPr>
            </w:pPr>
            <w:r w:rsidRPr="002F7E17">
              <w:rPr>
                <w:rFonts w:cs="Arial"/>
                <w:i/>
                <w:iCs/>
                <w:sz w:val="22"/>
                <w:szCs w:val="22"/>
                <w:lang w:val="it-CH"/>
              </w:rPr>
              <w:t>1.84%</w:t>
            </w:r>
          </w:p>
        </w:tc>
        <w:tc>
          <w:tcPr>
            <w:tcW w:w="914" w:type="dxa"/>
            <w:tcBorders>
              <w:top w:val="nil"/>
              <w:left w:val="nil"/>
              <w:bottom w:val="nil"/>
              <w:right w:val="nil"/>
            </w:tcBorders>
            <w:vAlign w:val="bottom"/>
          </w:tcPr>
          <w:p w:rsidR="0024207A" w:rsidRPr="002F7E17" w:rsidRDefault="0024207A" w:rsidP="0024207A">
            <w:pPr>
              <w:jc w:val="right"/>
              <w:rPr>
                <w:rFonts w:cs="Arial"/>
                <w:i/>
                <w:iCs/>
                <w:sz w:val="22"/>
                <w:szCs w:val="22"/>
                <w:lang w:val="it-CH"/>
              </w:rPr>
            </w:pPr>
            <w:r>
              <w:rPr>
                <w:rFonts w:cs="Arial"/>
                <w:i/>
                <w:iCs/>
                <w:sz w:val="22"/>
                <w:szCs w:val="22"/>
                <w:lang w:val="it-CH"/>
              </w:rPr>
              <w:t>6</w:t>
            </w:r>
            <w:r w:rsidRPr="002F7E17">
              <w:rPr>
                <w:rFonts w:cs="Arial"/>
                <w:i/>
                <w:iCs/>
                <w:sz w:val="22"/>
                <w:szCs w:val="22"/>
                <w:lang w:val="it-CH"/>
              </w:rPr>
              <w:t>.</w:t>
            </w:r>
            <w:r>
              <w:rPr>
                <w:rFonts w:cs="Arial"/>
                <w:i/>
                <w:iCs/>
                <w:sz w:val="22"/>
                <w:szCs w:val="22"/>
                <w:lang w:val="it-CH"/>
              </w:rPr>
              <w:t>81</w:t>
            </w:r>
            <w:r w:rsidRPr="002F7E17">
              <w:rPr>
                <w:rFonts w:cs="Arial"/>
                <w:i/>
                <w:iCs/>
                <w:sz w:val="22"/>
                <w:szCs w:val="22"/>
                <w:lang w:val="it-CH"/>
              </w:rPr>
              <w:t>%</w:t>
            </w:r>
          </w:p>
        </w:tc>
        <w:tc>
          <w:tcPr>
            <w:tcW w:w="914" w:type="dxa"/>
            <w:tcBorders>
              <w:top w:val="nil"/>
              <w:left w:val="nil"/>
              <w:bottom w:val="nil"/>
              <w:right w:val="nil"/>
            </w:tcBorders>
            <w:vAlign w:val="bottom"/>
          </w:tcPr>
          <w:p w:rsidR="0024207A" w:rsidRPr="002F7E17" w:rsidRDefault="0024207A" w:rsidP="0024207A">
            <w:pPr>
              <w:jc w:val="right"/>
              <w:rPr>
                <w:rFonts w:cs="Arial"/>
                <w:i/>
                <w:iCs/>
                <w:sz w:val="22"/>
                <w:szCs w:val="22"/>
                <w:lang w:val="it-CH"/>
              </w:rPr>
            </w:pPr>
            <w:r>
              <w:rPr>
                <w:rFonts w:cs="Arial"/>
                <w:i/>
                <w:iCs/>
                <w:sz w:val="22"/>
                <w:szCs w:val="22"/>
                <w:lang w:val="it-CH"/>
              </w:rPr>
              <w:t>5</w:t>
            </w:r>
            <w:r w:rsidRPr="002F7E17">
              <w:rPr>
                <w:rFonts w:cs="Arial"/>
                <w:i/>
                <w:iCs/>
                <w:sz w:val="22"/>
                <w:szCs w:val="22"/>
                <w:lang w:val="it-CH"/>
              </w:rPr>
              <w:t>.</w:t>
            </w:r>
            <w:r>
              <w:rPr>
                <w:rFonts w:cs="Arial"/>
                <w:i/>
                <w:iCs/>
                <w:sz w:val="22"/>
                <w:szCs w:val="22"/>
                <w:lang w:val="it-CH"/>
              </w:rPr>
              <w:t>73</w:t>
            </w:r>
            <w:r w:rsidRPr="002F7E17">
              <w:rPr>
                <w:rFonts w:cs="Arial"/>
                <w:i/>
                <w:iCs/>
                <w:sz w:val="22"/>
                <w:szCs w:val="22"/>
                <w:lang w:val="it-CH"/>
              </w:rPr>
              <w:t>%</w:t>
            </w:r>
          </w:p>
        </w:tc>
        <w:tc>
          <w:tcPr>
            <w:tcW w:w="960" w:type="dxa"/>
            <w:tcBorders>
              <w:top w:val="nil"/>
              <w:left w:val="nil"/>
              <w:bottom w:val="nil"/>
              <w:right w:val="nil"/>
            </w:tcBorders>
            <w:shd w:val="clear" w:color="auto" w:fill="auto"/>
            <w:noWrap/>
            <w:vAlign w:val="bottom"/>
          </w:tcPr>
          <w:p w:rsidR="0024207A" w:rsidRPr="00AD6FD9" w:rsidRDefault="0024207A" w:rsidP="0024207A">
            <w:pPr>
              <w:jc w:val="right"/>
              <w:rPr>
                <w:rFonts w:cs="Arial"/>
                <w:i/>
                <w:iCs/>
                <w:sz w:val="22"/>
                <w:szCs w:val="22"/>
                <w:lang w:val="it-CH"/>
              </w:rPr>
            </w:pPr>
            <w:r w:rsidRPr="00AD6FD9">
              <w:rPr>
                <w:rFonts w:cs="Arial"/>
                <w:i/>
                <w:iCs/>
                <w:sz w:val="22"/>
                <w:szCs w:val="22"/>
                <w:lang w:val="it-CH"/>
              </w:rPr>
              <w:t>2.02%</w:t>
            </w:r>
          </w:p>
        </w:tc>
        <w:tc>
          <w:tcPr>
            <w:tcW w:w="805" w:type="dxa"/>
            <w:tcBorders>
              <w:top w:val="nil"/>
              <w:left w:val="nil"/>
              <w:bottom w:val="nil"/>
              <w:right w:val="nil"/>
            </w:tcBorders>
            <w:shd w:val="clear" w:color="auto" w:fill="auto"/>
            <w:vAlign w:val="bottom"/>
          </w:tcPr>
          <w:p w:rsidR="0024207A" w:rsidRPr="003E31D9" w:rsidRDefault="0024207A" w:rsidP="0024207A">
            <w:pPr>
              <w:jc w:val="right"/>
              <w:rPr>
                <w:rFonts w:cs="Arial"/>
                <w:i/>
                <w:iCs/>
                <w:sz w:val="22"/>
                <w:szCs w:val="22"/>
                <w:lang w:val="it-CH"/>
              </w:rPr>
            </w:pPr>
            <w:r w:rsidRPr="003E31D9">
              <w:rPr>
                <w:rFonts w:cs="Arial"/>
                <w:i/>
                <w:iCs/>
                <w:sz w:val="22"/>
                <w:szCs w:val="22"/>
                <w:lang w:val="it-CH"/>
              </w:rPr>
              <w:t>7.02%</w:t>
            </w:r>
          </w:p>
        </w:tc>
      </w:tr>
      <w:tr w:rsidR="0024207A" w:rsidRPr="002F7E17" w:rsidTr="0024207A">
        <w:trPr>
          <w:trHeight w:val="300"/>
        </w:trPr>
        <w:tc>
          <w:tcPr>
            <w:tcW w:w="3418" w:type="dxa"/>
            <w:tcBorders>
              <w:top w:val="nil"/>
              <w:left w:val="nil"/>
              <w:bottom w:val="nil"/>
              <w:right w:val="nil"/>
            </w:tcBorders>
            <w:shd w:val="clear" w:color="auto" w:fill="auto"/>
            <w:noWrap/>
            <w:vAlign w:val="bottom"/>
          </w:tcPr>
          <w:p w:rsidR="0024207A" w:rsidRPr="00CC0346" w:rsidRDefault="0024207A" w:rsidP="0024207A">
            <w:pPr>
              <w:rPr>
                <w:rFonts w:cs="Arial"/>
                <w:b/>
                <w:bCs/>
                <w:sz w:val="22"/>
                <w:szCs w:val="22"/>
                <w:lang w:val="it-CH"/>
              </w:rPr>
            </w:pPr>
            <w:r w:rsidRPr="00CC0346">
              <w:rPr>
                <w:rFonts w:cs="Arial"/>
                <w:b/>
                <w:bCs/>
                <w:sz w:val="22"/>
                <w:szCs w:val="22"/>
                <w:lang w:val="it-CH"/>
              </w:rPr>
              <w:t>Totale accordato</w:t>
            </w:r>
          </w:p>
        </w:tc>
        <w:tc>
          <w:tcPr>
            <w:tcW w:w="914" w:type="dxa"/>
            <w:tcBorders>
              <w:top w:val="nil"/>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16'400</w:t>
            </w:r>
          </w:p>
        </w:tc>
        <w:tc>
          <w:tcPr>
            <w:tcW w:w="913" w:type="dxa"/>
            <w:tcBorders>
              <w:top w:val="nil"/>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19'070</w:t>
            </w:r>
          </w:p>
        </w:tc>
        <w:tc>
          <w:tcPr>
            <w:tcW w:w="914" w:type="dxa"/>
            <w:tcBorders>
              <w:top w:val="nil"/>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19'248</w:t>
            </w:r>
          </w:p>
        </w:tc>
        <w:tc>
          <w:tcPr>
            <w:tcW w:w="914" w:type="dxa"/>
            <w:tcBorders>
              <w:top w:val="nil"/>
              <w:left w:val="nil"/>
              <w:bottom w:val="nil"/>
              <w:right w:val="nil"/>
            </w:tcBorders>
            <w:vAlign w:val="bottom"/>
          </w:tcPr>
          <w:p w:rsidR="0024207A" w:rsidRPr="002F7E17" w:rsidRDefault="0024207A" w:rsidP="0024207A">
            <w:pPr>
              <w:jc w:val="right"/>
              <w:rPr>
                <w:rFonts w:cs="Arial"/>
                <w:b/>
                <w:bCs/>
                <w:sz w:val="22"/>
                <w:szCs w:val="22"/>
                <w:lang w:val="it-CH"/>
              </w:rPr>
            </w:pPr>
            <w:r w:rsidRPr="002F7E17">
              <w:rPr>
                <w:rFonts w:cs="Arial"/>
                <w:b/>
                <w:bCs/>
                <w:sz w:val="22"/>
                <w:szCs w:val="22"/>
                <w:lang w:val="it-CH"/>
              </w:rPr>
              <w:t>19'</w:t>
            </w:r>
            <w:r>
              <w:rPr>
                <w:rFonts w:cs="Arial"/>
                <w:b/>
                <w:bCs/>
                <w:sz w:val="22"/>
                <w:szCs w:val="22"/>
                <w:lang w:val="it-CH"/>
              </w:rPr>
              <w:t>440</w:t>
            </w:r>
          </w:p>
        </w:tc>
        <w:tc>
          <w:tcPr>
            <w:tcW w:w="914" w:type="dxa"/>
            <w:tcBorders>
              <w:top w:val="nil"/>
              <w:left w:val="nil"/>
              <w:bottom w:val="nil"/>
              <w:right w:val="nil"/>
            </w:tcBorders>
            <w:vAlign w:val="bottom"/>
          </w:tcPr>
          <w:p w:rsidR="0024207A" w:rsidRPr="002F7E17" w:rsidRDefault="0024207A" w:rsidP="0024207A">
            <w:pPr>
              <w:jc w:val="right"/>
              <w:rPr>
                <w:rFonts w:cs="Arial"/>
                <w:b/>
                <w:bCs/>
                <w:sz w:val="22"/>
                <w:szCs w:val="22"/>
                <w:lang w:val="it-CH"/>
              </w:rPr>
            </w:pPr>
            <w:r>
              <w:rPr>
                <w:rFonts w:cs="Arial"/>
                <w:b/>
                <w:bCs/>
                <w:sz w:val="22"/>
                <w:szCs w:val="22"/>
                <w:lang w:val="it-CH"/>
              </w:rPr>
              <w:t>20</w:t>
            </w:r>
            <w:r w:rsidRPr="002F7E17">
              <w:rPr>
                <w:rFonts w:cs="Arial"/>
                <w:b/>
                <w:bCs/>
                <w:sz w:val="22"/>
                <w:szCs w:val="22"/>
                <w:lang w:val="it-CH"/>
              </w:rPr>
              <w:t>'</w:t>
            </w:r>
            <w:r>
              <w:rPr>
                <w:rFonts w:cs="Arial"/>
                <w:b/>
                <w:bCs/>
                <w:sz w:val="22"/>
                <w:szCs w:val="22"/>
                <w:lang w:val="it-CH"/>
              </w:rPr>
              <w:t>250</w:t>
            </w:r>
          </w:p>
        </w:tc>
        <w:tc>
          <w:tcPr>
            <w:tcW w:w="960" w:type="dxa"/>
            <w:tcBorders>
              <w:top w:val="nil"/>
              <w:left w:val="nil"/>
              <w:bottom w:val="nil"/>
              <w:right w:val="nil"/>
            </w:tcBorders>
            <w:shd w:val="clear" w:color="auto" w:fill="auto"/>
            <w:noWrap/>
            <w:vAlign w:val="bottom"/>
          </w:tcPr>
          <w:p w:rsidR="0024207A" w:rsidRPr="00AD6FD9" w:rsidRDefault="0024207A" w:rsidP="0024207A">
            <w:pPr>
              <w:jc w:val="right"/>
              <w:rPr>
                <w:rFonts w:cs="Arial"/>
                <w:b/>
                <w:bCs/>
                <w:sz w:val="22"/>
                <w:szCs w:val="22"/>
                <w:lang w:val="it-CH"/>
              </w:rPr>
            </w:pPr>
            <w:r w:rsidRPr="00AD6FD9">
              <w:rPr>
                <w:rFonts w:cs="Arial"/>
                <w:b/>
                <w:bCs/>
                <w:sz w:val="22"/>
                <w:szCs w:val="22"/>
                <w:lang w:val="it-CH"/>
              </w:rPr>
              <w:t>21'000</w:t>
            </w:r>
          </w:p>
        </w:tc>
        <w:tc>
          <w:tcPr>
            <w:tcW w:w="805" w:type="dxa"/>
            <w:tcBorders>
              <w:top w:val="nil"/>
              <w:left w:val="nil"/>
              <w:bottom w:val="nil"/>
              <w:right w:val="nil"/>
            </w:tcBorders>
            <w:shd w:val="clear" w:color="auto" w:fill="auto"/>
            <w:vAlign w:val="bottom"/>
          </w:tcPr>
          <w:p w:rsidR="0024207A" w:rsidRPr="003E31D9" w:rsidRDefault="0024207A" w:rsidP="0024207A">
            <w:pPr>
              <w:jc w:val="right"/>
              <w:rPr>
                <w:rFonts w:cs="Arial"/>
                <w:b/>
                <w:bCs/>
                <w:sz w:val="22"/>
                <w:szCs w:val="22"/>
                <w:lang w:val="it-CH"/>
              </w:rPr>
            </w:pPr>
            <w:r w:rsidRPr="003E31D9">
              <w:rPr>
                <w:rFonts w:cs="Arial"/>
                <w:b/>
                <w:bCs/>
                <w:sz w:val="22"/>
                <w:szCs w:val="22"/>
                <w:lang w:val="it-CH"/>
              </w:rPr>
              <w:t>21'000</w:t>
            </w:r>
          </w:p>
        </w:tc>
      </w:tr>
      <w:tr w:rsidR="0024207A" w:rsidRPr="002F7E17" w:rsidTr="0024207A">
        <w:trPr>
          <w:trHeight w:val="300"/>
        </w:trPr>
        <w:tc>
          <w:tcPr>
            <w:tcW w:w="3418" w:type="dxa"/>
            <w:tcBorders>
              <w:top w:val="nil"/>
              <w:left w:val="nil"/>
              <w:bottom w:val="single" w:sz="8" w:space="0" w:color="auto"/>
              <w:right w:val="nil"/>
            </w:tcBorders>
            <w:shd w:val="clear" w:color="auto" w:fill="auto"/>
            <w:noWrap/>
            <w:vAlign w:val="bottom"/>
          </w:tcPr>
          <w:p w:rsidR="0024207A" w:rsidRPr="00CC0346" w:rsidRDefault="0024207A" w:rsidP="0024207A">
            <w:pPr>
              <w:rPr>
                <w:rFonts w:cs="Arial"/>
                <w:i/>
                <w:iCs/>
                <w:sz w:val="22"/>
                <w:szCs w:val="22"/>
                <w:lang w:val="it-CH"/>
              </w:rPr>
            </w:pPr>
            <w:r w:rsidRPr="00CC0346">
              <w:rPr>
                <w:rFonts w:cs="Arial"/>
                <w:i/>
                <w:iCs/>
                <w:sz w:val="22"/>
                <w:szCs w:val="22"/>
                <w:lang w:val="it-CH"/>
              </w:rPr>
              <w:t>Aumento annuo</w:t>
            </w:r>
          </w:p>
        </w:tc>
        <w:tc>
          <w:tcPr>
            <w:tcW w:w="914" w:type="dxa"/>
            <w:tcBorders>
              <w:top w:val="nil"/>
              <w:left w:val="nil"/>
              <w:bottom w:val="single" w:sz="8" w:space="0" w:color="auto"/>
              <w:right w:val="nil"/>
            </w:tcBorders>
            <w:vAlign w:val="bottom"/>
          </w:tcPr>
          <w:p w:rsidR="0024207A" w:rsidRPr="002F7E17" w:rsidRDefault="0024207A" w:rsidP="0024207A">
            <w:pPr>
              <w:jc w:val="right"/>
              <w:rPr>
                <w:rFonts w:cs="Arial"/>
                <w:i/>
                <w:iCs/>
                <w:sz w:val="22"/>
                <w:szCs w:val="22"/>
                <w:lang w:val="it-CH"/>
              </w:rPr>
            </w:pPr>
            <w:r w:rsidRPr="002F7E17">
              <w:rPr>
                <w:rFonts w:cs="Arial"/>
                <w:i/>
                <w:iCs/>
                <w:sz w:val="22"/>
                <w:szCs w:val="22"/>
                <w:lang w:val="it-CH"/>
              </w:rPr>
              <w:t>6.49%</w:t>
            </w:r>
          </w:p>
        </w:tc>
        <w:tc>
          <w:tcPr>
            <w:tcW w:w="913" w:type="dxa"/>
            <w:tcBorders>
              <w:top w:val="nil"/>
              <w:left w:val="nil"/>
              <w:bottom w:val="single" w:sz="8" w:space="0" w:color="auto"/>
              <w:right w:val="nil"/>
            </w:tcBorders>
            <w:vAlign w:val="bottom"/>
          </w:tcPr>
          <w:p w:rsidR="0024207A" w:rsidRPr="002F7E17" w:rsidRDefault="0024207A" w:rsidP="0024207A">
            <w:pPr>
              <w:jc w:val="right"/>
              <w:rPr>
                <w:rFonts w:cs="Arial"/>
                <w:i/>
                <w:iCs/>
                <w:sz w:val="22"/>
                <w:szCs w:val="22"/>
                <w:lang w:val="it-CH"/>
              </w:rPr>
            </w:pPr>
            <w:r>
              <w:rPr>
                <w:rFonts w:cs="Arial"/>
                <w:i/>
                <w:iCs/>
                <w:sz w:val="22"/>
                <w:szCs w:val="22"/>
                <w:lang w:val="it-CH"/>
              </w:rPr>
              <w:t>16.28</w:t>
            </w:r>
            <w:r w:rsidRPr="002F7E17">
              <w:rPr>
                <w:rFonts w:cs="Arial"/>
                <w:i/>
                <w:iCs/>
                <w:sz w:val="22"/>
                <w:szCs w:val="22"/>
                <w:lang w:val="it-CH"/>
              </w:rPr>
              <w:t>%</w:t>
            </w:r>
          </w:p>
        </w:tc>
        <w:tc>
          <w:tcPr>
            <w:tcW w:w="914" w:type="dxa"/>
            <w:tcBorders>
              <w:top w:val="nil"/>
              <w:left w:val="nil"/>
              <w:bottom w:val="single" w:sz="8" w:space="0" w:color="auto"/>
              <w:right w:val="nil"/>
            </w:tcBorders>
            <w:vAlign w:val="bottom"/>
          </w:tcPr>
          <w:p w:rsidR="0024207A" w:rsidRPr="002F7E17" w:rsidRDefault="0024207A" w:rsidP="0024207A">
            <w:pPr>
              <w:jc w:val="right"/>
              <w:rPr>
                <w:rFonts w:cs="Arial"/>
                <w:i/>
                <w:iCs/>
                <w:sz w:val="22"/>
                <w:szCs w:val="22"/>
                <w:lang w:val="it-CH"/>
              </w:rPr>
            </w:pPr>
            <w:r w:rsidRPr="002F7E17">
              <w:rPr>
                <w:rFonts w:cs="Arial"/>
                <w:i/>
                <w:iCs/>
                <w:sz w:val="22"/>
                <w:szCs w:val="22"/>
                <w:lang w:val="it-CH"/>
              </w:rPr>
              <w:t>0.93%</w:t>
            </w:r>
          </w:p>
        </w:tc>
        <w:tc>
          <w:tcPr>
            <w:tcW w:w="914" w:type="dxa"/>
            <w:tcBorders>
              <w:top w:val="nil"/>
              <w:left w:val="nil"/>
              <w:bottom w:val="single" w:sz="8" w:space="0" w:color="auto"/>
              <w:right w:val="nil"/>
            </w:tcBorders>
            <w:vAlign w:val="bottom"/>
          </w:tcPr>
          <w:p w:rsidR="0024207A" w:rsidRPr="002F7E17" w:rsidRDefault="0024207A" w:rsidP="0024207A">
            <w:pPr>
              <w:jc w:val="right"/>
              <w:rPr>
                <w:rFonts w:cs="Arial"/>
                <w:i/>
                <w:iCs/>
                <w:sz w:val="22"/>
                <w:szCs w:val="22"/>
                <w:lang w:val="it-CH"/>
              </w:rPr>
            </w:pPr>
            <w:r>
              <w:rPr>
                <w:rFonts w:cs="Arial"/>
                <w:i/>
                <w:iCs/>
                <w:sz w:val="22"/>
                <w:szCs w:val="22"/>
                <w:lang w:val="it-CH"/>
              </w:rPr>
              <w:t>1</w:t>
            </w:r>
            <w:r w:rsidRPr="002F7E17">
              <w:rPr>
                <w:rFonts w:cs="Arial"/>
                <w:i/>
                <w:iCs/>
                <w:sz w:val="22"/>
                <w:szCs w:val="22"/>
                <w:lang w:val="it-CH"/>
              </w:rPr>
              <w:t>.</w:t>
            </w:r>
            <w:r>
              <w:rPr>
                <w:rFonts w:cs="Arial"/>
                <w:i/>
                <w:iCs/>
                <w:sz w:val="22"/>
                <w:szCs w:val="22"/>
                <w:lang w:val="it-CH"/>
              </w:rPr>
              <w:t>00</w:t>
            </w:r>
            <w:r w:rsidRPr="002F7E17">
              <w:rPr>
                <w:rFonts w:cs="Arial"/>
                <w:i/>
                <w:iCs/>
                <w:sz w:val="22"/>
                <w:szCs w:val="22"/>
                <w:lang w:val="it-CH"/>
              </w:rPr>
              <w:t>%</w:t>
            </w:r>
          </w:p>
        </w:tc>
        <w:tc>
          <w:tcPr>
            <w:tcW w:w="914" w:type="dxa"/>
            <w:tcBorders>
              <w:top w:val="nil"/>
              <w:left w:val="nil"/>
              <w:bottom w:val="single" w:sz="8" w:space="0" w:color="auto"/>
              <w:right w:val="nil"/>
            </w:tcBorders>
            <w:vAlign w:val="bottom"/>
          </w:tcPr>
          <w:p w:rsidR="0024207A" w:rsidRPr="002F7E17" w:rsidRDefault="0024207A" w:rsidP="0024207A">
            <w:pPr>
              <w:jc w:val="right"/>
              <w:rPr>
                <w:rFonts w:cs="Arial"/>
                <w:i/>
                <w:iCs/>
                <w:sz w:val="22"/>
                <w:szCs w:val="22"/>
                <w:lang w:val="it-CH"/>
              </w:rPr>
            </w:pPr>
            <w:r>
              <w:rPr>
                <w:rFonts w:cs="Arial"/>
                <w:i/>
                <w:iCs/>
                <w:sz w:val="22"/>
                <w:szCs w:val="22"/>
                <w:lang w:val="it-CH"/>
              </w:rPr>
              <w:t>4</w:t>
            </w:r>
            <w:r w:rsidRPr="002F7E17">
              <w:rPr>
                <w:rFonts w:cs="Arial"/>
                <w:i/>
                <w:iCs/>
                <w:sz w:val="22"/>
                <w:szCs w:val="22"/>
                <w:lang w:val="it-CH"/>
              </w:rPr>
              <w:t>.</w:t>
            </w:r>
            <w:r>
              <w:rPr>
                <w:rFonts w:cs="Arial"/>
                <w:i/>
                <w:iCs/>
                <w:sz w:val="22"/>
                <w:szCs w:val="22"/>
                <w:lang w:val="it-CH"/>
              </w:rPr>
              <w:t>17</w:t>
            </w:r>
            <w:r w:rsidRPr="002F7E17">
              <w:rPr>
                <w:rFonts w:cs="Arial"/>
                <w:i/>
                <w:iCs/>
                <w:sz w:val="22"/>
                <w:szCs w:val="22"/>
                <w:lang w:val="it-CH"/>
              </w:rPr>
              <w:t>%</w:t>
            </w:r>
          </w:p>
        </w:tc>
        <w:tc>
          <w:tcPr>
            <w:tcW w:w="960" w:type="dxa"/>
            <w:tcBorders>
              <w:top w:val="nil"/>
              <w:left w:val="nil"/>
              <w:bottom w:val="single" w:sz="8" w:space="0" w:color="auto"/>
              <w:right w:val="nil"/>
            </w:tcBorders>
            <w:shd w:val="clear" w:color="auto" w:fill="auto"/>
            <w:noWrap/>
            <w:vAlign w:val="bottom"/>
          </w:tcPr>
          <w:p w:rsidR="0024207A" w:rsidRPr="00AD6FD9" w:rsidRDefault="0024207A" w:rsidP="0024207A">
            <w:pPr>
              <w:jc w:val="right"/>
              <w:rPr>
                <w:rFonts w:cs="Arial"/>
                <w:i/>
                <w:iCs/>
                <w:sz w:val="22"/>
                <w:szCs w:val="22"/>
                <w:lang w:val="it-CH"/>
              </w:rPr>
            </w:pPr>
            <w:r w:rsidRPr="00AD6FD9">
              <w:rPr>
                <w:rFonts w:cs="Arial"/>
                <w:i/>
                <w:iCs/>
                <w:sz w:val="22"/>
                <w:szCs w:val="22"/>
                <w:lang w:val="it-CH"/>
              </w:rPr>
              <w:t>3.70%</w:t>
            </w:r>
          </w:p>
        </w:tc>
        <w:tc>
          <w:tcPr>
            <w:tcW w:w="805" w:type="dxa"/>
            <w:tcBorders>
              <w:top w:val="nil"/>
              <w:left w:val="nil"/>
              <w:bottom w:val="single" w:sz="8" w:space="0" w:color="auto"/>
              <w:right w:val="nil"/>
            </w:tcBorders>
            <w:shd w:val="clear" w:color="auto" w:fill="auto"/>
            <w:vAlign w:val="bottom"/>
          </w:tcPr>
          <w:p w:rsidR="0024207A" w:rsidRPr="003E31D9" w:rsidRDefault="0024207A" w:rsidP="0024207A">
            <w:pPr>
              <w:jc w:val="right"/>
              <w:rPr>
                <w:rFonts w:cs="Arial"/>
                <w:i/>
                <w:iCs/>
                <w:sz w:val="22"/>
                <w:szCs w:val="22"/>
                <w:lang w:val="it-CH"/>
              </w:rPr>
            </w:pPr>
            <w:r w:rsidRPr="003E31D9">
              <w:rPr>
                <w:rFonts w:cs="Arial"/>
                <w:i/>
                <w:iCs/>
                <w:sz w:val="22"/>
                <w:szCs w:val="22"/>
                <w:lang w:val="it-CH"/>
              </w:rPr>
              <w:t>0.00%</w:t>
            </w:r>
          </w:p>
        </w:tc>
      </w:tr>
    </w:tbl>
    <w:p w:rsidR="0024207A" w:rsidRPr="002F7E17" w:rsidRDefault="0024207A" w:rsidP="0024207A">
      <w:pPr>
        <w:autoSpaceDE w:val="0"/>
        <w:autoSpaceDN w:val="0"/>
        <w:adjustRightInd w:val="0"/>
        <w:jc w:val="left"/>
        <w:rPr>
          <w:rFonts w:cs="Arial"/>
          <w:bCs/>
          <w:sz w:val="16"/>
          <w:szCs w:val="16"/>
          <w:lang w:val="it-CH"/>
        </w:rPr>
      </w:pPr>
    </w:p>
    <w:p w:rsidR="0024207A" w:rsidRPr="003072B3" w:rsidRDefault="0024207A" w:rsidP="0024207A">
      <w:pPr>
        <w:autoSpaceDE w:val="0"/>
        <w:autoSpaceDN w:val="0"/>
        <w:adjustRightInd w:val="0"/>
        <w:jc w:val="left"/>
        <w:rPr>
          <w:rFonts w:cs="Arial"/>
          <w:bCs/>
          <w:i/>
          <w:szCs w:val="24"/>
          <w:lang w:val="it-CH"/>
        </w:rPr>
      </w:pPr>
      <w:r w:rsidRPr="003072B3">
        <w:rPr>
          <w:rFonts w:cs="Arial"/>
          <w:bCs/>
          <w:i/>
          <w:sz w:val="16"/>
          <w:szCs w:val="16"/>
          <w:lang w:val="it-CH"/>
        </w:rPr>
        <w:t xml:space="preserve">Fonte: elaborazione DCSU </w:t>
      </w:r>
    </w:p>
    <w:p w:rsidR="0024207A" w:rsidRDefault="0024207A" w:rsidP="0024207A">
      <w:pPr>
        <w:rPr>
          <w:szCs w:val="24"/>
        </w:rPr>
      </w:pPr>
    </w:p>
    <w:p w:rsidR="0024207A" w:rsidRDefault="0024207A" w:rsidP="0024207A">
      <w:pPr>
        <w:tabs>
          <w:tab w:val="left" w:pos="4962"/>
        </w:tabs>
        <w:spacing w:before="120"/>
        <w:rPr>
          <w:szCs w:val="24"/>
        </w:rPr>
      </w:pPr>
      <w:r>
        <w:rPr>
          <w:szCs w:val="24"/>
        </w:rPr>
        <w:t xml:space="preserve">Nella Tabella 5 </w:t>
      </w:r>
      <w:r w:rsidRPr="00972401">
        <w:rPr>
          <w:szCs w:val="24"/>
        </w:rPr>
        <w:t xml:space="preserve">la voce “Attività culturali” </w:t>
      </w:r>
      <w:r>
        <w:rPr>
          <w:szCs w:val="24"/>
        </w:rPr>
        <w:t>era</w:t>
      </w:r>
      <w:r w:rsidRPr="00972401">
        <w:rPr>
          <w:szCs w:val="24"/>
        </w:rPr>
        <w:t xml:space="preserve"> </w:t>
      </w:r>
      <w:r>
        <w:rPr>
          <w:szCs w:val="24"/>
        </w:rPr>
        <w:t>precedentemente composta da</w:t>
      </w:r>
      <w:r w:rsidRPr="00972401">
        <w:rPr>
          <w:szCs w:val="24"/>
        </w:rPr>
        <w:t xml:space="preserve"> un </w:t>
      </w:r>
      <w:r>
        <w:rPr>
          <w:szCs w:val="24"/>
        </w:rPr>
        <w:t xml:space="preserve">importo </w:t>
      </w:r>
      <w:r w:rsidRPr="00972401">
        <w:rPr>
          <w:szCs w:val="24"/>
        </w:rPr>
        <w:t>per il sostegno ai costi delle biblioteche dell’USI (</w:t>
      </w:r>
      <w:r>
        <w:rPr>
          <w:szCs w:val="24"/>
        </w:rPr>
        <w:t>contributo pari al</w:t>
      </w:r>
      <w:r w:rsidRPr="00972401">
        <w:rPr>
          <w:szCs w:val="24"/>
        </w:rPr>
        <w:t xml:space="preserve"> 50% dei costi preventivati) e d</w:t>
      </w:r>
      <w:r>
        <w:rPr>
          <w:szCs w:val="24"/>
        </w:rPr>
        <w:t xml:space="preserve">a </w:t>
      </w:r>
      <w:proofErr w:type="spellStart"/>
      <w:r>
        <w:rPr>
          <w:szCs w:val="24"/>
        </w:rPr>
        <w:t>fr</w:t>
      </w:r>
      <w:proofErr w:type="spellEnd"/>
      <w:r>
        <w:rPr>
          <w:szCs w:val="24"/>
        </w:rPr>
        <w:t xml:space="preserve">. </w:t>
      </w:r>
      <w:r w:rsidRPr="00972401">
        <w:rPr>
          <w:szCs w:val="24"/>
        </w:rPr>
        <w:t>500'000</w:t>
      </w:r>
      <w:r>
        <w:rPr>
          <w:szCs w:val="24"/>
        </w:rPr>
        <w:t xml:space="preserve">.- </w:t>
      </w:r>
      <w:r w:rsidRPr="00972401">
        <w:rPr>
          <w:szCs w:val="24"/>
        </w:rPr>
        <w:t xml:space="preserve">con </w:t>
      </w:r>
      <w:r>
        <w:rPr>
          <w:szCs w:val="24"/>
        </w:rPr>
        <w:t>cui</w:t>
      </w:r>
      <w:r w:rsidRPr="00972401">
        <w:rPr>
          <w:szCs w:val="24"/>
        </w:rPr>
        <w:t xml:space="preserve"> il Cantone finanzia, tramite l’USI, il 50% dei costi preventivati della Fondazione Archivio del </w:t>
      </w:r>
      <w:r>
        <w:rPr>
          <w:szCs w:val="24"/>
        </w:rPr>
        <w:t>M</w:t>
      </w:r>
      <w:r w:rsidRPr="00972401">
        <w:rPr>
          <w:szCs w:val="24"/>
        </w:rPr>
        <w:t>oderno (l’USI ha un mandato</w:t>
      </w:r>
      <w:r>
        <w:rPr>
          <w:szCs w:val="24"/>
        </w:rPr>
        <w:t xml:space="preserve"> di prestazioni</w:t>
      </w:r>
      <w:r w:rsidRPr="00972401">
        <w:rPr>
          <w:szCs w:val="24"/>
        </w:rPr>
        <w:t xml:space="preserve"> con </w:t>
      </w:r>
      <w:r>
        <w:rPr>
          <w:szCs w:val="24"/>
        </w:rPr>
        <w:t>tale</w:t>
      </w:r>
      <w:r w:rsidRPr="00972401">
        <w:rPr>
          <w:szCs w:val="24"/>
        </w:rPr>
        <w:t xml:space="preserve"> </w:t>
      </w:r>
      <w:r>
        <w:rPr>
          <w:szCs w:val="24"/>
        </w:rPr>
        <w:t>f</w:t>
      </w:r>
      <w:r w:rsidRPr="00972401">
        <w:rPr>
          <w:szCs w:val="24"/>
        </w:rPr>
        <w:t xml:space="preserve">ondazione). </w:t>
      </w:r>
      <w:r>
        <w:rPr>
          <w:szCs w:val="24"/>
        </w:rPr>
        <w:t xml:space="preserve">Dal 2013 il </w:t>
      </w:r>
      <w:proofErr w:type="spellStart"/>
      <w:r>
        <w:rPr>
          <w:szCs w:val="24"/>
        </w:rPr>
        <w:t>Cdp</w:t>
      </w:r>
      <w:proofErr w:type="spellEnd"/>
      <w:r>
        <w:rPr>
          <w:szCs w:val="24"/>
        </w:rPr>
        <w:t xml:space="preserve"> prevede che il sostegno alle biblioteche rientri nel quadro del finanziamento alla formazione e alla ricerca, per cui sotto la voce “Attività </w:t>
      </w:r>
      <w:r w:rsidRPr="00224C09">
        <w:rPr>
          <w:szCs w:val="24"/>
        </w:rPr>
        <w:t xml:space="preserve">culturali” rimane </w:t>
      </w:r>
      <w:r>
        <w:rPr>
          <w:szCs w:val="24"/>
        </w:rPr>
        <w:t>solo</w:t>
      </w:r>
      <w:r w:rsidRPr="00224C09">
        <w:rPr>
          <w:szCs w:val="24"/>
        </w:rPr>
        <w:t xml:space="preserve"> il contributo cantonale </w:t>
      </w:r>
      <w:r>
        <w:rPr>
          <w:szCs w:val="24"/>
        </w:rPr>
        <w:t xml:space="preserve">di </w:t>
      </w:r>
      <w:proofErr w:type="spellStart"/>
      <w:r>
        <w:rPr>
          <w:szCs w:val="24"/>
        </w:rPr>
        <w:t>fr</w:t>
      </w:r>
      <w:proofErr w:type="spellEnd"/>
      <w:r>
        <w:rPr>
          <w:szCs w:val="24"/>
        </w:rPr>
        <w:t xml:space="preserve">. 500'000.- </w:t>
      </w:r>
      <w:r w:rsidRPr="00224C09">
        <w:rPr>
          <w:szCs w:val="24"/>
        </w:rPr>
        <w:t>alla F</w:t>
      </w:r>
      <w:r>
        <w:rPr>
          <w:szCs w:val="24"/>
        </w:rPr>
        <w:t>ondazione Archivio del Moderno.</w:t>
      </w:r>
    </w:p>
    <w:p w:rsidR="0024207A" w:rsidRPr="00224C09" w:rsidRDefault="0024207A" w:rsidP="0024207A"/>
    <w:p w:rsidR="0024207A" w:rsidRDefault="0024207A" w:rsidP="0024207A">
      <w:pPr>
        <w:rPr>
          <w:rFonts w:cs="Arial"/>
          <w:lang w:val="it-CH"/>
        </w:rPr>
      </w:pPr>
      <w:r w:rsidRPr="00224C09">
        <w:t xml:space="preserve">La voce “Vantaggio di ubicazione” riportata della </w:t>
      </w:r>
      <w:r>
        <w:t>T</w:t>
      </w:r>
      <w:r w:rsidRPr="00E70242">
        <w:t xml:space="preserve">abella </w:t>
      </w:r>
      <w:r>
        <w:t>5</w:t>
      </w:r>
      <w:r w:rsidRPr="00224C09">
        <w:t xml:space="preserve"> è </w:t>
      </w:r>
      <w:r w:rsidRPr="00224C09">
        <w:rPr>
          <w:rFonts w:cs="Arial"/>
          <w:lang w:val="it-CH"/>
        </w:rPr>
        <w:t>calcolata in base a</w:t>
      </w:r>
      <w:r>
        <w:rPr>
          <w:rFonts w:cs="Arial"/>
          <w:lang w:val="it-CH"/>
        </w:rPr>
        <w:t>d</w:t>
      </w:r>
      <w:r w:rsidRPr="00224C09">
        <w:rPr>
          <w:rFonts w:cs="Arial"/>
          <w:lang w:val="it-CH"/>
        </w:rPr>
        <w:t xml:space="preserve"> una percentuale (5% per il 201</w:t>
      </w:r>
      <w:r>
        <w:rPr>
          <w:rFonts w:cs="Arial"/>
          <w:lang w:val="it-CH"/>
        </w:rPr>
        <w:t>7</w:t>
      </w:r>
      <w:r w:rsidRPr="00224C09">
        <w:rPr>
          <w:rFonts w:cs="Arial"/>
          <w:lang w:val="it-CH"/>
        </w:rPr>
        <w:t>) del finanziamento della formazione di base</w:t>
      </w:r>
      <w:r>
        <w:rPr>
          <w:rFonts w:cs="Arial"/>
          <w:lang w:val="it-CH"/>
        </w:rPr>
        <w:t xml:space="preserve">. </w:t>
      </w:r>
      <w:r w:rsidRPr="00224C09">
        <w:rPr>
          <w:rFonts w:cs="Arial"/>
          <w:lang w:val="it-CH"/>
        </w:rPr>
        <w:t>Il</w:t>
      </w:r>
      <w:r w:rsidRPr="00224C09">
        <w:t xml:space="preserve"> </w:t>
      </w:r>
      <w:proofErr w:type="spellStart"/>
      <w:r>
        <w:t>Cdp</w:t>
      </w:r>
      <w:proofErr w:type="spellEnd"/>
      <w:r w:rsidRPr="00224C09">
        <w:t xml:space="preserve"> prevede appunto all’art. 22 </w:t>
      </w:r>
      <w:r>
        <w:rPr>
          <w:rFonts w:cs="Arial"/>
          <w:lang w:val="it-CH"/>
        </w:rPr>
        <w:t>il concetto</w:t>
      </w:r>
      <w:r w:rsidRPr="00224C09">
        <w:rPr>
          <w:rFonts w:cs="Arial"/>
          <w:lang w:val="it-CH"/>
        </w:rPr>
        <w:t xml:space="preserve"> di </w:t>
      </w:r>
      <w:r>
        <w:t>“vantaggio di ubicazione”</w:t>
      </w:r>
      <w:r w:rsidRPr="00224C09">
        <w:rPr>
          <w:rFonts w:cs="Arial"/>
          <w:lang w:val="it-CH"/>
        </w:rPr>
        <w:t xml:space="preserve">. Secondo questo concetto </w:t>
      </w:r>
      <w:r>
        <w:rPr>
          <w:rFonts w:cs="Arial"/>
          <w:lang w:val="it-CH"/>
        </w:rPr>
        <w:t>occorre</w:t>
      </w:r>
      <w:r w:rsidRPr="00224C09">
        <w:rPr>
          <w:rFonts w:cs="Arial"/>
          <w:lang w:val="it-CH"/>
        </w:rPr>
        <w:t xml:space="preserve"> paragonare lo scenario "senza università" </w:t>
      </w:r>
      <w:r>
        <w:rPr>
          <w:rFonts w:cs="Arial"/>
          <w:lang w:val="it-CH"/>
        </w:rPr>
        <w:t>con</w:t>
      </w:r>
      <w:r w:rsidRPr="00224C09">
        <w:rPr>
          <w:rFonts w:cs="Arial"/>
          <w:lang w:val="it-CH"/>
        </w:rPr>
        <w:t xml:space="preserve"> lo scenario "con</w:t>
      </w:r>
      <w:r>
        <w:rPr>
          <w:rFonts w:cs="Arial"/>
          <w:lang w:val="it-CH"/>
        </w:rPr>
        <w:t xml:space="preserve"> università</w:t>
      </w:r>
      <w:r w:rsidRPr="00224C09">
        <w:rPr>
          <w:rFonts w:cs="Arial"/>
          <w:lang w:val="it-CH"/>
        </w:rPr>
        <w:t xml:space="preserve">". Infatti il Cantone, che mediante la formazione universitaria mantiene o attira in loco un certo numero di studenti, ricava vantaggi economici e culturali sia per la presenza degli studenti stessi, sia per la presenza del corpo insegnante e della struttura. Per questo motivo il Cantone concede un finanziamento non direttamente legato a una prestazione, ma </w:t>
      </w:r>
      <w:r>
        <w:rPr>
          <w:rFonts w:cs="Arial"/>
          <w:lang w:val="it-CH"/>
        </w:rPr>
        <w:t>utilizzabile</w:t>
      </w:r>
      <w:r w:rsidRPr="00224C09">
        <w:rPr>
          <w:rFonts w:cs="Arial"/>
          <w:lang w:val="it-CH"/>
        </w:rPr>
        <w:t xml:space="preserve"> </w:t>
      </w:r>
      <w:r>
        <w:rPr>
          <w:rFonts w:cs="Arial"/>
          <w:lang w:val="it-CH"/>
        </w:rPr>
        <w:t>dal</w:t>
      </w:r>
      <w:r w:rsidRPr="00224C09">
        <w:rPr>
          <w:rFonts w:cs="Arial"/>
          <w:lang w:val="it-CH"/>
        </w:rPr>
        <w:t>l’USI</w:t>
      </w:r>
      <w:r>
        <w:rPr>
          <w:rFonts w:cs="Arial"/>
          <w:lang w:val="it-CH"/>
        </w:rPr>
        <w:t xml:space="preserve">, che </w:t>
      </w:r>
      <w:r w:rsidRPr="00224C09">
        <w:rPr>
          <w:rFonts w:cs="Arial"/>
          <w:lang w:val="it-CH"/>
        </w:rPr>
        <w:t>può utilizzar</w:t>
      </w:r>
      <w:r>
        <w:rPr>
          <w:rFonts w:cs="Arial"/>
          <w:lang w:val="it-CH"/>
        </w:rPr>
        <w:t xml:space="preserve">lo </w:t>
      </w:r>
      <w:r w:rsidRPr="00224C09">
        <w:rPr>
          <w:rFonts w:cs="Arial"/>
          <w:lang w:val="it-CH"/>
        </w:rPr>
        <w:t>in modo strategico.</w:t>
      </w:r>
      <w:r>
        <w:rPr>
          <w:rFonts w:cs="Arial"/>
          <w:lang w:val="it-CH"/>
        </w:rPr>
        <w:t xml:space="preserve"> Come illustrato alla Tabella 5, il calcolo secondo l’art. 22 portava alla richiesta di 22.59 milioni di franchi contro un limite massimo, poi applicato per il versamento del contributo, di 21 milioni secondo l’art. 27 del </w:t>
      </w:r>
      <w:proofErr w:type="spellStart"/>
      <w:r>
        <w:rPr>
          <w:rFonts w:cs="Arial"/>
          <w:lang w:val="it-CH"/>
        </w:rPr>
        <w:t>Cdp</w:t>
      </w:r>
      <w:proofErr w:type="spellEnd"/>
      <w:r>
        <w:rPr>
          <w:rFonts w:cs="Arial"/>
          <w:lang w:val="it-CH"/>
        </w:rPr>
        <w:t>. La differenza del 7% circa tra quanto concesso e quanto calcolato in base al Contratto può essere vista come un risparmio cantonale sul contributo versato all’USI per il 2017. Viste le perdite d’esercizio dell’USI, dovute in particolare al moderato aumento dei sussidi federali causati dalla modifica di legge e all’applicazione del limite massimo di sussidio cantonale, la situazione del finanziamento dell’USI andrà monitorata in modo specifico.</w:t>
      </w:r>
    </w:p>
    <w:p w:rsidR="0024207A" w:rsidRDefault="0024207A" w:rsidP="0024207A">
      <w:pPr>
        <w:rPr>
          <w:rFonts w:cs="Arial"/>
          <w:lang w:val="it-CH"/>
        </w:rPr>
      </w:pPr>
    </w:p>
    <w:p w:rsidR="0024207A" w:rsidRDefault="0024207A" w:rsidP="0024207A">
      <w:pPr>
        <w:rPr>
          <w:rFonts w:cs="Arial"/>
        </w:rPr>
      </w:pPr>
      <w:r>
        <w:rPr>
          <w:lang w:val="it-CH"/>
        </w:rPr>
        <w:t>Per completezza d’informazione, la T</w:t>
      </w:r>
      <w:proofErr w:type="spellStart"/>
      <w:r w:rsidRPr="00C65DAB">
        <w:t>abella</w:t>
      </w:r>
      <w:proofErr w:type="spellEnd"/>
      <w:r w:rsidRPr="00C65DAB">
        <w:t xml:space="preserve"> 6</w:t>
      </w:r>
      <w:r w:rsidRPr="00972401">
        <w:t xml:space="preserve"> riporta, oltre alla voce</w:t>
      </w:r>
      <w:r>
        <w:t xml:space="preserve"> del</w:t>
      </w:r>
      <w:r w:rsidRPr="00972401">
        <w:t xml:space="preserve"> </w:t>
      </w:r>
      <w:r>
        <w:t xml:space="preserve">contributo di gestione </w:t>
      </w:r>
      <w:r w:rsidRPr="00972401">
        <w:t xml:space="preserve">del Cantone, anche le altre fonti di finanziamento dell’USI. </w:t>
      </w:r>
    </w:p>
    <w:p w:rsidR="0024207A" w:rsidRDefault="0024207A" w:rsidP="0024207A">
      <w:pPr>
        <w:rPr>
          <w:rFonts w:cs="Arial"/>
          <w:b/>
          <w:sz w:val="22"/>
          <w:szCs w:val="22"/>
        </w:rPr>
      </w:pPr>
    </w:p>
    <w:p w:rsidR="001F1B4B" w:rsidRDefault="001F1B4B">
      <w:pPr>
        <w:jc w:val="left"/>
        <w:rPr>
          <w:rFonts w:cs="Arial"/>
          <w:b/>
          <w:sz w:val="22"/>
          <w:szCs w:val="22"/>
        </w:rPr>
      </w:pPr>
      <w:r>
        <w:rPr>
          <w:rFonts w:cs="Arial"/>
          <w:b/>
          <w:sz w:val="22"/>
          <w:szCs w:val="22"/>
        </w:rPr>
        <w:br w:type="page"/>
      </w:r>
    </w:p>
    <w:p w:rsidR="0024207A" w:rsidRPr="0024207A" w:rsidRDefault="0024207A" w:rsidP="0024207A">
      <w:pPr>
        <w:spacing w:after="120"/>
        <w:rPr>
          <w:rFonts w:cs="Arial"/>
          <w:b/>
          <w:sz w:val="22"/>
          <w:szCs w:val="22"/>
        </w:rPr>
      </w:pPr>
      <w:r w:rsidRPr="0024207A">
        <w:rPr>
          <w:rFonts w:cs="Arial"/>
          <w:b/>
          <w:sz w:val="22"/>
          <w:szCs w:val="22"/>
        </w:rPr>
        <w:lastRenderedPageBreak/>
        <w:t xml:space="preserve">Tabella 6 - Ricavi complessivi dell'USI per fonte di finanziamento, confronto 2016/17 (cifre in milioni di </w:t>
      </w:r>
      <w:proofErr w:type="spellStart"/>
      <w:r w:rsidRPr="0024207A">
        <w:rPr>
          <w:rFonts w:cs="Arial"/>
          <w:b/>
          <w:sz w:val="22"/>
          <w:szCs w:val="22"/>
        </w:rPr>
        <w:t>fr</w:t>
      </w:r>
      <w:proofErr w:type="spellEnd"/>
      <w:r w:rsidRPr="0024207A">
        <w:rPr>
          <w:rFonts w:cs="Arial"/>
          <w:b/>
          <w:sz w:val="22"/>
          <w:szCs w:val="22"/>
        </w:rPr>
        <w:t>.)</w:t>
      </w:r>
    </w:p>
    <w:tbl>
      <w:tblPr>
        <w:tblW w:w="9229" w:type="dxa"/>
        <w:tblInd w:w="55" w:type="dxa"/>
        <w:tblCellMar>
          <w:left w:w="70" w:type="dxa"/>
          <w:right w:w="70" w:type="dxa"/>
        </w:tblCellMar>
        <w:tblLook w:val="0000" w:firstRow="0" w:lastRow="0" w:firstColumn="0" w:lastColumn="0" w:noHBand="0" w:noVBand="0"/>
      </w:tblPr>
      <w:tblGrid>
        <w:gridCol w:w="5118"/>
        <w:gridCol w:w="993"/>
        <w:gridCol w:w="992"/>
        <w:gridCol w:w="992"/>
        <w:gridCol w:w="1134"/>
      </w:tblGrid>
      <w:tr w:rsidR="0024207A" w:rsidRPr="001F1B4B" w:rsidTr="0024207A">
        <w:trPr>
          <w:trHeight w:val="300"/>
        </w:trPr>
        <w:tc>
          <w:tcPr>
            <w:tcW w:w="5118" w:type="dxa"/>
            <w:tcBorders>
              <w:top w:val="single" w:sz="4" w:space="0" w:color="auto"/>
              <w:left w:val="nil"/>
              <w:bottom w:val="single" w:sz="4" w:space="0" w:color="auto"/>
              <w:right w:val="nil"/>
            </w:tcBorders>
            <w:shd w:val="clear" w:color="auto" w:fill="auto"/>
            <w:noWrap/>
            <w:vAlign w:val="bottom"/>
          </w:tcPr>
          <w:p w:rsidR="0024207A" w:rsidRPr="001F1B4B" w:rsidRDefault="0024207A" w:rsidP="0024207A">
            <w:pPr>
              <w:jc w:val="left"/>
              <w:rPr>
                <w:rFonts w:cs="Arial"/>
                <w:sz w:val="22"/>
                <w:szCs w:val="22"/>
              </w:rPr>
            </w:pPr>
            <w:r w:rsidRPr="001F1B4B">
              <w:rPr>
                <w:rFonts w:cs="Arial"/>
                <w:sz w:val="22"/>
                <w:szCs w:val="22"/>
              </w:rPr>
              <w:t> </w:t>
            </w:r>
          </w:p>
        </w:tc>
        <w:tc>
          <w:tcPr>
            <w:tcW w:w="1985" w:type="dxa"/>
            <w:gridSpan w:val="2"/>
            <w:tcBorders>
              <w:top w:val="single" w:sz="4" w:space="0" w:color="auto"/>
              <w:left w:val="nil"/>
              <w:bottom w:val="single" w:sz="4" w:space="0" w:color="auto"/>
              <w:right w:val="nil"/>
            </w:tcBorders>
            <w:shd w:val="clear" w:color="auto" w:fill="auto"/>
            <w:noWrap/>
            <w:vAlign w:val="bottom"/>
          </w:tcPr>
          <w:p w:rsidR="0024207A" w:rsidRPr="001F1B4B" w:rsidRDefault="0024207A" w:rsidP="0024207A">
            <w:pPr>
              <w:jc w:val="center"/>
              <w:rPr>
                <w:rFonts w:cs="Arial"/>
                <w:b/>
                <w:bCs/>
                <w:sz w:val="22"/>
                <w:szCs w:val="22"/>
              </w:rPr>
            </w:pPr>
            <w:r w:rsidRPr="001F1B4B">
              <w:rPr>
                <w:rFonts w:cs="Arial"/>
                <w:b/>
                <w:bCs/>
                <w:sz w:val="22"/>
                <w:szCs w:val="22"/>
              </w:rPr>
              <w:t>2016</w:t>
            </w:r>
          </w:p>
        </w:tc>
        <w:tc>
          <w:tcPr>
            <w:tcW w:w="2126" w:type="dxa"/>
            <w:gridSpan w:val="2"/>
            <w:tcBorders>
              <w:top w:val="single" w:sz="4" w:space="0" w:color="auto"/>
              <w:left w:val="nil"/>
              <w:bottom w:val="single" w:sz="4" w:space="0" w:color="auto"/>
              <w:right w:val="nil"/>
            </w:tcBorders>
            <w:shd w:val="clear" w:color="auto" w:fill="auto"/>
            <w:noWrap/>
            <w:vAlign w:val="bottom"/>
          </w:tcPr>
          <w:p w:rsidR="0024207A" w:rsidRPr="001F1B4B" w:rsidRDefault="0024207A" w:rsidP="0024207A">
            <w:pPr>
              <w:jc w:val="center"/>
              <w:rPr>
                <w:rFonts w:cs="Arial"/>
                <w:b/>
                <w:bCs/>
                <w:sz w:val="22"/>
                <w:szCs w:val="22"/>
              </w:rPr>
            </w:pPr>
            <w:r w:rsidRPr="001F1B4B">
              <w:rPr>
                <w:rFonts w:cs="Arial"/>
                <w:b/>
                <w:bCs/>
                <w:sz w:val="22"/>
                <w:szCs w:val="22"/>
              </w:rPr>
              <w:t>2017</w:t>
            </w:r>
          </w:p>
        </w:tc>
      </w:tr>
      <w:tr w:rsidR="0024207A" w:rsidRPr="001F1B4B" w:rsidTr="0024207A">
        <w:trPr>
          <w:trHeight w:val="345"/>
        </w:trPr>
        <w:tc>
          <w:tcPr>
            <w:tcW w:w="5118" w:type="dxa"/>
            <w:tcBorders>
              <w:top w:val="nil"/>
              <w:left w:val="nil"/>
              <w:bottom w:val="nil"/>
              <w:right w:val="nil"/>
            </w:tcBorders>
            <w:shd w:val="clear" w:color="auto" w:fill="auto"/>
            <w:vAlign w:val="center"/>
          </w:tcPr>
          <w:p w:rsidR="0024207A" w:rsidRPr="001F1B4B" w:rsidRDefault="0024207A" w:rsidP="0024207A">
            <w:pPr>
              <w:jc w:val="left"/>
              <w:rPr>
                <w:rFonts w:cs="Arial"/>
                <w:sz w:val="22"/>
                <w:szCs w:val="22"/>
              </w:rPr>
            </w:pPr>
            <w:r w:rsidRPr="001F1B4B">
              <w:rPr>
                <w:rFonts w:cs="Arial"/>
                <w:sz w:val="22"/>
                <w:szCs w:val="22"/>
              </w:rPr>
              <w:t>Cantone Ticino – contributo di gestione</w:t>
            </w:r>
          </w:p>
        </w:tc>
        <w:tc>
          <w:tcPr>
            <w:tcW w:w="993" w:type="dxa"/>
            <w:tcBorders>
              <w:top w:val="nil"/>
              <w:left w:val="nil"/>
              <w:bottom w:val="nil"/>
              <w:right w:val="nil"/>
            </w:tcBorders>
            <w:shd w:val="clear" w:color="auto" w:fill="auto"/>
            <w:vAlign w:val="center"/>
          </w:tcPr>
          <w:p w:rsidR="0024207A" w:rsidRPr="001F1B4B" w:rsidRDefault="0024207A" w:rsidP="0024207A">
            <w:pPr>
              <w:jc w:val="right"/>
              <w:rPr>
                <w:rFonts w:cs="Arial"/>
                <w:sz w:val="22"/>
                <w:szCs w:val="22"/>
              </w:rPr>
            </w:pPr>
            <w:r w:rsidRPr="001F1B4B">
              <w:rPr>
                <w:rFonts w:cs="Arial"/>
                <w:sz w:val="22"/>
                <w:szCs w:val="22"/>
              </w:rPr>
              <w:t>18.8</w:t>
            </w:r>
          </w:p>
        </w:tc>
        <w:tc>
          <w:tcPr>
            <w:tcW w:w="992" w:type="dxa"/>
            <w:tcBorders>
              <w:top w:val="nil"/>
              <w:left w:val="nil"/>
              <w:bottom w:val="nil"/>
              <w:right w:val="nil"/>
            </w:tcBorders>
            <w:shd w:val="clear" w:color="auto" w:fill="auto"/>
            <w:vAlign w:val="center"/>
          </w:tcPr>
          <w:p w:rsidR="0024207A" w:rsidRPr="001F1B4B" w:rsidRDefault="0024207A" w:rsidP="0024207A">
            <w:pPr>
              <w:jc w:val="right"/>
              <w:rPr>
                <w:rFonts w:cs="Arial"/>
                <w:sz w:val="22"/>
                <w:szCs w:val="22"/>
              </w:rPr>
            </w:pPr>
            <w:r w:rsidRPr="001F1B4B">
              <w:rPr>
                <w:rFonts w:cs="Arial"/>
                <w:sz w:val="22"/>
                <w:szCs w:val="22"/>
              </w:rPr>
              <w:t>20%</w:t>
            </w:r>
          </w:p>
        </w:tc>
        <w:tc>
          <w:tcPr>
            <w:tcW w:w="992" w:type="dxa"/>
            <w:tcBorders>
              <w:top w:val="nil"/>
              <w:left w:val="nil"/>
              <w:bottom w:val="nil"/>
              <w:right w:val="nil"/>
            </w:tcBorders>
            <w:shd w:val="clear" w:color="auto" w:fill="auto"/>
            <w:vAlign w:val="center"/>
          </w:tcPr>
          <w:p w:rsidR="0024207A" w:rsidRPr="001F1B4B" w:rsidRDefault="0024207A" w:rsidP="0024207A">
            <w:pPr>
              <w:spacing w:line="276" w:lineRule="auto"/>
              <w:jc w:val="right"/>
              <w:rPr>
                <w:rFonts w:cs="Arial"/>
                <w:sz w:val="22"/>
                <w:szCs w:val="22"/>
              </w:rPr>
            </w:pPr>
            <w:r w:rsidRPr="001F1B4B">
              <w:rPr>
                <w:rFonts w:cs="Arial"/>
                <w:sz w:val="22"/>
                <w:szCs w:val="22"/>
              </w:rPr>
              <w:t>19.5</w:t>
            </w:r>
          </w:p>
        </w:tc>
        <w:tc>
          <w:tcPr>
            <w:tcW w:w="1134" w:type="dxa"/>
            <w:tcBorders>
              <w:top w:val="nil"/>
              <w:left w:val="nil"/>
              <w:bottom w:val="nil"/>
              <w:right w:val="nil"/>
            </w:tcBorders>
            <w:shd w:val="clear" w:color="auto" w:fill="auto"/>
            <w:vAlign w:val="center"/>
          </w:tcPr>
          <w:p w:rsidR="0024207A" w:rsidRPr="001F1B4B" w:rsidRDefault="0024207A" w:rsidP="0024207A">
            <w:pPr>
              <w:spacing w:line="276" w:lineRule="auto"/>
              <w:jc w:val="right"/>
              <w:rPr>
                <w:rFonts w:cs="Arial"/>
                <w:sz w:val="22"/>
                <w:szCs w:val="22"/>
              </w:rPr>
            </w:pPr>
            <w:r w:rsidRPr="001F1B4B">
              <w:rPr>
                <w:rFonts w:cs="Arial"/>
                <w:sz w:val="22"/>
                <w:szCs w:val="22"/>
              </w:rPr>
              <w:t>20%</w:t>
            </w:r>
          </w:p>
        </w:tc>
      </w:tr>
      <w:tr w:rsidR="0024207A" w:rsidRPr="001F1B4B" w:rsidTr="0024207A">
        <w:trPr>
          <w:trHeight w:val="345"/>
        </w:trPr>
        <w:tc>
          <w:tcPr>
            <w:tcW w:w="5118" w:type="dxa"/>
            <w:tcBorders>
              <w:top w:val="nil"/>
              <w:left w:val="nil"/>
              <w:bottom w:val="nil"/>
              <w:right w:val="nil"/>
            </w:tcBorders>
            <w:shd w:val="clear" w:color="auto" w:fill="auto"/>
            <w:vAlign w:val="center"/>
          </w:tcPr>
          <w:p w:rsidR="0024207A" w:rsidRPr="001F1B4B" w:rsidRDefault="0024207A" w:rsidP="0024207A">
            <w:pPr>
              <w:jc w:val="left"/>
              <w:rPr>
                <w:rFonts w:cs="Arial"/>
                <w:sz w:val="22"/>
                <w:szCs w:val="22"/>
              </w:rPr>
            </w:pPr>
            <w:r w:rsidRPr="001F1B4B">
              <w:rPr>
                <w:rFonts w:cs="Arial"/>
                <w:sz w:val="22"/>
                <w:szCs w:val="22"/>
              </w:rPr>
              <w:t xml:space="preserve">Cantone Ticino – studenti ticinesi </w:t>
            </w:r>
          </w:p>
        </w:tc>
        <w:tc>
          <w:tcPr>
            <w:tcW w:w="993" w:type="dxa"/>
            <w:tcBorders>
              <w:top w:val="nil"/>
              <w:left w:val="nil"/>
              <w:bottom w:val="nil"/>
              <w:right w:val="nil"/>
            </w:tcBorders>
            <w:shd w:val="clear" w:color="auto" w:fill="auto"/>
            <w:vAlign w:val="center"/>
          </w:tcPr>
          <w:p w:rsidR="0024207A" w:rsidRPr="001F1B4B" w:rsidRDefault="0024207A" w:rsidP="0024207A">
            <w:pPr>
              <w:jc w:val="right"/>
              <w:rPr>
                <w:rFonts w:cs="Arial"/>
                <w:sz w:val="22"/>
                <w:szCs w:val="22"/>
              </w:rPr>
            </w:pPr>
            <w:r w:rsidRPr="001F1B4B">
              <w:rPr>
                <w:rFonts w:cs="Arial"/>
                <w:sz w:val="22"/>
                <w:szCs w:val="22"/>
              </w:rPr>
              <w:t>8.6</w:t>
            </w:r>
          </w:p>
        </w:tc>
        <w:tc>
          <w:tcPr>
            <w:tcW w:w="992" w:type="dxa"/>
            <w:tcBorders>
              <w:top w:val="nil"/>
              <w:left w:val="nil"/>
              <w:bottom w:val="nil"/>
              <w:right w:val="nil"/>
            </w:tcBorders>
            <w:shd w:val="clear" w:color="auto" w:fill="auto"/>
            <w:vAlign w:val="center"/>
          </w:tcPr>
          <w:p w:rsidR="0024207A" w:rsidRPr="001F1B4B" w:rsidRDefault="0024207A" w:rsidP="0024207A">
            <w:pPr>
              <w:jc w:val="right"/>
              <w:rPr>
                <w:rFonts w:cs="Arial"/>
                <w:sz w:val="22"/>
                <w:szCs w:val="22"/>
              </w:rPr>
            </w:pPr>
            <w:r w:rsidRPr="001F1B4B">
              <w:rPr>
                <w:rFonts w:cs="Arial"/>
                <w:sz w:val="22"/>
                <w:szCs w:val="22"/>
              </w:rPr>
              <w:t>9%</w:t>
            </w:r>
          </w:p>
        </w:tc>
        <w:tc>
          <w:tcPr>
            <w:tcW w:w="992" w:type="dxa"/>
            <w:tcBorders>
              <w:top w:val="nil"/>
              <w:left w:val="nil"/>
              <w:bottom w:val="nil"/>
              <w:right w:val="nil"/>
            </w:tcBorders>
            <w:shd w:val="clear" w:color="auto" w:fill="auto"/>
            <w:vAlign w:val="center"/>
          </w:tcPr>
          <w:p w:rsidR="0024207A" w:rsidRPr="001F1B4B" w:rsidRDefault="0024207A" w:rsidP="0024207A">
            <w:pPr>
              <w:spacing w:line="276" w:lineRule="auto"/>
              <w:jc w:val="right"/>
              <w:rPr>
                <w:rFonts w:cs="Arial"/>
                <w:sz w:val="22"/>
                <w:szCs w:val="22"/>
              </w:rPr>
            </w:pPr>
            <w:r w:rsidRPr="001F1B4B">
              <w:rPr>
                <w:rFonts w:cs="Arial"/>
                <w:sz w:val="22"/>
                <w:szCs w:val="22"/>
              </w:rPr>
              <w:t>9.3</w:t>
            </w:r>
          </w:p>
        </w:tc>
        <w:tc>
          <w:tcPr>
            <w:tcW w:w="1134" w:type="dxa"/>
            <w:tcBorders>
              <w:top w:val="nil"/>
              <w:left w:val="nil"/>
              <w:bottom w:val="nil"/>
              <w:right w:val="nil"/>
            </w:tcBorders>
            <w:shd w:val="clear" w:color="auto" w:fill="auto"/>
            <w:vAlign w:val="center"/>
          </w:tcPr>
          <w:p w:rsidR="0024207A" w:rsidRPr="001F1B4B" w:rsidRDefault="0024207A" w:rsidP="0024207A">
            <w:pPr>
              <w:spacing w:line="276" w:lineRule="auto"/>
              <w:jc w:val="right"/>
              <w:rPr>
                <w:rFonts w:cs="Arial"/>
                <w:sz w:val="22"/>
                <w:szCs w:val="22"/>
              </w:rPr>
            </w:pPr>
            <w:r w:rsidRPr="001F1B4B">
              <w:rPr>
                <w:rFonts w:cs="Arial"/>
                <w:sz w:val="22"/>
                <w:szCs w:val="22"/>
              </w:rPr>
              <w:t>10%</w:t>
            </w:r>
          </w:p>
        </w:tc>
      </w:tr>
      <w:tr w:rsidR="0024207A" w:rsidRPr="001F1B4B" w:rsidTr="0024207A">
        <w:trPr>
          <w:trHeight w:val="345"/>
        </w:trPr>
        <w:tc>
          <w:tcPr>
            <w:tcW w:w="5118" w:type="dxa"/>
            <w:tcBorders>
              <w:top w:val="nil"/>
              <w:left w:val="nil"/>
              <w:bottom w:val="nil"/>
              <w:right w:val="nil"/>
            </w:tcBorders>
            <w:shd w:val="clear" w:color="auto" w:fill="auto"/>
            <w:vAlign w:val="center"/>
          </w:tcPr>
          <w:p w:rsidR="0024207A" w:rsidRPr="001F1B4B" w:rsidRDefault="0024207A" w:rsidP="0024207A">
            <w:pPr>
              <w:jc w:val="left"/>
              <w:rPr>
                <w:rFonts w:cs="Arial"/>
                <w:sz w:val="22"/>
                <w:szCs w:val="22"/>
              </w:rPr>
            </w:pPr>
            <w:r w:rsidRPr="001F1B4B">
              <w:rPr>
                <w:rFonts w:cs="Arial"/>
                <w:sz w:val="22"/>
                <w:szCs w:val="22"/>
              </w:rPr>
              <w:t xml:space="preserve">Contributi per studenti di altri cantoni </w:t>
            </w:r>
          </w:p>
        </w:tc>
        <w:tc>
          <w:tcPr>
            <w:tcW w:w="993" w:type="dxa"/>
            <w:tcBorders>
              <w:top w:val="nil"/>
              <w:left w:val="nil"/>
              <w:bottom w:val="nil"/>
              <w:right w:val="nil"/>
            </w:tcBorders>
            <w:shd w:val="clear" w:color="auto" w:fill="auto"/>
            <w:vAlign w:val="center"/>
          </w:tcPr>
          <w:p w:rsidR="0024207A" w:rsidRPr="001F1B4B" w:rsidRDefault="0024207A" w:rsidP="0024207A">
            <w:pPr>
              <w:jc w:val="right"/>
              <w:rPr>
                <w:rFonts w:cs="Arial"/>
                <w:sz w:val="22"/>
                <w:szCs w:val="22"/>
              </w:rPr>
            </w:pPr>
            <w:r w:rsidRPr="001F1B4B">
              <w:rPr>
                <w:rFonts w:cs="Arial"/>
                <w:sz w:val="22"/>
                <w:szCs w:val="22"/>
              </w:rPr>
              <w:t>2.9</w:t>
            </w:r>
          </w:p>
        </w:tc>
        <w:tc>
          <w:tcPr>
            <w:tcW w:w="992" w:type="dxa"/>
            <w:tcBorders>
              <w:top w:val="nil"/>
              <w:left w:val="nil"/>
              <w:bottom w:val="nil"/>
              <w:right w:val="nil"/>
            </w:tcBorders>
            <w:shd w:val="clear" w:color="auto" w:fill="auto"/>
            <w:vAlign w:val="center"/>
          </w:tcPr>
          <w:p w:rsidR="0024207A" w:rsidRPr="001F1B4B" w:rsidRDefault="0024207A" w:rsidP="0024207A">
            <w:pPr>
              <w:jc w:val="right"/>
              <w:rPr>
                <w:rFonts w:cs="Arial"/>
                <w:sz w:val="22"/>
                <w:szCs w:val="22"/>
              </w:rPr>
            </w:pPr>
            <w:r w:rsidRPr="001F1B4B">
              <w:rPr>
                <w:rFonts w:cs="Arial"/>
                <w:sz w:val="22"/>
                <w:szCs w:val="22"/>
              </w:rPr>
              <w:t>3%</w:t>
            </w:r>
          </w:p>
        </w:tc>
        <w:tc>
          <w:tcPr>
            <w:tcW w:w="992" w:type="dxa"/>
            <w:tcBorders>
              <w:top w:val="nil"/>
              <w:left w:val="nil"/>
              <w:bottom w:val="nil"/>
              <w:right w:val="nil"/>
            </w:tcBorders>
            <w:shd w:val="clear" w:color="auto" w:fill="auto"/>
            <w:vAlign w:val="center"/>
          </w:tcPr>
          <w:p w:rsidR="0024207A" w:rsidRPr="001F1B4B" w:rsidRDefault="0024207A" w:rsidP="0024207A">
            <w:pPr>
              <w:spacing w:line="276" w:lineRule="auto"/>
              <w:jc w:val="right"/>
              <w:rPr>
                <w:rFonts w:cs="Arial"/>
                <w:sz w:val="22"/>
                <w:szCs w:val="22"/>
              </w:rPr>
            </w:pPr>
            <w:r w:rsidRPr="001F1B4B">
              <w:rPr>
                <w:rFonts w:cs="Arial"/>
                <w:sz w:val="22"/>
                <w:szCs w:val="22"/>
              </w:rPr>
              <w:t>2.7</w:t>
            </w:r>
          </w:p>
        </w:tc>
        <w:tc>
          <w:tcPr>
            <w:tcW w:w="1134" w:type="dxa"/>
            <w:tcBorders>
              <w:top w:val="nil"/>
              <w:left w:val="nil"/>
              <w:bottom w:val="nil"/>
              <w:right w:val="nil"/>
            </w:tcBorders>
            <w:shd w:val="clear" w:color="auto" w:fill="auto"/>
            <w:vAlign w:val="center"/>
          </w:tcPr>
          <w:p w:rsidR="0024207A" w:rsidRPr="001F1B4B" w:rsidRDefault="0024207A" w:rsidP="0024207A">
            <w:pPr>
              <w:spacing w:line="276" w:lineRule="auto"/>
              <w:jc w:val="right"/>
              <w:rPr>
                <w:rFonts w:cs="Arial"/>
                <w:sz w:val="22"/>
                <w:szCs w:val="22"/>
              </w:rPr>
            </w:pPr>
            <w:r w:rsidRPr="001F1B4B">
              <w:rPr>
                <w:rFonts w:cs="Arial"/>
                <w:sz w:val="22"/>
                <w:szCs w:val="22"/>
              </w:rPr>
              <w:t>3%</w:t>
            </w:r>
          </w:p>
        </w:tc>
      </w:tr>
      <w:tr w:rsidR="0024207A" w:rsidRPr="001F1B4B" w:rsidTr="0024207A">
        <w:trPr>
          <w:trHeight w:val="345"/>
        </w:trPr>
        <w:tc>
          <w:tcPr>
            <w:tcW w:w="5118" w:type="dxa"/>
            <w:tcBorders>
              <w:top w:val="nil"/>
              <w:left w:val="nil"/>
              <w:bottom w:val="nil"/>
              <w:right w:val="nil"/>
            </w:tcBorders>
            <w:shd w:val="clear" w:color="auto" w:fill="auto"/>
            <w:vAlign w:val="center"/>
          </w:tcPr>
          <w:p w:rsidR="0024207A" w:rsidRPr="001F1B4B" w:rsidRDefault="0024207A" w:rsidP="0024207A">
            <w:pPr>
              <w:jc w:val="left"/>
              <w:rPr>
                <w:rFonts w:cs="Arial"/>
                <w:sz w:val="22"/>
                <w:szCs w:val="22"/>
              </w:rPr>
            </w:pPr>
            <w:r w:rsidRPr="001F1B4B">
              <w:rPr>
                <w:rFonts w:cs="Arial"/>
                <w:sz w:val="22"/>
                <w:szCs w:val="22"/>
              </w:rPr>
              <w:t xml:space="preserve">Confederazione </w:t>
            </w:r>
          </w:p>
        </w:tc>
        <w:tc>
          <w:tcPr>
            <w:tcW w:w="993" w:type="dxa"/>
            <w:tcBorders>
              <w:top w:val="nil"/>
              <w:left w:val="nil"/>
              <w:bottom w:val="nil"/>
              <w:right w:val="nil"/>
            </w:tcBorders>
            <w:shd w:val="clear" w:color="auto" w:fill="auto"/>
            <w:vAlign w:val="center"/>
          </w:tcPr>
          <w:p w:rsidR="0024207A" w:rsidRPr="001F1B4B" w:rsidRDefault="0024207A" w:rsidP="0024207A">
            <w:pPr>
              <w:jc w:val="right"/>
              <w:rPr>
                <w:rFonts w:cs="Arial"/>
                <w:color w:val="000000"/>
                <w:sz w:val="22"/>
                <w:szCs w:val="22"/>
              </w:rPr>
            </w:pPr>
            <w:r w:rsidRPr="001F1B4B">
              <w:rPr>
                <w:rFonts w:cs="Arial"/>
                <w:color w:val="000000"/>
                <w:sz w:val="22"/>
                <w:szCs w:val="22"/>
              </w:rPr>
              <w:t>27.1</w:t>
            </w:r>
          </w:p>
        </w:tc>
        <w:tc>
          <w:tcPr>
            <w:tcW w:w="992" w:type="dxa"/>
            <w:tcBorders>
              <w:top w:val="nil"/>
              <w:left w:val="nil"/>
              <w:bottom w:val="nil"/>
              <w:right w:val="nil"/>
            </w:tcBorders>
            <w:shd w:val="clear" w:color="auto" w:fill="auto"/>
            <w:vAlign w:val="center"/>
          </w:tcPr>
          <w:p w:rsidR="0024207A" w:rsidRPr="001F1B4B" w:rsidRDefault="0024207A" w:rsidP="0024207A">
            <w:pPr>
              <w:jc w:val="right"/>
              <w:rPr>
                <w:rFonts w:cs="Arial"/>
                <w:color w:val="000000"/>
                <w:sz w:val="22"/>
                <w:szCs w:val="22"/>
              </w:rPr>
            </w:pPr>
            <w:r w:rsidRPr="001F1B4B">
              <w:rPr>
                <w:rFonts w:cs="Arial"/>
                <w:color w:val="000000"/>
                <w:sz w:val="22"/>
                <w:szCs w:val="22"/>
              </w:rPr>
              <w:t>29%</w:t>
            </w:r>
          </w:p>
        </w:tc>
        <w:tc>
          <w:tcPr>
            <w:tcW w:w="992" w:type="dxa"/>
            <w:tcBorders>
              <w:top w:val="nil"/>
              <w:left w:val="nil"/>
              <w:bottom w:val="nil"/>
              <w:right w:val="nil"/>
            </w:tcBorders>
            <w:shd w:val="clear" w:color="auto" w:fill="auto"/>
            <w:vAlign w:val="center"/>
          </w:tcPr>
          <w:p w:rsidR="0024207A" w:rsidRPr="001F1B4B" w:rsidRDefault="0024207A" w:rsidP="0024207A">
            <w:pPr>
              <w:spacing w:line="276" w:lineRule="auto"/>
              <w:jc w:val="right"/>
              <w:rPr>
                <w:rFonts w:cs="Arial"/>
                <w:color w:val="000000"/>
                <w:sz w:val="22"/>
                <w:szCs w:val="22"/>
              </w:rPr>
            </w:pPr>
            <w:r w:rsidRPr="001F1B4B">
              <w:rPr>
                <w:rFonts w:cs="Arial"/>
                <w:color w:val="000000"/>
                <w:sz w:val="22"/>
                <w:szCs w:val="22"/>
              </w:rPr>
              <w:t>28.7</w:t>
            </w:r>
          </w:p>
        </w:tc>
        <w:tc>
          <w:tcPr>
            <w:tcW w:w="1134" w:type="dxa"/>
            <w:tcBorders>
              <w:top w:val="nil"/>
              <w:left w:val="nil"/>
              <w:bottom w:val="nil"/>
              <w:right w:val="nil"/>
            </w:tcBorders>
            <w:shd w:val="clear" w:color="auto" w:fill="auto"/>
            <w:vAlign w:val="center"/>
          </w:tcPr>
          <w:p w:rsidR="0024207A" w:rsidRPr="001F1B4B" w:rsidRDefault="0024207A" w:rsidP="0024207A">
            <w:pPr>
              <w:spacing w:line="276" w:lineRule="auto"/>
              <w:jc w:val="right"/>
              <w:rPr>
                <w:rFonts w:cs="Arial"/>
                <w:color w:val="000000"/>
                <w:sz w:val="22"/>
                <w:szCs w:val="22"/>
              </w:rPr>
            </w:pPr>
            <w:r w:rsidRPr="001F1B4B">
              <w:rPr>
                <w:rFonts w:cs="Arial"/>
                <w:color w:val="000000"/>
                <w:sz w:val="22"/>
                <w:szCs w:val="22"/>
              </w:rPr>
              <w:t>30%</w:t>
            </w:r>
          </w:p>
        </w:tc>
      </w:tr>
      <w:tr w:rsidR="0024207A" w:rsidRPr="001F1B4B" w:rsidTr="0024207A">
        <w:trPr>
          <w:trHeight w:val="345"/>
        </w:trPr>
        <w:tc>
          <w:tcPr>
            <w:tcW w:w="5118" w:type="dxa"/>
            <w:tcBorders>
              <w:top w:val="nil"/>
              <w:left w:val="nil"/>
              <w:right w:val="nil"/>
            </w:tcBorders>
            <w:shd w:val="clear" w:color="auto" w:fill="auto"/>
            <w:noWrap/>
            <w:vAlign w:val="center"/>
          </w:tcPr>
          <w:p w:rsidR="0024207A" w:rsidRPr="001F1B4B" w:rsidRDefault="0024207A" w:rsidP="0024207A">
            <w:pPr>
              <w:jc w:val="left"/>
              <w:rPr>
                <w:rFonts w:cs="Arial"/>
                <w:sz w:val="22"/>
                <w:szCs w:val="22"/>
              </w:rPr>
            </w:pPr>
            <w:r w:rsidRPr="001F1B4B">
              <w:rPr>
                <w:rFonts w:cs="Arial"/>
                <w:sz w:val="22"/>
                <w:szCs w:val="22"/>
              </w:rPr>
              <w:t>Ricavi propri (tasse, ricavi ricerca, altri ricavi)</w:t>
            </w:r>
          </w:p>
        </w:tc>
        <w:tc>
          <w:tcPr>
            <w:tcW w:w="993" w:type="dxa"/>
            <w:tcBorders>
              <w:top w:val="nil"/>
              <w:left w:val="nil"/>
              <w:right w:val="nil"/>
            </w:tcBorders>
            <w:shd w:val="clear" w:color="auto" w:fill="auto"/>
            <w:vAlign w:val="center"/>
          </w:tcPr>
          <w:p w:rsidR="0024207A" w:rsidRPr="001F1B4B" w:rsidRDefault="0024207A" w:rsidP="0024207A">
            <w:pPr>
              <w:jc w:val="right"/>
              <w:rPr>
                <w:rFonts w:cs="Arial"/>
                <w:color w:val="000000"/>
                <w:sz w:val="22"/>
                <w:szCs w:val="22"/>
              </w:rPr>
            </w:pPr>
            <w:r w:rsidRPr="001F1B4B">
              <w:rPr>
                <w:rFonts w:cs="Arial"/>
                <w:color w:val="000000"/>
                <w:sz w:val="22"/>
                <w:szCs w:val="22"/>
              </w:rPr>
              <w:t>36.6</w:t>
            </w:r>
          </w:p>
        </w:tc>
        <w:tc>
          <w:tcPr>
            <w:tcW w:w="992" w:type="dxa"/>
            <w:tcBorders>
              <w:top w:val="nil"/>
              <w:left w:val="nil"/>
              <w:right w:val="nil"/>
            </w:tcBorders>
            <w:shd w:val="clear" w:color="auto" w:fill="auto"/>
            <w:vAlign w:val="center"/>
          </w:tcPr>
          <w:p w:rsidR="0024207A" w:rsidRPr="001F1B4B" w:rsidRDefault="0024207A" w:rsidP="0024207A">
            <w:pPr>
              <w:jc w:val="right"/>
              <w:rPr>
                <w:rFonts w:cs="Arial"/>
                <w:color w:val="000000"/>
                <w:sz w:val="22"/>
                <w:szCs w:val="22"/>
              </w:rPr>
            </w:pPr>
            <w:r w:rsidRPr="001F1B4B">
              <w:rPr>
                <w:rFonts w:cs="Arial"/>
                <w:color w:val="000000"/>
                <w:sz w:val="22"/>
                <w:szCs w:val="22"/>
              </w:rPr>
              <w:t>39%</w:t>
            </w:r>
          </w:p>
        </w:tc>
        <w:tc>
          <w:tcPr>
            <w:tcW w:w="992" w:type="dxa"/>
            <w:tcBorders>
              <w:top w:val="nil"/>
              <w:left w:val="nil"/>
              <w:right w:val="nil"/>
            </w:tcBorders>
            <w:shd w:val="clear" w:color="auto" w:fill="auto"/>
            <w:vAlign w:val="center"/>
          </w:tcPr>
          <w:p w:rsidR="0024207A" w:rsidRPr="001F1B4B" w:rsidRDefault="0024207A" w:rsidP="0024207A">
            <w:pPr>
              <w:spacing w:line="276" w:lineRule="auto"/>
              <w:jc w:val="right"/>
              <w:rPr>
                <w:rFonts w:cs="Arial"/>
                <w:color w:val="000000"/>
                <w:sz w:val="22"/>
                <w:szCs w:val="22"/>
              </w:rPr>
            </w:pPr>
            <w:r w:rsidRPr="001F1B4B">
              <w:rPr>
                <w:rFonts w:cs="Arial"/>
                <w:color w:val="000000"/>
                <w:sz w:val="22"/>
                <w:szCs w:val="22"/>
              </w:rPr>
              <w:t>36.4</w:t>
            </w:r>
          </w:p>
        </w:tc>
        <w:tc>
          <w:tcPr>
            <w:tcW w:w="1134" w:type="dxa"/>
            <w:tcBorders>
              <w:top w:val="nil"/>
              <w:left w:val="nil"/>
              <w:right w:val="nil"/>
            </w:tcBorders>
            <w:shd w:val="clear" w:color="auto" w:fill="auto"/>
            <w:vAlign w:val="center"/>
          </w:tcPr>
          <w:p w:rsidR="0024207A" w:rsidRPr="001F1B4B" w:rsidRDefault="0024207A" w:rsidP="0024207A">
            <w:pPr>
              <w:spacing w:line="276" w:lineRule="auto"/>
              <w:jc w:val="right"/>
              <w:rPr>
                <w:rFonts w:cs="Arial"/>
                <w:color w:val="000000"/>
                <w:sz w:val="22"/>
                <w:szCs w:val="22"/>
              </w:rPr>
            </w:pPr>
            <w:r w:rsidRPr="001F1B4B">
              <w:rPr>
                <w:rFonts w:cs="Arial"/>
                <w:color w:val="000000"/>
                <w:sz w:val="22"/>
                <w:szCs w:val="22"/>
              </w:rPr>
              <w:t>37%</w:t>
            </w:r>
          </w:p>
        </w:tc>
      </w:tr>
      <w:tr w:rsidR="0024207A" w:rsidRPr="001F1B4B" w:rsidTr="0024207A">
        <w:trPr>
          <w:trHeight w:val="345"/>
        </w:trPr>
        <w:tc>
          <w:tcPr>
            <w:tcW w:w="5118" w:type="dxa"/>
            <w:tcBorders>
              <w:top w:val="nil"/>
              <w:left w:val="nil"/>
              <w:right w:val="nil"/>
            </w:tcBorders>
            <w:shd w:val="clear" w:color="auto" w:fill="auto"/>
            <w:vAlign w:val="center"/>
          </w:tcPr>
          <w:p w:rsidR="0024207A" w:rsidRPr="001F1B4B" w:rsidRDefault="0024207A" w:rsidP="0024207A">
            <w:pPr>
              <w:jc w:val="left"/>
              <w:rPr>
                <w:rFonts w:cs="Arial"/>
                <w:i/>
                <w:iCs/>
                <w:sz w:val="22"/>
                <w:szCs w:val="22"/>
              </w:rPr>
            </w:pPr>
            <w:r w:rsidRPr="001F1B4B">
              <w:rPr>
                <w:rFonts w:cs="Arial"/>
                <w:i/>
                <w:iCs/>
                <w:sz w:val="22"/>
                <w:szCs w:val="22"/>
                <w:lang w:val="it-CH"/>
              </w:rPr>
              <w:t>Totale</w:t>
            </w:r>
          </w:p>
        </w:tc>
        <w:tc>
          <w:tcPr>
            <w:tcW w:w="993" w:type="dxa"/>
            <w:tcBorders>
              <w:top w:val="nil"/>
              <w:left w:val="nil"/>
              <w:right w:val="nil"/>
            </w:tcBorders>
            <w:shd w:val="clear" w:color="auto" w:fill="auto"/>
            <w:vAlign w:val="center"/>
          </w:tcPr>
          <w:p w:rsidR="0024207A" w:rsidRPr="001F1B4B" w:rsidRDefault="0024207A" w:rsidP="0024207A">
            <w:pPr>
              <w:jc w:val="right"/>
              <w:rPr>
                <w:rFonts w:cs="Arial"/>
                <w:i/>
                <w:iCs/>
                <w:color w:val="000000"/>
                <w:sz w:val="22"/>
                <w:szCs w:val="22"/>
              </w:rPr>
            </w:pPr>
            <w:r w:rsidRPr="001F1B4B">
              <w:rPr>
                <w:rFonts w:cs="Arial"/>
                <w:i/>
                <w:iCs/>
                <w:color w:val="000000"/>
                <w:sz w:val="22"/>
                <w:szCs w:val="22"/>
              </w:rPr>
              <w:t>94.1</w:t>
            </w:r>
          </w:p>
        </w:tc>
        <w:tc>
          <w:tcPr>
            <w:tcW w:w="992" w:type="dxa"/>
            <w:tcBorders>
              <w:top w:val="nil"/>
              <w:left w:val="nil"/>
              <w:right w:val="nil"/>
            </w:tcBorders>
            <w:shd w:val="clear" w:color="auto" w:fill="auto"/>
            <w:vAlign w:val="center"/>
          </w:tcPr>
          <w:p w:rsidR="0024207A" w:rsidRPr="001F1B4B" w:rsidRDefault="0024207A" w:rsidP="0024207A">
            <w:pPr>
              <w:jc w:val="right"/>
              <w:rPr>
                <w:rFonts w:cs="Arial"/>
                <w:i/>
                <w:iCs/>
                <w:color w:val="000000"/>
                <w:sz w:val="22"/>
                <w:szCs w:val="22"/>
              </w:rPr>
            </w:pPr>
            <w:r w:rsidRPr="001F1B4B">
              <w:rPr>
                <w:rFonts w:cs="Arial"/>
                <w:i/>
                <w:iCs/>
                <w:color w:val="000000"/>
                <w:sz w:val="22"/>
                <w:szCs w:val="22"/>
              </w:rPr>
              <w:t>100%</w:t>
            </w:r>
          </w:p>
        </w:tc>
        <w:tc>
          <w:tcPr>
            <w:tcW w:w="992" w:type="dxa"/>
            <w:tcBorders>
              <w:top w:val="nil"/>
              <w:left w:val="nil"/>
              <w:right w:val="nil"/>
            </w:tcBorders>
            <w:shd w:val="clear" w:color="auto" w:fill="auto"/>
            <w:vAlign w:val="center"/>
          </w:tcPr>
          <w:p w:rsidR="0024207A" w:rsidRPr="001F1B4B" w:rsidRDefault="0024207A" w:rsidP="0024207A">
            <w:pPr>
              <w:spacing w:line="276" w:lineRule="auto"/>
              <w:jc w:val="right"/>
              <w:rPr>
                <w:rFonts w:cs="Arial"/>
                <w:i/>
                <w:iCs/>
                <w:color w:val="000000"/>
                <w:sz w:val="22"/>
                <w:szCs w:val="22"/>
              </w:rPr>
            </w:pPr>
            <w:r w:rsidRPr="001F1B4B">
              <w:rPr>
                <w:rFonts w:cs="Arial"/>
                <w:i/>
                <w:iCs/>
                <w:color w:val="000000"/>
                <w:sz w:val="22"/>
                <w:szCs w:val="22"/>
              </w:rPr>
              <w:t>96.7</w:t>
            </w:r>
          </w:p>
        </w:tc>
        <w:tc>
          <w:tcPr>
            <w:tcW w:w="1134" w:type="dxa"/>
            <w:tcBorders>
              <w:top w:val="nil"/>
              <w:left w:val="nil"/>
              <w:right w:val="nil"/>
            </w:tcBorders>
            <w:shd w:val="clear" w:color="auto" w:fill="auto"/>
            <w:vAlign w:val="center"/>
          </w:tcPr>
          <w:p w:rsidR="0024207A" w:rsidRPr="001F1B4B" w:rsidRDefault="0024207A" w:rsidP="0024207A">
            <w:pPr>
              <w:spacing w:line="276" w:lineRule="auto"/>
              <w:jc w:val="right"/>
              <w:rPr>
                <w:rFonts w:cs="Arial"/>
                <w:i/>
                <w:iCs/>
                <w:color w:val="000000"/>
                <w:sz w:val="22"/>
                <w:szCs w:val="22"/>
              </w:rPr>
            </w:pPr>
            <w:r w:rsidRPr="001F1B4B">
              <w:rPr>
                <w:rFonts w:cs="Arial"/>
                <w:i/>
                <w:iCs/>
                <w:color w:val="000000"/>
                <w:sz w:val="22"/>
                <w:szCs w:val="22"/>
              </w:rPr>
              <w:t>100%</w:t>
            </w:r>
          </w:p>
        </w:tc>
      </w:tr>
    </w:tbl>
    <w:p w:rsidR="0024207A" w:rsidRDefault="0024207A" w:rsidP="0024207A">
      <w:pPr>
        <w:rPr>
          <w:i/>
          <w:sz w:val="16"/>
          <w:szCs w:val="18"/>
        </w:rPr>
      </w:pPr>
    </w:p>
    <w:p w:rsidR="0024207A" w:rsidRPr="003072B3" w:rsidRDefault="0024207A" w:rsidP="0024207A">
      <w:pPr>
        <w:rPr>
          <w:i/>
          <w:szCs w:val="24"/>
        </w:rPr>
      </w:pPr>
      <w:r w:rsidRPr="003072B3">
        <w:rPr>
          <w:i/>
          <w:sz w:val="16"/>
          <w:szCs w:val="18"/>
        </w:rPr>
        <w:t>Fonte: rapporto di revisione dettagliato USI, CCF 201</w:t>
      </w:r>
      <w:r>
        <w:rPr>
          <w:i/>
          <w:sz w:val="16"/>
          <w:szCs w:val="18"/>
        </w:rPr>
        <w:t>7</w:t>
      </w:r>
    </w:p>
    <w:p w:rsidR="0024207A" w:rsidRDefault="0024207A" w:rsidP="0024207A">
      <w:pPr>
        <w:rPr>
          <w:rFonts w:cs="Arial"/>
          <w:szCs w:val="24"/>
        </w:rPr>
      </w:pPr>
    </w:p>
    <w:p w:rsidR="0024207A" w:rsidRDefault="0024207A" w:rsidP="0024207A">
      <w:pPr>
        <w:rPr>
          <w:rFonts w:cs="Arial"/>
          <w:szCs w:val="24"/>
        </w:rPr>
      </w:pPr>
      <w:r>
        <w:rPr>
          <w:szCs w:val="24"/>
        </w:rPr>
        <w:t>Dalla tabella risulta che</w:t>
      </w:r>
      <w:r w:rsidRPr="00972401">
        <w:rPr>
          <w:szCs w:val="24"/>
        </w:rPr>
        <w:t xml:space="preserve"> l’USI ha incassato</w:t>
      </w:r>
      <w:r>
        <w:rPr>
          <w:szCs w:val="24"/>
        </w:rPr>
        <w:t>, oltre al contributo di gestione, anche</w:t>
      </w:r>
      <w:r w:rsidRPr="00972401">
        <w:rPr>
          <w:szCs w:val="24"/>
        </w:rPr>
        <w:t xml:space="preserve"> i contributi per gli studenti ticinesi</w:t>
      </w:r>
      <w:r w:rsidRPr="00972401">
        <w:rPr>
          <w:rFonts w:cs="Arial"/>
          <w:szCs w:val="24"/>
        </w:rPr>
        <w:t xml:space="preserve"> (per ogni studente ticinese iscritto il Cantone paga l’equivalente che avrebbe dovuto versare agli altri </w:t>
      </w:r>
      <w:r>
        <w:rPr>
          <w:rFonts w:cs="Arial"/>
          <w:szCs w:val="24"/>
        </w:rPr>
        <w:t>C</w:t>
      </w:r>
      <w:r w:rsidRPr="00972401">
        <w:rPr>
          <w:rFonts w:cs="Arial"/>
          <w:szCs w:val="24"/>
        </w:rPr>
        <w:t xml:space="preserve">antoni se gli studenti avessero frequentato un’altra università </w:t>
      </w:r>
      <w:r w:rsidRPr="005E0050">
        <w:rPr>
          <w:rFonts w:cs="Arial"/>
          <w:szCs w:val="24"/>
        </w:rPr>
        <w:t xml:space="preserve">in </w:t>
      </w:r>
      <w:r w:rsidRPr="002E0666">
        <w:rPr>
          <w:rFonts w:cs="Arial"/>
          <w:szCs w:val="24"/>
        </w:rPr>
        <w:t>Svizzera)</w:t>
      </w:r>
      <w:r w:rsidRPr="002E0666">
        <w:rPr>
          <w:szCs w:val="24"/>
        </w:rPr>
        <w:t xml:space="preserve"> e da </w:t>
      </w:r>
      <w:r w:rsidRPr="004B15DA">
        <w:rPr>
          <w:szCs w:val="24"/>
        </w:rPr>
        <w:t>altri Cantoni, tra</w:t>
      </w:r>
      <w:r>
        <w:rPr>
          <w:szCs w:val="24"/>
        </w:rPr>
        <w:t>mite l’accordo AIU,</w:t>
      </w:r>
      <w:r w:rsidRPr="004B15DA">
        <w:rPr>
          <w:szCs w:val="24"/>
        </w:rPr>
        <w:t xml:space="preserve"> per gli studenti confederati. In totale </w:t>
      </w:r>
      <w:r>
        <w:rPr>
          <w:szCs w:val="24"/>
        </w:rPr>
        <w:t>(</w:t>
      </w:r>
      <w:proofErr w:type="spellStart"/>
      <w:r>
        <w:rPr>
          <w:szCs w:val="24"/>
        </w:rPr>
        <w:t>Cdp</w:t>
      </w:r>
      <w:proofErr w:type="spellEnd"/>
      <w:r>
        <w:rPr>
          <w:szCs w:val="24"/>
        </w:rPr>
        <w:t xml:space="preserve"> e studenti ticinesi) </w:t>
      </w:r>
      <w:r w:rsidRPr="004B15DA">
        <w:rPr>
          <w:szCs w:val="24"/>
        </w:rPr>
        <w:t xml:space="preserve">il contributo del Cantone Ticino alla propria università per il 2017 è stato di 28.8 milioni di franchi, pari a circa il 30% dei ricavi totali. A livello svizzero, tale quota di partecipazione </w:t>
      </w:r>
      <w:r>
        <w:rPr>
          <w:szCs w:val="24"/>
        </w:rPr>
        <w:t xml:space="preserve">cantonale </w:t>
      </w:r>
      <w:r w:rsidRPr="004B15DA">
        <w:rPr>
          <w:szCs w:val="24"/>
        </w:rPr>
        <w:t xml:space="preserve">risulta essere </w:t>
      </w:r>
      <w:r>
        <w:rPr>
          <w:szCs w:val="24"/>
        </w:rPr>
        <w:t>percentualmente la</w:t>
      </w:r>
      <w:r w:rsidRPr="004B15DA">
        <w:rPr>
          <w:szCs w:val="24"/>
        </w:rPr>
        <w:t xml:space="preserve"> più bassa, escludendo </w:t>
      </w:r>
      <w:r>
        <w:rPr>
          <w:szCs w:val="24"/>
        </w:rPr>
        <w:t xml:space="preserve">il Canton </w:t>
      </w:r>
      <w:r w:rsidRPr="004B15DA">
        <w:rPr>
          <w:szCs w:val="24"/>
        </w:rPr>
        <w:t xml:space="preserve">San Gallo. L’aumento rispetto al 2016 è dettato dai 750'000 franchi di sussidio supplementare concesso quale </w:t>
      </w:r>
      <w:r>
        <w:rPr>
          <w:szCs w:val="24"/>
        </w:rPr>
        <w:t>sussidio di start up per la nuova F</w:t>
      </w:r>
      <w:r w:rsidRPr="004B15DA">
        <w:rPr>
          <w:rFonts w:cs="Arial"/>
          <w:szCs w:val="24"/>
        </w:rPr>
        <w:t>acoltà di scienze biomediche</w:t>
      </w:r>
      <w:r>
        <w:rPr>
          <w:rFonts w:cs="Arial"/>
          <w:szCs w:val="24"/>
        </w:rPr>
        <w:t>, visto che</w:t>
      </w:r>
      <w:r w:rsidRPr="004B15DA">
        <w:rPr>
          <w:rFonts w:cs="Arial"/>
          <w:szCs w:val="24"/>
        </w:rPr>
        <w:t xml:space="preserve"> il contributo di gestione è stato fissato </w:t>
      </w:r>
      <w:r>
        <w:rPr>
          <w:rFonts w:cs="Arial"/>
          <w:szCs w:val="24"/>
        </w:rPr>
        <w:t xml:space="preserve">rispettando i tetto del 2016, ovvero </w:t>
      </w:r>
      <w:r w:rsidRPr="004B15DA">
        <w:rPr>
          <w:rFonts w:cs="Arial"/>
          <w:szCs w:val="24"/>
        </w:rPr>
        <w:t>21 milioni di franchi</w:t>
      </w:r>
      <w:r>
        <w:rPr>
          <w:rFonts w:cs="Arial"/>
          <w:szCs w:val="24"/>
        </w:rPr>
        <w:t>,</w:t>
      </w:r>
      <w:r w:rsidRPr="004B15DA">
        <w:rPr>
          <w:rFonts w:cs="Arial"/>
          <w:szCs w:val="24"/>
        </w:rPr>
        <w:t xml:space="preserve"> per</w:t>
      </w:r>
      <w:r>
        <w:rPr>
          <w:rFonts w:cs="Arial"/>
          <w:szCs w:val="24"/>
        </w:rPr>
        <w:t xml:space="preserve"> tutto</w:t>
      </w:r>
      <w:r w:rsidRPr="004B15DA">
        <w:rPr>
          <w:rFonts w:cs="Arial"/>
          <w:szCs w:val="24"/>
        </w:rPr>
        <w:t xml:space="preserve"> il triennio 2017-2018-2019. </w:t>
      </w:r>
      <w:r>
        <w:rPr>
          <w:rFonts w:cs="Arial"/>
          <w:szCs w:val="24"/>
        </w:rPr>
        <w:t xml:space="preserve">La differenza tra il dato del contributo cantonale della Tabella 6 e i 21 milioni di franchi è data dal fatto che i dati della tabella non comprendono il sussidio poi riversato all’IRB, compreso invece nei 21 milioni decisi a preventivo e quindi anch’essi plafonati in base al citato art. 27. </w:t>
      </w:r>
    </w:p>
    <w:p w:rsidR="0024207A" w:rsidRDefault="0024207A" w:rsidP="0024207A"/>
    <w:p w:rsidR="0024207A" w:rsidRPr="00B06324" w:rsidRDefault="0024207A" w:rsidP="0024207A">
      <w:pPr>
        <w:rPr>
          <w:highlight w:val="yellow"/>
        </w:rPr>
      </w:pPr>
      <w:r w:rsidRPr="00756500">
        <w:t>Un elemento importante della struttura del finanziamento dell’USI è rappresentato dalla capacità di raccogliere mezzi propri</w:t>
      </w:r>
      <w:r>
        <w:t>,</w:t>
      </w:r>
      <w:r w:rsidRPr="00756500">
        <w:t xml:space="preserve"> non </w:t>
      </w:r>
      <w:r w:rsidRPr="00E14671">
        <w:t>solo tramite le</w:t>
      </w:r>
      <w:r>
        <w:t xml:space="preserve"> tasse d’iscrizione, pari </w:t>
      </w:r>
      <w:r w:rsidRPr="00FC7AA2">
        <w:t>a 13.</w:t>
      </w:r>
      <w:r>
        <w:t>9</w:t>
      </w:r>
      <w:r w:rsidRPr="00E14671">
        <w:t xml:space="preserve"> milioni di franchi nel 201</w:t>
      </w:r>
      <w:r>
        <w:t>7</w:t>
      </w:r>
      <w:r w:rsidRPr="00E14671">
        <w:t>, ma anche</w:t>
      </w:r>
      <w:r w:rsidRPr="00756500">
        <w:t xml:space="preserve"> grazie all’acquisizione</w:t>
      </w:r>
      <w:r w:rsidRPr="005323E1">
        <w:t xml:space="preserve"> </w:t>
      </w:r>
      <w:r>
        <w:t>sia di</w:t>
      </w:r>
      <w:r w:rsidRPr="005323E1">
        <w:t xml:space="preserve"> progetti di ricerca compet</w:t>
      </w:r>
      <w:r>
        <w:t>itiva sia di mandati diretti</w:t>
      </w:r>
      <w:r w:rsidRPr="00FC7AA2">
        <w:t>: 22.7 milioni</w:t>
      </w:r>
      <w:r>
        <w:t xml:space="preserve"> di franchi nel 2017.</w:t>
      </w:r>
    </w:p>
    <w:p w:rsidR="0024207A" w:rsidRDefault="0024207A" w:rsidP="0024207A"/>
    <w:p w:rsidR="0024207A" w:rsidRPr="00DF007D" w:rsidRDefault="0024207A" w:rsidP="0024207A">
      <w:r w:rsidRPr="005323E1">
        <w:t xml:space="preserve">Per il finanziamento della </w:t>
      </w:r>
      <w:r w:rsidRPr="00311A52">
        <w:t>formazione di base</w:t>
      </w:r>
      <w:r w:rsidRPr="005323E1">
        <w:t>, oltre alle tasse degli studenti</w:t>
      </w:r>
      <w:r>
        <w:t>,</w:t>
      </w:r>
      <w:r w:rsidRPr="005323E1">
        <w:t xml:space="preserve"> </w:t>
      </w:r>
      <w:r w:rsidRPr="008E30A3">
        <w:t>l’USI</w:t>
      </w:r>
      <w:r w:rsidRPr="005323E1">
        <w:t xml:space="preserve"> incassa i contributi della Confederazione e del Cantone. Questi ricavi devono poter coprire i costi della forma</w:t>
      </w:r>
      <w:r>
        <w:t>zione.</w:t>
      </w:r>
      <w:r w:rsidRPr="005323E1">
        <w:t xml:space="preserve"> </w:t>
      </w:r>
      <w:r>
        <w:t>L</w:t>
      </w:r>
      <w:r w:rsidRPr="005323E1">
        <w:t xml:space="preserve">a </w:t>
      </w:r>
      <w:r>
        <w:t>T</w:t>
      </w:r>
      <w:r w:rsidRPr="00C65DAB">
        <w:t>abella 7</w:t>
      </w:r>
      <w:r w:rsidRPr="00CC0346">
        <w:t xml:space="preserve"> illustra il costo medio per studente dell’USI (costi insegnamento/numero di studenti) e lo confronta con la media s</w:t>
      </w:r>
      <w:r>
        <w:t xml:space="preserve">vizzera pubblicata dall’UST. </w:t>
      </w:r>
    </w:p>
    <w:p w:rsidR="0024207A" w:rsidRDefault="0024207A" w:rsidP="0024207A">
      <w:pPr>
        <w:rPr>
          <w:b/>
        </w:rPr>
      </w:pPr>
    </w:p>
    <w:p w:rsidR="0024207A" w:rsidRPr="0024207A" w:rsidRDefault="0024207A" w:rsidP="0024207A">
      <w:pPr>
        <w:spacing w:before="120" w:after="120"/>
        <w:jc w:val="left"/>
        <w:rPr>
          <w:rStyle w:val="Normale1"/>
          <w:b/>
          <w:sz w:val="22"/>
          <w:szCs w:val="22"/>
          <w:lang w:val="it-CH"/>
        </w:rPr>
      </w:pPr>
      <w:r w:rsidRPr="0024207A">
        <w:rPr>
          <w:rFonts w:cs="Arial"/>
          <w:b/>
          <w:sz w:val="22"/>
          <w:szCs w:val="22"/>
        </w:rPr>
        <w:t>Tabella 7 - Costo medio per studenti USI vs media svizzera</w:t>
      </w:r>
      <w:r w:rsidRPr="0024207A">
        <w:rPr>
          <w:b/>
          <w:sz w:val="22"/>
          <w:szCs w:val="22"/>
        </w:rPr>
        <w:t xml:space="preserve"> 2016</w:t>
      </w:r>
    </w:p>
    <w:tbl>
      <w:tblPr>
        <w:tblW w:w="469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97"/>
        <w:gridCol w:w="1730"/>
        <w:gridCol w:w="1802"/>
        <w:gridCol w:w="1996"/>
        <w:gridCol w:w="1726"/>
      </w:tblGrid>
      <w:tr w:rsidR="0024207A" w:rsidRPr="00CC0E8B" w:rsidTr="0024207A">
        <w:trPr>
          <w:trHeight w:val="100"/>
        </w:trPr>
        <w:tc>
          <w:tcPr>
            <w:tcW w:w="1079" w:type="pct"/>
            <w:tcBorders>
              <w:bottom w:val="single" w:sz="12" w:space="0" w:color="auto"/>
              <w:right w:val="single" w:sz="12" w:space="0" w:color="auto"/>
            </w:tcBorders>
          </w:tcPr>
          <w:p w:rsidR="0024207A" w:rsidRPr="008E30A3" w:rsidRDefault="0024207A" w:rsidP="0024207A">
            <w:pPr>
              <w:tabs>
                <w:tab w:val="left" w:pos="4962"/>
              </w:tabs>
              <w:spacing w:before="120"/>
              <w:jc w:val="left"/>
              <w:rPr>
                <w:rFonts w:cs="Arial"/>
                <w:b/>
                <w:sz w:val="22"/>
                <w:szCs w:val="22"/>
              </w:rPr>
            </w:pPr>
            <w:r w:rsidRPr="008E30A3">
              <w:rPr>
                <w:rFonts w:cs="Arial"/>
                <w:b/>
                <w:sz w:val="22"/>
                <w:szCs w:val="22"/>
              </w:rPr>
              <w:t>Indicatore I</w:t>
            </w:r>
          </w:p>
        </w:tc>
        <w:tc>
          <w:tcPr>
            <w:tcW w:w="935" w:type="pct"/>
            <w:tcBorders>
              <w:bottom w:val="single" w:sz="12" w:space="0" w:color="auto"/>
            </w:tcBorders>
            <w:vAlign w:val="center"/>
          </w:tcPr>
          <w:p w:rsidR="0024207A" w:rsidRPr="008E30A3" w:rsidRDefault="0024207A" w:rsidP="0024207A">
            <w:pPr>
              <w:tabs>
                <w:tab w:val="left" w:pos="4962"/>
              </w:tabs>
              <w:spacing w:before="120"/>
              <w:jc w:val="center"/>
              <w:rPr>
                <w:rFonts w:cs="Arial"/>
                <w:sz w:val="22"/>
                <w:szCs w:val="22"/>
              </w:rPr>
            </w:pPr>
            <w:r w:rsidRPr="008E30A3">
              <w:rPr>
                <w:rFonts w:cs="Arial"/>
                <w:sz w:val="22"/>
                <w:szCs w:val="22"/>
              </w:rPr>
              <w:t>Architettura</w:t>
            </w:r>
          </w:p>
        </w:tc>
        <w:tc>
          <w:tcPr>
            <w:tcW w:w="974" w:type="pct"/>
            <w:tcBorders>
              <w:bottom w:val="single" w:sz="12" w:space="0" w:color="auto"/>
            </w:tcBorders>
            <w:vAlign w:val="center"/>
          </w:tcPr>
          <w:p w:rsidR="0024207A" w:rsidRPr="003F6084" w:rsidRDefault="0024207A" w:rsidP="0024207A">
            <w:pPr>
              <w:tabs>
                <w:tab w:val="left" w:pos="4962"/>
              </w:tabs>
              <w:spacing w:before="120"/>
              <w:jc w:val="center"/>
              <w:rPr>
                <w:rFonts w:cs="Arial"/>
                <w:sz w:val="22"/>
                <w:szCs w:val="22"/>
              </w:rPr>
            </w:pPr>
            <w:r w:rsidRPr="003F6084">
              <w:rPr>
                <w:rFonts w:cs="Arial"/>
                <w:sz w:val="22"/>
                <w:szCs w:val="22"/>
              </w:rPr>
              <w:t>Economia</w:t>
            </w:r>
          </w:p>
        </w:tc>
        <w:tc>
          <w:tcPr>
            <w:tcW w:w="1079" w:type="pct"/>
            <w:tcBorders>
              <w:bottom w:val="single" w:sz="12" w:space="0" w:color="auto"/>
            </w:tcBorders>
            <w:vAlign w:val="center"/>
          </w:tcPr>
          <w:p w:rsidR="0024207A" w:rsidRPr="003F6084" w:rsidRDefault="0024207A" w:rsidP="0024207A">
            <w:pPr>
              <w:tabs>
                <w:tab w:val="left" w:pos="4962"/>
              </w:tabs>
              <w:spacing w:before="120"/>
              <w:jc w:val="center"/>
              <w:rPr>
                <w:rFonts w:cs="Arial"/>
                <w:sz w:val="22"/>
                <w:szCs w:val="22"/>
              </w:rPr>
            </w:pPr>
            <w:r w:rsidRPr="003F6084">
              <w:rPr>
                <w:rFonts w:cs="Arial"/>
                <w:sz w:val="22"/>
                <w:szCs w:val="22"/>
              </w:rPr>
              <w:t>Comunicazione</w:t>
            </w:r>
          </w:p>
        </w:tc>
        <w:tc>
          <w:tcPr>
            <w:tcW w:w="933" w:type="pct"/>
            <w:tcBorders>
              <w:bottom w:val="single" w:sz="12" w:space="0" w:color="auto"/>
            </w:tcBorders>
            <w:vAlign w:val="center"/>
          </w:tcPr>
          <w:p w:rsidR="0024207A" w:rsidRPr="003F6084" w:rsidRDefault="0024207A" w:rsidP="0024207A">
            <w:pPr>
              <w:tabs>
                <w:tab w:val="left" w:pos="4962"/>
              </w:tabs>
              <w:spacing w:before="120"/>
              <w:jc w:val="center"/>
              <w:rPr>
                <w:rFonts w:cs="Arial"/>
                <w:sz w:val="22"/>
                <w:szCs w:val="22"/>
              </w:rPr>
            </w:pPr>
            <w:r w:rsidRPr="003F6084">
              <w:rPr>
                <w:rFonts w:cs="Arial"/>
                <w:sz w:val="22"/>
                <w:szCs w:val="22"/>
              </w:rPr>
              <w:t>Informatica</w:t>
            </w:r>
          </w:p>
        </w:tc>
      </w:tr>
      <w:tr w:rsidR="0024207A" w:rsidRPr="00CC0E8B" w:rsidTr="0024207A">
        <w:tc>
          <w:tcPr>
            <w:tcW w:w="1079" w:type="pct"/>
            <w:tcBorders>
              <w:right w:val="single" w:sz="12" w:space="0" w:color="auto"/>
            </w:tcBorders>
            <w:vAlign w:val="center"/>
          </w:tcPr>
          <w:p w:rsidR="0024207A" w:rsidRPr="008E30A3" w:rsidRDefault="0024207A" w:rsidP="0024207A">
            <w:pPr>
              <w:tabs>
                <w:tab w:val="left" w:pos="4962"/>
              </w:tabs>
              <w:spacing w:before="120"/>
              <w:jc w:val="left"/>
              <w:rPr>
                <w:rFonts w:cs="Arial"/>
                <w:b/>
                <w:sz w:val="22"/>
                <w:szCs w:val="22"/>
                <w:lang w:val="fr-FR"/>
              </w:rPr>
            </w:pPr>
            <w:r w:rsidRPr="008E30A3">
              <w:rPr>
                <w:rFonts w:cs="Arial"/>
                <w:b/>
                <w:sz w:val="22"/>
                <w:szCs w:val="22"/>
                <w:lang w:val="fr-FR"/>
              </w:rPr>
              <w:t>USI</w:t>
            </w:r>
          </w:p>
        </w:tc>
        <w:tc>
          <w:tcPr>
            <w:tcW w:w="935" w:type="pct"/>
            <w:shd w:val="clear" w:color="auto" w:fill="auto"/>
          </w:tcPr>
          <w:p w:rsidR="0024207A" w:rsidRPr="009767CC" w:rsidRDefault="0024207A" w:rsidP="0024207A">
            <w:pPr>
              <w:tabs>
                <w:tab w:val="left" w:pos="4962"/>
              </w:tabs>
              <w:spacing w:before="120"/>
              <w:jc w:val="center"/>
              <w:rPr>
                <w:rFonts w:cs="Arial"/>
                <w:b/>
                <w:sz w:val="22"/>
                <w:szCs w:val="22"/>
              </w:rPr>
            </w:pPr>
            <w:r w:rsidRPr="009767CC">
              <w:rPr>
                <w:rFonts w:cs="Arial"/>
                <w:b/>
                <w:sz w:val="22"/>
                <w:szCs w:val="22"/>
              </w:rPr>
              <w:t>28’596</w:t>
            </w:r>
          </w:p>
        </w:tc>
        <w:tc>
          <w:tcPr>
            <w:tcW w:w="974" w:type="pct"/>
            <w:shd w:val="clear" w:color="auto" w:fill="auto"/>
          </w:tcPr>
          <w:p w:rsidR="0024207A" w:rsidRPr="009767CC" w:rsidRDefault="0024207A" w:rsidP="0024207A">
            <w:pPr>
              <w:tabs>
                <w:tab w:val="left" w:pos="4962"/>
              </w:tabs>
              <w:spacing w:before="120"/>
              <w:jc w:val="center"/>
              <w:rPr>
                <w:rFonts w:cs="Arial"/>
                <w:b/>
                <w:sz w:val="22"/>
                <w:szCs w:val="22"/>
              </w:rPr>
            </w:pPr>
            <w:r w:rsidRPr="009767CC">
              <w:rPr>
                <w:rFonts w:cs="Arial"/>
                <w:b/>
                <w:sz w:val="22"/>
                <w:szCs w:val="22"/>
              </w:rPr>
              <w:t>13’272</w:t>
            </w:r>
          </w:p>
        </w:tc>
        <w:tc>
          <w:tcPr>
            <w:tcW w:w="1079" w:type="pct"/>
            <w:shd w:val="clear" w:color="auto" w:fill="auto"/>
          </w:tcPr>
          <w:p w:rsidR="0024207A" w:rsidRPr="009767CC" w:rsidRDefault="0024207A" w:rsidP="0024207A">
            <w:pPr>
              <w:tabs>
                <w:tab w:val="left" w:pos="4962"/>
              </w:tabs>
              <w:spacing w:before="120"/>
              <w:jc w:val="center"/>
              <w:rPr>
                <w:rFonts w:cs="Arial"/>
                <w:b/>
                <w:sz w:val="22"/>
                <w:szCs w:val="22"/>
              </w:rPr>
            </w:pPr>
            <w:r w:rsidRPr="009767CC">
              <w:rPr>
                <w:rFonts w:cs="Arial"/>
                <w:b/>
                <w:sz w:val="22"/>
                <w:szCs w:val="22"/>
              </w:rPr>
              <w:t>14’498</w:t>
            </w:r>
          </w:p>
        </w:tc>
        <w:tc>
          <w:tcPr>
            <w:tcW w:w="933" w:type="pct"/>
            <w:shd w:val="clear" w:color="auto" w:fill="auto"/>
          </w:tcPr>
          <w:p w:rsidR="0024207A" w:rsidRPr="009767CC" w:rsidRDefault="0024207A" w:rsidP="0024207A">
            <w:pPr>
              <w:tabs>
                <w:tab w:val="left" w:pos="4962"/>
              </w:tabs>
              <w:spacing w:before="120"/>
              <w:jc w:val="center"/>
              <w:rPr>
                <w:rFonts w:cs="Arial"/>
                <w:b/>
                <w:sz w:val="22"/>
                <w:szCs w:val="22"/>
              </w:rPr>
            </w:pPr>
            <w:r w:rsidRPr="009767CC">
              <w:rPr>
                <w:rFonts w:cs="Arial"/>
                <w:b/>
                <w:sz w:val="22"/>
                <w:szCs w:val="22"/>
              </w:rPr>
              <w:t>29’467</w:t>
            </w:r>
          </w:p>
        </w:tc>
      </w:tr>
      <w:tr w:rsidR="0024207A" w:rsidRPr="00CC0E8B" w:rsidTr="0024207A">
        <w:tc>
          <w:tcPr>
            <w:tcW w:w="1079" w:type="pct"/>
            <w:tcBorders>
              <w:right w:val="single" w:sz="12" w:space="0" w:color="auto"/>
            </w:tcBorders>
            <w:vAlign w:val="center"/>
          </w:tcPr>
          <w:p w:rsidR="0024207A" w:rsidRPr="008E30A3" w:rsidRDefault="0024207A" w:rsidP="0024207A">
            <w:pPr>
              <w:tabs>
                <w:tab w:val="left" w:pos="4962"/>
              </w:tabs>
              <w:spacing w:before="120"/>
              <w:jc w:val="left"/>
              <w:rPr>
                <w:rFonts w:cs="Arial"/>
                <w:sz w:val="22"/>
                <w:szCs w:val="22"/>
                <w:lang w:val="fr-FR"/>
              </w:rPr>
            </w:pPr>
            <w:r w:rsidRPr="008E30A3">
              <w:rPr>
                <w:rFonts w:cs="Arial"/>
                <w:sz w:val="22"/>
                <w:szCs w:val="22"/>
                <w:lang w:val="fr-FR"/>
              </w:rPr>
              <w:t xml:space="preserve">Media CH </w:t>
            </w:r>
          </w:p>
        </w:tc>
        <w:tc>
          <w:tcPr>
            <w:tcW w:w="935" w:type="pct"/>
            <w:shd w:val="clear" w:color="auto" w:fill="auto"/>
          </w:tcPr>
          <w:p w:rsidR="0024207A" w:rsidRPr="009767CC" w:rsidRDefault="0024207A" w:rsidP="0024207A">
            <w:pPr>
              <w:tabs>
                <w:tab w:val="left" w:pos="4962"/>
              </w:tabs>
              <w:spacing w:before="120"/>
              <w:jc w:val="center"/>
              <w:rPr>
                <w:rFonts w:cs="Arial"/>
                <w:sz w:val="22"/>
                <w:szCs w:val="22"/>
              </w:rPr>
            </w:pPr>
            <w:r w:rsidRPr="009767CC">
              <w:rPr>
                <w:rFonts w:cs="Arial"/>
                <w:sz w:val="22"/>
                <w:szCs w:val="22"/>
              </w:rPr>
              <w:t>25’275</w:t>
            </w:r>
          </w:p>
        </w:tc>
        <w:tc>
          <w:tcPr>
            <w:tcW w:w="974" w:type="pct"/>
            <w:shd w:val="clear" w:color="auto" w:fill="auto"/>
          </w:tcPr>
          <w:p w:rsidR="0024207A" w:rsidRPr="009767CC" w:rsidRDefault="0024207A" w:rsidP="0024207A">
            <w:pPr>
              <w:tabs>
                <w:tab w:val="left" w:pos="4962"/>
              </w:tabs>
              <w:spacing w:before="120"/>
              <w:jc w:val="center"/>
              <w:rPr>
                <w:rFonts w:cs="Arial"/>
                <w:sz w:val="22"/>
                <w:szCs w:val="22"/>
              </w:rPr>
            </w:pPr>
            <w:r w:rsidRPr="009767CC">
              <w:rPr>
                <w:rFonts w:cs="Arial"/>
                <w:sz w:val="22"/>
                <w:szCs w:val="22"/>
              </w:rPr>
              <w:t>9’254</w:t>
            </w:r>
          </w:p>
        </w:tc>
        <w:tc>
          <w:tcPr>
            <w:tcW w:w="1079" w:type="pct"/>
            <w:shd w:val="clear" w:color="auto" w:fill="auto"/>
          </w:tcPr>
          <w:p w:rsidR="0024207A" w:rsidRPr="009767CC" w:rsidRDefault="0024207A" w:rsidP="0024207A">
            <w:pPr>
              <w:tabs>
                <w:tab w:val="left" w:pos="4962"/>
              </w:tabs>
              <w:spacing w:before="120"/>
              <w:jc w:val="center"/>
              <w:rPr>
                <w:rFonts w:cs="Arial"/>
                <w:sz w:val="22"/>
                <w:szCs w:val="22"/>
              </w:rPr>
            </w:pPr>
            <w:r w:rsidRPr="009767CC">
              <w:rPr>
                <w:rFonts w:cs="Arial"/>
                <w:sz w:val="22"/>
                <w:szCs w:val="22"/>
              </w:rPr>
              <w:t>9’945</w:t>
            </w:r>
          </w:p>
        </w:tc>
        <w:tc>
          <w:tcPr>
            <w:tcW w:w="933" w:type="pct"/>
            <w:shd w:val="clear" w:color="auto" w:fill="auto"/>
          </w:tcPr>
          <w:p w:rsidR="0024207A" w:rsidRPr="009767CC" w:rsidRDefault="0024207A" w:rsidP="0024207A">
            <w:pPr>
              <w:tabs>
                <w:tab w:val="left" w:pos="4962"/>
              </w:tabs>
              <w:spacing w:before="120"/>
              <w:jc w:val="center"/>
              <w:rPr>
                <w:rFonts w:cs="Arial"/>
                <w:sz w:val="22"/>
                <w:szCs w:val="22"/>
              </w:rPr>
            </w:pPr>
            <w:r w:rsidRPr="009767CC">
              <w:rPr>
                <w:rFonts w:cs="Arial"/>
                <w:sz w:val="22"/>
                <w:szCs w:val="22"/>
              </w:rPr>
              <w:t>18’572</w:t>
            </w:r>
          </w:p>
        </w:tc>
      </w:tr>
      <w:tr w:rsidR="0024207A" w:rsidRPr="00CC0E8B" w:rsidTr="0024207A">
        <w:tc>
          <w:tcPr>
            <w:tcW w:w="1079" w:type="pct"/>
            <w:tcBorders>
              <w:top w:val="single" w:sz="4" w:space="0" w:color="auto"/>
              <w:left w:val="single" w:sz="4" w:space="0" w:color="auto"/>
              <w:bottom w:val="single" w:sz="4" w:space="0" w:color="auto"/>
              <w:right w:val="single" w:sz="12" w:space="0" w:color="auto"/>
            </w:tcBorders>
          </w:tcPr>
          <w:p w:rsidR="0024207A" w:rsidRPr="008E30A3" w:rsidRDefault="0024207A" w:rsidP="0024207A">
            <w:pPr>
              <w:tabs>
                <w:tab w:val="left" w:pos="4962"/>
              </w:tabs>
              <w:spacing w:before="120"/>
              <w:jc w:val="left"/>
              <w:rPr>
                <w:rFonts w:cs="Arial"/>
                <w:b/>
                <w:sz w:val="22"/>
                <w:szCs w:val="22"/>
              </w:rPr>
            </w:pPr>
            <w:r w:rsidRPr="008E30A3">
              <w:rPr>
                <w:rFonts w:cs="Arial"/>
                <w:b/>
                <w:sz w:val="22"/>
                <w:szCs w:val="22"/>
              </w:rPr>
              <w:t>Indicatore II</w:t>
            </w:r>
          </w:p>
        </w:tc>
        <w:tc>
          <w:tcPr>
            <w:tcW w:w="935" w:type="pct"/>
            <w:tcBorders>
              <w:top w:val="single" w:sz="4" w:space="0" w:color="auto"/>
              <w:left w:val="single" w:sz="4" w:space="0" w:color="auto"/>
              <w:bottom w:val="single" w:sz="4" w:space="0" w:color="auto"/>
              <w:right w:val="single" w:sz="4" w:space="0" w:color="auto"/>
            </w:tcBorders>
            <w:shd w:val="clear" w:color="auto" w:fill="auto"/>
            <w:vAlign w:val="center"/>
          </w:tcPr>
          <w:p w:rsidR="0024207A" w:rsidRPr="008E30A3" w:rsidRDefault="0024207A" w:rsidP="0024207A">
            <w:pPr>
              <w:tabs>
                <w:tab w:val="left" w:pos="4962"/>
              </w:tabs>
              <w:spacing w:before="120"/>
              <w:jc w:val="center"/>
              <w:rPr>
                <w:rFonts w:cs="Arial"/>
                <w:sz w:val="22"/>
                <w:szCs w:val="22"/>
              </w:rPr>
            </w:pPr>
          </w:p>
        </w:tc>
        <w:tc>
          <w:tcPr>
            <w:tcW w:w="974" w:type="pct"/>
            <w:tcBorders>
              <w:top w:val="single" w:sz="4" w:space="0" w:color="auto"/>
              <w:left w:val="single" w:sz="4" w:space="0" w:color="auto"/>
              <w:bottom w:val="single" w:sz="4" w:space="0" w:color="auto"/>
              <w:right w:val="single" w:sz="4" w:space="0" w:color="auto"/>
            </w:tcBorders>
            <w:shd w:val="clear" w:color="auto" w:fill="auto"/>
            <w:vAlign w:val="center"/>
          </w:tcPr>
          <w:p w:rsidR="0024207A" w:rsidRPr="003F6084" w:rsidRDefault="0024207A" w:rsidP="0024207A">
            <w:pPr>
              <w:tabs>
                <w:tab w:val="left" w:pos="4962"/>
              </w:tabs>
              <w:spacing w:before="120"/>
              <w:jc w:val="center"/>
              <w:rPr>
                <w:rFonts w:cs="Arial"/>
                <w:sz w:val="22"/>
                <w:szCs w:val="22"/>
              </w:rPr>
            </w:pPr>
          </w:p>
        </w:tc>
        <w:tc>
          <w:tcPr>
            <w:tcW w:w="1079" w:type="pct"/>
            <w:tcBorders>
              <w:top w:val="single" w:sz="4" w:space="0" w:color="auto"/>
              <w:left w:val="single" w:sz="4" w:space="0" w:color="auto"/>
              <w:bottom w:val="single" w:sz="4" w:space="0" w:color="auto"/>
              <w:right w:val="single" w:sz="4" w:space="0" w:color="auto"/>
            </w:tcBorders>
            <w:shd w:val="clear" w:color="auto" w:fill="auto"/>
            <w:vAlign w:val="center"/>
          </w:tcPr>
          <w:p w:rsidR="0024207A" w:rsidRPr="003F6084" w:rsidRDefault="0024207A" w:rsidP="0024207A">
            <w:pPr>
              <w:tabs>
                <w:tab w:val="left" w:pos="4962"/>
              </w:tabs>
              <w:spacing w:before="120"/>
              <w:jc w:val="center"/>
              <w:rPr>
                <w:rFonts w:cs="Arial"/>
                <w:sz w:val="22"/>
                <w:szCs w:val="22"/>
              </w:rPr>
            </w:pPr>
          </w:p>
        </w:tc>
        <w:tc>
          <w:tcPr>
            <w:tcW w:w="933" w:type="pct"/>
            <w:tcBorders>
              <w:top w:val="single" w:sz="4" w:space="0" w:color="auto"/>
              <w:left w:val="single" w:sz="4" w:space="0" w:color="auto"/>
              <w:bottom w:val="single" w:sz="4" w:space="0" w:color="auto"/>
              <w:right w:val="single" w:sz="4" w:space="0" w:color="auto"/>
            </w:tcBorders>
            <w:shd w:val="clear" w:color="auto" w:fill="auto"/>
            <w:vAlign w:val="center"/>
          </w:tcPr>
          <w:p w:rsidR="0024207A" w:rsidRPr="003F6084" w:rsidRDefault="0024207A" w:rsidP="0024207A">
            <w:pPr>
              <w:tabs>
                <w:tab w:val="left" w:pos="4962"/>
              </w:tabs>
              <w:spacing w:before="120"/>
              <w:jc w:val="center"/>
              <w:rPr>
                <w:rFonts w:cs="Arial"/>
                <w:sz w:val="22"/>
                <w:szCs w:val="22"/>
              </w:rPr>
            </w:pPr>
          </w:p>
        </w:tc>
      </w:tr>
      <w:tr w:rsidR="0024207A" w:rsidRPr="00CC0E8B" w:rsidTr="0024207A">
        <w:tc>
          <w:tcPr>
            <w:tcW w:w="1079" w:type="pct"/>
            <w:tcBorders>
              <w:top w:val="single" w:sz="4" w:space="0" w:color="auto"/>
              <w:left w:val="single" w:sz="4" w:space="0" w:color="auto"/>
              <w:bottom w:val="single" w:sz="4" w:space="0" w:color="auto"/>
              <w:right w:val="single" w:sz="12" w:space="0" w:color="auto"/>
            </w:tcBorders>
            <w:vAlign w:val="center"/>
          </w:tcPr>
          <w:p w:rsidR="0024207A" w:rsidRPr="003F6084" w:rsidRDefault="0024207A" w:rsidP="0024207A">
            <w:pPr>
              <w:tabs>
                <w:tab w:val="left" w:pos="4962"/>
              </w:tabs>
              <w:spacing w:before="120"/>
              <w:jc w:val="left"/>
              <w:rPr>
                <w:rFonts w:cs="Arial"/>
                <w:b/>
                <w:sz w:val="22"/>
                <w:szCs w:val="22"/>
                <w:lang w:val="fr-FR"/>
              </w:rPr>
            </w:pPr>
            <w:r w:rsidRPr="003F6084">
              <w:rPr>
                <w:rFonts w:cs="Arial"/>
                <w:b/>
                <w:sz w:val="22"/>
                <w:szCs w:val="22"/>
                <w:lang w:val="fr-FR"/>
              </w:rPr>
              <w:t>USI</w:t>
            </w:r>
          </w:p>
        </w:tc>
        <w:tc>
          <w:tcPr>
            <w:tcW w:w="935" w:type="pct"/>
            <w:tcBorders>
              <w:top w:val="single" w:sz="4" w:space="0" w:color="auto"/>
              <w:left w:val="single" w:sz="4" w:space="0" w:color="auto"/>
              <w:bottom w:val="single" w:sz="4" w:space="0" w:color="auto"/>
              <w:right w:val="single" w:sz="4" w:space="0" w:color="auto"/>
            </w:tcBorders>
            <w:shd w:val="clear" w:color="auto" w:fill="auto"/>
          </w:tcPr>
          <w:p w:rsidR="0024207A" w:rsidRPr="0025097C" w:rsidRDefault="0024207A" w:rsidP="0024207A">
            <w:pPr>
              <w:tabs>
                <w:tab w:val="left" w:pos="4962"/>
              </w:tabs>
              <w:spacing w:before="120"/>
              <w:jc w:val="center"/>
              <w:rPr>
                <w:rFonts w:cs="Arial"/>
                <w:b/>
                <w:i/>
                <w:sz w:val="22"/>
                <w:szCs w:val="22"/>
              </w:rPr>
            </w:pPr>
            <w:r w:rsidRPr="0025097C">
              <w:rPr>
                <w:rFonts w:cs="Arial"/>
                <w:b/>
                <w:i/>
                <w:sz w:val="22"/>
                <w:szCs w:val="22"/>
              </w:rPr>
              <w:t>3</w:t>
            </w:r>
            <w:r>
              <w:rPr>
                <w:rFonts w:cs="Arial"/>
                <w:b/>
                <w:i/>
                <w:sz w:val="22"/>
                <w:szCs w:val="22"/>
              </w:rPr>
              <w:t>4’594</w:t>
            </w:r>
          </w:p>
        </w:tc>
        <w:tc>
          <w:tcPr>
            <w:tcW w:w="974" w:type="pct"/>
            <w:tcBorders>
              <w:top w:val="single" w:sz="4" w:space="0" w:color="auto"/>
              <w:left w:val="single" w:sz="4" w:space="0" w:color="auto"/>
              <w:bottom w:val="single" w:sz="4" w:space="0" w:color="auto"/>
              <w:right w:val="single" w:sz="4" w:space="0" w:color="auto"/>
            </w:tcBorders>
            <w:shd w:val="clear" w:color="auto" w:fill="auto"/>
          </w:tcPr>
          <w:p w:rsidR="0024207A" w:rsidRPr="0025097C" w:rsidRDefault="0024207A" w:rsidP="0024207A">
            <w:pPr>
              <w:tabs>
                <w:tab w:val="left" w:pos="4962"/>
              </w:tabs>
              <w:spacing w:before="120"/>
              <w:jc w:val="center"/>
              <w:rPr>
                <w:rFonts w:cs="Arial"/>
                <w:b/>
                <w:i/>
                <w:sz w:val="22"/>
                <w:szCs w:val="22"/>
              </w:rPr>
            </w:pPr>
            <w:r>
              <w:rPr>
                <w:rFonts w:cs="Arial"/>
                <w:b/>
                <w:i/>
                <w:sz w:val="22"/>
                <w:szCs w:val="22"/>
              </w:rPr>
              <w:t>22’308</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24207A" w:rsidRPr="0025097C" w:rsidRDefault="0024207A" w:rsidP="0024207A">
            <w:pPr>
              <w:tabs>
                <w:tab w:val="left" w:pos="4962"/>
              </w:tabs>
              <w:spacing w:before="120"/>
              <w:jc w:val="center"/>
              <w:rPr>
                <w:rFonts w:cs="Arial"/>
                <w:b/>
                <w:i/>
                <w:sz w:val="22"/>
                <w:szCs w:val="22"/>
              </w:rPr>
            </w:pPr>
            <w:r w:rsidRPr="0025097C">
              <w:rPr>
                <w:rFonts w:cs="Arial"/>
                <w:b/>
                <w:i/>
                <w:sz w:val="22"/>
                <w:szCs w:val="22"/>
              </w:rPr>
              <w:t>2</w:t>
            </w:r>
            <w:r>
              <w:rPr>
                <w:rFonts w:cs="Arial"/>
                <w:b/>
                <w:i/>
                <w:sz w:val="22"/>
                <w:szCs w:val="22"/>
              </w:rPr>
              <w:t>5’976</w:t>
            </w:r>
          </w:p>
        </w:tc>
        <w:tc>
          <w:tcPr>
            <w:tcW w:w="933" w:type="pct"/>
            <w:tcBorders>
              <w:top w:val="single" w:sz="4" w:space="0" w:color="auto"/>
              <w:left w:val="single" w:sz="4" w:space="0" w:color="auto"/>
              <w:bottom w:val="single" w:sz="4" w:space="0" w:color="auto"/>
              <w:right w:val="single" w:sz="4" w:space="0" w:color="auto"/>
            </w:tcBorders>
            <w:shd w:val="clear" w:color="auto" w:fill="auto"/>
          </w:tcPr>
          <w:p w:rsidR="0024207A" w:rsidRPr="0025097C" w:rsidRDefault="0024207A" w:rsidP="0024207A">
            <w:pPr>
              <w:tabs>
                <w:tab w:val="left" w:pos="4962"/>
              </w:tabs>
              <w:spacing w:before="120"/>
              <w:jc w:val="center"/>
              <w:rPr>
                <w:rFonts w:cs="Arial"/>
                <w:b/>
                <w:i/>
                <w:sz w:val="22"/>
                <w:szCs w:val="22"/>
              </w:rPr>
            </w:pPr>
            <w:r>
              <w:rPr>
                <w:rFonts w:cs="Arial"/>
                <w:b/>
                <w:i/>
                <w:sz w:val="22"/>
                <w:szCs w:val="22"/>
              </w:rPr>
              <w:t>84’507</w:t>
            </w:r>
          </w:p>
        </w:tc>
      </w:tr>
      <w:tr w:rsidR="0024207A" w:rsidRPr="00CC0E8B" w:rsidTr="0024207A">
        <w:tc>
          <w:tcPr>
            <w:tcW w:w="1079" w:type="pct"/>
            <w:tcBorders>
              <w:top w:val="single" w:sz="4" w:space="0" w:color="auto"/>
              <w:left w:val="single" w:sz="4" w:space="0" w:color="auto"/>
              <w:bottom w:val="single" w:sz="4" w:space="0" w:color="auto"/>
              <w:right w:val="single" w:sz="12" w:space="0" w:color="auto"/>
            </w:tcBorders>
            <w:vAlign w:val="center"/>
          </w:tcPr>
          <w:p w:rsidR="0024207A" w:rsidRPr="003F6084" w:rsidRDefault="0024207A" w:rsidP="0024207A">
            <w:pPr>
              <w:tabs>
                <w:tab w:val="left" w:pos="4962"/>
              </w:tabs>
              <w:spacing w:before="120"/>
              <w:jc w:val="left"/>
              <w:rPr>
                <w:rFonts w:cs="Arial"/>
                <w:sz w:val="22"/>
                <w:szCs w:val="22"/>
                <w:lang w:val="fr-FR"/>
              </w:rPr>
            </w:pPr>
            <w:r w:rsidRPr="003F6084">
              <w:rPr>
                <w:rFonts w:cs="Arial"/>
                <w:sz w:val="22"/>
                <w:szCs w:val="22"/>
                <w:lang w:val="fr-FR"/>
              </w:rPr>
              <w:t>Media CH</w:t>
            </w:r>
          </w:p>
        </w:tc>
        <w:tc>
          <w:tcPr>
            <w:tcW w:w="935" w:type="pct"/>
            <w:tcBorders>
              <w:top w:val="single" w:sz="4" w:space="0" w:color="auto"/>
              <w:left w:val="single" w:sz="4" w:space="0" w:color="auto"/>
              <w:bottom w:val="single" w:sz="4" w:space="0" w:color="auto"/>
              <w:right w:val="single" w:sz="4" w:space="0" w:color="auto"/>
            </w:tcBorders>
            <w:shd w:val="clear" w:color="auto" w:fill="auto"/>
          </w:tcPr>
          <w:p w:rsidR="0024207A" w:rsidRPr="0025097C" w:rsidRDefault="0024207A" w:rsidP="0024207A">
            <w:pPr>
              <w:tabs>
                <w:tab w:val="left" w:pos="4962"/>
              </w:tabs>
              <w:spacing w:before="120"/>
              <w:jc w:val="center"/>
              <w:rPr>
                <w:rFonts w:cs="Arial"/>
                <w:i/>
                <w:sz w:val="22"/>
                <w:szCs w:val="22"/>
              </w:rPr>
            </w:pPr>
            <w:r>
              <w:rPr>
                <w:rFonts w:cs="Arial"/>
                <w:i/>
                <w:sz w:val="22"/>
                <w:szCs w:val="22"/>
              </w:rPr>
              <w:t>54’334</w:t>
            </w:r>
          </w:p>
        </w:tc>
        <w:tc>
          <w:tcPr>
            <w:tcW w:w="974" w:type="pct"/>
            <w:tcBorders>
              <w:top w:val="single" w:sz="4" w:space="0" w:color="auto"/>
              <w:left w:val="single" w:sz="4" w:space="0" w:color="auto"/>
              <w:bottom w:val="single" w:sz="4" w:space="0" w:color="auto"/>
              <w:right w:val="single" w:sz="4" w:space="0" w:color="auto"/>
            </w:tcBorders>
            <w:shd w:val="clear" w:color="auto" w:fill="auto"/>
          </w:tcPr>
          <w:p w:rsidR="0024207A" w:rsidRPr="0025097C" w:rsidRDefault="0024207A" w:rsidP="0024207A">
            <w:pPr>
              <w:tabs>
                <w:tab w:val="left" w:pos="4962"/>
              </w:tabs>
              <w:spacing w:before="120"/>
              <w:jc w:val="center"/>
              <w:rPr>
                <w:rFonts w:cs="Arial"/>
                <w:i/>
                <w:sz w:val="22"/>
                <w:szCs w:val="22"/>
              </w:rPr>
            </w:pPr>
            <w:r w:rsidRPr="0025097C">
              <w:rPr>
                <w:rFonts w:cs="Arial"/>
                <w:i/>
                <w:sz w:val="22"/>
                <w:szCs w:val="22"/>
              </w:rPr>
              <w:t>19’</w:t>
            </w:r>
            <w:r>
              <w:rPr>
                <w:rFonts w:cs="Arial"/>
                <w:i/>
                <w:sz w:val="22"/>
                <w:szCs w:val="22"/>
              </w:rPr>
              <w:t>805</w:t>
            </w:r>
          </w:p>
        </w:tc>
        <w:tc>
          <w:tcPr>
            <w:tcW w:w="1079" w:type="pct"/>
            <w:tcBorders>
              <w:top w:val="single" w:sz="4" w:space="0" w:color="auto"/>
              <w:left w:val="single" w:sz="4" w:space="0" w:color="auto"/>
              <w:bottom w:val="single" w:sz="4" w:space="0" w:color="auto"/>
              <w:right w:val="single" w:sz="4" w:space="0" w:color="auto"/>
            </w:tcBorders>
            <w:shd w:val="clear" w:color="auto" w:fill="auto"/>
          </w:tcPr>
          <w:p w:rsidR="0024207A" w:rsidRPr="0025097C" w:rsidRDefault="0024207A" w:rsidP="0024207A">
            <w:pPr>
              <w:tabs>
                <w:tab w:val="left" w:pos="4962"/>
              </w:tabs>
              <w:spacing w:before="120"/>
              <w:jc w:val="center"/>
              <w:rPr>
                <w:rFonts w:cs="Arial"/>
                <w:i/>
                <w:sz w:val="22"/>
                <w:szCs w:val="22"/>
              </w:rPr>
            </w:pPr>
            <w:r w:rsidRPr="0025097C">
              <w:rPr>
                <w:rFonts w:cs="Arial"/>
                <w:i/>
                <w:sz w:val="22"/>
                <w:szCs w:val="22"/>
              </w:rPr>
              <w:t>2</w:t>
            </w:r>
            <w:r>
              <w:rPr>
                <w:rFonts w:cs="Arial"/>
                <w:i/>
                <w:sz w:val="22"/>
                <w:szCs w:val="22"/>
              </w:rPr>
              <w:t>4’611</w:t>
            </w:r>
          </w:p>
        </w:tc>
        <w:tc>
          <w:tcPr>
            <w:tcW w:w="933" w:type="pct"/>
            <w:tcBorders>
              <w:top w:val="single" w:sz="4" w:space="0" w:color="auto"/>
              <w:left w:val="single" w:sz="4" w:space="0" w:color="auto"/>
              <w:bottom w:val="single" w:sz="4" w:space="0" w:color="auto"/>
              <w:right w:val="single" w:sz="4" w:space="0" w:color="auto"/>
            </w:tcBorders>
            <w:shd w:val="clear" w:color="auto" w:fill="auto"/>
          </w:tcPr>
          <w:p w:rsidR="0024207A" w:rsidRPr="0025097C" w:rsidRDefault="0024207A" w:rsidP="0024207A">
            <w:pPr>
              <w:tabs>
                <w:tab w:val="left" w:pos="4962"/>
              </w:tabs>
              <w:spacing w:before="120"/>
              <w:jc w:val="center"/>
              <w:rPr>
                <w:rFonts w:cs="Arial"/>
                <w:i/>
                <w:sz w:val="22"/>
                <w:szCs w:val="22"/>
              </w:rPr>
            </w:pPr>
            <w:r w:rsidRPr="0025097C">
              <w:rPr>
                <w:rFonts w:cs="Arial"/>
                <w:i/>
                <w:sz w:val="22"/>
                <w:szCs w:val="22"/>
              </w:rPr>
              <w:t>7</w:t>
            </w:r>
            <w:r>
              <w:rPr>
                <w:rFonts w:cs="Arial"/>
                <w:i/>
                <w:sz w:val="22"/>
                <w:szCs w:val="22"/>
              </w:rPr>
              <w:t>2</w:t>
            </w:r>
            <w:r w:rsidRPr="0025097C">
              <w:rPr>
                <w:rFonts w:cs="Arial"/>
                <w:i/>
                <w:sz w:val="22"/>
                <w:szCs w:val="22"/>
              </w:rPr>
              <w:t>’</w:t>
            </w:r>
            <w:r>
              <w:rPr>
                <w:rFonts w:cs="Arial"/>
                <w:i/>
                <w:sz w:val="22"/>
                <w:szCs w:val="22"/>
              </w:rPr>
              <w:t>891</w:t>
            </w:r>
          </w:p>
        </w:tc>
      </w:tr>
    </w:tbl>
    <w:p w:rsidR="0024207A" w:rsidRPr="00671B1D" w:rsidRDefault="0024207A" w:rsidP="0024207A">
      <w:pPr>
        <w:tabs>
          <w:tab w:val="left" w:pos="4962"/>
        </w:tabs>
        <w:rPr>
          <w:rStyle w:val="Normale1"/>
          <w:rFonts w:cs="Arial"/>
          <w:sz w:val="16"/>
          <w:szCs w:val="16"/>
          <w:lang w:eastAsia="en-US"/>
        </w:rPr>
      </w:pPr>
    </w:p>
    <w:p w:rsidR="0024207A" w:rsidRDefault="0024207A" w:rsidP="0024207A">
      <w:pPr>
        <w:tabs>
          <w:tab w:val="left" w:pos="4962"/>
        </w:tabs>
        <w:rPr>
          <w:rStyle w:val="Normale1"/>
          <w:rFonts w:cs="Arial"/>
          <w:i/>
          <w:sz w:val="16"/>
          <w:szCs w:val="16"/>
          <w:lang w:eastAsia="en-US"/>
        </w:rPr>
      </w:pPr>
      <w:r w:rsidRPr="003072B3">
        <w:rPr>
          <w:rStyle w:val="Normale1"/>
          <w:rFonts w:cs="Arial"/>
          <w:sz w:val="16"/>
          <w:szCs w:val="16"/>
          <w:lang w:eastAsia="en-US"/>
        </w:rPr>
        <w:t xml:space="preserve">Fonte: </w:t>
      </w:r>
      <w:r>
        <w:rPr>
          <w:rStyle w:val="Normale1"/>
          <w:rFonts w:cs="Arial"/>
          <w:sz w:val="16"/>
          <w:szCs w:val="16"/>
          <w:lang w:eastAsia="en-US"/>
        </w:rPr>
        <w:t>Ufficio federale di statistica 2017</w:t>
      </w:r>
    </w:p>
    <w:p w:rsidR="0024207A" w:rsidRDefault="0024207A" w:rsidP="0024207A">
      <w:pPr>
        <w:tabs>
          <w:tab w:val="left" w:pos="4962"/>
        </w:tabs>
        <w:rPr>
          <w:rFonts w:cs="Arial"/>
          <w:szCs w:val="24"/>
        </w:rPr>
      </w:pPr>
    </w:p>
    <w:p w:rsidR="0024207A" w:rsidRDefault="0024207A" w:rsidP="0024207A">
      <w:pPr>
        <w:tabs>
          <w:tab w:val="left" w:pos="4962"/>
        </w:tabs>
      </w:pPr>
      <w:r>
        <w:rPr>
          <w:rFonts w:cs="Arial"/>
          <w:szCs w:val="24"/>
        </w:rPr>
        <w:lastRenderedPageBreak/>
        <w:t>L’I</w:t>
      </w:r>
      <w:r w:rsidRPr="00CC0346">
        <w:rPr>
          <w:rFonts w:cs="Arial"/>
          <w:szCs w:val="24"/>
        </w:rPr>
        <w:t xml:space="preserve">ndicatore I mostra </w:t>
      </w:r>
      <w:r>
        <w:rPr>
          <w:rFonts w:cs="Arial"/>
          <w:szCs w:val="24"/>
        </w:rPr>
        <w:t>che,</w:t>
      </w:r>
      <w:r w:rsidRPr="00CC0346">
        <w:rPr>
          <w:rFonts w:cs="Arial"/>
          <w:szCs w:val="24"/>
        </w:rPr>
        <w:t xml:space="preserve"> </w:t>
      </w:r>
      <w:r>
        <w:rPr>
          <w:rFonts w:cs="Arial"/>
          <w:szCs w:val="24"/>
        </w:rPr>
        <w:t xml:space="preserve">in generale, </w:t>
      </w:r>
      <w:r w:rsidRPr="00CC0346">
        <w:rPr>
          <w:rFonts w:cs="Arial"/>
          <w:szCs w:val="24"/>
        </w:rPr>
        <w:t xml:space="preserve">il costo per studente </w:t>
      </w:r>
      <w:r>
        <w:rPr>
          <w:rFonts w:cs="Arial"/>
          <w:szCs w:val="24"/>
        </w:rPr>
        <w:t>d</w:t>
      </w:r>
      <w:r w:rsidRPr="00CC0346">
        <w:rPr>
          <w:rFonts w:cs="Arial"/>
          <w:szCs w:val="24"/>
        </w:rPr>
        <w:t xml:space="preserve">ell'USI </w:t>
      </w:r>
      <w:r>
        <w:rPr>
          <w:rFonts w:cs="Arial"/>
          <w:szCs w:val="24"/>
        </w:rPr>
        <w:t xml:space="preserve">è </w:t>
      </w:r>
      <w:r w:rsidRPr="00CC0346">
        <w:rPr>
          <w:rFonts w:cs="Arial"/>
          <w:szCs w:val="24"/>
        </w:rPr>
        <w:t xml:space="preserve">superiore alla media svizzera. Questa situazione è dettata dal numero </w:t>
      </w:r>
      <w:r>
        <w:rPr>
          <w:rFonts w:cs="Arial"/>
          <w:szCs w:val="24"/>
        </w:rPr>
        <w:t xml:space="preserve">di </w:t>
      </w:r>
      <w:r w:rsidRPr="00CC0346">
        <w:rPr>
          <w:rFonts w:cs="Arial"/>
          <w:szCs w:val="24"/>
        </w:rPr>
        <w:t>immatricolati che rimane p</w:t>
      </w:r>
      <w:r>
        <w:rPr>
          <w:rFonts w:cs="Arial"/>
          <w:szCs w:val="24"/>
        </w:rPr>
        <w:t>iuttosto contenuto rispetto ad altre università e facoltà (Architettura e Informatica) presenti solo all’USI</w:t>
      </w:r>
      <w:r w:rsidRPr="00CC0346">
        <w:rPr>
          <w:rFonts w:cs="Arial"/>
          <w:szCs w:val="24"/>
        </w:rPr>
        <w:t xml:space="preserve">. Se si valuta però </w:t>
      </w:r>
      <w:r>
        <w:rPr>
          <w:rFonts w:cs="Arial"/>
          <w:szCs w:val="24"/>
        </w:rPr>
        <w:t>l’I</w:t>
      </w:r>
      <w:r w:rsidRPr="00CC0346">
        <w:rPr>
          <w:rFonts w:cs="Arial"/>
          <w:szCs w:val="24"/>
        </w:rPr>
        <w:t xml:space="preserve">ndicatore di costi II (insegnamento </w:t>
      </w:r>
      <w:r>
        <w:rPr>
          <w:rFonts w:cs="Arial"/>
          <w:szCs w:val="24"/>
        </w:rPr>
        <w:t>+ ricerca) i costi per studente</w:t>
      </w:r>
      <w:r w:rsidRPr="00CC0346">
        <w:rPr>
          <w:rFonts w:cs="Arial"/>
          <w:szCs w:val="24"/>
        </w:rPr>
        <w:t xml:space="preserve"> si avvicinano a quelli della media svizzera</w:t>
      </w:r>
      <w:r>
        <w:rPr>
          <w:rFonts w:cs="Arial"/>
          <w:szCs w:val="24"/>
        </w:rPr>
        <w:t>;</w:t>
      </w:r>
      <w:r w:rsidRPr="00CC0346">
        <w:rPr>
          <w:rFonts w:cs="Arial"/>
          <w:szCs w:val="24"/>
        </w:rPr>
        <w:t xml:space="preserve"> </w:t>
      </w:r>
      <w:r>
        <w:rPr>
          <w:rFonts w:cs="Arial"/>
          <w:szCs w:val="24"/>
        </w:rPr>
        <w:t xml:space="preserve">escludendo però Architettura che è confrontata con </w:t>
      </w:r>
      <w:r w:rsidRPr="00CC0346">
        <w:t xml:space="preserve">i </w:t>
      </w:r>
      <w:r>
        <w:t xml:space="preserve">Politecnici che </w:t>
      </w:r>
      <w:r w:rsidRPr="00CC0346">
        <w:t>investono maggiori mezzi per la ricerca</w:t>
      </w:r>
      <w:r>
        <w:t xml:space="preserve">, quindi con </w:t>
      </w:r>
      <w:r w:rsidRPr="00CC0346">
        <w:t>indici pro capite più alti.</w:t>
      </w:r>
    </w:p>
    <w:p w:rsidR="0024207A" w:rsidRDefault="0024207A" w:rsidP="0024207A">
      <w:pPr>
        <w:tabs>
          <w:tab w:val="left" w:pos="4962"/>
        </w:tabs>
      </w:pPr>
    </w:p>
    <w:p w:rsidR="0024207A" w:rsidRDefault="0024207A" w:rsidP="0024207A">
      <w:pPr>
        <w:tabs>
          <w:tab w:val="left" w:pos="4962"/>
        </w:tabs>
      </w:pPr>
    </w:p>
    <w:p w:rsidR="0024207A" w:rsidRPr="00A06AFD" w:rsidRDefault="0024207A" w:rsidP="0024207A">
      <w:pPr>
        <w:pStyle w:val="Titolo2"/>
      </w:pPr>
      <w:bookmarkStart w:id="44" w:name="_Toc241919555"/>
      <w:bookmarkStart w:id="45" w:name="_Toc241919585"/>
      <w:bookmarkStart w:id="46" w:name="_Toc241920447"/>
      <w:bookmarkStart w:id="47" w:name="_Toc241920707"/>
      <w:bookmarkStart w:id="48" w:name="_Toc242173220"/>
      <w:bookmarkStart w:id="49" w:name="_Toc303080079"/>
      <w:r w:rsidRPr="00A06AFD">
        <w:t>2.</w:t>
      </w:r>
      <w:r>
        <w:t>7</w:t>
      </w:r>
      <w:r w:rsidRPr="00A06AFD">
        <w:tab/>
      </w:r>
      <w:r>
        <w:t>Tabella riassuntiva di v</w:t>
      </w:r>
      <w:r w:rsidRPr="00A06AFD">
        <w:t xml:space="preserve">erifica degli obiettivi </w:t>
      </w:r>
      <w:r>
        <w:t>del</w:t>
      </w:r>
      <w:r w:rsidRPr="00A06AFD">
        <w:t xml:space="preserve"> </w:t>
      </w:r>
      <w:r>
        <w:t>c</w:t>
      </w:r>
      <w:r w:rsidRPr="00A06AFD">
        <w:t>ontratto di prestazion</w:t>
      </w:r>
      <w:bookmarkEnd w:id="44"/>
      <w:bookmarkEnd w:id="45"/>
      <w:bookmarkEnd w:id="46"/>
      <w:bookmarkEnd w:id="47"/>
      <w:bookmarkEnd w:id="48"/>
      <w:bookmarkEnd w:id="49"/>
      <w:r>
        <w:t>i</w:t>
      </w:r>
    </w:p>
    <w:p w:rsidR="0024207A" w:rsidRDefault="0024207A" w:rsidP="0024207A">
      <w:pPr>
        <w:rPr>
          <w:rFonts w:cs="Arial"/>
          <w:szCs w:val="24"/>
        </w:rPr>
      </w:pPr>
      <w:r w:rsidRPr="00A06AFD">
        <w:rPr>
          <w:rFonts w:cs="Arial"/>
          <w:szCs w:val="24"/>
        </w:rPr>
        <w:t>Da</w:t>
      </w:r>
      <w:r>
        <w:rPr>
          <w:rFonts w:cs="Arial"/>
          <w:szCs w:val="24"/>
        </w:rPr>
        <w:t xml:space="preserve">l documento </w:t>
      </w:r>
      <w:r w:rsidRPr="00A06AFD">
        <w:rPr>
          <w:rFonts w:cs="Arial"/>
          <w:szCs w:val="24"/>
        </w:rPr>
        <w:t xml:space="preserve">“USI - </w:t>
      </w:r>
      <w:r w:rsidRPr="00E71A5E">
        <w:t>Rapporto sulla valutazione degli obiettivi per l’anno 201</w:t>
      </w:r>
      <w:r>
        <w:t>7</w:t>
      </w:r>
      <w:r w:rsidRPr="00A06AFD">
        <w:t xml:space="preserve">” </w:t>
      </w:r>
      <w:r>
        <w:t xml:space="preserve">redatto </w:t>
      </w:r>
      <w:r w:rsidRPr="00A06AFD">
        <w:rPr>
          <w:rFonts w:cs="Arial"/>
          <w:szCs w:val="24"/>
        </w:rPr>
        <w:t>dal</w:t>
      </w:r>
      <w:r>
        <w:rPr>
          <w:rFonts w:cs="Arial"/>
          <w:szCs w:val="24"/>
        </w:rPr>
        <w:t xml:space="preserve">la Divisione della cultura e degli studi universitari (DCSU) </w:t>
      </w:r>
      <w:r w:rsidRPr="00A06AFD">
        <w:rPr>
          <w:rFonts w:cs="Arial"/>
          <w:szCs w:val="24"/>
        </w:rPr>
        <w:t>all’attenzione del C</w:t>
      </w:r>
      <w:r>
        <w:rPr>
          <w:rFonts w:cs="Arial"/>
          <w:szCs w:val="24"/>
        </w:rPr>
        <w:t>onsiglio di Stato</w:t>
      </w:r>
      <w:r w:rsidRPr="00A06AFD">
        <w:rPr>
          <w:rFonts w:cs="Arial"/>
          <w:szCs w:val="24"/>
        </w:rPr>
        <w:t xml:space="preserve"> </w:t>
      </w:r>
      <w:r>
        <w:rPr>
          <w:rFonts w:cs="Arial"/>
          <w:szCs w:val="24"/>
        </w:rPr>
        <w:t>sono stati estrapolati</w:t>
      </w:r>
      <w:r w:rsidRPr="00A06AFD">
        <w:rPr>
          <w:rFonts w:cs="Arial"/>
          <w:szCs w:val="24"/>
        </w:rPr>
        <w:t xml:space="preserve"> i dati riassuntivi </w:t>
      </w:r>
      <w:r>
        <w:rPr>
          <w:rFonts w:cs="Arial"/>
          <w:szCs w:val="24"/>
        </w:rPr>
        <w:t>presentati nell’Allegato 1</w:t>
      </w:r>
      <w:r w:rsidRPr="008D04FC">
        <w:rPr>
          <w:rFonts w:cs="Arial"/>
          <w:szCs w:val="24"/>
        </w:rPr>
        <w:t>.</w:t>
      </w:r>
      <w:r>
        <w:rPr>
          <w:rFonts w:cs="Arial"/>
          <w:szCs w:val="24"/>
        </w:rPr>
        <w:t xml:space="preserve"> </w:t>
      </w:r>
      <w:r w:rsidRPr="00A06AFD">
        <w:rPr>
          <w:rFonts w:cs="Arial"/>
          <w:szCs w:val="24"/>
        </w:rPr>
        <w:t xml:space="preserve">Si </w:t>
      </w:r>
      <w:r>
        <w:rPr>
          <w:rFonts w:cs="Arial"/>
          <w:szCs w:val="24"/>
        </w:rPr>
        <w:t>conclude che</w:t>
      </w:r>
      <w:r w:rsidRPr="00A06AFD">
        <w:rPr>
          <w:rFonts w:cs="Arial"/>
          <w:szCs w:val="24"/>
        </w:rPr>
        <w:t xml:space="preserve"> l’USI </w:t>
      </w:r>
      <w:r w:rsidRPr="000C2954">
        <w:rPr>
          <w:rFonts w:cs="Arial"/>
          <w:szCs w:val="24"/>
        </w:rPr>
        <w:t xml:space="preserve">adempie globalmente le condizioni del </w:t>
      </w:r>
      <w:proofErr w:type="spellStart"/>
      <w:r>
        <w:rPr>
          <w:rFonts w:cs="Arial"/>
          <w:szCs w:val="24"/>
        </w:rPr>
        <w:t>C</w:t>
      </w:r>
      <w:r w:rsidRPr="000C2954">
        <w:rPr>
          <w:rFonts w:cs="Arial"/>
          <w:szCs w:val="24"/>
        </w:rPr>
        <w:t>dp</w:t>
      </w:r>
      <w:proofErr w:type="spellEnd"/>
      <w:r w:rsidRPr="000C2954">
        <w:rPr>
          <w:rFonts w:cs="Arial"/>
          <w:szCs w:val="24"/>
        </w:rPr>
        <w:t xml:space="preserve">, raggiungendo </w:t>
      </w:r>
      <w:r>
        <w:rPr>
          <w:rFonts w:cs="Arial"/>
          <w:szCs w:val="24"/>
        </w:rPr>
        <w:t>buona parte de</w:t>
      </w:r>
      <w:r w:rsidRPr="000C2954">
        <w:rPr>
          <w:rFonts w:cs="Arial"/>
          <w:szCs w:val="24"/>
        </w:rPr>
        <w:t>gli obiettivi previsti.</w:t>
      </w:r>
    </w:p>
    <w:p w:rsidR="0024207A" w:rsidRDefault="0024207A" w:rsidP="0024207A">
      <w:pPr>
        <w:rPr>
          <w:rFonts w:cs="Arial"/>
          <w:szCs w:val="24"/>
        </w:rPr>
      </w:pPr>
    </w:p>
    <w:p w:rsidR="0024207A" w:rsidRDefault="0024207A" w:rsidP="0024207A">
      <w:pPr>
        <w:rPr>
          <w:rFonts w:cs="Arial"/>
          <w:szCs w:val="24"/>
        </w:rPr>
      </w:pPr>
    </w:p>
    <w:p w:rsidR="001F1B4B" w:rsidRDefault="001F1B4B" w:rsidP="0024207A">
      <w:pPr>
        <w:rPr>
          <w:rFonts w:cs="Arial"/>
          <w:szCs w:val="24"/>
        </w:rPr>
      </w:pPr>
    </w:p>
    <w:p w:rsidR="0024207A" w:rsidRPr="0024207A" w:rsidRDefault="0024207A" w:rsidP="0024207A">
      <w:pPr>
        <w:pStyle w:val="Titolo1"/>
      </w:pPr>
      <w:r w:rsidRPr="0024207A">
        <w:t>3.</w:t>
      </w:r>
      <w:r w:rsidRPr="0024207A">
        <w:tab/>
      </w:r>
      <w:bookmarkStart w:id="50" w:name="_Toc241919556"/>
      <w:bookmarkStart w:id="51" w:name="_Toc241919586"/>
      <w:bookmarkStart w:id="52" w:name="_Toc241920448"/>
      <w:bookmarkStart w:id="53" w:name="_Toc241920708"/>
      <w:bookmarkStart w:id="54" w:name="_Toc242173221"/>
      <w:bookmarkStart w:id="55" w:name="_Toc303080080"/>
      <w:r w:rsidRPr="0024207A">
        <w:t>Scuola universitaria professionale della Svizzera italiana</w:t>
      </w:r>
      <w:bookmarkEnd w:id="50"/>
      <w:bookmarkEnd w:id="51"/>
      <w:bookmarkEnd w:id="52"/>
      <w:bookmarkEnd w:id="53"/>
      <w:bookmarkEnd w:id="54"/>
      <w:bookmarkEnd w:id="55"/>
    </w:p>
    <w:p w:rsidR="0024207A" w:rsidRPr="000C2954" w:rsidRDefault="0024207A" w:rsidP="0024207A">
      <w:pPr>
        <w:pStyle w:val="Titolo2"/>
      </w:pPr>
      <w:bookmarkStart w:id="56" w:name="_Toc303080081"/>
      <w:r w:rsidRPr="000C2954">
        <w:t>3.1</w:t>
      </w:r>
      <w:r w:rsidRPr="000C2954">
        <w:tab/>
        <w:t>Considerazioni generali</w:t>
      </w:r>
      <w:bookmarkEnd w:id="56"/>
    </w:p>
    <w:p w:rsidR="0024207A" w:rsidRPr="00A62974" w:rsidRDefault="0024207A" w:rsidP="0024207A">
      <w:r>
        <w:t xml:space="preserve">Il presente messaggio di verifica degli obiettivi di politica universitaria cantonale e del </w:t>
      </w:r>
      <w:proofErr w:type="spellStart"/>
      <w:r>
        <w:t>Cdp</w:t>
      </w:r>
      <w:proofErr w:type="spellEnd"/>
      <w:r>
        <w:t xml:space="preserve"> per l’anno 2017 si riferisce unicamente ai d</w:t>
      </w:r>
      <w:r w:rsidRPr="00A62974">
        <w:t>iparti</w:t>
      </w:r>
      <w:r>
        <w:t>menti e alle scuole affiliate a</w:t>
      </w:r>
      <w:r w:rsidRPr="00A62974">
        <w:t>lla SUPSI</w:t>
      </w:r>
      <w:r w:rsidRPr="00952B27">
        <w:t xml:space="preserve"> </w:t>
      </w:r>
      <w:r>
        <w:t>finanziati</w:t>
      </w:r>
      <w:r w:rsidRPr="001F601D">
        <w:t xml:space="preserve"> attraverso </w:t>
      </w:r>
      <w:r>
        <w:t>tale</w:t>
      </w:r>
      <w:r w:rsidRPr="001F601D">
        <w:t xml:space="preserve"> Contratto</w:t>
      </w:r>
      <w:r w:rsidRPr="00A62974">
        <w:t>, escludendo</w:t>
      </w:r>
      <w:r>
        <w:t xml:space="preserve"> quindi le attività dell’affiliata</w:t>
      </w:r>
      <w:r w:rsidRPr="00A62974">
        <w:t xml:space="preserve"> </w:t>
      </w:r>
      <w:proofErr w:type="spellStart"/>
      <w:r w:rsidRPr="00A62974">
        <w:t>Fernfachhochschule</w:t>
      </w:r>
      <w:proofErr w:type="spellEnd"/>
      <w:r w:rsidRPr="00A62974">
        <w:t xml:space="preserve"> </w:t>
      </w:r>
      <w:proofErr w:type="spellStart"/>
      <w:r w:rsidRPr="00A62974">
        <w:t>Schweiz</w:t>
      </w:r>
      <w:proofErr w:type="spellEnd"/>
      <w:r w:rsidRPr="00A62974">
        <w:t xml:space="preserve"> di Briga (</w:t>
      </w:r>
      <w:r>
        <w:t>VS</w:t>
      </w:r>
      <w:r w:rsidRPr="00A62974">
        <w:t xml:space="preserve">) e dell’Akademie </w:t>
      </w:r>
      <w:proofErr w:type="spellStart"/>
      <w:r w:rsidRPr="00A62974">
        <w:t>Physiotherapie</w:t>
      </w:r>
      <w:proofErr w:type="spellEnd"/>
      <w:r w:rsidRPr="00A62974">
        <w:t xml:space="preserve"> </w:t>
      </w:r>
      <w:proofErr w:type="spellStart"/>
      <w:r w:rsidRPr="00A62974">
        <w:t>Thim</w:t>
      </w:r>
      <w:proofErr w:type="spellEnd"/>
      <w:r w:rsidRPr="00A62974">
        <w:t xml:space="preserve"> Van </w:t>
      </w:r>
      <w:proofErr w:type="spellStart"/>
      <w:r w:rsidRPr="00A62974">
        <w:t>der</w:t>
      </w:r>
      <w:proofErr w:type="spellEnd"/>
      <w:r w:rsidRPr="00A62974">
        <w:t xml:space="preserve"> </w:t>
      </w:r>
      <w:proofErr w:type="spellStart"/>
      <w:r w:rsidRPr="00A62974">
        <w:t>Laan</w:t>
      </w:r>
      <w:proofErr w:type="spellEnd"/>
      <w:r w:rsidRPr="00A62974">
        <w:t xml:space="preserve"> con sede a </w:t>
      </w:r>
      <w:proofErr w:type="spellStart"/>
      <w:r w:rsidRPr="00A62974">
        <w:t>Landquart</w:t>
      </w:r>
      <w:proofErr w:type="spellEnd"/>
      <w:r w:rsidRPr="00A62974">
        <w:t xml:space="preserve"> (GR</w:t>
      </w:r>
      <w:r w:rsidRPr="001F601D">
        <w:t xml:space="preserve">). </w:t>
      </w:r>
      <w:r>
        <w:t>Il</w:t>
      </w:r>
      <w:r w:rsidRPr="00A62974">
        <w:t xml:space="preserve"> DFA</w:t>
      </w:r>
      <w:r>
        <w:t xml:space="preserve"> è trattato in un punto separato al capitolo 4. </w:t>
      </w:r>
      <w:r w:rsidRPr="00A62974">
        <w:t xml:space="preserve"> </w:t>
      </w:r>
    </w:p>
    <w:p w:rsidR="0024207A" w:rsidRPr="00D6413E" w:rsidRDefault="0024207A" w:rsidP="0024207A">
      <w:pPr>
        <w:rPr>
          <w:sz w:val="20"/>
        </w:rPr>
      </w:pPr>
    </w:p>
    <w:p w:rsidR="0024207A" w:rsidRDefault="0024207A" w:rsidP="0024207A">
      <w:r>
        <w:t>Il</w:t>
      </w:r>
      <w:r w:rsidRPr="000C2954">
        <w:t xml:space="preserve"> </w:t>
      </w:r>
      <w:proofErr w:type="spellStart"/>
      <w:r>
        <w:t>C</w:t>
      </w:r>
      <w:r w:rsidRPr="000C2954">
        <w:t>dp</w:t>
      </w:r>
      <w:proofErr w:type="spellEnd"/>
      <w:r w:rsidRPr="000C2954">
        <w:t xml:space="preserve"> </w:t>
      </w:r>
      <w:r>
        <w:t>del</w:t>
      </w:r>
      <w:r w:rsidRPr="000C2954">
        <w:t>la SUPSI prevede la misura</w:t>
      </w:r>
      <w:r>
        <w:t>zione</w:t>
      </w:r>
      <w:r w:rsidRPr="000C2954">
        <w:t xml:space="preserve"> di obiettivi generali, tramite indicatori di output che hanno anche una valenza qualitativa e finanziaria. Tra questi </w:t>
      </w:r>
      <w:r>
        <w:t xml:space="preserve">si </w:t>
      </w:r>
      <w:r w:rsidRPr="000C2954">
        <w:t>evidenzia</w:t>
      </w:r>
      <w:r>
        <w:t xml:space="preserve"> l</w:t>
      </w:r>
      <w:r w:rsidRPr="000C2954">
        <w:t>a percentuale riferita</w:t>
      </w:r>
      <w:r>
        <w:t xml:space="preserve"> alla presenza femminile</w:t>
      </w:r>
      <w:r w:rsidRPr="000C2954">
        <w:t xml:space="preserve"> (pari opportunità)</w:t>
      </w:r>
      <w:r>
        <w:t xml:space="preserve">, che </w:t>
      </w:r>
      <w:r w:rsidRPr="000C2954">
        <w:t xml:space="preserve">per la SUPSI risulta </w:t>
      </w:r>
      <w:r>
        <w:t xml:space="preserve">leggermente </w:t>
      </w:r>
      <w:r w:rsidRPr="000C2954">
        <w:t xml:space="preserve">inferiore </w:t>
      </w:r>
      <w:r>
        <w:t xml:space="preserve">alla media nazionale (35.4% di donne rispetto al 40% di media svizzera), anche se va detto che sul risultato influisce l’alta percentuale di collaboratori (in special modo ricercatori) attivi nel settore tecnico, notoriamente con una presenza femminile inferiore. </w:t>
      </w:r>
    </w:p>
    <w:p w:rsidR="0024207A" w:rsidRPr="00D6413E" w:rsidRDefault="0024207A" w:rsidP="0024207A">
      <w:pPr>
        <w:rPr>
          <w:sz w:val="20"/>
        </w:rPr>
      </w:pPr>
    </w:p>
    <w:p w:rsidR="0024207A" w:rsidRDefault="0024207A" w:rsidP="0024207A">
      <w:r>
        <w:t xml:space="preserve">La ricerca </w:t>
      </w:r>
      <w:r w:rsidRPr="005323E1">
        <w:t>nel campo applicativo</w:t>
      </w:r>
      <w:r>
        <w:t xml:space="preserve"> della SUPSI</w:t>
      </w:r>
      <w:r w:rsidRPr="005323E1">
        <w:t xml:space="preserve"> s’indirizza in particolar modo al sostegno </w:t>
      </w:r>
      <w:r>
        <w:t>delle imprese del nostro territorio, stimolando l</w:t>
      </w:r>
      <w:r w:rsidRPr="00FA401A">
        <w:t>'innovazione</w:t>
      </w:r>
      <w:r>
        <w:t xml:space="preserve"> e la crescita in rete di p</w:t>
      </w:r>
      <w:r w:rsidRPr="00FA401A">
        <w:t>iccole e medie aziende</w:t>
      </w:r>
      <w:r>
        <w:t xml:space="preserve">. L’impegno di ricerca degli istituti della SUPSI deve concretizzarsi con progetti a sostegno dell’imprenditoria o in collaborazioni con enti locali pubblici o parastatali. Al punto 3.3 vengono riportati i dati rilevanti per la ricerca per l’anno 2017 suddividendoli per ente finanziatore. Si ricorda che la ricerca è un mandato fondamentale per la SUPSI, non solo per il sostegno al mondo del lavoro e al territorio, ma anche per la qualità stessa dell’istituto, laddove i docenti e professori trasmettono nell’insegnamento le loro competenze di ricerca. </w:t>
      </w:r>
    </w:p>
    <w:p w:rsidR="0024207A" w:rsidRPr="00D6413E" w:rsidRDefault="0024207A" w:rsidP="0024207A">
      <w:pPr>
        <w:rPr>
          <w:sz w:val="20"/>
        </w:rPr>
      </w:pPr>
    </w:p>
    <w:p w:rsidR="0024207A" w:rsidRPr="00077377" w:rsidRDefault="0024207A" w:rsidP="0024207A">
      <w:pPr>
        <w:rPr>
          <w:rFonts w:cs="Arial"/>
          <w:szCs w:val="24"/>
        </w:rPr>
      </w:pPr>
      <w:r>
        <w:t xml:space="preserve">Analogamente il mandato per la formazione continua, che a differenza dell’USI viene finanziato dal Cantone, ha per obiettivo il sostegno alle aziende e ai servizi pubblici attraverso un’offerta di corsi certificati di breve e media durata che hanno lo scopo di attualizzare le competenze del personale e dei quadri aziendali. </w:t>
      </w:r>
    </w:p>
    <w:p w:rsidR="0024207A" w:rsidRPr="00D6413E" w:rsidRDefault="0024207A" w:rsidP="0024207A">
      <w:pPr>
        <w:rPr>
          <w:rFonts w:cs="Arial"/>
          <w:sz w:val="20"/>
        </w:rPr>
      </w:pPr>
    </w:p>
    <w:p w:rsidR="0024207A" w:rsidRDefault="0024207A" w:rsidP="0024207A">
      <w:pPr>
        <w:rPr>
          <w:rFonts w:cs="Arial"/>
          <w:szCs w:val="24"/>
        </w:rPr>
      </w:pPr>
      <w:r>
        <w:rPr>
          <w:rFonts w:cs="Arial"/>
          <w:szCs w:val="24"/>
        </w:rPr>
        <w:t xml:space="preserve">Per un approfondimento </w:t>
      </w:r>
      <w:r w:rsidRPr="0024207A">
        <w:rPr>
          <w:rFonts w:cs="Arial"/>
          <w:szCs w:val="24"/>
        </w:rPr>
        <w:t>si rimanda</w:t>
      </w:r>
      <w:r>
        <w:rPr>
          <w:rFonts w:cs="Arial"/>
          <w:szCs w:val="24"/>
        </w:rPr>
        <w:t xml:space="preserve"> al rapporto annuale 2016/2017 della SUPSI che riporta i fatti di rilievo dell’anno accademico quali eventi pubblici, celebrazioni, conferenze, consegne dei diplomi. Tra i punti importanti dei 20 anni di attività della SUPSI si segnala il </w:t>
      </w:r>
      <w:r>
        <w:rPr>
          <w:rFonts w:cs="Arial"/>
          <w:szCs w:val="24"/>
        </w:rPr>
        <w:lastRenderedPageBreak/>
        <w:t>nuovo master in cure infermieristiche, che durante il 2017 è stato sviluppato e definito da un gruppo di specialisti tra cui l’EOC, ma anche dai servizi cantonali competenti. Il master partirà nel semestre autunnale 2018/19 e sarà descritto in modo approfondito nel prossimo rendiconto al Gran Consiglio.</w:t>
      </w:r>
    </w:p>
    <w:p w:rsidR="0024207A" w:rsidRDefault="0024207A" w:rsidP="0024207A">
      <w:pPr>
        <w:rPr>
          <w:rFonts w:cs="Arial"/>
          <w:szCs w:val="24"/>
        </w:rPr>
      </w:pPr>
      <w:r>
        <w:rPr>
          <w:rFonts w:cs="Arial"/>
          <w:szCs w:val="24"/>
        </w:rPr>
        <w:t>Di seguito analizzeremo i dati e gli obiettivi per tipo di prestazioni iniziando con la formazione di base (</w:t>
      </w:r>
      <w:proofErr w:type="spellStart"/>
      <w:r>
        <w:rPr>
          <w:rFonts w:cs="Arial"/>
          <w:szCs w:val="24"/>
        </w:rPr>
        <w:t>bachelor</w:t>
      </w:r>
      <w:proofErr w:type="spellEnd"/>
      <w:r>
        <w:rPr>
          <w:rFonts w:cs="Arial"/>
          <w:szCs w:val="24"/>
        </w:rPr>
        <w:t xml:space="preserve"> e master).</w:t>
      </w:r>
    </w:p>
    <w:p w:rsidR="0024207A" w:rsidRDefault="0024207A" w:rsidP="002420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Cs w:val="24"/>
        </w:rPr>
      </w:pPr>
    </w:p>
    <w:p w:rsidR="0024207A" w:rsidRDefault="0024207A" w:rsidP="002420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Arial"/>
          <w:szCs w:val="24"/>
        </w:rPr>
      </w:pPr>
    </w:p>
    <w:p w:rsidR="0024207A" w:rsidRPr="005323E1" w:rsidRDefault="0024207A" w:rsidP="0024207A">
      <w:pPr>
        <w:pStyle w:val="Titolo2"/>
      </w:pPr>
      <w:bookmarkStart w:id="57" w:name="_Toc268859943"/>
      <w:bookmarkStart w:id="58" w:name="_Toc303080082"/>
      <w:r w:rsidRPr="005323E1">
        <w:t>3</w:t>
      </w:r>
      <w:r>
        <w:t>.</w:t>
      </w:r>
      <w:r w:rsidRPr="005323E1">
        <w:t>2</w:t>
      </w:r>
      <w:r>
        <w:tab/>
      </w:r>
      <w:r w:rsidRPr="005323E1">
        <w:t>Formazione di base alla SUPSI</w:t>
      </w:r>
      <w:bookmarkEnd w:id="57"/>
      <w:bookmarkEnd w:id="58"/>
    </w:p>
    <w:p w:rsidR="0024207A" w:rsidRDefault="0024207A" w:rsidP="0024207A">
      <w:pPr>
        <w:spacing w:before="120"/>
        <w:rPr>
          <w:szCs w:val="24"/>
        </w:rPr>
      </w:pPr>
      <w:r>
        <w:t>Nel 2017 i</w:t>
      </w:r>
      <w:r w:rsidRPr="00C65483">
        <w:t xml:space="preserve">l numero degli studenti in formazione di base è ulteriormente </w:t>
      </w:r>
      <w:r>
        <w:t>aumenta</w:t>
      </w:r>
      <w:r w:rsidRPr="00C65483">
        <w:t xml:space="preserve">to. La crescita è </w:t>
      </w:r>
      <w:r>
        <w:t>legata</w:t>
      </w:r>
      <w:r w:rsidRPr="00C65483">
        <w:t xml:space="preserve"> all’aumento delle </w:t>
      </w:r>
      <w:r w:rsidRPr="004A3EC1">
        <w:t xml:space="preserve">matricole, in particolare nel settore dell’economia e della sanità (infermieristica). </w:t>
      </w:r>
      <w:r w:rsidRPr="00F56199">
        <w:t xml:space="preserve">La </w:t>
      </w:r>
      <w:r>
        <w:rPr>
          <w:bCs/>
        </w:rPr>
        <w:t>T</w:t>
      </w:r>
      <w:r w:rsidRPr="00C65DAB">
        <w:rPr>
          <w:bCs/>
        </w:rPr>
        <w:t>abella 8</w:t>
      </w:r>
      <w:r w:rsidRPr="004A3EC1">
        <w:rPr>
          <w:bCs/>
        </w:rPr>
        <w:t xml:space="preserve"> </w:t>
      </w:r>
      <w:r w:rsidRPr="004A3EC1">
        <w:t xml:space="preserve">illustra l’evoluzione degli studenti della SUPSI e la loro provenienza. </w:t>
      </w:r>
    </w:p>
    <w:p w:rsidR="0024207A" w:rsidRPr="00EA7256" w:rsidRDefault="0024207A" w:rsidP="0024207A">
      <w:pPr>
        <w:rPr>
          <w:szCs w:val="24"/>
        </w:rPr>
      </w:pPr>
    </w:p>
    <w:p w:rsidR="0024207A" w:rsidRPr="0024207A" w:rsidRDefault="0024207A" w:rsidP="0024207A">
      <w:pPr>
        <w:tabs>
          <w:tab w:val="num" w:pos="567"/>
          <w:tab w:val="num" w:pos="1080"/>
        </w:tabs>
        <w:spacing w:after="200"/>
        <w:rPr>
          <w:rFonts w:ascii="FrutigerLTStd-Light" w:hAnsi="FrutigerLTStd-Light" w:cs="FrutigerLTStd-Light"/>
          <w:sz w:val="22"/>
          <w:szCs w:val="22"/>
        </w:rPr>
      </w:pPr>
      <w:r w:rsidRPr="0024207A">
        <w:rPr>
          <w:rFonts w:cs="Arial"/>
          <w:b/>
          <w:sz w:val="22"/>
          <w:szCs w:val="22"/>
        </w:rPr>
        <w:t xml:space="preserve">Tabella 8 - Provenienza degli studenti SUPSI, </w:t>
      </w:r>
      <w:r w:rsidRPr="0024207A">
        <w:rPr>
          <w:rFonts w:cs="Arial"/>
          <w:b/>
          <w:bCs/>
          <w:sz w:val="22"/>
          <w:szCs w:val="22"/>
        </w:rPr>
        <w:t>escluse le scuole affiliate e il DFA (testa studenti)</w:t>
      </w:r>
    </w:p>
    <w:tbl>
      <w:tblPr>
        <w:tblW w:w="9497" w:type="dxa"/>
        <w:tblInd w:w="70" w:type="dxa"/>
        <w:tblCellMar>
          <w:left w:w="70" w:type="dxa"/>
          <w:right w:w="70" w:type="dxa"/>
        </w:tblCellMar>
        <w:tblLook w:val="0000" w:firstRow="0" w:lastRow="0" w:firstColumn="0" w:lastColumn="0" w:noHBand="0" w:noVBand="0"/>
      </w:tblPr>
      <w:tblGrid>
        <w:gridCol w:w="1560"/>
        <w:gridCol w:w="992"/>
        <w:gridCol w:w="1134"/>
        <w:gridCol w:w="709"/>
        <w:gridCol w:w="992"/>
        <w:gridCol w:w="709"/>
        <w:gridCol w:w="992"/>
        <w:gridCol w:w="709"/>
        <w:gridCol w:w="992"/>
        <w:gridCol w:w="708"/>
      </w:tblGrid>
      <w:tr w:rsidR="0024207A" w:rsidRPr="005323E1" w:rsidTr="0024207A">
        <w:trPr>
          <w:trHeight w:val="300"/>
        </w:trPr>
        <w:tc>
          <w:tcPr>
            <w:tcW w:w="1560" w:type="dxa"/>
            <w:tcBorders>
              <w:top w:val="single" w:sz="8" w:space="0" w:color="auto"/>
              <w:left w:val="nil"/>
              <w:bottom w:val="nil"/>
              <w:right w:val="nil"/>
            </w:tcBorders>
            <w:shd w:val="clear" w:color="auto" w:fill="auto"/>
            <w:noWrap/>
            <w:vAlign w:val="bottom"/>
          </w:tcPr>
          <w:p w:rsidR="0024207A" w:rsidRPr="005323E1" w:rsidRDefault="0024207A" w:rsidP="0024207A">
            <w:pPr>
              <w:jc w:val="left"/>
              <w:rPr>
                <w:rFonts w:cs="Arial"/>
                <w:bCs/>
                <w:szCs w:val="22"/>
              </w:rPr>
            </w:pPr>
            <w:r w:rsidRPr="005323E1">
              <w:rPr>
                <w:rFonts w:cs="Arial"/>
                <w:bCs/>
                <w:sz w:val="22"/>
                <w:szCs w:val="22"/>
              </w:rPr>
              <w:t>Anno</w:t>
            </w:r>
          </w:p>
        </w:tc>
        <w:tc>
          <w:tcPr>
            <w:tcW w:w="992" w:type="dxa"/>
            <w:tcBorders>
              <w:top w:val="single" w:sz="8" w:space="0" w:color="auto"/>
              <w:left w:val="nil"/>
              <w:bottom w:val="nil"/>
              <w:right w:val="nil"/>
            </w:tcBorders>
            <w:shd w:val="clear" w:color="auto" w:fill="auto"/>
            <w:noWrap/>
            <w:vAlign w:val="bottom"/>
          </w:tcPr>
          <w:p w:rsidR="0024207A" w:rsidRPr="005323E1" w:rsidRDefault="0024207A" w:rsidP="0024207A">
            <w:pPr>
              <w:jc w:val="right"/>
              <w:rPr>
                <w:rFonts w:cs="Arial"/>
                <w:bCs/>
                <w:szCs w:val="22"/>
              </w:rPr>
            </w:pPr>
            <w:r w:rsidRPr="005323E1">
              <w:rPr>
                <w:rFonts w:cs="Arial"/>
                <w:bCs/>
                <w:sz w:val="22"/>
                <w:szCs w:val="22"/>
              </w:rPr>
              <w:t>Totale</w:t>
            </w:r>
          </w:p>
        </w:tc>
        <w:tc>
          <w:tcPr>
            <w:tcW w:w="1134" w:type="dxa"/>
            <w:tcBorders>
              <w:top w:val="single" w:sz="8" w:space="0" w:color="auto"/>
              <w:left w:val="nil"/>
              <w:bottom w:val="nil"/>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Ticino</w:t>
            </w:r>
          </w:p>
        </w:tc>
        <w:tc>
          <w:tcPr>
            <w:tcW w:w="709" w:type="dxa"/>
            <w:tcBorders>
              <w:top w:val="single" w:sz="8" w:space="0" w:color="auto"/>
              <w:left w:val="nil"/>
              <w:bottom w:val="nil"/>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w:t>
            </w:r>
          </w:p>
        </w:tc>
        <w:tc>
          <w:tcPr>
            <w:tcW w:w="992" w:type="dxa"/>
            <w:tcBorders>
              <w:top w:val="single" w:sz="8" w:space="0" w:color="auto"/>
              <w:left w:val="nil"/>
              <w:bottom w:val="nil"/>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Altri</w:t>
            </w:r>
          </w:p>
        </w:tc>
        <w:tc>
          <w:tcPr>
            <w:tcW w:w="709" w:type="dxa"/>
            <w:tcBorders>
              <w:top w:val="single" w:sz="8" w:space="0" w:color="auto"/>
              <w:left w:val="nil"/>
              <w:bottom w:val="nil"/>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w:t>
            </w:r>
          </w:p>
        </w:tc>
        <w:tc>
          <w:tcPr>
            <w:tcW w:w="992" w:type="dxa"/>
            <w:tcBorders>
              <w:top w:val="single" w:sz="8" w:space="0" w:color="auto"/>
              <w:left w:val="nil"/>
              <w:bottom w:val="nil"/>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Italia</w:t>
            </w:r>
          </w:p>
        </w:tc>
        <w:tc>
          <w:tcPr>
            <w:tcW w:w="709" w:type="dxa"/>
            <w:tcBorders>
              <w:top w:val="single" w:sz="8" w:space="0" w:color="auto"/>
              <w:left w:val="nil"/>
              <w:bottom w:val="nil"/>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w:t>
            </w:r>
          </w:p>
        </w:tc>
        <w:tc>
          <w:tcPr>
            <w:tcW w:w="992" w:type="dxa"/>
            <w:tcBorders>
              <w:top w:val="single" w:sz="8" w:space="0" w:color="auto"/>
              <w:left w:val="nil"/>
              <w:bottom w:val="nil"/>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Altri</w:t>
            </w:r>
          </w:p>
        </w:tc>
        <w:tc>
          <w:tcPr>
            <w:tcW w:w="708" w:type="dxa"/>
            <w:tcBorders>
              <w:top w:val="single" w:sz="8" w:space="0" w:color="auto"/>
              <w:left w:val="nil"/>
              <w:bottom w:val="nil"/>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w:t>
            </w:r>
          </w:p>
        </w:tc>
      </w:tr>
      <w:tr w:rsidR="0024207A" w:rsidRPr="005323E1" w:rsidTr="0024207A">
        <w:trPr>
          <w:trHeight w:val="153"/>
        </w:trPr>
        <w:tc>
          <w:tcPr>
            <w:tcW w:w="2552" w:type="dxa"/>
            <w:gridSpan w:val="2"/>
            <w:tcBorders>
              <w:top w:val="nil"/>
              <w:left w:val="nil"/>
              <w:bottom w:val="single" w:sz="8" w:space="0" w:color="auto"/>
              <w:right w:val="nil"/>
            </w:tcBorders>
            <w:shd w:val="clear" w:color="auto" w:fill="auto"/>
            <w:noWrap/>
            <w:vAlign w:val="bottom"/>
          </w:tcPr>
          <w:p w:rsidR="0024207A" w:rsidRPr="005323E1" w:rsidRDefault="0024207A" w:rsidP="0024207A">
            <w:pPr>
              <w:jc w:val="left"/>
              <w:rPr>
                <w:rFonts w:cs="Arial"/>
                <w:bCs/>
                <w:szCs w:val="22"/>
              </w:rPr>
            </w:pPr>
            <w:r>
              <w:rPr>
                <w:rFonts w:cs="Arial"/>
                <w:bCs/>
                <w:sz w:val="22"/>
                <w:szCs w:val="22"/>
              </w:rPr>
              <w:t>a</w:t>
            </w:r>
            <w:r w:rsidRPr="005323E1">
              <w:rPr>
                <w:rFonts w:cs="Arial"/>
                <w:bCs/>
                <w:sz w:val="22"/>
                <w:szCs w:val="22"/>
              </w:rPr>
              <w:t>ccademico</w:t>
            </w:r>
          </w:p>
        </w:tc>
        <w:tc>
          <w:tcPr>
            <w:tcW w:w="1134" w:type="dxa"/>
            <w:tcBorders>
              <w:top w:val="nil"/>
              <w:left w:val="nil"/>
              <w:bottom w:val="single" w:sz="8" w:space="0" w:color="auto"/>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 </w:t>
            </w:r>
          </w:p>
        </w:tc>
        <w:tc>
          <w:tcPr>
            <w:tcW w:w="709" w:type="dxa"/>
            <w:tcBorders>
              <w:top w:val="nil"/>
              <w:left w:val="nil"/>
              <w:bottom w:val="single" w:sz="8" w:space="0" w:color="auto"/>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 </w:t>
            </w:r>
          </w:p>
        </w:tc>
        <w:tc>
          <w:tcPr>
            <w:tcW w:w="992" w:type="dxa"/>
            <w:tcBorders>
              <w:top w:val="nil"/>
              <w:left w:val="nil"/>
              <w:bottom w:val="single" w:sz="8" w:space="0" w:color="auto"/>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cantoni</w:t>
            </w:r>
          </w:p>
        </w:tc>
        <w:tc>
          <w:tcPr>
            <w:tcW w:w="709" w:type="dxa"/>
            <w:tcBorders>
              <w:top w:val="nil"/>
              <w:left w:val="nil"/>
              <w:bottom w:val="single" w:sz="8" w:space="0" w:color="auto"/>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 </w:t>
            </w:r>
          </w:p>
        </w:tc>
        <w:tc>
          <w:tcPr>
            <w:tcW w:w="992" w:type="dxa"/>
            <w:tcBorders>
              <w:top w:val="nil"/>
              <w:left w:val="nil"/>
              <w:bottom w:val="single" w:sz="8" w:space="0" w:color="auto"/>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 </w:t>
            </w:r>
          </w:p>
        </w:tc>
        <w:tc>
          <w:tcPr>
            <w:tcW w:w="709" w:type="dxa"/>
            <w:tcBorders>
              <w:top w:val="nil"/>
              <w:left w:val="nil"/>
              <w:bottom w:val="single" w:sz="8" w:space="0" w:color="auto"/>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 </w:t>
            </w:r>
          </w:p>
        </w:tc>
        <w:tc>
          <w:tcPr>
            <w:tcW w:w="992" w:type="dxa"/>
            <w:tcBorders>
              <w:top w:val="nil"/>
              <w:left w:val="nil"/>
              <w:bottom w:val="single" w:sz="8" w:space="0" w:color="auto"/>
              <w:right w:val="nil"/>
            </w:tcBorders>
            <w:shd w:val="clear" w:color="auto" w:fill="auto"/>
            <w:noWrap/>
            <w:vAlign w:val="bottom"/>
          </w:tcPr>
          <w:p w:rsidR="0024207A" w:rsidRPr="005323E1" w:rsidRDefault="0024207A" w:rsidP="0024207A">
            <w:pPr>
              <w:jc w:val="right"/>
              <w:rPr>
                <w:rFonts w:cs="Arial"/>
                <w:szCs w:val="22"/>
              </w:rPr>
            </w:pPr>
            <w:r>
              <w:rPr>
                <w:rFonts w:cs="Arial"/>
                <w:sz w:val="22"/>
                <w:szCs w:val="22"/>
              </w:rPr>
              <w:t>p</w:t>
            </w:r>
            <w:r w:rsidRPr="005323E1">
              <w:rPr>
                <w:rFonts w:cs="Arial"/>
                <w:sz w:val="22"/>
                <w:szCs w:val="22"/>
              </w:rPr>
              <w:t>aesi</w:t>
            </w:r>
          </w:p>
        </w:tc>
        <w:tc>
          <w:tcPr>
            <w:tcW w:w="708" w:type="dxa"/>
            <w:tcBorders>
              <w:top w:val="nil"/>
              <w:left w:val="nil"/>
              <w:bottom w:val="single" w:sz="8" w:space="0" w:color="auto"/>
              <w:right w:val="nil"/>
            </w:tcBorders>
            <w:shd w:val="clear" w:color="auto" w:fill="auto"/>
            <w:noWrap/>
            <w:vAlign w:val="bottom"/>
          </w:tcPr>
          <w:p w:rsidR="0024207A" w:rsidRPr="005323E1" w:rsidRDefault="0024207A" w:rsidP="0024207A">
            <w:pPr>
              <w:jc w:val="right"/>
              <w:rPr>
                <w:rFonts w:cs="Arial"/>
                <w:szCs w:val="22"/>
              </w:rPr>
            </w:pPr>
            <w:r w:rsidRPr="005323E1">
              <w:rPr>
                <w:rFonts w:cs="Arial"/>
                <w:sz w:val="22"/>
                <w:szCs w:val="22"/>
              </w:rPr>
              <w:t> </w:t>
            </w:r>
          </w:p>
        </w:tc>
      </w:tr>
      <w:tr w:rsidR="0024207A" w:rsidRPr="005323E1" w:rsidTr="0024207A">
        <w:trPr>
          <w:trHeight w:val="300"/>
        </w:trPr>
        <w:tc>
          <w:tcPr>
            <w:tcW w:w="1560" w:type="dxa"/>
            <w:tcBorders>
              <w:top w:val="nil"/>
              <w:left w:val="nil"/>
              <w:right w:val="nil"/>
            </w:tcBorders>
            <w:shd w:val="clear" w:color="auto" w:fill="auto"/>
            <w:noWrap/>
            <w:vAlign w:val="bottom"/>
          </w:tcPr>
          <w:p w:rsidR="0024207A" w:rsidRPr="007B4D59" w:rsidRDefault="0024207A" w:rsidP="0024207A">
            <w:pPr>
              <w:jc w:val="left"/>
              <w:rPr>
                <w:rFonts w:cs="Arial"/>
                <w:szCs w:val="22"/>
              </w:rPr>
            </w:pPr>
            <w:r w:rsidRPr="007B4D59">
              <w:rPr>
                <w:rFonts w:cs="Arial"/>
                <w:sz w:val="22"/>
                <w:szCs w:val="22"/>
              </w:rPr>
              <w:t>2010/11</w:t>
            </w:r>
          </w:p>
        </w:tc>
        <w:tc>
          <w:tcPr>
            <w:tcW w:w="992"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sz w:val="22"/>
                <w:szCs w:val="22"/>
              </w:rPr>
            </w:pPr>
            <w:r w:rsidRPr="00DC346F">
              <w:rPr>
                <w:rFonts w:cs="Arial"/>
                <w:sz w:val="22"/>
                <w:szCs w:val="22"/>
              </w:rPr>
              <w:t>1'860</w:t>
            </w:r>
          </w:p>
        </w:tc>
        <w:tc>
          <w:tcPr>
            <w:tcW w:w="1134"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1'247</w:t>
            </w:r>
          </w:p>
        </w:tc>
        <w:tc>
          <w:tcPr>
            <w:tcW w:w="709"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67%</w:t>
            </w:r>
          </w:p>
        </w:tc>
        <w:tc>
          <w:tcPr>
            <w:tcW w:w="992"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72</w:t>
            </w:r>
          </w:p>
        </w:tc>
        <w:tc>
          <w:tcPr>
            <w:tcW w:w="709"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4%</w:t>
            </w:r>
          </w:p>
        </w:tc>
        <w:tc>
          <w:tcPr>
            <w:tcW w:w="992"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443</w:t>
            </w:r>
          </w:p>
        </w:tc>
        <w:tc>
          <w:tcPr>
            <w:tcW w:w="709"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24%</w:t>
            </w:r>
          </w:p>
        </w:tc>
        <w:tc>
          <w:tcPr>
            <w:tcW w:w="992"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98</w:t>
            </w:r>
          </w:p>
        </w:tc>
        <w:tc>
          <w:tcPr>
            <w:tcW w:w="708"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5%</w:t>
            </w:r>
          </w:p>
        </w:tc>
      </w:tr>
      <w:tr w:rsidR="0024207A" w:rsidRPr="00B63023" w:rsidTr="0024207A">
        <w:trPr>
          <w:trHeight w:val="300"/>
        </w:trPr>
        <w:tc>
          <w:tcPr>
            <w:tcW w:w="1560" w:type="dxa"/>
            <w:tcBorders>
              <w:top w:val="nil"/>
              <w:left w:val="nil"/>
              <w:right w:val="nil"/>
            </w:tcBorders>
            <w:shd w:val="clear" w:color="auto" w:fill="auto"/>
            <w:noWrap/>
            <w:vAlign w:val="bottom"/>
          </w:tcPr>
          <w:p w:rsidR="0024207A" w:rsidRPr="000901DB" w:rsidRDefault="0024207A" w:rsidP="0024207A">
            <w:pPr>
              <w:jc w:val="left"/>
              <w:rPr>
                <w:rFonts w:cs="Arial"/>
                <w:szCs w:val="22"/>
              </w:rPr>
            </w:pPr>
            <w:r>
              <w:rPr>
                <w:rFonts w:cs="Arial"/>
                <w:sz w:val="22"/>
                <w:szCs w:val="22"/>
              </w:rPr>
              <w:t>2011/</w:t>
            </w:r>
            <w:r w:rsidRPr="000901DB">
              <w:rPr>
                <w:rFonts w:cs="Arial"/>
                <w:sz w:val="22"/>
                <w:szCs w:val="22"/>
              </w:rPr>
              <w:t>12</w:t>
            </w:r>
          </w:p>
        </w:tc>
        <w:tc>
          <w:tcPr>
            <w:tcW w:w="992"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sz w:val="22"/>
                <w:szCs w:val="22"/>
              </w:rPr>
            </w:pPr>
            <w:r w:rsidRPr="00DC346F">
              <w:rPr>
                <w:rFonts w:cs="Arial"/>
                <w:sz w:val="22"/>
                <w:szCs w:val="22"/>
              </w:rPr>
              <w:t>1'963</w:t>
            </w:r>
          </w:p>
        </w:tc>
        <w:tc>
          <w:tcPr>
            <w:tcW w:w="1134"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1'292</w:t>
            </w:r>
          </w:p>
        </w:tc>
        <w:tc>
          <w:tcPr>
            <w:tcW w:w="709"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66%</w:t>
            </w:r>
          </w:p>
        </w:tc>
        <w:tc>
          <w:tcPr>
            <w:tcW w:w="992"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64</w:t>
            </w:r>
          </w:p>
        </w:tc>
        <w:tc>
          <w:tcPr>
            <w:tcW w:w="709"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3%</w:t>
            </w:r>
          </w:p>
        </w:tc>
        <w:tc>
          <w:tcPr>
            <w:tcW w:w="992"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492</w:t>
            </w:r>
          </w:p>
        </w:tc>
        <w:tc>
          <w:tcPr>
            <w:tcW w:w="709"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25%</w:t>
            </w:r>
          </w:p>
        </w:tc>
        <w:tc>
          <w:tcPr>
            <w:tcW w:w="992"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115</w:t>
            </w:r>
          </w:p>
        </w:tc>
        <w:tc>
          <w:tcPr>
            <w:tcW w:w="708" w:type="dxa"/>
            <w:tcBorders>
              <w:top w:val="nil"/>
              <w:left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6%</w:t>
            </w:r>
          </w:p>
        </w:tc>
      </w:tr>
      <w:tr w:rsidR="0024207A" w:rsidRPr="00B63023" w:rsidTr="0024207A">
        <w:trPr>
          <w:trHeight w:val="300"/>
        </w:trPr>
        <w:tc>
          <w:tcPr>
            <w:tcW w:w="1560" w:type="dxa"/>
            <w:tcBorders>
              <w:top w:val="nil"/>
              <w:left w:val="nil"/>
              <w:bottom w:val="nil"/>
              <w:right w:val="nil"/>
            </w:tcBorders>
            <w:shd w:val="clear" w:color="auto" w:fill="auto"/>
            <w:noWrap/>
            <w:vAlign w:val="bottom"/>
          </w:tcPr>
          <w:p w:rsidR="0024207A" w:rsidRPr="000901DB" w:rsidRDefault="0024207A" w:rsidP="0024207A">
            <w:pPr>
              <w:jc w:val="left"/>
              <w:rPr>
                <w:rFonts w:cs="Arial"/>
                <w:szCs w:val="22"/>
              </w:rPr>
            </w:pPr>
            <w:r>
              <w:rPr>
                <w:rFonts w:cs="Arial"/>
                <w:sz w:val="22"/>
                <w:szCs w:val="22"/>
              </w:rPr>
              <w:t>2012/</w:t>
            </w:r>
            <w:r w:rsidRPr="000901DB">
              <w:rPr>
                <w:rFonts w:cs="Arial"/>
                <w:sz w:val="22"/>
                <w:szCs w:val="22"/>
              </w:rPr>
              <w:t>13</w:t>
            </w:r>
          </w:p>
        </w:tc>
        <w:tc>
          <w:tcPr>
            <w:tcW w:w="992" w:type="dxa"/>
            <w:tcBorders>
              <w:top w:val="nil"/>
              <w:left w:val="nil"/>
              <w:bottom w:val="nil"/>
              <w:right w:val="nil"/>
            </w:tcBorders>
            <w:shd w:val="clear" w:color="auto" w:fill="auto"/>
            <w:noWrap/>
            <w:vAlign w:val="bottom"/>
          </w:tcPr>
          <w:p w:rsidR="0024207A" w:rsidRPr="00DC346F" w:rsidRDefault="0024207A" w:rsidP="0024207A">
            <w:pPr>
              <w:ind w:left="-68"/>
              <w:jc w:val="right"/>
              <w:rPr>
                <w:rFonts w:eastAsia="Calibri" w:cs="Arial"/>
                <w:sz w:val="22"/>
                <w:szCs w:val="22"/>
              </w:rPr>
            </w:pPr>
            <w:r w:rsidRPr="00DC346F">
              <w:rPr>
                <w:rFonts w:cs="Arial"/>
                <w:sz w:val="22"/>
                <w:szCs w:val="22"/>
              </w:rPr>
              <w:t>2'116</w:t>
            </w:r>
          </w:p>
        </w:tc>
        <w:tc>
          <w:tcPr>
            <w:tcW w:w="1134" w:type="dxa"/>
            <w:tcBorders>
              <w:top w:val="nil"/>
              <w:left w:val="nil"/>
              <w:bottom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1'356</w:t>
            </w:r>
          </w:p>
        </w:tc>
        <w:tc>
          <w:tcPr>
            <w:tcW w:w="709" w:type="dxa"/>
            <w:tcBorders>
              <w:top w:val="nil"/>
              <w:left w:val="nil"/>
              <w:bottom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64%</w:t>
            </w:r>
          </w:p>
        </w:tc>
        <w:tc>
          <w:tcPr>
            <w:tcW w:w="992" w:type="dxa"/>
            <w:tcBorders>
              <w:top w:val="nil"/>
              <w:left w:val="nil"/>
              <w:bottom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53</w:t>
            </w:r>
          </w:p>
        </w:tc>
        <w:tc>
          <w:tcPr>
            <w:tcW w:w="709" w:type="dxa"/>
            <w:tcBorders>
              <w:top w:val="nil"/>
              <w:left w:val="nil"/>
              <w:bottom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3%</w:t>
            </w:r>
          </w:p>
        </w:tc>
        <w:tc>
          <w:tcPr>
            <w:tcW w:w="992" w:type="dxa"/>
            <w:tcBorders>
              <w:top w:val="nil"/>
              <w:left w:val="nil"/>
              <w:bottom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587</w:t>
            </w:r>
          </w:p>
        </w:tc>
        <w:tc>
          <w:tcPr>
            <w:tcW w:w="709" w:type="dxa"/>
            <w:tcBorders>
              <w:top w:val="nil"/>
              <w:left w:val="nil"/>
              <w:bottom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28%</w:t>
            </w:r>
          </w:p>
        </w:tc>
        <w:tc>
          <w:tcPr>
            <w:tcW w:w="992" w:type="dxa"/>
            <w:tcBorders>
              <w:top w:val="nil"/>
              <w:left w:val="nil"/>
              <w:bottom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120</w:t>
            </w:r>
          </w:p>
        </w:tc>
        <w:tc>
          <w:tcPr>
            <w:tcW w:w="708" w:type="dxa"/>
            <w:tcBorders>
              <w:top w:val="nil"/>
              <w:left w:val="nil"/>
              <w:bottom w:val="nil"/>
              <w:right w:val="nil"/>
            </w:tcBorders>
            <w:shd w:val="clear" w:color="auto" w:fill="auto"/>
            <w:noWrap/>
            <w:vAlign w:val="bottom"/>
          </w:tcPr>
          <w:p w:rsidR="0024207A" w:rsidRPr="00DC346F" w:rsidRDefault="0024207A" w:rsidP="0024207A">
            <w:pPr>
              <w:ind w:left="-68"/>
              <w:jc w:val="right"/>
              <w:rPr>
                <w:rFonts w:eastAsia="Calibri" w:cs="Arial"/>
                <w:color w:val="000000"/>
                <w:sz w:val="22"/>
                <w:szCs w:val="22"/>
              </w:rPr>
            </w:pPr>
            <w:r w:rsidRPr="00DC346F">
              <w:rPr>
                <w:rFonts w:cs="Arial"/>
                <w:color w:val="000000"/>
                <w:sz w:val="22"/>
                <w:szCs w:val="22"/>
              </w:rPr>
              <w:t>6%</w:t>
            </w:r>
          </w:p>
        </w:tc>
      </w:tr>
      <w:tr w:rsidR="0024207A" w:rsidRPr="00EB7DFA" w:rsidTr="0024207A">
        <w:trPr>
          <w:trHeight w:val="306"/>
        </w:trPr>
        <w:tc>
          <w:tcPr>
            <w:tcW w:w="1560" w:type="dxa"/>
            <w:tcBorders>
              <w:top w:val="nil"/>
              <w:left w:val="nil"/>
              <w:right w:val="nil"/>
            </w:tcBorders>
            <w:shd w:val="clear" w:color="auto" w:fill="auto"/>
            <w:noWrap/>
            <w:vAlign w:val="bottom"/>
          </w:tcPr>
          <w:p w:rsidR="0024207A" w:rsidRPr="00EB7DFA" w:rsidRDefault="0024207A" w:rsidP="0024207A">
            <w:pPr>
              <w:jc w:val="left"/>
              <w:rPr>
                <w:rFonts w:cs="Arial"/>
                <w:szCs w:val="22"/>
                <w:highlight w:val="yellow"/>
              </w:rPr>
            </w:pPr>
            <w:r>
              <w:rPr>
                <w:rFonts w:cs="Arial"/>
                <w:sz w:val="22"/>
                <w:szCs w:val="22"/>
              </w:rPr>
              <w:t>2013/</w:t>
            </w:r>
            <w:r w:rsidRPr="00EB7DFA">
              <w:rPr>
                <w:rFonts w:cs="Arial"/>
                <w:sz w:val="22"/>
                <w:szCs w:val="22"/>
              </w:rPr>
              <w:t>14</w:t>
            </w:r>
          </w:p>
        </w:tc>
        <w:tc>
          <w:tcPr>
            <w:tcW w:w="992" w:type="dxa"/>
            <w:tcBorders>
              <w:top w:val="nil"/>
              <w:left w:val="nil"/>
              <w:right w:val="nil"/>
            </w:tcBorders>
            <w:shd w:val="clear" w:color="auto" w:fill="auto"/>
            <w:noWrap/>
            <w:vAlign w:val="bottom"/>
          </w:tcPr>
          <w:p w:rsidR="0024207A" w:rsidRPr="00EB7DFA" w:rsidRDefault="0024207A" w:rsidP="0024207A">
            <w:pPr>
              <w:ind w:left="-68"/>
              <w:jc w:val="right"/>
              <w:rPr>
                <w:rFonts w:eastAsia="Calibri" w:cs="Arial"/>
                <w:color w:val="000000"/>
                <w:sz w:val="22"/>
                <w:szCs w:val="22"/>
              </w:rPr>
            </w:pPr>
            <w:r w:rsidRPr="00EB7DFA">
              <w:rPr>
                <w:rFonts w:cs="Arial"/>
                <w:color w:val="000000"/>
                <w:sz w:val="22"/>
                <w:szCs w:val="22"/>
              </w:rPr>
              <w:t>2'250</w:t>
            </w:r>
          </w:p>
        </w:tc>
        <w:tc>
          <w:tcPr>
            <w:tcW w:w="1134" w:type="dxa"/>
            <w:tcBorders>
              <w:top w:val="nil"/>
              <w:left w:val="nil"/>
              <w:right w:val="nil"/>
            </w:tcBorders>
            <w:shd w:val="clear" w:color="auto" w:fill="auto"/>
            <w:noWrap/>
            <w:vAlign w:val="bottom"/>
          </w:tcPr>
          <w:p w:rsidR="0024207A" w:rsidRPr="00EB7DFA" w:rsidRDefault="0024207A" w:rsidP="0024207A">
            <w:pPr>
              <w:ind w:left="-68"/>
              <w:jc w:val="right"/>
              <w:rPr>
                <w:rFonts w:eastAsia="Calibri" w:cs="Arial"/>
                <w:color w:val="000000"/>
                <w:sz w:val="22"/>
                <w:szCs w:val="22"/>
              </w:rPr>
            </w:pPr>
            <w:r w:rsidRPr="00EB7DFA">
              <w:rPr>
                <w:rFonts w:cs="Arial"/>
                <w:color w:val="000000"/>
                <w:sz w:val="22"/>
                <w:szCs w:val="22"/>
              </w:rPr>
              <w:t>1'417</w:t>
            </w:r>
          </w:p>
        </w:tc>
        <w:tc>
          <w:tcPr>
            <w:tcW w:w="709" w:type="dxa"/>
            <w:tcBorders>
              <w:top w:val="nil"/>
              <w:left w:val="nil"/>
              <w:right w:val="nil"/>
            </w:tcBorders>
            <w:shd w:val="clear" w:color="auto" w:fill="auto"/>
            <w:noWrap/>
            <w:vAlign w:val="bottom"/>
          </w:tcPr>
          <w:p w:rsidR="0024207A" w:rsidRPr="00EB7DFA" w:rsidRDefault="0024207A" w:rsidP="0024207A">
            <w:pPr>
              <w:ind w:left="-68"/>
              <w:jc w:val="right"/>
              <w:rPr>
                <w:rFonts w:eastAsia="Calibri" w:cs="Arial"/>
                <w:color w:val="000000"/>
                <w:sz w:val="22"/>
                <w:szCs w:val="22"/>
              </w:rPr>
            </w:pPr>
            <w:r w:rsidRPr="00EB7DFA">
              <w:rPr>
                <w:rFonts w:cs="Arial"/>
                <w:color w:val="000000"/>
                <w:sz w:val="22"/>
                <w:szCs w:val="22"/>
              </w:rPr>
              <w:t>63%</w:t>
            </w:r>
          </w:p>
        </w:tc>
        <w:tc>
          <w:tcPr>
            <w:tcW w:w="992" w:type="dxa"/>
            <w:tcBorders>
              <w:top w:val="nil"/>
              <w:left w:val="nil"/>
              <w:right w:val="nil"/>
            </w:tcBorders>
            <w:shd w:val="clear" w:color="auto" w:fill="auto"/>
            <w:noWrap/>
            <w:vAlign w:val="bottom"/>
          </w:tcPr>
          <w:p w:rsidR="0024207A" w:rsidRPr="00EB7DFA" w:rsidRDefault="0024207A" w:rsidP="0024207A">
            <w:pPr>
              <w:ind w:left="-68"/>
              <w:jc w:val="right"/>
              <w:rPr>
                <w:rFonts w:eastAsia="Calibri" w:cs="Arial"/>
                <w:color w:val="000000"/>
                <w:sz w:val="22"/>
                <w:szCs w:val="22"/>
              </w:rPr>
            </w:pPr>
            <w:r w:rsidRPr="00EB7DFA">
              <w:rPr>
                <w:rFonts w:cs="Arial"/>
                <w:color w:val="000000"/>
                <w:sz w:val="22"/>
                <w:szCs w:val="22"/>
              </w:rPr>
              <w:t>58</w:t>
            </w:r>
          </w:p>
        </w:tc>
        <w:tc>
          <w:tcPr>
            <w:tcW w:w="709" w:type="dxa"/>
            <w:tcBorders>
              <w:top w:val="nil"/>
              <w:left w:val="nil"/>
              <w:right w:val="nil"/>
            </w:tcBorders>
            <w:shd w:val="clear" w:color="auto" w:fill="auto"/>
            <w:noWrap/>
            <w:vAlign w:val="bottom"/>
          </w:tcPr>
          <w:p w:rsidR="0024207A" w:rsidRPr="00EB7DFA" w:rsidRDefault="0024207A" w:rsidP="0024207A">
            <w:pPr>
              <w:ind w:left="-68"/>
              <w:jc w:val="right"/>
              <w:rPr>
                <w:rFonts w:eastAsia="Calibri" w:cs="Arial"/>
                <w:color w:val="000000"/>
                <w:sz w:val="22"/>
                <w:szCs w:val="22"/>
              </w:rPr>
            </w:pPr>
            <w:r w:rsidRPr="00EB7DFA">
              <w:rPr>
                <w:rFonts w:cs="Arial"/>
                <w:color w:val="000000"/>
                <w:sz w:val="22"/>
                <w:szCs w:val="22"/>
              </w:rPr>
              <w:t>3%</w:t>
            </w:r>
          </w:p>
        </w:tc>
        <w:tc>
          <w:tcPr>
            <w:tcW w:w="992" w:type="dxa"/>
            <w:tcBorders>
              <w:top w:val="nil"/>
              <w:left w:val="nil"/>
              <w:right w:val="nil"/>
            </w:tcBorders>
            <w:shd w:val="clear" w:color="auto" w:fill="auto"/>
            <w:noWrap/>
            <w:vAlign w:val="bottom"/>
          </w:tcPr>
          <w:p w:rsidR="0024207A" w:rsidRPr="00EB7DFA" w:rsidRDefault="0024207A" w:rsidP="0024207A">
            <w:pPr>
              <w:ind w:left="-68"/>
              <w:jc w:val="right"/>
              <w:rPr>
                <w:rFonts w:eastAsia="Calibri" w:cs="Arial"/>
                <w:color w:val="000000"/>
                <w:sz w:val="22"/>
                <w:szCs w:val="22"/>
              </w:rPr>
            </w:pPr>
            <w:r w:rsidRPr="00EB7DFA">
              <w:rPr>
                <w:rFonts w:cs="Arial"/>
                <w:color w:val="000000"/>
                <w:sz w:val="22"/>
                <w:szCs w:val="22"/>
              </w:rPr>
              <w:t>660</w:t>
            </w:r>
          </w:p>
        </w:tc>
        <w:tc>
          <w:tcPr>
            <w:tcW w:w="709" w:type="dxa"/>
            <w:tcBorders>
              <w:top w:val="nil"/>
              <w:left w:val="nil"/>
              <w:right w:val="nil"/>
            </w:tcBorders>
            <w:shd w:val="clear" w:color="auto" w:fill="auto"/>
            <w:noWrap/>
            <w:vAlign w:val="bottom"/>
          </w:tcPr>
          <w:p w:rsidR="0024207A" w:rsidRPr="00EB7DFA" w:rsidRDefault="0024207A" w:rsidP="0024207A">
            <w:pPr>
              <w:ind w:left="-68"/>
              <w:jc w:val="right"/>
              <w:rPr>
                <w:rFonts w:eastAsia="Calibri" w:cs="Arial"/>
                <w:color w:val="000000"/>
                <w:sz w:val="22"/>
                <w:szCs w:val="22"/>
              </w:rPr>
            </w:pPr>
            <w:r w:rsidRPr="00EB7DFA">
              <w:rPr>
                <w:rFonts w:cs="Arial"/>
                <w:color w:val="000000"/>
                <w:sz w:val="22"/>
                <w:szCs w:val="22"/>
              </w:rPr>
              <w:t>29%</w:t>
            </w:r>
          </w:p>
        </w:tc>
        <w:tc>
          <w:tcPr>
            <w:tcW w:w="992" w:type="dxa"/>
            <w:tcBorders>
              <w:top w:val="nil"/>
              <w:left w:val="nil"/>
              <w:right w:val="nil"/>
            </w:tcBorders>
            <w:shd w:val="clear" w:color="auto" w:fill="auto"/>
            <w:noWrap/>
            <w:vAlign w:val="bottom"/>
          </w:tcPr>
          <w:p w:rsidR="0024207A" w:rsidRPr="00EB7DFA" w:rsidRDefault="0024207A" w:rsidP="0024207A">
            <w:pPr>
              <w:ind w:left="-68"/>
              <w:jc w:val="right"/>
              <w:rPr>
                <w:rFonts w:eastAsia="Calibri" w:cs="Arial"/>
                <w:color w:val="000000"/>
                <w:sz w:val="22"/>
                <w:szCs w:val="22"/>
              </w:rPr>
            </w:pPr>
            <w:r w:rsidRPr="00EB7DFA">
              <w:rPr>
                <w:rFonts w:cs="Arial"/>
                <w:color w:val="000000"/>
                <w:sz w:val="22"/>
                <w:szCs w:val="22"/>
              </w:rPr>
              <w:t>115</w:t>
            </w:r>
          </w:p>
        </w:tc>
        <w:tc>
          <w:tcPr>
            <w:tcW w:w="708" w:type="dxa"/>
            <w:tcBorders>
              <w:top w:val="nil"/>
              <w:left w:val="nil"/>
              <w:right w:val="nil"/>
            </w:tcBorders>
            <w:shd w:val="clear" w:color="auto" w:fill="auto"/>
            <w:noWrap/>
            <w:vAlign w:val="bottom"/>
          </w:tcPr>
          <w:p w:rsidR="0024207A" w:rsidRPr="00EB7DFA" w:rsidRDefault="0024207A" w:rsidP="0024207A">
            <w:pPr>
              <w:ind w:left="-68"/>
              <w:jc w:val="right"/>
              <w:rPr>
                <w:rFonts w:eastAsia="Calibri" w:cs="Arial"/>
                <w:color w:val="000000"/>
                <w:sz w:val="22"/>
                <w:szCs w:val="22"/>
              </w:rPr>
            </w:pPr>
            <w:r w:rsidRPr="00EB7DFA">
              <w:rPr>
                <w:rFonts w:cs="Arial"/>
                <w:color w:val="000000"/>
                <w:sz w:val="22"/>
                <w:szCs w:val="22"/>
              </w:rPr>
              <w:t>5%</w:t>
            </w:r>
          </w:p>
        </w:tc>
      </w:tr>
      <w:tr w:rsidR="0024207A" w:rsidRPr="00256D8C" w:rsidTr="0024207A">
        <w:trPr>
          <w:trHeight w:val="300"/>
        </w:trPr>
        <w:tc>
          <w:tcPr>
            <w:tcW w:w="1560" w:type="dxa"/>
            <w:tcBorders>
              <w:top w:val="nil"/>
              <w:left w:val="nil"/>
              <w:right w:val="nil"/>
            </w:tcBorders>
            <w:shd w:val="clear" w:color="auto" w:fill="auto"/>
            <w:noWrap/>
            <w:vAlign w:val="bottom"/>
          </w:tcPr>
          <w:p w:rsidR="0024207A" w:rsidRPr="00256D8C" w:rsidRDefault="0024207A" w:rsidP="0024207A">
            <w:pPr>
              <w:jc w:val="left"/>
              <w:rPr>
                <w:rFonts w:cs="Arial"/>
                <w:sz w:val="22"/>
                <w:szCs w:val="22"/>
              </w:rPr>
            </w:pPr>
            <w:r>
              <w:rPr>
                <w:rFonts w:cs="Arial"/>
                <w:sz w:val="22"/>
                <w:szCs w:val="22"/>
              </w:rPr>
              <w:t>2014/</w:t>
            </w:r>
            <w:r w:rsidRPr="00256D8C">
              <w:rPr>
                <w:rFonts w:cs="Arial"/>
                <w:sz w:val="22"/>
                <w:szCs w:val="22"/>
              </w:rPr>
              <w:t>15</w:t>
            </w:r>
          </w:p>
        </w:tc>
        <w:tc>
          <w:tcPr>
            <w:tcW w:w="992" w:type="dxa"/>
            <w:tcBorders>
              <w:top w:val="nil"/>
              <w:left w:val="nil"/>
              <w:right w:val="nil"/>
            </w:tcBorders>
            <w:shd w:val="clear" w:color="auto" w:fill="auto"/>
            <w:noWrap/>
            <w:vAlign w:val="bottom"/>
          </w:tcPr>
          <w:p w:rsidR="0024207A" w:rsidRPr="00256D8C" w:rsidRDefault="0024207A" w:rsidP="0024207A">
            <w:pPr>
              <w:ind w:left="-68"/>
              <w:jc w:val="right"/>
              <w:rPr>
                <w:rFonts w:eastAsia="Calibri" w:cs="Arial"/>
                <w:color w:val="000000"/>
                <w:sz w:val="22"/>
                <w:szCs w:val="22"/>
              </w:rPr>
            </w:pPr>
            <w:r w:rsidRPr="00256D8C">
              <w:rPr>
                <w:rFonts w:eastAsia="Calibri" w:cs="Arial"/>
                <w:color w:val="000000"/>
                <w:sz w:val="22"/>
                <w:szCs w:val="22"/>
              </w:rPr>
              <w:t>2’278</w:t>
            </w:r>
          </w:p>
        </w:tc>
        <w:tc>
          <w:tcPr>
            <w:tcW w:w="1134" w:type="dxa"/>
            <w:tcBorders>
              <w:top w:val="nil"/>
              <w:left w:val="nil"/>
              <w:right w:val="nil"/>
            </w:tcBorders>
            <w:shd w:val="clear" w:color="auto" w:fill="auto"/>
            <w:noWrap/>
            <w:vAlign w:val="bottom"/>
          </w:tcPr>
          <w:p w:rsidR="0024207A" w:rsidRPr="00256D8C" w:rsidRDefault="0024207A" w:rsidP="0024207A">
            <w:pPr>
              <w:ind w:left="-68"/>
              <w:jc w:val="right"/>
              <w:rPr>
                <w:rFonts w:eastAsia="Calibri" w:cs="Arial"/>
                <w:color w:val="000000"/>
                <w:sz w:val="22"/>
                <w:szCs w:val="22"/>
              </w:rPr>
            </w:pPr>
            <w:r w:rsidRPr="00256D8C">
              <w:rPr>
                <w:rFonts w:eastAsia="Calibri" w:cs="Arial"/>
                <w:color w:val="000000"/>
                <w:sz w:val="22"/>
                <w:szCs w:val="22"/>
              </w:rPr>
              <w:t>1’442</w:t>
            </w:r>
          </w:p>
        </w:tc>
        <w:tc>
          <w:tcPr>
            <w:tcW w:w="709" w:type="dxa"/>
            <w:tcBorders>
              <w:top w:val="nil"/>
              <w:left w:val="nil"/>
              <w:right w:val="nil"/>
            </w:tcBorders>
            <w:shd w:val="clear" w:color="auto" w:fill="auto"/>
            <w:noWrap/>
            <w:vAlign w:val="bottom"/>
          </w:tcPr>
          <w:p w:rsidR="0024207A" w:rsidRPr="00256D8C" w:rsidRDefault="0024207A" w:rsidP="0024207A">
            <w:pPr>
              <w:ind w:left="-68"/>
              <w:jc w:val="right"/>
              <w:rPr>
                <w:rFonts w:eastAsia="Calibri" w:cs="Arial"/>
                <w:color w:val="000000"/>
                <w:sz w:val="22"/>
                <w:szCs w:val="22"/>
              </w:rPr>
            </w:pPr>
            <w:r w:rsidRPr="00256D8C">
              <w:rPr>
                <w:rFonts w:eastAsia="Calibri" w:cs="Arial"/>
                <w:color w:val="000000"/>
                <w:sz w:val="22"/>
                <w:szCs w:val="22"/>
              </w:rPr>
              <w:t>63%</w:t>
            </w:r>
          </w:p>
        </w:tc>
        <w:tc>
          <w:tcPr>
            <w:tcW w:w="992" w:type="dxa"/>
            <w:tcBorders>
              <w:top w:val="nil"/>
              <w:left w:val="nil"/>
              <w:right w:val="nil"/>
            </w:tcBorders>
            <w:shd w:val="clear" w:color="auto" w:fill="auto"/>
            <w:noWrap/>
            <w:vAlign w:val="bottom"/>
          </w:tcPr>
          <w:p w:rsidR="0024207A" w:rsidRPr="00256D8C" w:rsidRDefault="0024207A" w:rsidP="0024207A">
            <w:pPr>
              <w:ind w:left="-68"/>
              <w:jc w:val="right"/>
              <w:rPr>
                <w:rFonts w:eastAsia="Calibri" w:cs="Arial"/>
                <w:color w:val="000000"/>
                <w:sz w:val="22"/>
                <w:szCs w:val="22"/>
              </w:rPr>
            </w:pPr>
            <w:r w:rsidRPr="00256D8C">
              <w:rPr>
                <w:rFonts w:eastAsia="Calibri" w:cs="Arial"/>
                <w:color w:val="000000"/>
                <w:sz w:val="22"/>
                <w:szCs w:val="22"/>
              </w:rPr>
              <w:t>39</w:t>
            </w:r>
          </w:p>
        </w:tc>
        <w:tc>
          <w:tcPr>
            <w:tcW w:w="709" w:type="dxa"/>
            <w:tcBorders>
              <w:top w:val="nil"/>
              <w:left w:val="nil"/>
              <w:right w:val="nil"/>
            </w:tcBorders>
            <w:shd w:val="clear" w:color="auto" w:fill="auto"/>
            <w:noWrap/>
            <w:vAlign w:val="bottom"/>
          </w:tcPr>
          <w:p w:rsidR="0024207A" w:rsidRPr="00256D8C" w:rsidRDefault="0024207A" w:rsidP="0024207A">
            <w:pPr>
              <w:ind w:left="-68"/>
              <w:jc w:val="right"/>
              <w:rPr>
                <w:rFonts w:eastAsia="Calibri" w:cs="Arial"/>
                <w:color w:val="000000"/>
                <w:sz w:val="22"/>
                <w:szCs w:val="22"/>
              </w:rPr>
            </w:pPr>
            <w:r w:rsidRPr="00256D8C">
              <w:rPr>
                <w:rFonts w:eastAsia="Calibri" w:cs="Arial"/>
                <w:color w:val="000000"/>
                <w:sz w:val="22"/>
                <w:szCs w:val="22"/>
              </w:rPr>
              <w:t>2%</w:t>
            </w:r>
          </w:p>
        </w:tc>
        <w:tc>
          <w:tcPr>
            <w:tcW w:w="992" w:type="dxa"/>
            <w:tcBorders>
              <w:top w:val="nil"/>
              <w:left w:val="nil"/>
              <w:right w:val="nil"/>
            </w:tcBorders>
            <w:shd w:val="clear" w:color="auto" w:fill="auto"/>
            <w:noWrap/>
            <w:vAlign w:val="bottom"/>
          </w:tcPr>
          <w:p w:rsidR="0024207A" w:rsidRPr="00256D8C" w:rsidRDefault="0024207A" w:rsidP="0024207A">
            <w:pPr>
              <w:ind w:left="-68"/>
              <w:jc w:val="right"/>
              <w:rPr>
                <w:rFonts w:eastAsia="Calibri" w:cs="Arial"/>
                <w:color w:val="000000"/>
                <w:sz w:val="22"/>
                <w:szCs w:val="22"/>
              </w:rPr>
            </w:pPr>
            <w:r w:rsidRPr="00256D8C">
              <w:rPr>
                <w:rFonts w:eastAsia="Calibri" w:cs="Arial"/>
                <w:color w:val="000000"/>
                <w:sz w:val="22"/>
                <w:szCs w:val="22"/>
              </w:rPr>
              <w:t>695</w:t>
            </w:r>
          </w:p>
        </w:tc>
        <w:tc>
          <w:tcPr>
            <w:tcW w:w="709" w:type="dxa"/>
            <w:tcBorders>
              <w:top w:val="nil"/>
              <w:left w:val="nil"/>
              <w:right w:val="nil"/>
            </w:tcBorders>
            <w:shd w:val="clear" w:color="auto" w:fill="auto"/>
            <w:noWrap/>
            <w:vAlign w:val="bottom"/>
          </w:tcPr>
          <w:p w:rsidR="0024207A" w:rsidRPr="00256D8C" w:rsidRDefault="0024207A" w:rsidP="0024207A">
            <w:pPr>
              <w:ind w:left="-68"/>
              <w:jc w:val="right"/>
              <w:rPr>
                <w:rFonts w:eastAsia="Calibri" w:cs="Arial"/>
                <w:color w:val="000000"/>
                <w:sz w:val="22"/>
                <w:szCs w:val="22"/>
              </w:rPr>
            </w:pPr>
            <w:r w:rsidRPr="00256D8C">
              <w:rPr>
                <w:rFonts w:eastAsia="Calibri" w:cs="Arial"/>
                <w:color w:val="000000"/>
                <w:sz w:val="22"/>
                <w:szCs w:val="22"/>
              </w:rPr>
              <w:t>31%</w:t>
            </w:r>
          </w:p>
        </w:tc>
        <w:tc>
          <w:tcPr>
            <w:tcW w:w="992" w:type="dxa"/>
            <w:tcBorders>
              <w:top w:val="nil"/>
              <w:left w:val="nil"/>
              <w:right w:val="nil"/>
            </w:tcBorders>
            <w:shd w:val="clear" w:color="auto" w:fill="auto"/>
            <w:noWrap/>
            <w:vAlign w:val="bottom"/>
          </w:tcPr>
          <w:p w:rsidR="0024207A" w:rsidRPr="00256D8C" w:rsidRDefault="0024207A" w:rsidP="0024207A">
            <w:pPr>
              <w:ind w:left="-68"/>
              <w:jc w:val="right"/>
              <w:rPr>
                <w:rFonts w:eastAsia="Calibri" w:cs="Arial"/>
                <w:color w:val="000000"/>
                <w:sz w:val="22"/>
                <w:szCs w:val="22"/>
              </w:rPr>
            </w:pPr>
            <w:r w:rsidRPr="00256D8C">
              <w:rPr>
                <w:rFonts w:eastAsia="Calibri" w:cs="Arial"/>
                <w:color w:val="000000"/>
                <w:sz w:val="22"/>
                <w:szCs w:val="22"/>
              </w:rPr>
              <w:t>102</w:t>
            </w:r>
          </w:p>
        </w:tc>
        <w:tc>
          <w:tcPr>
            <w:tcW w:w="708" w:type="dxa"/>
            <w:tcBorders>
              <w:top w:val="nil"/>
              <w:left w:val="nil"/>
              <w:right w:val="nil"/>
            </w:tcBorders>
            <w:shd w:val="clear" w:color="auto" w:fill="auto"/>
            <w:noWrap/>
            <w:vAlign w:val="bottom"/>
          </w:tcPr>
          <w:p w:rsidR="0024207A" w:rsidRPr="00256D8C" w:rsidRDefault="0024207A" w:rsidP="0024207A">
            <w:pPr>
              <w:ind w:left="-68"/>
              <w:jc w:val="right"/>
              <w:rPr>
                <w:rFonts w:eastAsia="Calibri" w:cs="Arial"/>
                <w:color w:val="000000"/>
                <w:sz w:val="22"/>
                <w:szCs w:val="22"/>
              </w:rPr>
            </w:pPr>
            <w:r w:rsidRPr="00256D8C">
              <w:rPr>
                <w:rFonts w:eastAsia="Calibri" w:cs="Arial"/>
                <w:color w:val="000000"/>
                <w:sz w:val="22"/>
                <w:szCs w:val="22"/>
              </w:rPr>
              <w:t>4%</w:t>
            </w:r>
          </w:p>
        </w:tc>
      </w:tr>
      <w:tr w:rsidR="0024207A" w:rsidRPr="004F263E" w:rsidTr="0024207A">
        <w:trPr>
          <w:trHeight w:val="300"/>
        </w:trPr>
        <w:tc>
          <w:tcPr>
            <w:tcW w:w="1560" w:type="dxa"/>
            <w:tcBorders>
              <w:left w:val="nil"/>
              <w:right w:val="nil"/>
            </w:tcBorders>
            <w:shd w:val="clear" w:color="auto" w:fill="auto"/>
            <w:noWrap/>
            <w:vAlign w:val="bottom"/>
          </w:tcPr>
          <w:p w:rsidR="0024207A" w:rsidRPr="004F263E" w:rsidRDefault="0024207A" w:rsidP="0024207A">
            <w:pPr>
              <w:jc w:val="left"/>
              <w:rPr>
                <w:rFonts w:cs="Arial"/>
                <w:sz w:val="22"/>
                <w:szCs w:val="22"/>
              </w:rPr>
            </w:pPr>
            <w:r>
              <w:rPr>
                <w:rFonts w:cs="Arial"/>
                <w:sz w:val="22"/>
                <w:szCs w:val="22"/>
              </w:rPr>
              <w:t>2015/</w:t>
            </w:r>
            <w:r w:rsidRPr="004F263E">
              <w:rPr>
                <w:rFonts w:cs="Arial"/>
                <w:sz w:val="22"/>
                <w:szCs w:val="22"/>
              </w:rPr>
              <w:t>16</w:t>
            </w:r>
          </w:p>
        </w:tc>
        <w:tc>
          <w:tcPr>
            <w:tcW w:w="992" w:type="dxa"/>
            <w:tcBorders>
              <w:left w:val="nil"/>
              <w:right w:val="nil"/>
            </w:tcBorders>
            <w:shd w:val="clear" w:color="auto" w:fill="auto"/>
            <w:noWrap/>
            <w:vAlign w:val="bottom"/>
          </w:tcPr>
          <w:p w:rsidR="0024207A" w:rsidRPr="004F263E" w:rsidRDefault="0024207A" w:rsidP="0024207A">
            <w:pPr>
              <w:ind w:left="-68"/>
              <w:jc w:val="right"/>
              <w:rPr>
                <w:rFonts w:eastAsia="Calibri" w:cs="Arial"/>
                <w:color w:val="000000"/>
                <w:sz w:val="22"/>
                <w:szCs w:val="22"/>
              </w:rPr>
            </w:pPr>
            <w:r w:rsidRPr="004F263E">
              <w:rPr>
                <w:rFonts w:eastAsia="Calibri" w:cs="Arial"/>
                <w:color w:val="000000"/>
                <w:sz w:val="22"/>
                <w:szCs w:val="22"/>
              </w:rPr>
              <w:t>2’357</w:t>
            </w:r>
          </w:p>
        </w:tc>
        <w:tc>
          <w:tcPr>
            <w:tcW w:w="1134" w:type="dxa"/>
            <w:tcBorders>
              <w:left w:val="nil"/>
              <w:right w:val="nil"/>
            </w:tcBorders>
            <w:shd w:val="clear" w:color="auto" w:fill="auto"/>
            <w:noWrap/>
            <w:vAlign w:val="bottom"/>
          </w:tcPr>
          <w:p w:rsidR="0024207A" w:rsidRPr="004F263E" w:rsidRDefault="0024207A" w:rsidP="0024207A">
            <w:pPr>
              <w:ind w:left="-68"/>
              <w:jc w:val="right"/>
              <w:rPr>
                <w:rFonts w:eastAsia="Calibri" w:cs="Arial"/>
                <w:color w:val="000000"/>
                <w:sz w:val="22"/>
                <w:szCs w:val="22"/>
              </w:rPr>
            </w:pPr>
            <w:r w:rsidRPr="004F263E">
              <w:rPr>
                <w:rFonts w:eastAsia="Calibri" w:cs="Arial"/>
                <w:color w:val="000000"/>
                <w:sz w:val="22"/>
                <w:szCs w:val="22"/>
              </w:rPr>
              <w:t>1’504</w:t>
            </w:r>
          </w:p>
        </w:tc>
        <w:tc>
          <w:tcPr>
            <w:tcW w:w="709" w:type="dxa"/>
            <w:tcBorders>
              <w:left w:val="nil"/>
              <w:right w:val="nil"/>
            </w:tcBorders>
            <w:shd w:val="clear" w:color="auto" w:fill="auto"/>
            <w:noWrap/>
            <w:vAlign w:val="bottom"/>
          </w:tcPr>
          <w:p w:rsidR="0024207A" w:rsidRPr="004F263E" w:rsidRDefault="0024207A" w:rsidP="0024207A">
            <w:pPr>
              <w:ind w:left="-68"/>
              <w:jc w:val="right"/>
              <w:rPr>
                <w:rFonts w:eastAsia="Calibri" w:cs="Arial"/>
                <w:color w:val="000000"/>
                <w:sz w:val="22"/>
                <w:szCs w:val="22"/>
              </w:rPr>
            </w:pPr>
            <w:r w:rsidRPr="004F263E">
              <w:rPr>
                <w:rFonts w:eastAsia="Calibri" w:cs="Arial"/>
                <w:color w:val="000000"/>
                <w:sz w:val="22"/>
                <w:szCs w:val="22"/>
              </w:rPr>
              <w:t>63%</w:t>
            </w:r>
          </w:p>
        </w:tc>
        <w:tc>
          <w:tcPr>
            <w:tcW w:w="992" w:type="dxa"/>
            <w:tcBorders>
              <w:left w:val="nil"/>
              <w:right w:val="nil"/>
            </w:tcBorders>
            <w:shd w:val="clear" w:color="auto" w:fill="auto"/>
            <w:noWrap/>
            <w:vAlign w:val="bottom"/>
          </w:tcPr>
          <w:p w:rsidR="0024207A" w:rsidRPr="004F263E" w:rsidRDefault="0024207A" w:rsidP="0024207A">
            <w:pPr>
              <w:ind w:left="-68"/>
              <w:jc w:val="right"/>
              <w:rPr>
                <w:rFonts w:eastAsia="Calibri" w:cs="Arial"/>
                <w:color w:val="000000"/>
                <w:sz w:val="22"/>
                <w:szCs w:val="22"/>
              </w:rPr>
            </w:pPr>
            <w:r w:rsidRPr="004F263E">
              <w:rPr>
                <w:rFonts w:eastAsia="Calibri" w:cs="Arial"/>
                <w:color w:val="000000"/>
                <w:sz w:val="22"/>
                <w:szCs w:val="22"/>
              </w:rPr>
              <w:t>37</w:t>
            </w:r>
          </w:p>
        </w:tc>
        <w:tc>
          <w:tcPr>
            <w:tcW w:w="709" w:type="dxa"/>
            <w:tcBorders>
              <w:left w:val="nil"/>
              <w:right w:val="nil"/>
            </w:tcBorders>
            <w:shd w:val="clear" w:color="auto" w:fill="auto"/>
            <w:noWrap/>
            <w:vAlign w:val="bottom"/>
          </w:tcPr>
          <w:p w:rsidR="0024207A" w:rsidRPr="004F263E" w:rsidRDefault="0024207A" w:rsidP="0024207A">
            <w:pPr>
              <w:ind w:left="-68"/>
              <w:jc w:val="right"/>
              <w:rPr>
                <w:rFonts w:eastAsia="Calibri" w:cs="Arial"/>
                <w:color w:val="000000"/>
                <w:sz w:val="22"/>
                <w:szCs w:val="22"/>
              </w:rPr>
            </w:pPr>
            <w:r w:rsidRPr="004F263E">
              <w:rPr>
                <w:rFonts w:eastAsia="Calibri" w:cs="Arial"/>
                <w:color w:val="000000"/>
                <w:sz w:val="22"/>
                <w:szCs w:val="22"/>
              </w:rPr>
              <w:t>2%</w:t>
            </w:r>
          </w:p>
        </w:tc>
        <w:tc>
          <w:tcPr>
            <w:tcW w:w="992" w:type="dxa"/>
            <w:tcBorders>
              <w:left w:val="nil"/>
              <w:right w:val="nil"/>
            </w:tcBorders>
            <w:shd w:val="clear" w:color="auto" w:fill="auto"/>
            <w:noWrap/>
            <w:vAlign w:val="bottom"/>
          </w:tcPr>
          <w:p w:rsidR="0024207A" w:rsidRPr="004F263E" w:rsidRDefault="0024207A" w:rsidP="0024207A">
            <w:pPr>
              <w:ind w:left="-68"/>
              <w:jc w:val="right"/>
              <w:rPr>
                <w:rFonts w:eastAsia="Calibri" w:cs="Arial"/>
                <w:color w:val="000000"/>
                <w:sz w:val="22"/>
                <w:szCs w:val="22"/>
              </w:rPr>
            </w:pPr>
            <w:r w:rsidRPr="004F263E">
              <w:rPr>
                <w:rFonts w:eastAsia="Calibri" w:cs="Arial"/>
                <w:color w:val="000000"/>
                <w:sz w:val="22"/>
                <w:szCs w:val="22"/>
              </w:rPr>
              <w:t>721</w:t>
            </w:r>
          </w:p>
        </w:tc>
        <w:tc>
          <w:tcPr>
            <w:tcW w:w="709" w:type="dxa"/>
            <w:tcBorders>
              <w:left w:val="nil"/>
              <w:right w:val="nil"/>
            </w:tcBorders>
            <w:shd w:val="clear" w:color="auto" w:fill="auto"/>
            <w:noWrap/>
            <w:vAlign w:val="bottom"/>
          </w:tcPr>
          <w:p w:rsidR="0024207A" w:rsidRPr="004F263E" w:rsidRDefault="0024207A" w:rsidP="0024207A">
            <w:pPr>
              <w:ind w:left="-68"/>
              <w:jc w:val="right"/>
              <w:rPr>
                <w:rFonts w:eastAsia="Calibri" w:cs="Arial"/>
                <w:color w:val="000000"/>
                <w:sz w:val="22"/>
                <w:szCs w:val="22"/>
              </w:rPr>
            </w:pPr>
            <w:r w:rsidRPr="004F263E">
              <w:rPr>
                <w:rFonts w:eastAsia="Calibri" w:cs="Arial"/>
                <w:color w:val="000000"/>
                <w:sz w:val="22"/>
                <w:szCs w:val="22"/>
              </w:rPr>
              <w:t>31%</w:t>
            </w:r>
          </w:p>
        </w:tc>
        <w:tc>
          <w:tcPr>
            <w:tcW w:w="992" w:type="dxa"/>
            <w:tcBorders>
              <w:left w:val="nil"/>
              <w:right w:val="nil"/>
            </w:tcBorders>
            <w:shd w:val="clear" w:color="auto" w:fill="auto"/>
            <w:noWrap/>
            <w:vAlign w:val="bottom"/>
          </w:tcPr>
          <w:p w:rsidR="0024207A" w:rsidRPr="004F263E" w:rsidRDefault="0024207A" w:rsidP="0024207A">
            <w:pPr>
              <w:ind w:left="-68"/>
              <w:jc w:val="right"/>
              <w:rPr>
                <w:rFonts w:eastAsia="Calibri" w:cs="Arial"/>
                <w:color w:val="000000"/>
                <w:sz w:val="22"/>
                <w:szCs w:val="22"/>
              </w:rPr>
            </w:pPr>
            <w:r w:rsidRPr="004F263E">
              <w:rPr>
                <w:rFonts w:eastAsia="Calibri" w:cs="Arial"/>
                <w:color w:val="000000"/>
                <w:sz w:val="22"/>
                <w:szCs w:val="22"/>
              </w:rPr>
              <w:t>95</w:t>
            </w:r>
          </w:p>
        </w:tc>
        <w:tc>
          <w:tcPr>
            <w:tcW w:w="708" w:type="dxa"/>
            <w:tcBorders>
              <w:left w:val="nil"/>
              <w:right w:val="nil"/>
            </w:tcBorders>
            <w:shd w:val="clear" w:color="auto" w:fill="auto"/>
            <w:noWrap/>
            <w:vAlign w:val="bottom"/>
          </w:tcPr>
          <w:p w:rsidR="0024207A" w:rsidRPr="004F263E" w:rsidRDefault="0024207A" w:rsidP="0024207A">
            <w:pPr>
              <w:ind w:left="-68"/>
              <w:jc w:val="right"/>
              <w:rPr>
                <w:rFonts w:eastAsia="Calibri" w:cs="Arial"/>
                <w:color w:val="000000"/>
                <w:sz w:val="22"/>
                <w:szCs w:val="22"/>
              </w:rPr>
            </w:pPr>
            <w:r w:rsidRPr="004F263E">
              <w:rPr>
                <w:rFonts w:eastAsia="Calibri" w:cs="Arial"/>
                <w:color w:val="000000"/>
                <w:sz w:val="22"/>
                <w:szCs w:val="22"/>
              </w:rPr>
              <w:t>4%</w:t>
            </w:r>
          </w:p>
        </w:tc>
      </w:tr>
      <w:tr w:rsidR="0024207A" w:rsidRPr="004A6B78" w:rsidTr="0024207A">
        <w:trPr>
          <w:trHeight w:val="300"/>
        </w:trPr>
        <w:tc>
          <w:tcPr>
            <w:tcW w:w="1560" w:type="dxa"/>
            <w:tcBorders>
              <w:left w:val="nil"/>
              <w:bottom w:val="single" w:sz="4" w:space="0" w:color="auto"/>
              <w:right w:val="nil"/>
            </w:tcBorders>
            <w:shd w:val="clear" w:color="auto" w:fill="auto"/>
            <w:noWrap/>
            <w:vAlign w:val="bottom"/>
          </w:tcPr>
          <w:p w:rsidR="0024207A" w:rsidRPr="004A6B78" w:rsidRDefault="0024207A" w:rsidP="0024207A">
            <w:pPr>
              <w:jc w:val="left"/>
              <w:rPr>
                <w:rFonts w:cs="Arial"/>
                <w:sz w:val="22"/>
                <w:szCs w:val="22"/>
              </w:rPr>
            </w:pPr>
            <w:r w:rsidRPr="004A6B78">
              <w:rPr>
                <w:rFonts w:cs="Arial"/>
                <w:sz w:val="22"/>
                <w:szCs w:val="22"/>
              </w:rPr>
              <w:t>2016/17</w:t>
            </w:r>
          </w:p>
        </w:tc>
        <w:tc>
          <w:tcPr>
            <w:tcW w:w="992" w:type="dxa"/>
            <w:tcBorders>
              <w:left w:val="nil"/>
              <w:bottom w:val="single" w:sz="4" w:space="0" w:color="auto"/>
              <w:right w:val="nil"/>
            </w:tcBorders>
            <w:shd w:val="clear" w:color="auto" w:fill="auto"/>
            <w:noWrap/>
            <w:vAlign w:val="bottom"/>
          </w:tcPr>
          <w:p w:rsidR="0024207A" w:rsidRPr="004A6B78" w:rsidRDefault="0024207A" w:rsidP="0024207A">
            <w:pPr>
              <w:ind w:left="-68"/>
              <w:jc w:val="right"/>
              <w:rPr>
                <w:rFonts w:eastAsia="Calibri" w:cs="Arial"/>
                <w:color w:val="000000"/>
                <w:sz w:val="22"/>
                <w:szCs w:val="22"/>
              </w:rPr>
            </w:pPr>
            <w:r w:rsidRPr="004A6B78">
              <w:rPr>
                <w:rFonts w:eastAsia="Calibri" w:cs="Arial"/>
                <w:color w:val="000000"/>
                <w:sz w:val="22"/>
                <w:szCs w:val="22"/>
              </w:rPr>
              <w:t>2’430</w:t>
            </w:r>
          </w:p>
        </w:tc>
        <w:tc>
          <w:tcPr>
            <w:tcW w:w="1134" w:type="dxa"/>
            <w:tcBorders>
              <w:left w:val="nil"/>
              <w:bottom w:val="single" w:sz="4" w:space="0" w:color="auto"/>
              <w:right w:val="nil"/>
            </w:tcBorders>
            <w:shd w:val="clear" w:color="auto" w:fill="auto"/>
            <w:noWrap/>
            <w:vAlign w:val="bottom"/>
          </w:tcPr>
          <w:p w:rsidR="0024207A" w:rsidRPr="004A6B78" w:rsidRDefault="0024207A" w:rsidP="0024207A">
            <w:pPr>
              <w:ind w:left="-68"/>
              <w:jc w:val="right"/>
              <w:rPr>
                <w:rFonts w:eastAsia="Calibri" w:cs="Arial"/>
                <w:color w:val="000000"/>
                <w:sz w:val="22"/>
                <w:szCs w:val="22"/>
              </w:rPr>
            </w:pPr>
            <w:r w:rsidRPr="004A6B78">
              <w:rPr>
                <w:rFonts w:eastAsia="Calibri" w:cs="Arial"/>
                <w:color w:val="000000"/>
                <w:sz w:val="22"/>
                <w:szCs w:val="22"/>
              </w:rPr>
              <w:t>1’505</w:t>
            </w:r>
          </w:p>
        </w:tc>
        <w:tc>
          <w:tcPr>
            <w:tcW w:w="709" w:type="dxa"/>
            <w:tcBorders>
              <w:left w:val="nil"/>
              <w:bottom w:val="single" w:sz="4" w:space="0" w:color="auto"/>
              <w:right w:val="nil"/>
            </w:tcBorders>
            <w:shd w:val="clear" w:color="auto" w:fill="auto"/>
            <w:noWrap/>
            <w:vAlign w:val="bottom"/>
          </w:tcPr>
          <w:p w:rsidR="0024207A" w:rsidRPr="004A6B78" w:rsidRDefault="0024207A" w:rsidP="0024207A">
            <w:pPr>
              <w:ind w:left="-68"/>
              <w:jc w:val="right"/>
              <w:rPr>
                <w:rFonts w:eastAsia="Calibri" w:cs="Arial"/>
                <w:color w:val="000000"/>
                <w:sz w:val="22"/>
                <w:szCs w:val="22"/>
              </w:rPr>
            </w:pPr>
            <w:r w:rsidRPr="004A6B78">
              <w:rPr>
                <w:rFonts w:eastAsia="Calibri" w:cs="Arial"/>
                <w:color w:val="000000"/>
                <w:sz w:val="22"/>
                <w:szCs w:val="22"/>
              </w:rPr>
              <w:t>62%</w:t>
            </w:r>
          </w:p>
        </w:tc>
        <w:tc>
          <w:tcPr>
            <w:tcW w:w="992" w:type="dxa"/>
            <w:tcBorders>
              <w:left w:val="nil"/>
              <w:bottom w:val="single" w:sz="4" w:space="0" w:color="auto"/>
              <w:right w:val="nil"/>
            </w:tcBorders>
            <w:shd w:val="clear" w:color="auto" w:fill="auto"/>
            <w:noWrap/>
            <w:vAlign w:val="bottom"/>
          </w:tcPr>
          <w:p w:rsidR="0024207A" w:rsidRPr="004A6B78" w:rsidRDefault="0024207A" w:rsidP="0024207A">
            <w:pPr>
              <w:ind w:left="-68"/>
              <w:jc w:val="right"/>
              <w:rPr>
                <w:rFonts w:eastAsia="Calibri" w:cs="Arial"/>
                <w:color w:val="000000"/>
                <w:sz w:val="22"/>
                <w:szCs w:val="22"/>
              </w:rPr>
            </w:pPr>
            <w:r w:rsidRPr="004A6B78">
              <w:rPr>
                <w:rFonts w:eastAsia="Calibri" w:cs="Arial"/>
                <w:color w:val="000000"/>
                <w:sz w:val="22"/>
                <w:szCs w:val="22"/>
              </w:rPr>
              <w:t>45</w:t>
            </w:r>
          </w:p>
        </w:tc>
        <w:tc>
          <w:tcPr>
            <w:tcW w:w="709" w:type="dxa"/>
            <w:tcBorders>
              <w:left w:val="nil"/>
              <w:bottom w:val="single" w:sz="4" w:space="0" w:color="auto"/>
              <w:right w:val="nil"/>
            </w:tcBorders>
            <w:shd w:val="clear" w:color="auto" w:fill="auto"/>
            <w:noWrap/>
            <w:vAlign w:val="bottom"/>
          </w:tcPr>
          <w:p w:rsidR="0024207A" w:rsidRPr="004A6B78" w:rsidRDefault="0024207A" w:rsidP="0024207A">
            <w:pPr>
              <w:ind w:left="-68"/>
              <w:jc w:val="right"/>
              <w:rPr>
                <w:rFonts w:eastAsia="Calibri" w:cs="Arial"/>
                <w:color w:val="000000"/>
                <w:sz w:val="22"/>
                <w:szCs w:val="22"/>
              </w:rPr>
            </w:pPr>
            <w:r w:rsidRPr="004A6B78">
              <w:rPr>
                <w:rFonts w:eastAsia="Calibri" w:cs="Arial"/>
                <w:color w:val="000000"/>
                <w:sz w:val="22"/>
                <w:szCs w:val="22"/>
              </w:rPr>
              <w:t>2%</w:t>
            </w:r>
          </w:p>
        </w:tc>
        <w:tc>
          <w:tcPr>
            <w:tcW w:w="992" w:type="dxa"/>
            <w:tcBorders>
              <w:left w:val="nil"/>
              <w:bottom w:val="single" w:sz="4" w:space="0" w:color="auto"/>
              <w:right w:val="nil"/>
            </w:tcBorders>
            <w:shd w:val="clear" w:color="auto" w:fill="auto"/>
            <w:noWrap/>
            <w:vAlign w:val="bottom"/>
          </w:tcPr>
          <w:p w:rsidR="0024207A" w:rsidRPr="004A6B78" w:rsidRDefault="0024207A" w:rsidP="0024207A">
            <w:pPr>
              <w:ind w:left="-68"/>
              <w:jc w:val="right"/>
              <w:rPr>
                <w:rFonts w:eastAsia="Calibri" w:cs="Arial"/>
                <w:color w:val="000000"/>
                <w:sz w:val="22"/>
                <w:szCs w:val="22"/>
              </w:rPr>
            </w:pPr>
            <w:r w:rsidRPr="004A6B78">
              <w:rPr>
                <w:rFonts w:eastAsia="Calibri" w:cs="Arial"/>
                <w:color w:val="000000"/>
                <w:sz w:val="22"/>
                <w:szCs w:val="22"/>
              </w:rPr>
              <w:t>793</w:t>
            </w:r>
          </w:p>
        </w:tc>
        <w:tc>
          <w:tcPr>
            <w:tcW w:w="709" w:type="dxa"/>
            <w:tcBorders>
              <w:left w:val="nil"/>
              <w:bottom w:val="single" w:sz="4" w:space="0" w:color="auto"/>
              <w:right w:val="nil"/>
            </w:tcBorders>
            <w:shd w:val="clear" w:color="auto" w:fill="auto"/>
            <w:noWrap/>
            <w:vAlign w:val="bottom"/>
          </w:tcPr>
          <w:p w:rsidR="0024207A" w:rsidRPr="004A6B78" w:rsidRDefault="0024207A" w:rsidP="0024207A">
            <w:pPr>
              <w:ind w:left="-68"/>
              <w:jc w:val="right"/>
              <w:rPr>
                <w:rFonts w:eastAsia="Calibri" w:cs="Arial"/>
                <w:color w:val="000000"/>
                <w:sz w:val="22"/>
                <w:szCs w:val="22"/>
              </w:rPr>
            </w:pPr>
            <w:r w:rsidRPr="004A6B78">
              <w:rPr>
                <w:rFonts w:eastAsia="Calibri" w:cs="Arial"/>
                <w:color w:val="000000"/>
                <w:sz w:val="22"/>
                <w:szCs w:val="22"/>
              </w:rPr>
              <w:t>33%</w:t>
            </w:r>
          </w:p>
        </w:tc>
        <w:tc>
          <w:tcPr>
            <w:tcW w:w="992" w:type="dxa"/>
            <w:tcBorders>
              <w:left w:val="nil"/>
              <w:bottom w:val="single" w:sz="4" w:space="0" w:color="auto"/>
              <w:right w:val="nil"/>
            </w:tcBorders>
            <w:shd w:val="clear" w:color="auto" w:fill="auto"/>
            <w:noWrap/>
            <w:vAlign w:val="bottom"/>
          </w:tcPr>
          <w:p w:rsidR="0024207A" w:rsidRPr="004A6B78" w:rsidRDefault="0024207A" w:rsidP="0024207A">
            <w:pPr>
              <w:ind w:left="-68"/>
              <w:jc w:val="right"/>
              <w:rPr>
                <w:rFonts w:eastAsia="Calibri" w:cs="Arial"/>
                <w:color w:val="000000"/>
                <w:sz w:val="22"/>
                <w:szCs w:val="22"/>
              </w:rPr>
            </w:pPr>
            <w:r w:rsidRPr="004A6B78">
              <w:rPr>
                <w:rFonts w:eastAsia="Calibri" w:cs="Arial"/>
                <w:color w:val="000000"/>
                <w:sz w:val="22"/>
                <w:szCs w:val="22"/>
              </w:rPr>
              <w:t>87</w:t>
            </w:r>
          </w:p>
        </w:tc>
        <w:tc>
          <w:tcPr>
            <w:tcW w:w="708" w:type="dxa"/>
            <w:tcBorders>
              <w:left w:val="nil"/>
              <w:bottom w:val="single" w:sz="4" w:space="0" w:color="auto"/>
              <w:right w:val="nil"/>
            </w:tcBorders>
            <w:shd w:val="clear" w:color="auto" w:fill="auto"/>
            <w:noWrap/>
            <w:vAlign w:val="bottom"/>
          </w:tcPr>
          <w:p w:rsidR="0024207A" w:rsidRPr="004A6B78" w:rsidRDefault="0024207A" w:rsidP="0024207A">
            <w:pPr>
              <w:ind w:left="-68"/>
              <w:jc w:val="right"/>
              <w:rPr>
                <w:rFonts w:eastAsia="Calibri" w:cs="Arial"/>
                <w:color w:val="000000"/>
                <w:sz w:val="22"/>
                <w:szCs w:val="22"/>
              </w:rPr>
            </w:pPr>
            <w:r w:rsidRPr="004A6B78">
              <w:rPr>
                <w:rFonts w:eastAsia="Calibri" w:cs="Arial"/>
                <w:color w:val="000000"/>
                <w:sz w:val="22"/>
                <w:szCs w:val="22"/>
              </w:rPr>
              <w:t>4%</w:t>
            </w:r>
          </w:p>
        </w:tc>
      </w:tr>
      <w:tr w:rsidR="0024207A" w:rsidRPr="004A6B78" w:rsidTr="0024207A">
        <w:trPr>
          <w:trHeight w:val="300"/>
        </w:trPr>
        <w:tc>
          <w:tcPr>
            <w:tcW w:w="1560" w:type="dxa"/>
            <w:tcBorders>
              <w:left w:val="nil"/>
              <w:bottom w:val="single" w:sz="4" w:space="0" w:color="auto"/>
              <w:right w:val="nil"/>
            </w:tcBorders>
            <w:shd w:val="clear" w:color="auto" w:fill="auto"/>
            <w:noWrap/>
            <w:vAlign w:val="bottom"/>
          </w:tcPr>
          <w:p w:rsidR="0024207A" w:rsidRPr="001F07FC" w:rsidRDefault="0024207A" w:rsidP="0024207A">
            <w:pPr>
              <w:jc w:val="left"/>
              <w:rPr>
                <w:rFonts w:cs="Arial"/>
                <w:sz w:val="22"/>
                <w:szCs w:val="22"/>
              </w:rPr>
            </w:pPr>
            <w:r w:rsidRPr="001F07FC">
              <w:rPr>
                <w:rFonts w:cs="Arial"/>
                <w:sz w:val="22"/>
                <w:szCs w:val="22"/>
              </w:rPr>
              <w:t>2017/18</w:t>
            </w:r>
          </w:p>
        </w:tc>
        <w:tc>
          <w:tcPr>
            <w:tcW w:w="992" w:type="dxa"/>
            <w:tcBorders>
              <w:left w:val="nil"/>
              <w:bottom w:val="single" w:sz="4" w:space="0" w:color="auto"/>
              <w:right w:val="nil"/>
            </w:tcBorders>
            <w:shd w:val="clear" w:color="auto" w:fill="auto"/>
            <w:noWrap/>
            <w:vAlign w:val="bottom"/>
          </w:tcPr>
          <w:p w:rsidR="0024207A" w:rsidRPr="001F07FC" w:rsidRDefault="0024207A" w:rsidP="0024207A">
            <w:pPr>
              <w:ind w:left="-68"/>
              <w:jc w:val="right"/>
              <w:rPr>
                <w:rFonts w:eastAsia="Calibri" w:cs="Arial"/>
                <w:color w:val="000000"/>
                <w:sz w:val="22"/>
                <w:szCs w:val="22"/>
              </w:rPr>
            </w:pPr>
            <w:r w:rsidRPr="001F07FC">
              <w:rPr>
                <w:rFonts w:eastAsia="Calibri" w:cs="Arial"/>
                <w:color w:val="000000"/>
                <w:sz w:val="22"/>
                <w:szCs w:val="22"/>
              </w:rPr>
              <w:t>2’589</w:t>
            </w:r>
          </w:p>
        </w:tc>
        <w:tc>
          <w:tcPr>
            <w:tcW w:w="1134" w:type="dxa"/>
            <w:tcBorders>
              <w:left w:val="nil"/>
              <w:bottom w:val="single" w:sz="4" w:space="0" w:color="auto"/>
              <w:right w:val="nil"/>
            </w:tcBorders>
            <w:shd w:val="clear" w:color="auto" w:fill="auto"/>
            <w:noWrap/>
            <w:vAlign w:val="bottom"/>
          </w:tcPr>
          <w:p w:rsidR="0024207A" w:rsidRPr="001F07FC" w:rsidRDefault="0024207A" w:rsidP="0024207A">
            <w:pPr>
              <w:ind w:left="-68"/>
              <w:jc w:val="right"/>
              <w:rPr>
                <w:rFonts w:eastAsia="Calibri" w:cs="Arial"/>
                <w:color w:val="000000"/>
                <w:sz w:val="22"/>
                <w:szCs w:val="22"/>
              </w:rPr>
            </w:pPr>
            <w:r w:rsidRPr="001F07FC">
              <w:rPr>
                <w:rFonts w:eastAsia="Calibri" w:cs="Arial"/>
                <w:color w:val="000000"/>
                <w:sz w:val="22"/>
                <w:szCs w:val="22"/>
              </w:rPr>
              <w:t>1’570</w:t>
            </w:r>
          </w:p>
        </w:tc>
        <w:tc>
          <w:tcPr>
            <w:tcW w:w="709" w:type="dxa"/>
            <w:tcBorders>
              <w:left w:val="nil"/>
              <w:bottom w:val="single" w:sz="4" w:space="0" w:color="auto"/>
              <w:right w:val="nil"/>
            </w:tcBorders>
            <w:shd w:val="clear" w:color="auto" w:fill="auto"/>
            <w:noWrap/>
            <w:vAlign w:val="bottom"/>
          </w:tcPr>
          <w:p w:rsidR="0024207A" w:rsidRPr="001F07FC" w:rsidRDefault="0024207A" w:rsidP="0024207A">
            <w:pPr>
              <w:ind w:left="-68"/>
              <w:jc w:val="right"/>
              <w:rPr>
                <w:rFonts w:eastAsia="Calibri" w:cs="Arial"/>
                <w:color w:val="000000"/>
                <w:sz w:val="22"/>
                <w:szCs w:val="22"/>
              </w:rPr>
            </w:pPr>
            <w:r w:rsidRPr="001F07FC">
              <w:rPr>
                <w:rFonts w:eastAsia="Calibri" w:cs="Arial"/>
                <w:color w:val="000000"/>
                <w:sz w:val="22"/>
                <w:szCs w:val="22"/>
              </w:rPr>
              <w:t>61%</w:t>
            </w:r>
          </w:p>
        </w:tc>
        <w:tc>
          <w:tcPr>
            <w:tcW w:w="992" w:type="dxa"/>
            <w:tcBorders>
              <w:left w:val="nil"/>
              <w:bottom w:val="single" w:sz="4" w:space="0" w:color="auto"/>
              <w:right w:val="nil"/>
            </w:tcBorders>
            <w:shd w:val="clear" w:color="auto" w:fill="auto"/>
            <w:noWrap/>
            <w:vAlign w:val="bottom"/>
          </w:tcPr>
          <w:p w:rsidR="0024207A" w:rsidRPr="006C37A1" w:rsidRDefault="0024207A" w:rsidP="0024207A">
            <w:pPr>
              <w:ind w:left="-68"/>
              <w:jc w:val="right"/>
              <w:rPr>
                <w:rFonts w:eastAsia="Calibri" w:cs="Arial"/>
                <w:color w:val="000000"/>
                <w:sz w:val="22"/>
                <w:szCs w:val="22"/>
              </w:rPr>
            </w:pPr>
            <w:r w:rsidRPr="006C37A1">
              <w:rPr>
                <w:rFonts w:eastAsia="Calibri" w:cs="Arial"/>
                <w:color w:val="000000"/>
                <w:sz w:val="22"/>
                <w:szCs w:val="22"/>
              </w:rPr>
              <w:t>47</w:t>
            </w:r>
          </w:p>
        </w:tc>
        <w:tc>
          <w:tcPr>
            <w:tcW w:w="709" w:type="dxa"/>
            <w:tcBorders>
              <w:left w:val="nil"/>
              <w:bottom w:val="single" w:sz="4" w:space="0" w:color="auto"/>
              <w:right w:val="nil"/>
            </w:tcBorders>
            <w:shd w:val="clear" w:color="auto" w:fill="auto"/>
            <w:noWrap/>
            <w:vAlign w:val="bottom"/>
          </w:tcPr>
          <w:p w:rsidR="0024207A" w:rsidRPr="006C37A1" w:rsidRDefault="0024207A" w:rsidP="0024207A">
            <w:pPr>
              <w:ind w:left="-68"/>
              <w:jc w:val="right"/>
              <w:rPr>
                <w:rFonts w:eastAsia="Calibri" w:cs="Arial"/>
                <w:color w:val="000000"/>
                <w:sz w:val="22"/>
                <w:szCs w:val="22"/>
              </w:rPr>
            </w:pPr>
            <w:r w:rsidRPr="006C37A1">
              <w:rPr>
                <w:rFonts w:eastAsia="Calibri" w:cs="Arial"/>
                <w:color w:val="000000"/>
                <w:sz w:val="22"/>
                <w:szCs w:val="22"/>
              </w:rPr>
              <w:t>2%</w:t>
            </w:r>
          </w:p>
        </w:tc>
        <w:tc>
          <w:tcPr>
            <w:tcW w:w="992" w:type="dxa"/>
            <w:tcBorders>
              <w:left w:val="nil"/>
              <w:bottom w:val="single" w:sz="4" w:space="0" w:color="auto"/>
              <w:right w:val="nil"/>
            </w:tcBorders>
            <w:shd w:val="clear" w:color="auto" w:fill="auto"/>
            <w:noWrap/>
            <w:vAlign w:val="bottom"/>
          </w:tcPr>
          <w:p w:rsidR="0024207A" w:rsidRPr="006C37A1" w:rsidRDefault="0024207A" w:rsidP="0024207A">
            <w:pPr>
              <w:ind w:left="-68"/>
              <w:jc w:val="right"/>
              <w:rPr>
                <w:rFonts w:eastAsia="Calibri" w:cs="Arial"/>
                <w:color w:val="000000"/>
                <w:sz w:val="22"/>
                <w:szCs w:val="22"/>
              </w:rPr>
            </w:pPr>
            <w:r w:rsidRPr="006C37A1">
              <w:rPr>
                <w:rFonts w:eastAsia="Calibri" w:cs="Arial"/>
                <w:color w:val="000000"/>
                <w:sz w:val="22"/>
                <w:szCs w:val="22"/>
              </w:rPr>
              <w:t>876</w:t>
            </w:r>
          </w:p>
        </w:tc>
        <w:tc>
          <w:tcPr>
            <w:tcW w:w="709" w:type="dxa"/>
            <w:tcBorders>
              <w:left w:val="nil"/>
              <w:bottom w:val="single" w:sz="4" w:space="0" w:color="auto"/>
              <w:right w:val="nil"/>
            </w:tcBorders>
            <w:shd w:val="clear" w:color="auto" w:fill="auto"/>
            <w:noWrap/>
            <w:vAlign w:val="bottom"/>
          </w:tcPr>
          <w:p w:rsidR="0024207A" w:rsidRPr="001F07FC" w:rsidRDefault="0024207A" w:rsidP="0024207A">
            <w:pPr>
              <w:ind w:left="-68"/>
              <w:jc w:val="right"/>
              <w:rPr>
                <w:rFonts w:eastAsia="Calibri" w:cs="Arial"/>
                <w:color w:val="000000"/>
                <w:sz w:val="22"/>
                <w:szCs w:val="22"/>
              </w:rPr>
            </w:pPr>
            <w:r w:rsidRPr="001F07FC">
              <w:rPr>
                <w:rFonts w:eastAsia="Calibri" w:cs="Arial"/>
                <w:color w:val="000000"/>
                <w:sz w:val="22"/>
                <w:szCs w:val="22"/>
              </w:rPr>
              <w:t>33%</w:t>
            </w:r>
          </w:p>
        </w:tc>
        <w:tc>
          <w:tcPr>
            <w:tcW w:w="992" w:type="dxa"/>
            <w:tcBorders>
              <w:left w:val="nil"/>
              <w:bottom w:val="single" w:sz="4" w:space="0" w:color="auto"/>
              <w:right w:val="nil"/>
            </w:tcBorders>
            <w:shd w:val="clear" w:color="auto" w:fill="auto"/>
            <w:noWrap/>
            <w:vAlign w:val="bottom"/>
          </w:tcPr>
          <w:p w:rsidR="0024207A" w:rsidRPr="001F07FC" w:rsidRDefault="0024207A" w:rsidP="0024207A">
            <w:pPr>
              <w:ind w:left="-68"/>
              <w:jc w:val="right"/>
              <w:rPr>
                <w:rFonts w:eastAsia="Calibri" w:cs="Arial"/>
                <w:color w:val="000000"/>
                <w:sz w:val="22"/>
                <w:szCs w:val="22"/>
              </w:rPr>
            </w:pPr>
            <w:r w:rsidRPr="001F07FC">
              <w:rPr>
                <w:rFonts w:eastAsia="Calibri" w:cs="Arial"/>
                <w:color w:val="000000"/>
                <w:sz w:val="22"/>
                <w:szCs w:val="22"/>
              </w:rPr>
              <w:t>96</w:t>
            </w:r>
          </w:p>
        </w:tc>
        <w:tc>
          <w:tcPr>
            <w:tcW w:w="708" w:type="dxa"/>
            <w:tcBorders>
              <w:left w:val="nil"/>
              <w:bottom w:val="single" w:sz="4" w:space="0" w:color="auto"/>
              <w:right w:val="nil"/>
            </w:tcBorders>
            <w:shd w:val="clear" w:color="auto" w:fill="auto"/>
            <w:noWrap/>
            <w:vAlign w:val="bottom"/>
          </w:tcPr>
          <w:p w:rsidR="0024207A" w:rsidRPr="001F07FC" w:rsidRDefault="0024207A" w:rsidP="0024207A">
            <w:pPr>
              <w:ind w:left="-68"/>
              <w:jc w:val="right"/>
              <w:rPr>
                <w:rFonts w:eastAsia="Calibri" w:cs="Arial"/>
                <w:color w:val="000000"/>
                <w:sz w:val="22"/>
                <w:szCs w:val="22"/>
              </w:rPr>
            </w:pPr>
            <w:r w:rsidRPr="001F07FC">
              <w:rPr>
                <w:rFonts w:eastAsia="Calibri" w:cs="Arial"/>
                <w:color w:val="000000"/>
                <w:sz w:val="22"/>
                <w:szCs w:val="22"/>
              </w:rPr>
              <w:t>4%</w:t>
            </w:r>
          </w:p>
        </w:tc>
      </w:tr>
    </w:tbl>
    <w:p w:rsidR="0024207A" w:rsidRPr="004A6B78" w:rsidRDefault="0024207A" w:rsidP="0024207A">
      <w:pPr>
        <w:rPr>
          <w:sz w:val="16"/>
          <w:szCs w:val="16"/>
        </w:rPr>
      </w:pPr>
    </w:p>
    <w:p w:rsidR="0024207A" w:rsidRPr="00C13E52" w:rsidRDefault="0024207A" w:rsidP="0024207A">
      <w:pPr>
        <w:rPr>
          <w:i/>
          <w:szCs w:val="24"/>
        </w:rPr>
      </w:pPr>
      <w:r w:rsidRPr="00C13E52">
        <w:rPr>
          <w:i/>
          <w:sz w:val="16"/>
          <w:szCs w:val="18"/>
        </w:rPr>
        <w:t>Fonte: SUPSI</w:t>
      </w:r>
    </w:p>
    <w:p w:rsidR="0024207A" w:rsidRDefault="0024207A" w:rsidP="0024207A">
      <w:pPr>
        <w:spacing w:before="120"/>
        <w:rPr>
          <w:szCs w:val="24"/>
        </w:rPr>
      </w:pPr>
    </w:p>
    <w:p w:rsidR="0024207A" w:rsidRPr="000C2954" w:rsidRDefault="0024207A" w:rsidP="0024207A">
      <w:pPr>
        <w:rPr>
          <w:rFonts w:cs="Arial"/>
          <w:lang w:eastAsia="it-CH"/>
        </w:rPr>
      </w:pPr>
      <w:r w:rsidRPr="004A3EC1">
        <w:t xml:space="preserve">Il numero di studenti della formazione di base è aumentato di 159 unità rispetto </w:t>
      </w:r>
      <w:r>
        <w:t>al rilevamento</w:t>
      </w:r>
      <w:r w:rsidRPr="004A3EC1">
        <w:t xml:space="preserve"> del precedente anno. Il numero degli studenti confederati (47) registra una lieve crescita (+2</w:t>
      </w:r>
      <w:r>
        <w:t xml:space="preserve"> studenti</w:t>
      </w:r>
      <w:r w:rsidRPr="004A3EC1">
        <w:t xml:space="preserve">). Appare in questo contesto importante che la SUPSI si possa ulteriormente profilare rispetto alle altre SUP, migliorando la propria attrattiva grazie ad offerte </w:t>
      </w:r>
      <w:r>
        <w:t>specifiche</w:t>
      </w:r>
      <w:r w:rsidRPr="004A3EC1">
        <w:t xml:space="preserve">, in particolare a livello di master e nel settore della tecnica, </w:t>
      </w:r>
      <w:r w:rsidRPr="00FE4A85">
        <w:t xml:space="preserve">trattenendo una parte più consistente degli studenti ticinesi che oggi decidono di spostarsi negli altri Cantoni per studiare e diventando </w:t>
      </w:r>
      <w:r>
        <w:t xml:space="preserve">così </w:t>
      </w:r>
      <w:r w:rsidRPr="00FE4A85">
        <w:t>maggiormente attrattiva per gli studenti confederati. I costanti investimenti nei laboratori e la costruzione dei nuovi Campus costituiscono fattori di attrazione importanti in questa prospettiva.</w:t>
      </w:r>
      <w:r>
        <w:t xml:space="preserve"> I dati della T</w:t>
      </w:r>
      <w:r w:rsidRPr="00C65DAB">
        <w:t>abella 8</w:t>
      </w:r>
      <w:r w:rsidRPr="00337B4F">
        <w:t xml:space="preserve"> </w:t>
      </w:r>
      <w:r w:rsidRPr="00337B4F">
        <w:rPr>
          <w:rFonts w:cs="Arial"/>
          <w:lang w:eastAsia="it-CH"/>
        </w:rPr>
        <w:t>illustrano</w:t>
      </w:r>
      <w:r w:rsidRPr="000A58C3">
        <w:rPr>
          <w:rFonts w:cs="Arial"/>
          <w:lang w:eastAsia="it-CH"/>
        </w:rPr>
        <w:t xml:space="preserve"> </w:t>
      </w:r>
      <w:r>
        <w:rPr>
          <w:rFonts w:cs="Arial"/>
          <w:lang w:eastAsia="it-CH"/>
        </w:rPr>
        <w:t xml:space="preserve">pure </w:t>
      </w:r>
      <w:r w:rsidRPr="000A58C3">
        <w:rPr>
          <w:rFonts w:cs="Arial"/>
          <w:lang w:eastAsia="it-CH"/>
        </w:rPr>
        <w:t xml:space="preserve">una tendenza al rialzo degli studenti </w:t>
      </w:r>
      <w:r>
        <w:rPr>
          <w:rFonts w:cs="Arial"/>
          <w:lang w:eastAsia="it-CH"/>
        </w:rPr>
        <w:t>stranieri</w:t>
      </w:r>
      <w:r w:rsidRPr="000A58C3">
        <w:rPr>
          <w:rFonts w:cs="Arial"/>
          <w:lang w:eastAsia="it-CH"/>
        </w:rPr>
        <w:t xml:space="preserve">. </w:t>
      </w:r>
      <w:r>
        <w:rPr>
          <w:rFonts w:cs="Arial"/>
          <w:lang w:eastAsia="it-CH"/>
        </w:rPr>
        <w:t xml:space="preserve">Con il nuovo </w:t>
      </w:r>
      <w:proofErr w:type="spellStart"/>
      <w:r>
        <w:rPr>
          <w:rFonts w:cs="Arial"/>
          <w:lang w:eastAsia="it-CH"/>
        </w:rPr>
        <w:t>Cdp</w:t>
      </w:r>
      <w:proofErr w:type="spellEnd"/>
      <w:r>
        <w:rPr>
          <w:rFonts w:cs="Arial"/>
          <w:lang w:eastAsia="it-CH"/>
        </w:rPr>
        <w:t xml:space="preserve">, dal 2017 è stato fissato l’obiettivo, come indicato dalla Commissione scolastica, della percentuale massima del 40% per </w:t>
      </w:r>
      <w:r w:rsidRPr="00CF4F9F">
        <w:t xml:space="preserve">la quota di studenti provenienti dall’estero per il </w:t>
      </w:r>
      <w:r>
        <w:t xml:space="preserve">DTI. Per il 2017 questa quota </w:t>
      </w:r>
      <w:r w:rsidRPr="00CF4F9F">
        <w:t>si attesta al 46%</w:t>
      </w:r>
      <w:r>
        <w:t xml:space="preserve"> (185 studenti in unità a tempo pieno in rapporto al totale di 401)</w:t>
      </w:r>
      <w:r w:rsidRPr="00CF4F9F">
        <w:t xml:space="preserve">. </w:t>
      </w:r>
      <w:r>
        <w:t xml:space="preserve">Il nuovo </w:t>
      </w:r>
      <w:proofErr w:type="spellStart"/>
      <w:r>
        <w:t>Cdp</w:t>
      </w:r>
      <w:proofErr w:type="spellEnd"/>
      <w:r>
        <w:t xml:space="preserve"> prevede anche un massimo di studenti esteri misurati in UTP per i settori non artistici (30%). Nel 2017 la quota per i settori non artistici è del 23.5% ed è quindi coerente con l’obiettivo del </w:t>
      </w:r>
      <w:proofErr w:type="spellStart"/>
      <w:r>
        <w:t>Cdp</w:t>
      </w:r>
      <w:proofErr w:type="spellEnd"/>
      <w:r>
        <w:t>. Un'altra novità è legata alla quota minima del 10% per gli studenti esteri nei master. Escludendo i settori musica e teatro, la percentuale del 2017 si attesta al 58% (112 studenti esteri in UTP rispetto al totale master di 191 studenti). La</w:t>
      </w:r>
      <w:r w:rsidRPr="000C2954">
        <w:rPr>
          <w:rFonts w:cs="Arial"/>
          <w:lang w:eastAsia="it-CH"/>
        </w:rPr>
        <w:t xml:space="preserve"> riflessione sull’ammissione di studenti stranieri è costantemente attiva</w:t>
      </w:r>
      <w:r>
        <w:rPr>
          <w:rFonts w:cs="Arial"/>
          <w:lang w:eastAsia="it-CH"/>
        </w:rPr>
        <w:t>,</w:t>
      </w:r>
      <w:r w:rsidRPr="0051733D">
        <w:rPr>
          <w:rFonts w:cs="Arial"/>
          <w:lang w:eastAsia="it-CH"/>
        </w:rPr>
        <w:t xml:space="preserve"> </w:t>
      </w:r>
      <w:r>
        <w:rPr>
          <w:rFonts w:cs="Arial"/>
          <w:lang w:eastAsia="it-CH"/>
        </w:rPr>
        <w:t>con misure mirate a limitare le ammissioni di studenti stranieri,</w:t>
      </w:r>
      <w:r w:rsidRPr="000C2954">
        <w:rPr>
          <w:rFonts w:cs="Arial"/>
          <w:lang w:eastAsia="it-CH"/>
        </w:rPr>
        <w:t xml:space="preserve"> specialmente per quei settori in cui le esigenze del mercato del lavoro ticinese sono limitate</w:t>
      </w:r>
      <w:r>
        <w:rPr>
          <w:rFonts w:cs="Arial"/>
          <w:lang w:eastAsia="it-CH"/>
        </w:rPr>
        <w:t>.</w:t>
      </w:r>
    </w:p>
    <w:p w:rsidR="0024207A" w:rsidRDefault="0024207A" w:rsidP="0024207A">
      <w:pPr>
        <w:rPr>
          <w:rFonts w:cs="Arial"/>
          <w:lang w:eastAsia="it-CH"/>
        </w:rPr>
      </w:pPr>
    </w:p>
    <w:p w:rsidR="0024207A" w:rsidRPr="000C2954" w:rsidRDefault="0024207A" w:rsidP="0024207A">
      <w:pPr>
        <w:rPr>
          <w:rFonts w:cs="Arial"/>
          <w:lang w:eastAsia="it-CH"/>
        </w:rPr>
      </w:pPr>
      <w:r w:rsidRPr="000C2954">
        <w:rPr>
          <w:rFonts w:cs="Arial"/>
          <w:lang w:eastAsia="it-CH"/>
        </w:rPr>
        <w:lastRenderedPageBreak/>
        <w:t>Per quanto riguarda la formazione di base (</w:t>
      </w:r>
      <w:proofErr w:type="spellStart"/>
      <w:r w:rsidRPr="000C2954">
        <w:rPr>
          <w:rFonts w:cs="Arial"/>
          <w:lang w:eastAsia="it-CH"/>
        </w:rPr>
        <w:t>bachelor</w:t>
      </w:r>
      <w:proofErr w:type="spellEnd"/>
      <w:r w:rsidRPr="000C2954">
        <w:rPr>
          <w:rFonts w:cs="Arial"/>
          <w:lang w:eastAsia="it-CH"/>
        </w:rPr>
        <w:t xml:space="preserve"> e master), il </w:t>
      </w:r>
      <w:proofErr w:type="spellStart"/>
      <w:r>
        <w:rPr>
          <w:rFonts w:cs="Arial"/>
          <w:lang w:eastAsia="it-CH"/>
        </w:rPr>
        <w:t>C</w:t>
      </w:r>
      <w:r w:rsidRPr="000C2954">
        <w:rPr>
          <w:rFonts w:cs="Arial"/>
          <w:lang w:eastAsia="it-CH"/>
        </w:rPr>
        <w:t>dp</w:t>
      </w:r>
      <w:proofErr w:type="spellEnd"/>
      <w:r w:rsidRPr="000C2954">
        <w:rPr>
          <w:rFonts w:cs="Arial"/>
          <w:lang w:eastAsia="it-CH"/>
        </w:rPr>
        <w:t xml:space="preserve"> prevede indicatori per misurare gli obiettivi di efficacia e in particolare quello sullo sbocco di studio per i maturandi ticinesi o quelli legati all’occupazione e all’adeguatezza delle competenze acquisite dai diplomati. </w:t>
      </w:r>
      <w:r>
        <w:rPr>
          <w:rFonts w:cs="Arial"/>
          <w:lang w:eastAsia="it-CH"/>
        </w:rPr>
        <w:t xml:space="preserve">Analizzando i dati sullo sbocco di studio per i maturandi ticinesi si osserva una stabilità della percentuale negli anni. Nel 2017 il 15% dei giovani che hanno conseguito una maturità professionale </w:t>
      </w:r>
      <w:r w:rsidRPr="000C2954">
        <w:t xml:space="preserve">(MP) rilasciata dalle scuole professionali del Cantone Ticino </w:t>
      </w:r>
      <w:r>
        <w:rPr>
          <w:rFonts w:cs="Arial"/>
          <w:lang w:eastAsia="it-CH"/>
        </w:rPr>
        <w:t xml:space="preserve">si è iscritto alla SUPSI. Questa percentuale passa al 28.5% se si considerano gli studenti che hanno conseguito la MP 5 anni prima. </w:t>
      </w:r>
    </w:p>
    <w:p w:rsidR="0024207A" w:rsidRDefault="0024207A" w:rsidP="0024207A">
      <w:pPr>
        <w:rPr>
          <w:rFonts w:cs="Arial"/>
          <w:iCs/>
        </w:rPr>
      </w:pPr>
    </w:p>
    <w:p w:rsidR="0024207A" w:rsidRDefault="0024207A" w:rsidP="0024207A">
      <w:pPr>
        <w:rPr>
          <w:rFonts w:cs="Arial"/>
          <w:iCs/>
          <w:color w:val="000000"/>
        </w:rPr>
      </w:pPr>
      <w:r w:rsidRPr="00CF4F9F">
        <w:rPr>
          <w:rFonts w:cs="Arial"/>
          <w:iCs/>
        </w:rPr>
        <w:t>Il confronto con le altre scuole universitarie professionali evidenzia</w:t>
      </w:r>
      <w:r w:rsidRPr="000C2954">
        <w:rPr>
          <w:rFonts w:cs="Arial"/>
          <w:iCs/>
        </w:rPr>
        <w:t xml:space="preserve"> importanti differenze tra i tassi di conversione</w:t>
      </w:r>
      <w:r>
        <w:rPr>
          <w:rFonts w:cs="Arial"/>
          <w:iCs/>
        </w:rPr>
        <w:t>:</w:t>
      </w:r>
      <w:r w:rsidRPr="000C2954">
        <w:rPr>
          <w:rFonts w:cs="Arial"/>
          <w:iCs/>
        </w:rPr>
        <w:t xml:space="preserve"> nella maturità professional</w:t>
      </w:r>
      <w:r>
        <w:rPr>
          <w:rFonts w:cs="Arial"/>
          <w:iCs/>
        </w:rPr>
        <w:t>e</w:t>
      </w:r>
      <w:r w:rsidRPr="000C2954">
        <w:rPr>
          <w:rFonts w:cs="Arial"/>
          <w:iCs/>
        </w:rPr>
        <w:t xml:space="preserve"> di tipo tecnico </w:t>
      </w:r>
      <w:r>
        <w:rPr>
          <w:rFonts w:cs="Arial"/>
          <w:iCs/>
        </w:rPr>
        <w:t>(71</w:t>
      </w:r>
      <w:r w:rsidRPr="000C2954">
        <w:rPr>
          <w:rFonts w:cs="Arial"/>
          <w:iCs/>
        </w:rPr>
        <w:t>% per</w:t>
      </w:r>
      <w:r w:rsidRPr="000A58C3">
        <w:rPr>
          <w:rFonts w:cs="Arial"/>
          <w:iCs/>
        </w:rPr>
        <w:t xml:space="preserve"> le altre SUP contro </w:t>
      </w:r>
      <w:r>
        <w:rPr>
          <w:rFonts w:cs="Arial"/>
          <w:iCs/>
        </w:rPr>
        <w:t>28</w:t>
      </w:r>
      <w:r w:rsidRPr="000A58C3">
        <w:rPr>
          <w:rFonts w:cs="Arial"/>
          <w:iCs/>
        </w:rPr>
        <w:t>% per la SUPSI), nella maturità di tipo commerciale (5</w:t>
      </w:r>
      <w:r>
        <w:rPr>
          <w:rFonts w:cs="Arial"/>
          <w:iCs/>
        </w:rPr>
        <w:t>4</w:t>
      </w:r>
      <w:r w:rsidRPr="000A58C3">
        <w:rPr>
          <w:rFonts w:cs="Arial"/>
          <w:iCs/>
        </w:rPr>
        <w:t xml:space="preserve">% contro </w:t>
      </w:r>
      <w:r>
        <w:rPr>
          <w:rFonts w:cs="Arial"/>
          <w:iCs/>
        </w:rPr>
        <w:t>27</w:t>
      </w:r>
      <w:r w:rsidRPr="000A58C3">
        <w:rPr>
          <w:rFonts w:cs="Arial"/>
          <w:iCs/>
        </w:rPr>
        <w:t>%)</w:t>
      </w:r>
      <w:r>
        <w:rPr>
          <w:rFonts w:cs="Arial"/>
          <w:iCs/>
        </w:rPr>
        <w:t>,</w:t>
      </w:r>
      <w:r w:rsidRPr="000A58C3">
        <w:rPr>
          <w:rFonts w:cs="Arial"/>
          <w:iCs/>
        </w:rPr>
        <w:t xml:space="preserve"> nella maturità di tipo socio-sanitario (5</w:t>
      </w:r>
      <w:r>
        <w:rPr>
          <w:rFonts w:cs="Arial"/>
          <w:iCs/>
        </w:rPr>
        <w:t>4</w:t>
      </w:r>
      <w:r w:rsidRPr="000A58C3">
        <w:rPr>
          <w:rFonts w:cs="Arial"/>
          <w:iCs/>
        </w:rPr>
        <w:t xml:space="preserve">% contro </w:t>
      </w:r>
      <w:r>
        <w:rPr>
          <w:rFonts w:cs="Arial"/>
          <w:iCs/>
        </w:rPr>
        <w:t>33</w:t>
      </w:r>
      <w:r w:rsidRPr="000A58C3">
        <w:rPr>
          <w:rFonts w:cs="Arial"/>
          <w:iCs/>
        </w:rPr>
        <w:t>%)</w:t>
      </w:r>
      <w:r>
        <w:rPr>
          <w:rFonts w:cs="Arial"/>
          <w:iCs/>
        </w:rPr>
        <w:t xml:space="preserve"> e</w:t>
      </w:r>
      <w:r w:rsidRPr="000A58C3">
        <w:rPr>
          <w:rFonts w:cs="Arial"/>
          <w:iCs/>
        </w:rPr>
        <w:t xml:space="preserve"> nella maturità di tipo artistico (</w:t>
      </w:r>
      <w:r>
        <w:rPr>
          <w:rFonts w:cs="Arial"/>
          <w:iCs/>
        </w:rPr>
        <w:t>37</w:t>
      </w:r>
      <w:r w:rsidRPr="000A58C3">
        <w:rPr>
          <w:rFonts w:cs="Arial"/>
          <w:iCs/>
        </w:rPr>
        <w:t xml:space="preserve">% contro </w:t>
      </w:r>
      <w:r>
        <w:rPr>
          <w:rFonts w:cs="Arial"/>
          <w:iCs/>
        </w:rPr>
        <w:t>28</w:t>
      </w:r>
      <w:r w:rsidRPr="000A58C3">
        <w:rPr>
          <w:rFonts w:cs="Arial"/>
          <w:iCs/>
        </w:rPr>
        <w:t xml:space="preserve">%). In particolare nell’ambito tecnico la differenza è da ascrivere al fatto che vi sono numerosi studenti che ottengono la </w:t>
      </w:r>
      <w:r w:rsidRPr="000C2954">
        <w:rPr>
          <w:rFonts w:cs="Arial"/>
          <w:iCs/>
        </w:rPr>
        <w:t>maturità professional</w:t>
      </w:r>
      <w:r>
        <w:rPr>
          <w:rFonts w:cs="Arial"/>
          <w:iCs/>
        </w:rPr>
        <w:t>e</w:t>
      </w:r>
      <w:r w:rsidRPr="000C2954">
        <w:rPr>
          <w:rFonts w:cs="Arial"/>
          <w:iCs/>
        </w:rPr>
        <w:t xml:space="preserve"> di tipo tecnico </w:t>
      </w:r>
      <w:r>
        <w:rPr>
          <w:rFonts w:cs="Arial"/>
          <w:iCs/>
        </w:rPr>
        <w:t>nel Cantone</w:t>
      </w:r>
      <w:r w:rsidRPr="000A58C3">
        <w:rPr>
          <w:rFonts w:cs="Arial"/>
          <w:iCs/>
        </w:rPr>
        <w:t xml:space="preserve"> Ticino e continuano gli studi nelle altre SUP svizzere</w:t>
      </w:r>
      <w:r>
        <w:rPr>
          <w:rFonts w:cs="Arial"/>
          <w:iCs/>
        </w:rPr>
        <w:t>, in particolare romande</w:t>
      </w:r>
      <w:r w:rsidRPr="000A58C3">
        <w:rPr>
          <w:rFonts w:cs="Arial"/>
          <w:iCs/>
        </w:rPr>
        <w:t xml:space="preserve">, attirati molto probabilmente </w:t>
      </w:r>
      <w:r>
        <w:rPr>
          <w:rFonts w:cs="Arial"/>
          <w:iCs/>
        </w:rPr>
        <w:t>dalla tradizione di queste scuole e dall’opportunità</w:t>
      </w:r>
      <w:r w:rsidRPr="000A58C3">
        <w:rPr>
          <w:rFonts w:cs="Arial"/>
          <w:iCs/>
        </w:rPr>
        <w:t xml:space="preserve"> di immergersi nel contesto di un'altra lingua nazionale</w:t>
      </w:r>
      <w:r>
        <w:rPr>
          <w:rFonts w:cs="Arial"/>
          <w:iCs/>
        </w:rPr>
        <w:t xml:space="preserve"> con prospettive future di lavoro più ampie</w:t>
      </w:r>
      <w:r w:rsidRPr="000A58C3">
        <w:rPr>
          <w:rFonts w:cs="Arial"/>
          <w:iCs/>
        </w:rPr>
        <w:t>.</w:t>
      </w:r>
      <w:r>
        <w:rPr>
          <w:rFonts w:cs="Arial"/>
          <w:iCs/>
        </w:rPr>
        <w:t xml:space="preserve"> Non bisogna dimenticare che l’economia svizzera è rappresentata da regioni molto specializzate e che le SUP di queste regioni riflettono le esigenze del mercato locale </w:t>
      </w:r>
      <w:r w:rsidRPr="006C37A1">
        <w:rPr>
          <w:rFonts w:cs="Arial"/>
          <w:iCs/>
        </w:rPr>
        <w:t xml:space="preserve">formando specialisti che poi troveranno lavoro in questi ambiti. Ne è un esempio la SUP </w:t>
      </w:r>
      <w:proofErr w:type="spellStart"/>
      <w:r w:rsidRPr="006C37A1">
        <w:rPr>
          <w:rFonts w:cs="Arial"/>
          <w:iCs/>
        </w:rPr>
        <w:t>Nordwestschweiz</w:t>
      </w:r>
      <w:proofErr w:type="spellEnd"/>
      <w:r w:rsidRPr="006C37A1">
        <w:rPr>
          <w:rFonts w:cs="Arial"/>
          <w:iCs/>
        </w:rPr>
        <w:t xml:space="preserve"> (FHNW) che si è specializzata</w:t>
      </w:r>
      <w:r>
        <w:rPr>
          <w:rFonts w:cs="Arial"/>
          <w:iCs/>
        </w:rPr>
        <w:t xml:space="preserve"> nella formazione e nella ricerca in ambito chimico, vista la presenza di importanti aziende chimiche della regione di Basilea. Con queste premesse difficilmente i numeri potranno subire cambiamenti importanti nei prossimi anni, nonostante ciò, per</w:t>
      </w:r>
      <w:r w:rsidRPr="00510DCD">
        <w:rPr>
          <w:rFonts w:cs="Arial"/>
          <w:iCs/>
          <w:color w:val="000000"/>
        </w:rPr>
        <w:t xml:space="preserve"> aumentare l’attrattiva rispetto ai potenziali studenti residenti</w:t>
      </w:r>
      <w:r>
        <w:rPr>
          <w:rFonts w:cs="Arial"/>
          <w:iCs/>
          <w:color w:val="000000"/>
        </w:rPr>
        <w:t>,</w:t>
      </w:r>
      <w:r w:rsidRPr="00510DCD">
        <w:rPr>
          <w:rFonts w:cs="Arial"/>
          <w:iCs/>
          <w:color w:val="000000"/>
        </w:rPr>
        <w:t xml:space="preserve"> la SUPSI attiva </w:t>
      </w:r>
      <w:r>
        <w:rPr>
          <w:rFonts w:cs="Arial"/>
          <w:iCs/>
          <w:color w:val="000000"/>
        </w:rPr>
        <w:t>comunque numerose iniziative quali:</w:t>
      </w:r>
    </w:p>
    <w:p w:rsidR="0024207A" w:rsidRDefault="0024207A" w:rsidP="0024207A">
      <w:pPr>
        <w:tabs>
          <w:tab w:val="left" w:pos="284"/>
        </w:tabs>
        <w:spacing w:before="60"/>
        <w:ind w:left="284" w:hanging="284"/>
        <w:rPr>
          <w:rFonts w:cs="Arial"/>
          <w:iCs/>
          <w:color w:val="000000"/>
          <w:szCs w:val="24"/>
        </w:rPr>
      </w:pPr>
      <w:r>
        <w:rPr>
          <w:rFonts w:cs="Arial"/>
          <w:iCs/>
          <w:color w:val="000000"/>
          <w:szCs w:val="24"/>
        </w:rPr>
        <w:t>-</w:t>
      </w:r>
      <w:r>
        <w:rPr>
          <w:rFonts w:cs="Arial"/>
          <w:iCs/>
          <w:color w:val="000000"/>
          <w:szCs w:val="24"/>
        </w:rPr>
        <w:tab/>
      </w:r>
      <w:r w:rsidRPr="00510DCD">
        <w:rPr>
          <w:rFonts w:cs="Arial"/>
          <w:iCs/>
          <w:color w:val="000000"/>
          <w:szCs w:val="24"/>
        </w:rPr>
        <w:t>i contatti e le collaborazioni dirette con le scuole professionali del territorio (SPAI, SAMT, SAMB, SCC)</w:t>
      </w:r>
      <w:r>
        <w:rPr>
          <w:rFonts w:cs="Arial"/>
          <w:iCs/>
          <w:color w:val="000000"/>
          <w:szCs w:val="24"/>
        </w:rPr>
        <w:t>;</w:t>
      </w:r>
      <w:r w:rsidRPr="00510DCD">
        <w:rPr>
          <w:rFonts w:cs="Arial"/>
          <w:iCs/>
          <w:color w:val="000000"/>
          <w:szCs w:val="24"/>
        </w:rPr>
        <w:t xml:space="preserve"> </w:t>
      </w:r>
    </w:p>
    <w:p w:rsidR="0024207A" w:rsidRDefault="0024207A" w:rsidP="0024207A">
      <w:pPr>
        <w:tabs>
          <w:tab w:val="left" w:pos="284"/>
        </w:tabs>
        <w:spacing w:before="60"/>
        <w:ind w:left="284" w:hanging="284"/>
        <w:rPr>
          <w:rFonts w:cs="Arial"/>
          <w:iCs/>
          <w:color w:val="000000"/>
          <w:szCs w:val="24"/>
        </w:rPr>
      </w:pPr>
      <w:r>
        <w:rPr>
          <w:rFonts w:cs="Arial"/>
          <w:iCs/>
          <w:color w:val="000000"/>
          <w:szCs w:val="24"/>
        </w:rPr>
        <w:t>-</w:t>
      </w:r>
      <w:r>
        <w:rPr>
          <w:rFonts w:cs="Arial"/>
          <w:iCs/>
          <w:color w:val="000000"/>
          <w:szCs w:val="24"/>
        </w:rPr>
        <w:tab/>
      </w:r>
      <w:r w:rsidRPr="00510DCD">
        <w:rPr>
          <w:rFonts w:cs="Arial"/>
          <w:iCs/>
          <w:color w:val="000000"/>
          <w:szCs w:val="24"/>
        </w:rPr>
        <w:t>iniziative rivolte a</w:t>
      </w:r>
      <w:r>
        <w:rPr>
          <w:rFonts w:cs="Arial"/>
          <w:iCs/>
          <w:color w:val="000000"/>
          <w:szCs w:val="24"/>
        </w:rPr>
        <w:t>i</w:t>
      </w:r>
      <w:r w:rsidRPr="00510DCD">
        <w:rPr>
          <w:rFonts w:cs="Arial"/>
          <w:iCs/>
          <w:color w:val="000000"/>
          <w:szCs w:val="24"/>
        </w:rPr>
        <w:t xml:space="preserve"> ragazzi (campi estivi </w:t>
      </w:r>
      <w:r>
        <w:rPr>
          <w:rFonts w:cs="Arial"/>
          <w:iCs/>
          <w:color w:val="000000"/>
          <w:szCs w:val="24"/>
        </w:rPr>
        <w:t>in informatica ed elettronica);</w:t>
      </w:r>
    </w:p>
    <w:p w:rsidR="0024207A" w:rsidRDefault="0024207A" w:rsidP="0024207A">
      <w:pPr>
        <w:tabs>
          <w:tab w:val="left" w:pos="284"/>
        </w:tabs>
        <w:spacing w:before="60"/>
        <w:ind w:left="284" w:hanging="284"/>
        <w:rPr>
          <w:rFonts w:cs="Arial"/>
          <w:iCs/>
          <w:color w:val="000000"/>
          <w:szCs w:val="24"/>
        </w:rPr>
      </w:pPr>
      <w:r>
        <w:rPr>
          <w:rFonts w:cs="Arial"/>
          <w:iCs/>
          <w:color w:val="000000"/>
          <w:szCs w:val="24"/>
        </w:rPr>
        <w:t>-</w:t>
      </w:r>
      <w:r>
        <w:rPr>
          <w:rFonts w:cs="Arial"/>
          <w:iCs/>
          <w:color w:val="000000"/>
          <w:szCs w:val="24"/>
        </w:rPr>
        <w:tab/>
      </w:r>
      <w:r w:rsidRPr="00510DCD">
        <w:rPr>
          <w:rFonts w:cs="Arial"/>
          <w:iCs/>
          <w:color w:val="000000"/>
          <w:szCs w:val="24"/>
        </w:rPr>
        <w:t>iniziative con i bambini (c</w:t>
      </w:r>
      <w:r>
        <w:rPr>
          <w:rFonts w:cs="Arial"/>
          <w:iCs/>
          <w:color w:val="000000"/>
          <w:szCs w:val="24"/>
        </w:rPr>
        <w:t>orsi con l’Associazione ATED);</w:t>
      </w:r>
    </w:p>
    <w:p w:rsidR="0024207A" w:rsidRPr="00C321C3" w:rsidRDefault="0024207A" w:rsidP="0024207A">
      <w:pPr>
        <w:tabs>
          <w:tab w:val="left" w:pos="284"/>
        </w:tabs>
        <w:spacing w:before="60"/>
        <w:ind w:left="284" w:hanging="284"/>
        <w:rPr>
          <w:rFonts w:cs="Arial"/>
          <w:iCs/>
          <w:szCs w:val="24"/>
        </w:rPr>
      </w:pPr>
      <w:r>
        <w:rPr>
          <w:rFonts w:cs="Arial"/>
          <w:iCs/>
          <w:color w:val="000000"/>
          <w:szCs w:val="24"/>
        </w:rPr>
        <w:t>-</w:t>
      </w:r>
      <w:r>
        <w:rPr>
          <w:rFonts w:cs="Arial"/>
          <w:iCs/>
          <w:color w:val="000000"/>
          <w:szCs w:val="24"/>
        </w:rPr>
        <w:tab/>
      </w:r>
      <w:r w:rsidRPr="00510DCD">
        <w:rPr>
          <w:rFonts w:cs="Arial"/>
          <w:iCs/>
          <w:color w:val="000000"/>
          <w:szCs w:val="24"/>
        </w:rPr>
        <w:t>la promozione di forme di combinazione studio</w:t>
      </w:r>
      <w:r>
        <w:rPr>
          <w:rFonts w:cs="Arial"/>
          <w:iCs/>
          <w:color w:val="000000"/>
          <w:szCs w:val="24"/>
        </w:rPr>
        <w:t>-</w:t>
      </w:r>
      <w:r w:rsidRPr="00510DCD">
        <w:rPr>
          <w:rFonts w:cs="Arial"/>
          <w:iCs/>
          <w:color w:val="000000"/>
          <w:szCs w:val="24"/>
        </w:rPr>
        <w:t>lavoro (forme di studio da svolgere in parallelo ad un’attività professionale nel settore).</w:t>
      </w:r>
    </w:p>
    <w:p w:rsidR="0024207A" w:rsidRDefault="0024207A" w:rsidP="0024207A"/>
    <w:p w:rsidR="0024207A" w:rsidRDefault="0024207A" w:rsidP="0024207A">
      <w:r>
        <w:t>I dati riguardanti il tasso di</w:t>
      </w:r>
      <w:r w:rsidRPr="000A58C3">
        <w:t xml:space="preserve"> </w:t>
      </w:r>
      <w:r>
        <w:t xml:space="preserve">entrata nella vita professionale restano molto buoni e in linea con gli scorsi anni. Il </w:t>
      </w:r>
      <w:r w:rsidRPr="00CF4F9F">
        <w:t xml:space="preserve">78% degli intervistati a un anno dall'ottenimento del diploma </w:t>
      </w:r>
      <w:r>
        <w:t>possiede</w:t>
      </w:r>
      <w:r w:rsidRPr="00CF4F9F">
        <w:t xml:space="preserve"> un lavoro, mentre il 13% degli intervistati ha deciso di proseguire gli studi. </w:t>
      </w:r>
      <w:r>
        <w:t xml:space="preserve">Significa che il </w:t>
      </w:r>
      <w:r w:rsidRPr="00CF4F9F">
        <w:t>91% dei diplomati risulta occupato</w:t>
      </w:r>
      <w:r w:rsidRPr="004E431C">
        <w:t>. I laureati della SUPSI lavorano prevalentemente in Ticino</w:t>
      </w:r>
      <w:r>
        <w:t xml:space="preserve">, </w:t>
      </w:r>
      <w:r w:rsidRPr="004E431C">
        <w:t xml:space="preserve">con contratti di lavoro con elevate percentuali di occupazione. </w:t>
      </w:r>
      <w:r>
        <w:t xml:space="preserve">Nella stessa indagine si è domandato agli studenti di indicare il nome dell’azienda presso cui lavoravano per poter capire se le competenze dei diplomati erano soddisfacenti per i datori di lavoro. Nonostante il numero limitato di aziende che hanno risposto (14 aziende ticinesi) in generale tutte le aziende si sono dette soddisfatte delle competenze acquisite dai loro collaboratori, sia per quanto riguarda le competenze disciplinari (teoriche, metodologiche e tecniche) sia per le </w:t>
      </w:r>
      <w:r w:rsidRPr="003714AF">
        <w:rPr>
          <w:i/>
        </w:rPr>
        <w:t xml:space="preserve">soft </w:t>
      </w:r>
      <w:proofErr w:type="spellStart"/>
      <w:r w:rsidRPr="003714AF">
        <w:rPr>
          <w:i/>
        </w:rPr>
        <w:t>skills</w:t>
      </w:r>
      <w:proofErr w:type="spellEnd"/>
      <w:r>
        <w:t>, in particolare la capacità di lavorare in team.</w:t>
      </w:r>
    </w:p>
    <w:p w:rsidR="0024207A" w:rsidRDefault="0024207A" w:rsidP="0024207A"/>
    <w:p w:rsidR="0024207A" w:rsidRPr="000C2954" w:rsidRDefault="0024207A" w:rsidP="0024207A">
      <w:r>
        <w:t>Per quanto riguarda la s</w:t>
      </w:r>
      <w:r w:rsidRPr="004E431C">
        <w:t>oddis</w:t>
      </w:r>
      <w:r>
        <w:t xml:space="preserve">fazione di studenti e diplomati, il </w:t>
      </w:r>
      <w:proofErr w:type="spellStart"/>
      <w:r>
        <w:t>Cdp</w:t>
      </w:r>
      <w:proofErr w:type="spellEnd"/>
      <w:r>
        <w:t xml:space="preserve"> prevede un indicatore che è misurato regolarmente dalla SUPSI. Per il 2017 il rilevamento della SUPSI ha ottenuto un tasso di risposta </w:t>
      </w:r>
      <w:r w:rsidRPr="00CF4F9F">
        <w:t>degli studenti pari al</w:t>
      </w:r>
      <w:r>
        <w:t>l’</w:t>
      </w:r>
      <w:r w:rsidRPr="00CF4F9F">
        <w:t xml:space="preserve">80% per i </w:t>
      </w:r>
      <w:proofErr w:type="spellStart"/>
      <w:r w:rsidRPr="00CF4F9F">
        <w:t>bachelor</w:t>
      </w:r>
      <w:proofErr w:type="spellEnd"/>
      <w:r w:rsidRPr="00CF4F9F">
        <w:t xml:space="preserve"> e </w:t>
      </w:r>
      <w:r>
        <w:t xml:space="preserve">al </w:t>
      </w:r>
      <w:r w:rsidRPr="00CF4F9F">
        <w:t>95% per i master</w:t>
      </w:r>
      <w:r>
        <w:t xml:space="preserve"> e ha dato </w:t>
      </w:r>
      <w:r w:rsidRPr="000C2954">
        <w:t xml:space="preserve">risultati </w:t>
      </w:r>
      <w:r>
        <w:t xml:space="preserve">soddisfacenti e </w:t>
      </w:r>
      <w:r w:rsidRPr="000C2954">
        <w:t xml:space="preserve">in linea con gli scorsi anni. </w:t>
      </w:r>
    </w:p>
    <w:p w:rsidR="0024207A" w:rsidRDefault="0024207A" w:rsidP="0024207A">
      <w:pPr>
        <w:rPr>
          <w:lang w:val="it-CH"/>
        </w:rPr>
      </w:pPr>
    </w:p>
    <w:p w:rsidR="0024207A" w:rsidRDefault="0024207A" w:rsidP="0024207A">
      <w:pPr>
        <w:rPr>
          <w:lang w:val="it-CH"/>
        </w:rPr>
      </w:pPr>
      <w:r w:rsidRPr="000C2954">
        <w:rPr>
          <w:lang w:val="it-CH"/>
        </w:rPr>
        <w:t>Per il 201</w:t>
      </w:r>
      <w:r>
        <w:rPr>
          <w:lang w:val="it-CH"/>
        </w:rPr>
        <w:t>7</w:t>
      </w:r>
      <w:r w:rsidRPr="000C2954">
        <w:rPr>
          <w:lang w:val="it-CH"/>
        </w:rPr>
        <w:t xml:space="preserve"> la quota dei diplomati SUPSI è stata del 1</w:t>
      </w:r>
      <w:r>
        <w:rPr>
          <w:lang w:val="it-CH"/>
        </w:rPr>
        <w:t>5</w:t>
      </w:r>
      <w:r w:rsidRPr="000C2954">
        <w:rPr>
          <w:lang w:val="it-CH"/>
        </w:rPr>
        <w:t>% nel settore tecnico</w:t>
      </w:r>
      <w:r>
        <w:rPr>
          <w:lang w:val="it-CH"/>
        </w:rPr>
        <w:t xml:space="preserve"> (in diminuzione rispetto al 19% del 2016 ma in linea con il 14% del 2015)</w:t>
      </w:r>
      <w:r w:rsidRPr="000C2954">
        <w:rPr>
          <w:lang w:val="it-CH"/>
        </w:rPr>
        <w:t xml:space="preserve">, del </w:t>
      </w:r>
      <w:r>
        <w:rPr>
          <w:lang w:val="it-CH"/>
        </w:rPr>
        <w:t>20</w:t>
      </w:r>
      <w:r w:rsidRPr="000C2954">
        <w:rPr>
          <w:lang w:val="it-CH"/>
        </w:rPr>
        <w:t xml:space="preserve">% nella </w:t>
      </w:r>
      <w:r w:rsidRPr="000C2954">
        <w:rPr>
          <w:lang w:val="it-CH"/>
        </w:rPr>
        <w:lastRenderedPageBreak/>
        <w:t>sanità, del</w:t>
      </w:r>
      <w:r>
        <w:rPr>
          <w:lang w:val="it-CH"/>
        </w:rPr>
        <w:t xml:space="preserve"> 9</w:t>
      </w:r>
      <w:r w:rsidRPr="000C2954">
        <w:rPr>
          <w:lang w:val="it-CH"/>
        </w:rPr>
        <w:t xml:space="preserve">% nel design, </w:t>
      </w:r>
      <w:r>
        <w:rPr>
          <w:lang w:val="it-CH"/>
        </w:rPr>
        <w:t>dell’</w:t>
      </w:r>
      <w:r w:rsidRPr="000C2954">
        <w:rPr>
          <w:lang w:val="it-CH"/>
        </w:rPr>
        <w:t>1</w:t>
      </w:r>
      <w:r>
        <w:rPr>
          <w:lang w:val="it-CH"/>
        </w:rPr>
        <w:t>1</w:t>
      </w:r>
      <w:r w:rsidRPr="000C2954">
        <w:rPr>
          <w:lang w:val="it-CH"/>
        </w:rPr>
        <w:t>% nell’economia, del</w:t>
      </w:r>
      <w:r>
        <w:rPr>
          <w:lang w:val="it-CH"/>
        </w:rPr>
        <w:t xml:space="preserve"> 9</w:t>
      </w:r>
      <w:r w:rsidRPr="000C2954">
        <w:rPr>
          <w:lang w:val="it-CH"/>
        </w:rPr>
        <w:t xml:space="preserve">% nel lavoro sociale, </w:t>
      </w:r>
      <w:r>
        <w:rPr>
          <w:lang w:val="it-CH"/>
        </w:rPr>
        <w:t>del 15</w:t>
      </w:r>
      <w:r w:rsidRPr="000C2954">
        <w:rPr>
          <w:lang w:val="it-CH"/>
        </w:rPr>
        <w:t>% nell’architettura e costruzioni, del 1</w:t>
      </w:r>
      <w:r>
        <w:rPr>
          <w:lang w:val="it-CH"/>
        </w:rPr>
        <w:t>7</w:t>
      </w:r>
      <w:r w:rsidRPr="000C2954">
        <w:rPr>
          <w:lang w:val="it-CH"/>
        </w:rPr>
        <w:t xml:space="preserve">% nella musica e del </w:t>
      </w:r>
      <w:r>
        <w:rPr>
          <w:lang w:val="it-CH"/>
        </w:rPr>
        <w:t>3</w:t>
      </w:r>
      <w:r w:rsidRPr="000C2954">
        <w:rPr>
          <w:lang w:val="it-CH"/>
        </w:rPr>
        <w:t xml:space="preserve">% nel teatro. </w:t>
      </w:r>
      <w:r>
        <w:rPr>
          <w:lang w:val="it-CH"/>
        </w:rPr>
        <w:t xml:space="preserve">Come riportato nel resoconto dello scorso anno, la </w:t>
      </w:r>
      <w:r w:rsidRPr="004E431C">
        <w:rPr>
          <w:lang w:val="it-CH"/>
        </w:rPr>
        <w:t xml:space="preserve">SUPSI sta intraprendendo sforzi importanti, in linea con la strategia nazionale delle SUP, per aumentare il numero di studenti e laureati nei settori della tecnica, delle cure infermieristiche e della formazione </w:t>
      </w:r>
      <w:proofErr w:type="spellStart"/>
      <w:r w:rsidRPr="004E431C">
        <w:rPr>
          <w:lang w:val="it-CH"/>
        </w:rPr>
        <w:t>bachelor</w:t>
      </w:r>
      <w:proofErr w:type="spellEnd"/>
      <w:r w:rsidRPr="004E431C">
        <w:rPr>
          <w:lang w:val="it-CH"/>
        </w:rPr>
        <w:t xml:space="preserve"> degli insegnanti (</w:t>
      </w:r>
      <w:r>
        <w:rPr>
          <w:lang w:val="it-CH"/>
        </w:rPr>
        <w:t xml:space="preserve">vedi </w:t>
      </w:r>
      <w:r w:rsidRPr="004E431C">
        <w:rPr>
          <w:lang w:val="it-CH"/>
        </w:rPr>
        <w:t>DFA)</w:t>
      </w:r>
      <w:r>
        <w:rPr>
          <w:lang w:val="it-CH"/>
        </w:rPr>
        <w:t>:</w:t>
      </w:r>
      <w:r w:rsidRPr="004E431C">
        <w:rPr>
          <w:lang w:val="it-CH"/>
        </w:rPr>
        <w:t xml:space="preserve"> figure molto richieste nel mercato del lavoro</w:t>
      </w:r>
      <w:r>
        <w:rPr>
          <w:lang w:val="it-CH"/>
        </w:rPr>
        <w:t xml:space="preserve"> in particolare </w:t>
      </w:r>
      <w:r w:rsidRPr="004E431C">
        <w:rPr>
          <w:lang w:val="it-CH"/>
        </w:rPr>
        <w:t>locale.</w:t>
      </w:r>
    </w:p>
    <w:p w:rsidR="0024207A" w:rsidRDefault="0024207A" w:rsidP="002420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it-CH"/>
        </w:rPr>
      </w:pPr>
    </w:p>
    <w:p w:rsidR="0024207A" w:rsidRDefault="0024207A" w:rsidP="002420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lang w:val="it-CH"/>
        </w:rPr>
      </w:pPr>
    </w:p>
    <w:p w:rsidR="0024207A" w:rsidRPr="00300814" w:rsidRDefault="0024207A" w:rsidP="0024207A">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b/>
          <w:lang w:val="it-CH"/>
        </w:rPr>
      </w:pPr>
      <w:r w:rsidRPr="00300814">
        <w:rPr>
          <w:b/>
          <w:lang w:val="it-CH"/>
        </w:rPr>
        <w:t>3.3</w:t>
      </w:r>
      <w:r w:rsidRPr="00300814">
        <w:rPr>
          <w:b/>
          <w:lang w:val="it-CH"/>
        </w:rPr>
        <w:tab/>
      </w:r>
      <w:r w:rsidRPr="00300814">
        <w:rPr>
          <w:b/>
        </w:rPr>
        <w:t>Attività di ricerca alla SUPSI</w:t>
      </w:r>
    </w:p>
    <w:p w:rsidR="0024207A" w:rsidRPr="00A51B73" w:rsidRDefault="0024207A" w:rsidP="0024207A">
      <w:pPr>
        <w:spacing w:before="120"/>
        <w:rPr>
          <w:rFonts w:cs="Arial"/>
          <w:szCs w:val="24"/>
        </w:rPr>
      </w:pPr>
      <w:r>
        <w:rPr>
          <w:rFonts w:cs="Arial"/>
          <w:szCs w:val="24"/>
        </w:rPr>
        <w:t xml:space="preserve">Come illustrato nell’introduzione la </w:t>
      </w:r>
      <w:r w:rsidRPr="000C2954">
        <w:rPr>
          <w:rFonts w:cs="Arial"/>
          <w:szCs w:val="24"/>
        </w:rPr>
        <w:t>ricerca di tipo applicativo della SUPSI</w:t>
      </w:r>
      <w:r>
        <w:rPr>
          <w:rFonts w:cs="Arial"/>
          <w:szCs w:val="24"/>
        </w:rPr>
        <w:t>,</w:t>
      </w:r>
      <w:r w:rsidRPr="000C2954">
        <w:rPr>
          <w:rFonts w:cs="Arial"/>
          <w:szCs w:val="24"/>
        </w:rPr>
        <w:t xml:space="preserve"> </w:t>
      </w:r>
      <w:r>
        <w:rPr>
          <w:rFonts w:cs="Arial"/>
          <w:szCs w:val="24"/>
        </w:rPr>
        <w:t xml:space="preserve">in particolare per i progetti </w:t>
      </w:r>
      <w:r>
        <w:t>della</w:t>
      </w:r>
      <w:r w:rsidRPr="00431882">
        <w:t xml:space="preserve"> Commissione per la Tecnologia e l’Innovazione (CTI)</w:t>
      </w:r>
      <w:r>
        <w:rPr>
          <w:rFonts w:cs="Arial"/>
          <w:szCs w:val="24"/>
        </w:rPr>
        <w:t xml:space="preserve">, </w:t>
      </w:r>
      <w:r w:rsidRPr="000C2954">
        <w:rPr>
          <w:rFonts w:cs="Arial"/>
          <w:szCs w:val="24"/>
        </w:rPr>
        <w:t xml:space="preserve">è svolta per definizione in stretta collaborazione con imprese private </w:t>
      </w:r>
      <w:r>
        <w:rPr>
          <w:rFonts w:cs="Arial"/>
          <w:szCs w:val="24"/>
        </w:rPr>
        <w:t xml:space="preserve">del territorio, sostenendole in tal modo </w:t>
      </w:r>
      <w:r w:rsidRPr="000C2954">
        <w:rPr>
          <w:rFonts w:cs="Arial"/>
          <w:szCs w:val="24"/>
        </w:rPr>
        <w:t>nell’ambito dello sviluppo di prodotti</w:t>
      </w:r>
      <w:r>
        <w:rPr>
          <w:rFonts w:cs="Arial"/>
          <w:szCs w:val="24"/>
        </w:rPr>
        <w:t xml:space="preserve"> innovativi. La SUPSI collabora anche con il settore pubblico, mettendo a frutto le sue competenze per introdurre nuovi sistemi di gestione. La SUPSI collabora con altre università europee per aggiudicarsi i fondi dei programmi di ricerca dell’UE. </w:t>
      </w:r>
    </w:p>
    <w:p w:rsidR="0024207A" w:rsidRDefault="0024207A" w:rsidP="0024207A"/>
    <w:p w:rsidR="0024207A" w:rsidRDefault="0024207A" w:rsidP="0024207A">
      <w:r w:rsidRPr="00E268B9">
        <w:t>La</w:t>
      </w:r>
      <w:r w:rsidRPr="00E268B9">
        <w:rPr>
          <w:i/>
        </w:rPr>
        <w:t xml:space="preserve"> </w:t>
      </w:r>
      <w:r>
        <w:t>T</w:t>
      </w:r>
      <w:r w:rsidRPr="00C65DAB">
        <w:t>abella 9</w:t>
      </w:r>
      <w:r w:rsidRPr="007E5B5E">
        <w:t xml:space="preserve"> </w:t>
      </w:r>
      <w:r>
        <w:t>illustra l’evoluzione del</w:t>
      </w:r>
      <w:r w:rsidRPr="008E30A3">
        <w:t xml:space="preserve"> volume di ricerca </w:t>
      </w:r>
      <w:r>
        <w:t xml:space="preserve">per fonte di finanziamento. </w:t>
      </w:r>
    </w:p>
    <w:p w:rsidR="0024207A" w:rsidRDefault="0024207A" w:rsidP="0024207A"/>
    <w:p w:rsidR="0024207A" w:rsidRPr="001F1B4B" w:rsidRDefault="0024207A" w:rsidP="0024207A">
      <w:pPr>
        <w:autoSpaceDE w:val="0"/>
        <w:autoSpaceDN w:val="0"/>
        <w:adjustRightInd w:val="0"/>
        <w:spacing w:after="120"/>
        <w:jc w:val="left"/>
        <w:rPr>
          <w:rFonts w:cs="Arial"/>
          <w:sz w:val="22"/>
          <w:szCs w:val="22"/>
        </w:rPr>
      </w:pPr>
      <w:r w:rsidRPr="001F1B4B">
        <w:rPr>
          <w:rFonts w:cs="Arial"/>
          <w:b/>
          <w:sz w:val="22"/>
          <w:szCs w:val="22"/>
        </w:rPr>
        <w:t xml:space="preserve">Tabella 9 - Evoluzione del volume di ricerca della SUPSI (cifre in migliaia di </w:t>
      </w:r>
      <w:proofErr w:type="spellStart"/>
      <w:r w:rsidRPr="001F1B4B">
        <w:rPr>
          <w:rFonts w:cs="Arial"/>
          <w:b/>
          <w:sz w:val="22"/>
          <w:szCs w:val="22"/>
        </w:rPr>
        <w:t>fr</w:t>
      </w:r>
      <w:proofErr w:type="spellEnd"/>
      <w:r w:rsidRPr="001F1B4B">
        <w:rPr>
          <w:rFonts w:cs="Arial"/>
          <w:b/>
          <w:sz w:val="22"/>
          <w:szCs w:val="22"/>
        </w:rPr>
        <w:t>.)</w:t>
      </w:r>
    </w:p>
    <w:tbl>
      <w:tblPr>
        <w:tblW w:w="9317" w:type="dxa"/>
        <w:tblInd w:w="57" w:type="dxa"/>
        <w:tblCellMar>
          <w:left w:w="70" w:type="dxa"/>
          <w:right w:w="70" w:type="dxa"/>
        </w:tblCellMar>
        <w:tblLook w:val="0000" w:firstRow="0" w:lastRow="0" w:firstColumn="0" w:lastColumn="0" w:noHBand="0" w:noVBand="0"/>
      </w:tblPr>
      <w:tblGrid>
        <w:gridCol w:w="3557"/>
        <w:gridCol w:w="960"/>
        <w:gridCol w:w="960"/>
        <w:gridCol w:w="960"/>
        <w:gridCol w:w="960"/>
        <w:gridCol w:w="960"/>
        <w:gridCol w:w="960"/>
      </w:tblGrid>
      <w:tr w:rsidR="0024207A" w:rsidRPr="001D6C4D" w:rsidTr="0024207A">
        <w:trPr>
          <w:trHeight w:val="315"/>
        </w:trPr>
        <w:tc>
          <w:tcPr>
            <w:tcW w:w="3557" w:type="dxa"/>
            <w:tcBorders>
              <w:top w:val="single" w:sz="4" w:space="0" w:color="auto"/>
              <w:left w:val="nil"/>
              <w:bottom w:val="single" w:sz="8" w:space="0" w:color="auto"/>
              <w:right w:val="nil"/>
            </w:tcBorders>
            <w:shd w:val="clear" w:color="auto" w:fill="auto"/>
            <w:noWrap/>
            <w:vAlign w:val="center"/>
          </w:tcPr>
          <w:p w:rsidR="0024207A" w:rsidRPr="00072942" w:rsidRDefault="0024207A" w:rsidP="0024207A">
            <w:pPr>
              <w:rPr>
                <w:rFonts w:cs="Arial"/>
                <w:sz w:val="22"/>
                <w:szCs w:val="22"/>
              </w:rPr>
            </w:pPr>
            <w:r w:rsidRPr="00072942">
              <w:rPr>
                <w:rFonts w:cs="Arial"/>
                <w:sz w:val="22"/>
                <w:szCs w:val="22"/>
              </w:rPr>
              <w:t> </w:t>
            </w:r>
          </w:p>
        </w:tc>
        <w:tc>
          <w:tcPr>
            <w:tcW w:w="960" w:type="dxa"/>
            <w:tcBorders>
              <w:top w:val="single" w:sz="4" w:space="0" w:color="auto"/>
              <w:left w:val="nil"/>
              <w:bottom w:val="single" w:sz="8" w:space="0" w:color="auto"/>
              <w:right w:val="nil"/>
            </w:tcBorders>
            <w:vAlign w:val="center"/>
          </w:tcPr>
          <w:p w:rsidR="0024207A" w:rsidRPr="00072942" w:rsidRDefault="0024207A" w:rsidP="0024207A">
            <w:pPr>
              <w:jc w:val="right"/>
              <w:rPr>
                <w:rFonts w:cs="Arial"/>
                <w:b/>
                <w:bCs/>
                <w:sz w:val="22"/>
                <w:szCs w:val="22"/>
              </w:rPr>
            </w:pPr>
            <w:r w:rsidRPr="00072942">
              <w:rPr>
                <w:rFonts w:cs="Arial"/>
                <w:b/>
                <w:bCs/>
                <w:sz w:val="22"/>
                <w:szCs w:val="22"/>
              </w:rPr>
              <w:t>2012</w:t>
            </w:r>
          </w:p>
        </w:tc>
        <w:tc>
          <w:tcPr>
            <w:tcW w:w="960" w:type="dxa"/>
            <w:tcBorders>
              <w:top w:val="single" w:sz="4" w:space="0" w:color="auto"/>
              <w:left w:val="nil"/>
              <w:bottom w:val="single" w:sz="8" w:space="0" w:color="auto"/>
              <w:right w:val="nil"/>
            </w:tcBorders>
            <w:vAlign w:val="center"/>
          </w:tcPr>
          <w:p w:rsidR="0024207A" w:rsidRPr="00072942" w:rsidRDefault="0024207A" w:rsidP="0024207A">
            <w:pPr>
              <w:jc w:val="right"/>
              <w:rPr>
                <w:rFonts w:cs="Arial"/>
                <w:b/>
                <w:bCs/>
                <w:sz w:val="22"/>
                <w:szCs w:val="22"/>
              </w:rPr>
            </w:pPr>
            <w:r w:rsidRPr="00072942">
              <w:rPr>
                <w:rFonts w:cs="Arial"/>
                <w:b/>
                <w:bCs/>
                <w:sz w:val="22"/>
                <w:szCs w:val="22"/>
              </w:rPr>
              <w:t>2013</w:t>
            </w:r>
          </w:p>
        </w:tc>
        <w:tc>
          <w:tcPr>
            <w:tcW w:w="960" w:type="dxa"/>
            <w:tcBorders>
              <w:top w:val="single" w:sz="4" w:space="0" w:color="auto"/>
              <w:left w:val="nil"/>
              <w:bottom w:val="single" w:sz="8" w:space="0" w:color="auto"/>
              <w:right w:val="nil"/>
            </w:tcBorders>
            <w:vAlign w:val="center"/>
          </w:tcPr>
          <w:p w:rsidR="0024207A" w:rsidRPr="001D6C4D" w:rsidRDefault="0024207A" w:rsidP="0024207A">
            <w:pPr>
              <w:jc w:val="right"/>
              <w:rPr>
                <w:rFonts w:cs="Arial"/>
                <w:b/>
                <w:bCs/>
                <w:sz w:val="22"/>
                <w:szCs w:val="22"/>
                <w:highlight w:val="yellow"/>
              </w:rPr>
            </w:pPr>
            <w:r w:rsidRPr="002B2AC2">
              <w:rPr>
                <w:rFonts w:cs="Arial"/>
                <w:b/>
                <w:bCs/>
                <w:sz w:val="22"/>
                <w:szCs w:val="22"/>
              </w:rPr>
              <w:t>2014</w:t>
            </w:r>
          </w:p>
        </w:tc>
        <w:tc>
          <w:tcPr>
            <w:tcW w:w="960" w:type="dxa"/>
            <w:tcBorders>
              <w:top w:val="single" w:sz="4" w:space="0" w:color="auto"/>
              <w:left w:val="nil"/>
              <w:bottom w:val="single" w:sz="8" w:space="0" w:color="auto"/>
              <w:right w:val="nil"/>
            </w:tcBorders>
            <w:vAlign w:val="center"/>
          </w:tcPr>
          <w:p w:rsidR="0024207A" w:rsidRPr="001D6C4D" w:rsidRDefault="0024207A" w:rsidP="0024207A">
            <w:pPr>
              <w:jc w:val="right"/>
              <w:rPr>
                <w:rFonts w:cs="Arial"/>
                <w:b/>
                <w:bCs/>
                <w:sz w:val="22"/>
                <w:szCs w:val="22"/>
                <w:highlight w:val="yellow"/>
              </w:rPr>
            </w:pPr>
            <w:r w:rsidRPr="002B2AC2">
              <w:rPr>
                <w:rFonts w:cs="Arial"/>
                <w:b/>
                <w:bCs/>
                <w:sz w:val="22"/>
                <w:szCs w:val="22"/>
              </w:rPr>
              <w:t>201</w:t>
            </w:r>
            <w:r>
              <w:rPr>
                <w:rFonts w:cs="Arial"/>
                <w:b/>
                <w:bCs/>
                <w:sz w:val="22"/>
                <w:szCs w:val="22"/>
              </w:rPr>
              <w:t>5</w:t>
            </w:r>
          </w:p>
        </w:tc>
        <w:tc>
          <w:tcPr>
            <w:tcW w:w="960" w:type="dxa"/>
            <w:tcBorders>
              <w:top w:val="single" w:sz="4" w:space="0" w:color="auto"/>
              <w:left w:val="nil"/>
              <w:bottom w:val="single" w:sz="8" w:space="0" w:color="auto"/>
              <w:right w:val="nil"/>
            </w:tcBorders>
            <w:vAlign w:val="center"/>
          </w:tcPr>
          <w:p w:rsidR="0024207A" w:rsidRPr="001D6C4D" w:rsidRDefault="0024207A" w:rsidP="0024207A">
            <w:pPr>
              <w:jc w:val="right"/>
              <w:rPr>
                <w:rFonts w:cs="Arial"/>
                <w:b/>
                <w:bCs/>
                <w:sz w:val="22"/>
                <w:szCs w:val="22"/>
                <w:highlight w:val="yellow"/>
              </w:rPr>
            </w:pPr>
            <w:r w:rsidRPr="002B2AC2">
              <w:rPr>
                <w:rFonts w:cs="Arial"/>
                <w:b/>
                <w:bCs/>
                <w:sz w:val="22"/>
                <w:szCs w:val="22"/>
              </w:rPr>
              <w:t>201</w:t>
            </w:r>
            <w:r>
              <w:rPr>
                <w:rFonts w:cs="Arial"/>
                <w:b/>
                <w:bCs/>
                <w:sz w:val="22"/>
                <w:szCs w:val="22"/>
              </w:rPr>
              <w:t>6</w:t>
            </w:r>
          </w:p>
        </w:tc>
        <w:tc>
          <w:tcPr>
            <w:tcW w:w="960" w:type="dxa"/>
            <w:tcBorders>
              <w:top w:val="single" w:sz="4" w:space="0" w:color="auto"/>
              <w:left w:val="nil"/>
              <w:bottom w:val="single" w:sz="8" w:space="0" w:color="auto"/>
              <w:right w:val="nil"/>
            </w:tcBorders>
            <w:shd w:val="clear" w:color="auto" w:fill="auto"/>
            <w:noWrap/>
            <w:vAlign w:val="center"/>
          </w:tcPr>
          <w:p w:rsidR="0024207A" w:rsidRPr="004A3EC1" w:rsidRDefault="0024207A" w:rsidP="0024207A">
            <w:pPr>
              <w:jc w:val="right"/>
              <w:rPr>
                <w:rFonts w:cs="Arial"/>
                <w:b/>
                <w:bCs/>
                <w:sz w:val="22"/>
                <w:szCs w:val="22"/>
              </w:rPr>
            </w:pPr>
            <w:r w:rsidRPr="004A3EC1">
              <w:rPr>
                <w:rFonts w:cs="Arial"/>
                <w:b/>
                <w:bCs/>
                <w:sz w:val="22"/>
                <w:szCs w:val="22"/>
              </w:rPr>
              <w:t>2017</w:t>
            </w:r>
          </w:p>
        </w:tc>
      </w:tr>
      <w:tr w:rsidR="0024207A" w:rsidRPr="001D6C4D" w:rsidTr="0024207A">
        <w:trPr>
          <w:trHeight w:val="285"/>
        </w:trPr>
        <w:tc>
          <w:tcPr>
            <w:tcW w:w="3557" w:type="dxa"/>
            <w:tcBorders>
              <w:top w:val="nil"/>
              <w:left w:val="nil"/>
              <w:bottom w:val="nil"/>
              <w:right w:val="nil"/>
            </w:tcBorders>
            <w:shd w:val="clear" w:color="auto" w:fill="auto"/>
            <w:noWrap/>
            <w:vAlign w:val="center"/>
          </w:tcPr>
          <w:p w:rsidR="0024207A" w:rsidRPr="00072942" w:rsidRDefault="0024207A" w:rsidP="0024207A">
            <w:pPr>
              <w:rPr>
                <w:rFonts w:cs="Arial"/>
                <w:sz w:val="22"/>
                <w:szCs w:val="22"/>
              </w:rPr>
            </w:pPr>
            <w:r w:rsidRPr="00072942">
              <w:rPr>
                <w:rFonts w:cs="Arial"/>
                <w:sz w:val="22"/>
                <w:szCs w:val="22"/>
              </w:rPr>
              <w:t>FN</w:t>
            </w:r>
            <w:r>
              <w:rPr>
                <w:rFonts w:cs="Arial"/>
                <w:sz w:val="22"/>
                <w:szCs w:val="22"/>
              </w:rPr>
              <w:t>R</w:t>
            </w:r>
            <w:r w:rsidRPr="00072942">
              <w:rPr>
                <w:rFonts w:cs="Arial"/>
                <w:sz w:val="22"/>
                <w:szCs w:val="22"/>
              </w:rPr>
              <w:t>S</w:t>
            </w:r>
          </w:p>
        </w:tc>
        <w:tc>
          <w:tcPr>
            <w:tcW w:w="960" w:type="dxa"/>
            <w:tcBorders>
              <w:top w:val="nil"/>
              <w:left w:val="nil"/>
              <w:bottom w:val="nil"/>
              <w:right w:val="nil"/>
            </w:tcBorders>
            <w:vAlign w:val="center"/>
          </w:tcPr>
          <w:p w:rsidR="0024207A" w:rsidRPr="00072942" w:rsidRDefault="0024207A" w:rsidP="0024207A">
            <w:pPr>
              <w:jc w:val="right"/>
              <w:rPr>
                <w:rFonts w:cs="Arial"/>
                <w:sz w:val="22"/>
                <w:szCs w:val="22"/>
              </w:rPr>
            </w:pPr>
            <w:r w:rsidRPr="00072942">
              <w:rPr>
                <w:rFonts w:cs="Arial"/>
                <w:sz w:val="22"/>
                <w:szCs w:val="22"/>
              </w:rPr>
              <w:t>733</w:t>
            </w:r>
          </w:p>
        </w:tc>
        <w:tc>
          <w:tcPr>
            <w:tcW w:w="960" w:type="dxa"/>
            <w:tcBorders>
              <w:top w:val="nil"/>
              <w:left w:val="nil"/>
              <w:bottom w:val="nil"/>
              <w:right w:val="nil"/>
            </w:tcBorders>
            <w:vAlign w:val="center"/>
          </w:tcPr>
          <w:p w:rsidR="0024207A" w:rsidRPr="003D764E" w:rsidRDefault="0024207A" w:rsidP="0024207A">
            <w:pPr>
              <w:jc w:val="right"/>
              <w:rPr>
                <w:rFonts w:eastAsia="Calibri" w:cs="Arial"/>
                <w:sz w:val="22"/>
                <w:szCs w:val="22"/>
              </w:rPr>
            </w:pPr>
            <w:r w:rsidRPr="00072942">
              <w:rPr>
                <w:sz w:val="22"/>
                <w:szCs w:val="22"/>
              </w:rPr>
              <w:t>632</w:t>
            </w:r>
          </w:p>
        </w:tc>
        <w:tc>
          <w:tcPr>
            <w:tcW w:w="960" w:type="dxa"/>
            <w:tcBorders>
              <w:top w:val="nil"/>
              <w:left w:val="nil"/>
              <w:bottom w:val="nil"/>
              <w:right w:val="nil"/>
            </w:tcBorders>
            <w:vAlign w:val="center"/>
          </w:tcPr>
          <w:p w:rsidR="0024207A" w:rsidRPr="001D6C4D" w:rsidRDefault="0024207A" w:rsidP="0024207A">
            <w:pPr>
              <w:jc w:val="right"/>
              <w:rPr>
                <w:rFonts w:cs="Arial"/>
                <w:sz w:val="22"/>
                <w:szCs w:val="22"/>
              </w:rPr>
            </w:pPr>
            <w:r>
              <w:rPr>
                <w:rFonts w:cs="Arial"/>
                <w:sz w:val="22"/>
                <w:szCs w:val="22"/>
              </w:rPr>
              <w:t>1’146</w:t>
            </w:r>
          </w:p>
        </w:tc>
        <w:tc>
          <w:tcPr>
            <w:tcW w:w="960" w:type="dxa"/>
            <w:tcBorders>
              <w:top w:val="nil"/>
              <w:left w:val="nil"/>
              <w:bottom w:val="nil"/>
              <w:right w:val="nil"/>
            </w:tcBorders>
            <w:vAlign w:val="center"/>
          </w:tcPr>
          <w:p w:rsidR="0024207A" w:rsidRPr="00237315" w:rsidRDefault="0024207A" w:rsidP="0024207A">
            <w:pPr>
              <w:jc w:val="right"/>
              <w:rPr>
                <w:rFonts w:cs="Arial"/>
                <w:sz w:val="22"/>
                <w:szCs w:val="22"/>
                <w:highlight w:val="green"/>
              </w:rPr>
            </w:pPr>
            <w:r w:rsidRPr="000A58C3">
              <w:rPr>
                <w:rFonts w:cs="Arial"/>
                <w:sz w:val="22"/>
                <w:szCs w:val="22"/>
              </w:rPr>
              <w:t>1’189</w:t>
            </w:r>
          </w:p>
        </w:tc>
        <w:tc>
          <w:tcPr>
            <w:tcW w:w="960" w:type="dxa"/>
            <w:tcBorders>
              <w:top w:val="nil"/>
              <w:left w:val="nil"/>
              <w:bottom w:val="nil"/>
              <w:right w:val="nil"/>
            </w:tcBorders>
            <w:vAlign w:val="center"/>
          </w:tcPr>
          <w:p w:rsidR="0024207A" w:rsidRPr="00105FEC" w:rsidRDefault="0024207A" w:rsidP="0024207A">
            <w:pPr>
              <w:jc w:val="right"/>
              <w:rPr>
                <w:rFonts w:cs="Arial"/>
                <w:sz w:val="22"/>
                <w:szCs w:val="22"/>
              </w:rPr>
            </w:pPr>
            <w:r w:rsidRPr="00105FEC">
              <w:rPr>
                <w:rFonts w:cs="Arial"/>
                <w:sz w:val="22"/>
                <w:szCs w:val="22"/>
              </w:rPr>
              <w:t>1’572</w:t>
            </w:r>
          </w:p>
        </w:tc>
        <w:tc>
          <w:tcPr>
            <w:tcW w:w="960" w:type="dxa"/>
            <w:tcBorders>
              <w:top w:val="single" w:sz="8" w:space="0" w:color="auto"/>
              <w:left w:val="nil"/>
              <w:bottom w:val="nil"/>
              <w:right w:val="nil"/>
            </w:tcBorders>
            <w:shd w:val="clear" w:color="auto" w:fill="auto"/>
            <w:noWrap/>
            <w:vAlign w:val="center"/>
          </w:tcPr>
          <w:p w:rsidR="0024207A" w:rsidRPr="004A3EC1" w:rsidRDefault="0024207A" w:rsidP="0024207A">
            <w:pPr>
              <w:jc w:val="right"/>
              <w:rPr>
                <w:rFonts w:cs="Arial"/>
                <w:sz w:val="22"/>
                <w:szCs w:val="22"/>
              </w:rPr>
            </w:pPr>
            <w:r w:rsidRPr="004A3EC1">
              <w:rPr>
                <w:rFonts w:cs="Arial"/>
                <w:sz w:val="22"/>
                <w:szCs w:val="22"/>
              </w:rPr>
              <w:t>1’662</w:t>
            </w:r>
          </w:p>
        </w:tc>
      </w:tr>
      <w:tr w:rsidR="0024207A" w:rsidRPr="001D6C4D" w:rsidTr="0024207A">
        <w:trPr>
          <w:trHeight w:val="285"/>
        </w:trPr>
        <w:tc>
          <w:tcPr>
            <w:tcW w:w="3557" w:type="dxa"/>
            <w:tcBorders>
              <w:top w:val="nil"/>
              <w:left w:val="nil"/>
              <w:bottom w:val="nil"/>
              <w:right w:val="nil"/>
            </w:tcBorders>
            <w:shd w:val="clear" w:color="auto" w:fill="auto"/>
            <w:noWrap/>
            <w:vAlign w:val="center"/>
          </w:tcPr>
          <w:p w:rsidR="0024207A" w:rsidRPr="00072942" w:rsidRDefault="0024207A" w:rsidP="0024207A">
            <w:pPr>
              <w:rPr>
                <w:rFonts w:cs="Arial"/>
                <w:sz w:val="22"/>
                <w:szCs w:val="22"/>
              </w:rPr>
            </w:pPr>
            <w:r w:rsidRPr="00072942">
              <w:rPr>
                <w:rFonts w:cs="Arial"/>
                <w:sz w:val="22"/>
                <w:szCs w:val="22"/>
              </w:rPr>
              <w:t>UE e altri enti internazionali</w:t>
            </w:r>
          </w:p>
        </w:tc>
        <w:tc>
          <w:tcPr>
            <w:tcW w:w="960" w:type="dxa"/>
            <w:tcBorders>
              <w:top w:val="nil"/>
              <w:left w:val="nil"/>
              <w:bottom w:val="nil"/>
              <w:right w:val="nil"/>
            </w:tcBorders>
            <w:vAlign w:val="center"/>
          </w:tcPr>
          <w:p w:rsidR="0024207A" w:rsidRPr="00072942" w:rsidRDefault="0024207A" w:rsidP="0024207A">
            <w:pPr>
              <w:jc w:val="right"/>
              <w:rPr>
                <w:rFonts w:cs="Arial"/>
                <w:sz w:val="22"/>
                <w:szCs w:val="22"/>
              </w:rPr>
            </w:pPr>
            <w:r w:rsidRPr="00072942">
              <w:rPr>
                <w:rFonts w:cs="Arial"/>
                <w:sz w:val="22"/>
                <w:szCs w:val="22"/>
              </w:rPr>
              <w:t>3'062</w:t>
            </w:r>
          </w:p>
        </w:tc>
        <w:tc>
          <w:tcPr>
            <w:tcW w:w="960" w:type="dxa"/>
            <w:tcBorders>
              <w:top w:val="nil"/>
              <w:left w:val="nil"/>
              <w:bottom w:val="nil"/>
              <w:right w:val="nil"/>
            </w:tcBorders>
            <w:vAlign w:val="center"/>
          </w:tcPr>
          <w:p w:rsidR="0024207A" w:rsidRPr="003D764E" w:rsidRDefault="0024207A" w:rsidP="0024207A">
            <w:pPr>
              <w:jc w:val="right"/>
              <w:rPr>
                <w:rFonts w:eastAsia="Calibri" w:cs="Arial"/>
                <w:sz w:val="22"/>
                <w:szCs w:val="22"/>
              </w:rPr>
            </w:pPr>
            <w:r w:rsidRPr="00072942">
              <w:rPr>
                <w:sz w:val="22"/>
                <w:szCs w:val="22"/>
              </w:rPr>
              <w:t>4’240</w:t>
            </w:r>
          </w:p>
        </w:tc>
        <w:tc>
          <w:tcPr>
            <w:tcW w:w="960" w:type="dxa"/>
            <w:tcBorders>
              <w:top w:val="nil"/>
              <w:left w:val="nil"/>
              <w:bottom w:val="nil"/>
              <w:right w:val="nil"/>
            </w:tcBorders>
            <w:vAlign w:val="center"/>
          </w:tcPr>
          <w:p w:rsidR="0024207A" w:rsidRPr="001D6C4D" w:rsidRDefault="0024207A" w:rsidP="0024207A">
            <w:pPr>
              <w:jc w:val="right"/>
              <w:rPr>
                <w:rFonts w:cs="Arial"/>
                <w:sz w:val="22"/>
                <w:szCs w:val="22"/>
              </w:rPr>
            </w:pPr>
            <w:r>
              <w:rPr>
                <w:rFonts w:cs="Arial"/>
                <w:sz w:val="22"/>
                <w:szCs w:val="22"/>
              </w:rPr>
              <w:t>3’595</w:t>
            </w:r>
          </w:p>
        </w:tc>
        <w:tc>
          <w:tcPr>
            <w:tcW w:w="960" w:type="dxa"/>
            <w:tcBorders>
              <w:top w:val="nil"/>
              <w:left w:val="nil"/>
              <w:bottom w:val="nil"/>
              <w:right w:val="nil"/>
            </w:tcBorders>
            <w:vAlign w:val="center"/>
          </w:tcPr>
          <w:p w:rsidR="0024207A" w:rsidRPr="00237315" w:rsidRDefault="0024207A" w:rsidP="0024207A">
            <w:pPr>
              <w:jc w:val="right"/>
              <w:rPr>
                <w:rFonts w:cs="Arial"/>
                <w:sz w:val="22"/>
                <w:szCs w:val="22"/>
                <w:highlight w:val="green"/>
              </w:rPr>
            </w:pPr>
            <w:r w:rsidRPr="000A58C3">
              <w:rPr>
                <w:rFonts w:cs="Arial"/>
                <w:sz w:val="22"/>
                <w:szCs w:val="22"/>
              </w:rPr>
              <w:t>4’099</w:t>
            </w:r>
          </w:p>
        </w:tc>
        <w:tc>
          <w:tcPr>
            <w:tcW w:w="960" w:type="dxa"/>
            <w:tcBorders>
              <w:top w:val="nil"/>
              <w:left w:val="nil"/>
              <w:bottom w:val="nil"/>
              <w:right w:val="nil"/>
            </w:tcBorders>
            <w:vAlign w:val="center"/>
          </w:tcPr>
          <w:p w:rsidR="0024207A" w:rsidRPr="00105FEC" w:rsidRDefault="0024207A" w:rsidP="0024207A">
            <w:pPr>
              <w:jc w:val="right"/>
              <w:rPr>
                <w:rFonts w:cs="Arial"/>
                <w:sz w:val="22"/>
                <w:szCs w:val="22"/>
              </w:rPr>
            </w:pPr>
            <w:r w:rsidRPr="00105FEC">
              <w:rPr>
                <w:rFonts w:cs="Arial"/>
                <w:sz w:val="22"/>
                <w:szCs w:val="22"/>
              </w:rPr>
              <w:t>4’275</w:t>
            </w:r>
          </w:p>
        </w:tc>
        <w:tc>
          <w:tcPr>
            <w:tcW w:w="960" w:type="dxa"/>
            <w:tcBorders>
              <w:top w:val="nil"/>
              <w:left w:val="nil"/>
              <w:bottom w:val="nil"/>
              <w:right w:val="nil"/>
            </w:tcBorders>
            <w:shd w:val="clear" w:color="auto" w:fill="FFFFFF"/>
            <w:noWrap/>
            <w:vAlign w:val="center"/>
          </w:tcPr>
          <w:p w:rsidR="0024207A" w:rsidRPr="004A3EC1" w:rsidRDefault="0024207A" w:rsidP="0024207A">
            <w:pPr>
              <w:jc w:val="right"/>
              <w:rPr>
                <w:rFonts w:cs="Arial"/>
                <w:sz w:val="22"/>
                <w:szCs w:val="22"/>
              </w:rPr>
            </w:pPr>
            <w:r w:rsidRPr="004A3EC1">
              <w:rPr>
                <w:rFonts w:cs="Arial"/>
                <w:sz w:val="22"/>
                <w:szCs w:val="22"/>
              </w:rPr>
              <w:t>4’239</w:t>
            </w:r>
          </w:p>
        </w:tc>
      </w:tr>
      <w:tr w:rsidR="0024207A" w:rsidRPr="001D6C4D" w:rsidTr="0024207A">
        <w:trPr>
          <w:trHeight w:val="285"/>
        </w:trPr>
        <w:tc>
          <w:tcPr>
            <w:tcW w:w="3557" w:type="dxa"/>
            <w:tcBorders>
              <w:top w:val="nil"/>
              <w:left w:val="nil"/>
              <w:bottom w:val="nil"/>
              <w:right w:val="nil"/>
            </w:tcBorders>
            <w:shd w:val="clear" w:color="auto" w:fill="auto"/>
            <w:noWrap/>
            <w:vAlign w:val="center"/>
          </w:tcPr>
          <w:p w:rsidR="0024207A" w:rsidRPr="00072942" w:rsidRDefault="0024207A" w:rsidP="0024207A">
            <w:pPr>
              <w:rPr>
                <w:rFonts w:cs="Arial"/>
                <w:sz w:val="22"/>
                <w:szCs w:val="22"/>
              </w:rPr>
            </w:pPr>
            <w:r w:rsidRPr="00072942">
              <w:rPr>
                <w:rFonts w:cs="Arial"/>
                <w:sz w:val="22"/>
                <w:szCs w:val="22"/>
              </w:rPr>
              <w:t>CTI</w:t>
            </w:r>
          </w:p>
        </w:tc>
        <w:tc>
          <w:tcPr>
            <w:tcW w:w="960" w:type="dxa"/>
            <w:tcBorders>
              <w:top w:val="nil"/>
              <w:left w:val="nil"/>
              <w:bottom w:val="nil"/>
              <w:right w:val="nil"/>
            </w:tcBorders>
            <w:vAlign w:val="center"/>
          </w:tcPr>
          <w:p w:rsidR="0024207A" w:rsidRPr="00072942" w:rsidRDefault="0024207A" w:rsidP="0024207A">
            <w:pPr>
              <w:jc w:val="right"/>
              <w:rPr>
                <w:rFonts w:cs="Arial"/>
                <w:sz w:val="22"/>
                <w:szCs w:val="22"/>
              </w:rPr>
            </w:pPr>
            <w:r w:rsidRPr="00072942">
              <w:rPr>
                <w:rFonts w:cs="Arial"/>
                <w:sz w:val="22"/>
                <w:szCs w:val="22"/>
              </w:rPr>
              <w:t>3'870</w:t>
            </w:r>
          </w:p>
        </w:tc>
        <w:tc>
          <w:tcPr>
            <w:tcW w:w="960" w:type="dxa"/>
            <w:tcBorders>
              <w:top w:val="nil"/>
              <w:left w:val="nil"/>
              <w:bottom w:val="nil"/>
              <w:right w:val="nil"/>
            </w:tcBorders>
            <w:vAlign w:val="center"/>
          </w:tcPr>
          <w:p w:rsidR="0024207A" w:rsidRPr="003D764E" w:rsidRDefault="0024207A" w:rsidP="0024207A">
            <w:pPr>
              <w:jc w:val="right"/>
              <w:rPr>
                <w:rFonts w:eastAsia="Calibri" w:cs="Arial"/>
                <w:sz w:val="22"/>
                <w:szCs w:val="22"/>
              </w:rPr>
            </w:pPr>
            <w:r w:rsidRPr="00072942">
              <w:rPr>
                <w:sz w:val="22"/>
                <w:szCs w:val="22"/>
              </w:rPr>
              <w:t>4’290</w:t>
            </w:r>
          </w:p>
        </w:tc>
        <w:tc>
          <w:tcPr>
            <w:tcW w:w="960" w:type="dxa"/>
            <w:tcBorders>
              <w:top w:val="nil"/>
              <w:left w:val="nil"/>
              <w:bottom w:val="nil"/>
              <w:right w:val="nil"/>
            </w:tcBorders>
            <w:vAlign w:val="center"/>
          </w:tcPr>
          <w:p w:rsidR="0024207A" w:rsidRPr="001D6C4D" w:rsidRDefault="0024207A" w:rsidP="0024207A">
            <w:pPr>
              <w:jc w:val="right"/>
              <w:rPr>
                <w:rFonts w:cs="Arial"/>
                <w:sz w:val="22"/>
                <w:szCs w:val="22"/>
              </w:rPr>
            </w:pPr>
            <w:r>
              <w:rPr>
                <w:rFonts w:cs="Arial"/>
                <w:sz w:val="22"/>
                <w:szCs w:val="22"/>
              </w:rPr>
              <w:t>4’631</w:t>
            </w:r>
          </w:p>
        </w:tc>
        <w:tc>
          <w:tcPr>
            <w:tcW w:w="960" w:type="dxa"/>
            <w:tcBorders>
              <w:top w:val="nil"/>
              <w:left w:val="nil"/>
              <w:bottom w:val="nil"/>
              <w:right w:val="nil"/>
            </w:tcBorders>
            <w:vAlign w:val="center"/>
          </w:tcPr>
          <w:p w:rsidR="0024207A" w:rsidRPr="00237315" w:rsidRDefault="0024207A" w:rsidP="0024207A">
            <w:pPr>
              <w:jc w:val="right"/>
              <w:rPr>
                <w:rFonts w:cs="Arial"/>
                <w:sz w:val="22"/>
                <w:szCs w:val="22"/>
                <w:highlight w:val="green"/>
              </w:rPr>
            </w:pPr>
            <w:r w:rsidRPr="000A58C3">
              <w:rPr>
                <w:rFonts w:cs="Arial"/>
                <w:sz w:val="22"/>
                <w:szCs w:val="22"/>
              </w:rPr>
              <w:t>4’351</w:t>
            </w:r>
          </w:p>
        </w:tc>
        <w:tc>
          <w:tcPr>
            <w:tcW w:w="960" w:type="dxa"/>
            <w:tcBorders>
              <w:top w:val="nil"/>
              <w:left w:val="nil"/>
              <w:bottom w:val="nil"/>
              <w:right w:val="nil"/>
            </w:tcBorders>
            <w:vAlign w:val="center"/>
          </w:tcPr>
          <w:p w:rsidR="0024207A" w:rsidRPr="00105FEC" w:rsidRDefault="0024207A" w:rsidP="0024207A">
            <w:pPr>
              <w:jc w:val="right"/>
              <w:rPr>
                <w:rFonts w:cs="Arial"/>
                <w:sz w:val="22"/>
                <w:szCs w:val="22"/>
              </w:rPr>
            </w:pPr>
            <w:r w:rsidRPr="00105FEC">
              <w:rPr>
                <w:rFonts w:cs="Arial"/>
                <w:sz w:val="22"/>
                <w:szCs w:val="22"/>
              </w:rPr>
              <w:t>3’300</w:t>
            </w:r>
          </w:p>
        </w:tc>
        <w:tc>
          <w:tcPr>
            <w:tcW w:w="960" w:type="dxa"/>
            <w:tcBorders>
              <w:top w:val="nil"/>
              <w:left w:val="nil"/>
              <w:bottom w:val="nil"/>
              <w:right w:val="nil"/>
            </w:tcBorders>
            <w:shd w:val="clear" w:color="auto" w:fill="FFFFFF"/>
            <w:noWrap/>
            <w:vAlign w:val="center"/>
          </w:tcPr>
          <w:p w:rsidR="0024207A" w:rsidRPr="004A3EC1" w:rsidRDefault="0024207A" w:rsidP="0024207A">
            <w:pPr>
              <w:jc w:val="right"/>
              <w:rPr>
                <w:rFonts w:cs="Arial"/>
                <w:sz w:val="22"/>
                <w:szCs w:val="22"/>
              </w:rPr>
            </w:pPr>
            <w:r w:rsidRPr="004A3EC1">
              <w:rPr>
                <w:rFonts w:cs="Arial"/>
                <w:sz w:val="22"/>
                <w:szCs w:val="22"/>
              </w:rPr>
              <w:t>4’198</w:t>
            </w:r>
          </w:p>
        </w:tc>
      </w:tr>
      <w:tr w:rsidR="0024207A" w:rsidRPr="001D6C4D" w:rsidTr="0024207A">
        <w:trPr>
          <w:trHeight w:val="285"/>
        </w:trPr>
        <w:tc>
          <w:tcPr>
            <w:tcW w:w="3557" w:type="dxa"/>
            <w:tcBorders>
              <w:top w:val="nil"/>
              <w:left w:val="nil"/>
              <w:bottom w:val="nil"/>
              <w:right w:val="nil"/>
            </w:tcBorders>
            <w:shd w:val="clear" w:color="auto" w:fill="auto"/>
            <w:noWrap/>
            <w:vAlign w:val="center"/>
          </w:tcPr>
          <w:p w:rsidR="0024207A" w:rsidRPr="00072942" w:rsidRDefault="0024207A" w:rsidP="0024207A">
            <w:pPr>
              <w:rPr>
                <w:rFonts w:cs="Arial"/>
                <w:sz w:val="22"/>
                <w:szCs w:val="22"/>
              </w:rPr>
            </w:pPr>
            <w:r w:rsidRPr="00072942">
              <w:rPr>
                <w:rFonts w:cs="Arial"/>
                <w:sz w:val="22"/>
                <w:szCs w:val="22"/>
              </w:rPr>
              <w:t xml:space="preserve">Mandati diretti </w:t>
            </w:r>
          </w:p>
        </w:tc>
        <w:tc>
          <w:tcPr>
            <w:tcW w:w="960" w:type="dxa"/>
            <w:tcBorders>
              <w:top w:val="nil"/>
              <w:left w:val="nil"/>
              <w:bottom w:val="nil"/>
              <w:right w:val="nil"/>
            </w:tcBorders>
            <w:vAlign w:val="center"/>
          </w:tcPr>
          <w:p w:rsidR="0024207A" w:rsidRPr="00072942" w:rsidRDefault="0024207A" w:rsidP="0024207A">
            <w:pPr>
              <w:jc w:val="right"/>
              <w:rPr>
                <w:rFonts w:cs="Arial"/>
                <w:sz w:val="22"/>
                <w:szCs w:val="22"/>
              </w:rPr>
            </w:pPr>
            <w:r w:rsidRPr="00072942">
              <w:rPr>
                <w:rFonts w:cs="Arial"/>
                <w:sz w:val="22"/>
                <w:szCs w:val="22"/>
              </w:rPr>
              <w:t>6'431</w:t>
            </w:r>
          </w:p>
        </w:tc>
        <w:tc>
          <w:tcPr>
            <w:tcW w:w="960" w:type="dxa"/>
            <w:tcBorders>
              <w:top w:val="nil"/>
              <w:left w:val="nil"/>
              <w:bottom w:val="nil"/>
              <w:right w:val="nil"/>
            </w:tcBorders>
            <w:vAlign w:val="center"/>
          </w:tcPr>
          <w:p w:rsidR="0024207A" w:rsidRPr="003D764E" w:rsidRDefault="0024207A" w:rsidP="0024207A">
            <w:pPr>
              <w:jc w:val="right"/>
              <w:rPr>
                <w:rFonts w:eastAsia="Calibri" w:cs="Arial"/>
                <w:sz w:val="22"/>
                <w:szCs w:val="22"/>
              </w:rPr>
            </w:pPr>
            <w:r w:rsidRPr="00072942">
              <w:rPr>
                <w:sz w:val="22"/>
                <w:szCs w:val="22"/>
              </w:rPr>
              <w:t>6’725</w:t>
            </w:r>
          </w:p>
        </w:tc>
        <w:tc>
          <w:tcPr>
            <w:tcW w:w="960" w:type="dxa"/>
            <w:tcBorders>
              <w:top w:val="nil"/>
              <w:left w:val="nil"/>
              <w:bottom w:val="nil"/>
              <w:right w:val="nil"/>
            </w:tcBorders>
            <w:vAlign w:val="center"/>
          </w:tcPr>
          <w:p w:rsidR="0024207A" w:rsidRPr="001D6C4D" w:rsidRDefault="0024207A" w:rsidP="0024207A">
            <w:pPr>
              <w:jc w:val="right"/>
              <w:rPr>
                <w:rFonts w:cs="Arial"/>
                <w:sz w:val="22"/>
                <w:szCs w:val="22"/>
              </w:rPr>
            </w:pPr>
            <w:r>
              <w:rPr>
                <w:rFonts w:cs="Arial"/>
                <w:sz w:val="22"/>
                <w:szCs w:val="22"/>
              </w:rPr>
              <w:t>8’113</w:t>
            </w:r>
          </w:p>
        </w:tc>
        <w:tc>
          <w:tcPr>
            <w:tcW w:w="960" w:type="dxa"/>
            <w:tcBorders>
              <w:top w:val="nil"/>
              <w:left w:val="nil"/>
              <w:bottom w:val="nil"/>
              <w:right w:val="nil"/>
            </w:tcBorders>
            <w:vAlign w:val="center"/>
          </w:tcPr>
          <w:p w:rsidR="0024207A" w:rsidRPr="00237315" w:rsidRDefault="0024207A" w:rsidP="0024207A">
            <w:pPr>
              <w:jc w:val="right"/>
              <w:rPr>
                <w:rFonts w:cs="Arial"/>
                <w:sz w:val="22"/>
                <w:szCs w:val="22"/>
                <w:highlight w:val="green"/>
              </w:rPr>
            </w:pPr>
            <w:r w:rsidRPr="000A58C3">
              <w:rPr>
                <w:rFonts w:cs="Arial"/>
                <w:sz w:val="22"/>
                <w:szCs w:val="22"/>
              </w:rPr>
              <w:t>7’975</w:t>
            </w:r>
          </w:p>
        </w:tc>
        <w:tc>
          <w:tcPr>
            <w:tcW w:w="960" w:type="dxa"/>
            <w:tcBorders>
              <w:top w:val="nil"/>
              <w:left w:val="nil"/>
              <w:bottom w:val="nil"/>
              <w:right w:val="nil"/>
            </w:tcBorders>
            <w:vAlign w:val="center"/>
          </w:tcPr>
          <w:p w:rsidR="0024207A" w:rsidRPr="00105FEC" w:rsidRDefault="0024207A" w:rsidP="0024207A">
            <w:pPr>
              <w:jc w:val="right"/>
              <w:rPr>
                <w:rFonts w:cs="Arial"/>
                <w:sz w:val="22"/>
                <w:szCs w:val="22"/>
              </w:rPr>
            </w:pPr>
            <w:r w:rsidRPr="00105FEC">
              <w:rPr>
                <w:rFonts w:cs="Arial"/>
                <w:sz w:val="22"/>
                <w:szCs w:val="22"/>
              </w:rPr>
              <w:t>8’952</w:t>
            </w:r>
          </w:p>
        </w:tc>
        <w:tc>
          <w:tcPr>
            <w:tcW w:w="960" w:type="dxa"/>
            <w:tcBorders>
              <w:top w:val="nil"/>
              <w:left w:val="nil"/>
              <w:bottom w:val="nil"/>
              <w:right w:val="nil"/>
            </w:tcBorders>
            <w:shd w:val="clear" w:color="auto" w:fill="FFFFFF"/>
            <w:noWrap/>
            <w:vAlign w:val="center"/>
          </w:tcPr>
          <w:p w:rsidR="0024207A" w:rsidRPr="004A3EC1" w:rsidRDefault="0024207A" w:rsidP="0024207A">
            <w:pPr>
              <w:jc w:val="right"/>
              <w:rPr>
                <w:rFonts w:cs="Arial"/>
                <w:sz w:val="22"/>
                <w:szCs w:val="22"/>
              </w:rPr>
            </w:pPr>
            <w:r w:rsidRPr="004A3EC1">
              <w:rPr>
                <w:rFonts w:cs="Arial"/>
                <w:sz w:val="22"/>
                <w:szCs w:val="22"/>
              </w:rPr>
              <w:t>7’197</w:t>
            </w:r>
          </w:p>
        </w:tc>
      </w:tr>
      <w:tr w:rsidR="0024207A" w:rsidRPr="001D6C4D" w:rsidTr="0024207A">
        <w:trPr>
          <w:trHeight w:val="300"/>
        </w:trPr>
        <w:tc>
          <w:tcPr>
            <w:tcW w:w="3557" w:type="dxa"/>
            <w:tcBorders>
              <w:top w:val="nil"/>
              <w:left w:val="nil"/>
              <w:bottom w:val="single" w:sz="8" w:space="0" w:color="auto"/>
              <w:right w:val="nil"/>
            </w:tcBorders>
            <w:shd w:val="clear" w:color="auto" w:fill="auto"/>
            <w:noWrap/>
            <w:vAlign w:val="center"/>
          </w:tcPr>
          <w:p w:rsidR="0024207A" w:rsidRPr="00072942" w:rsidRDefault="0024207A" w:rsidP="0024207A">
            <w:pPr>
              <w:rPr>
                <w:rFonts w:cs="Arial"/>
                <w:i/>
                <w:iCs/>
                <w:sz w:val="22"/>
                <w:szCs w:val="22"/>
              </w:rPr>
            </w:pPr>
            <w:r w:rsidRPr="00072942">
              <w:rPr>
                <w:rFonts w:cs="Arial"/>
                <w:i/>
                <w:iCs/>
                <w:sz w:val="22"/>
                <w:szCs w:val="22"/>
              </w:rPr>
              <w:t>Totale generale</w:t>
            </w:r>
          </w:p>
        </w:tc>
        <w:tc>
          <w:tcPr>
            <w:tcW w:w="960" w:type="dxa"/>
            <w:tcBorders>
              <w:top w:val="nil"/>
              <w:left w:val="nil"/>
              <w:bottom w:val="single" w:sz="8" w:space="0" w:color="auto"/>
              <w:right w:val="nil"/>
            </w:tcBorders>
            <w:vAlign w:val="center"/>
          </w:tcPr>
          <w:p w:rsidR="0024207A" w:rsidRPr="00072942" w:rsidRDefault="0024207A" w:rsidP="0024207A">
            <w:pPr>
              <w:jc w:val="right"/>
              <w:rPr>
                <w:rFonts w:cs="Arial"/>
                <w:i/>
                <w:iCs/>
                <w:sz w:val="22"/>
                <w:szCs w:val="22"/>
              </w:rPr>
            </w:pPr>
            <w:r w:rsidRPr="00072942">
              <w:rPr>
                <w:rFonts w:cs="Arial"/>
                <w:i/>
                <w:iCs/>
                <w:sz w:val="22"/>
                <w:szCs w:val="22"/>
              </w:rPr>
              <w:t>14'096</w:t>
            </w:r>
          </w:p>
        </w:tc>
        <w:tc>
          <w:tcPr>
            <w:tcW w:w="960" w:type="dxa"/>
            <w:tcBorders>
              <w:top w:val="nil"/>
              <w:left w:val="nil"/>
              <w:bottom w:val="single" w:sz="8" w:space="0" w:color="auto"/>
              <w:right w:val="nil"/>
            </w:tcBorders>
            <w:vAlign w:val="center"/>
          </w:tcPr>
          <w:p w:rsidR="0024207A" w:rsidRPr="003D764E" w:rsidRDefault="0024207A" w:rsidP="0024207A">
            <w:pPr>
              <w:jc w:val="right"/>
              <w:rPr>
                <w:rFonts w:eastAsia="Calibri" w:cs="Arial"/>
                <w:i/>
                <w:iCs/>
                <w:sz w:val="22"/>
                <w:szCs w:val="22"/>
              </w:rPr>
            </w:pPr>
            <w:r w:rsidRPr="00072942">
              <w:rPr>
                <w:i/>
                <w:iCs/>
                <w:sz w:val="22"/>
                <w:szCs w:val="22"/>
              </w:rPr>
              <w:t>15’887</w:t>
            </w:r>
          </w:p>
        </w:tc>
        <w:tc>
          <w:tcPr>
            <w:tcW w:w="960" w:type="dxa"/>
            <w:tcBorders>
              <w:top w:val="nil"/>
              <w:left w:val="nil"/>
              <w:bottom w:val="single" w:sz="8" w:space="0" w:color="auto"/>
              <w:right w:val="nil"/>
            </w:tcBorders>
            <w:vAlign w:val="center"/>
          </w:tcPr>
          <w:p w:rsidR="0024207A" w:rsidRPr="001D6C4D" w:rsidRDefault="0024207A" w:rsidP="0024207A">
            <w:pPr>
              <w:jc w:val="right"/>
              <w:rPr>
                <w:rFonts w:cs="Arial"/>
                <w:i/>
                <w:iCs/>
                <w:sz w:val="22"/>
                <w:szCs w:val="22"/>
              </w:rPr>
            </w:pPr>
            <w:r>
              <w:rPr>
                <w:rFonts w:cs="Arial"/>
                <w:i/>
                <w:iCs/>
                <w:sz w:val="22"/>
                <w:szCs w:val="22"/>
              </w:rPr>
              <w:t>17’485</w:t>
            </w:r>
          </w:p>
        </w:tc>
        <w:tc>
          <w:tcPr>
            <w:tcW w:w="960" w:type="dxa"/>
            <w:tcBorders>
              <w:top w:val="nil"/>
              <w:left w:val="nil"/>
              <w:bottom w:val="single" w:sz="8" w:space="0" w:color="auto"/>
              <w:right w:val="nil"/>
            </w:tcBorders>
            <w:vAlign w:val="center"/>
          </w:tcPr>
          <w:p w:rsidR="0024207A" w:rsidRPr="00237315" w:rsidRDefault="0024207A" w:rsidP="0024207A">
            <w:pPr>
              <w:jc w:val="right"/>
              <w:rPr>
                <w:rFonts w:cs="Arial"/>
                <w:i/>
                <w:iCs/>
                <w:sz w:val="22"/>
                <w:szCs w:val="22"/>
                <w:highlight w:val="green"/>
              </w:rPr>
            </w:pPr>
            <w:r w:rsidRPr="000A58C3">
              <w:rPr>
                <w:rFonts w:cs="Arial"/>
                <w:i/>
                <w:iCs/>
                <w:sz w:val="22"/>
                <w:szCs w:val="22"/>
              </w:rPr>
              <w:t>17’614</w:t>
            </w:r>
          </w:p>
        </w:tc>
        <w:tc>
          <w:tcPr>
            <w:tcW w:w="960" w:type="dxa"/>
            <w:tcBorders>
              <w:top w:val="nil"/>
              <w:left w:val="nil"/>
              <w:bottom w:val="single" w:sz="8" w:space="0" w:color="auto"/>
              <w:right w:val="nil"/>
            </w:tcBorders>
            <w:vAlign w:val="center"/>
          </w:tcPr>
          <w:p w:rsidR="0024207A" w:rsidRPr="00105FEC" w:rsidRDefault="0024207A" w:rsidP="0024207A">
            <w:pPr>
              <w:jc w:val="right"/>
              <w:rPr>
                <w:rFonts w:cs="Arial"/>
                <w:i/>
                <w:iCs/>
                <w:sz w:val="22"/>
                <w:szCs w:val="22"/>
              </w:rPr>
            </w:pPr>
            <w:r w:rsidRPr="00105FEC">
              <w:rPr>
                <w:rFonts w:cs="Arial"/>
                <w:i/>
                <w:iCs/>
                <w:sz w:val="22"/>
                <w:szCs w:val="22"/>
              </w:rPr>
              <w:t>18’099</w:t>
            </w:r>
          </w:p>
        </w:tc>
        <w:tc>
          <w:tcPr>
            <w:tcW w:w="960" w:type="dxa"/>
            <w:tcBorders>
              <w:top w:val="nil"/>
              <w:left w:val="nil"/>
              <w:bottom w:val="single" w:sz="8" w:space="0" w:color="auto"/>
              <w:right w:val="nil"/>
            </w:tcBorders>
            <w:shd w:val="clear" w:color="auto" w:fill="FFFFFF"/>
            <w:noWrap/>
            <w:vAlign w:val="center"/>
          </w:tcPr>
          <w:p w:rsidR="0024207A" w:rsidRPr="004A3EC1" w:rsidRDefault="0024207A" w:rsidP="0024207A">
            <w:pPr>
              <w:jc w:val="right"/>
              <w:rPr>
                <w:rFonts w:cs="Arial"/>
                <w:i/>
                <w:iCs/>
                <w:sz w:val="22"/>
                <w:szCs w:val="22"/>
              </w:rPr>
            </w:pPr>
            <w:r w:rsidRPr="004A3EC1">
              <w:rPr>
                <w:rFonts w:cs="Arial"/>
                <w:i/>
                <w:iCs/>
                <w:sz w:val="22"/>
                <w:szCs w:val="22"/>
              </w:rPr>
              <w:t>17’297</w:t>
            </w:r>
          </w:p>
        </w:tc>
      </w:tr>
    </w:tbl>
    <w:p w:rsidR="0024207A" w:rsidRPr="00C625CC" w:rsidRDefault="0024207A" w:rsidP="0024207A">
      <w:pPr>
        <w:rPr>
          <w:sz w:val="16"/>
          <w:szCs w:val="16"/>
        </w:rPr>
      </w:pPr>
    </w:p>
    <w:p w:rsidR="0024207A" w:rsidRPr="00C13E52" w:rsidRDefault="0024207A" w:rsidP="0024207A">
      <w:pPr>
        <w:rPr>
          <w:i/>
          <w:szCs w:val="24"/>
        </w:rPr>
      </w:pPr>
      <w:r w:rsidRPr="00C13E52">
        <w:rPr>
          <w:i/>
          <w:sz w:val="16"/>
          <w:szCs w:val="18"/>
        </w:rPr>
        <w:t xml:space="preserve">Fonte: </w:t>
      </w:r>
      <w:r w:rsidRPr="00105FEC">
        <w:rPr>
          <w:i/>
          <w:sz w:val="16"/>
          <w:szCs w:val="18"/>
        </w:rPr>
        <w:t>SUPSI</w:t>
      </w:r>
    </w:p>
    <w:p w:rsidR="0024207A" w:rsidRDefault="0024207A" w:rsidP="0024207A">
      <w:pPr>
        <w:spacing w:before="120"/>
      </w:pPr>
    </w:p>
    <w:p w:rsidR="0024207A" w:rsidRPr="006B1948" w:rsidRDefault="0024207A" w:rsidP="0024207A">
      <w:pPr>
        <w:rPr>
          <w:rFonts w:cs="Arial"/>
          <w:szCs w:val="24"/>
        </w:rPr>
      </w:pPr>
      <w:r w:rsidRPr="003F49B9">
        <w:t>La crescita del volume</w:t>
      </w:r>
      <w:r>
        <w:t xml:space="preserve"> di ricavi finanziati</w:t>
      </w:r>
      <w:r w:rsidRPr="003F49B9">
        <w:t xml:space="preserve"> dalla CTI (oggi </w:t>
      </w:r>
      <w:proofErr w:type="spellStart"/>
      <w:r w:rsidRPr="003F49B9">
        <w:t>Innosuisse</w:t>
      </w:r>
      <w:proofErr w:type="spellEnd"/>
      <w:r w:rsidRPr="003F49B9">
        <w:t xml:space="preserve">) </w:t>
      </w:r>
      <w:r>
        <w:t xml:space="preserve">del 2017 è tornata ai livelli degli </w:t>
      </w:r>
      <w:r w:rsidRPr="003F49B9">
        <w:t xml:space="preserve">anni 2013-15, a </w:t>
      </w:r>
      <w:r w:rsidRPr="001055CB">
        <w:t xml:space="preserve">dimostrazione che la </w:t>
      </w:r>
      <w:r w:rsidRPr="001055CB">
        <w:rPr>
          <w:rFonts w:cs="Arial"/>
          <w:szCs w:val="24"/>
        </w:rPr>
        <w:t>diminuzione del 25% registrat</w:t>
      </w:r>
      <w:r>
        <w:rPr>
          <w:rFonts w:cs="Arial"/>
          <w:szCs w:val="24"/>
        </w:rPr>
        <w:t>a</w:t>
      </w:r>
      <w:r w:rsidRPr="001055CB">
        <w:rPr>
          <w:rFonts w:cs="Arial"/>
          <w:szCs w:val="24"/>
        </w:rPr>
        <w:t xml:space="preserve"> lo scorso anno era legata all’andamento </w:t>
      </w:r>
      <w:r>
        <w:rPr>
          <w:rFonts w:cs="Arial"/>
          <w:szCs w:val="24"/>
        </w:rPr>
        <w:t xml:space="preserve">momentaneo </w:t>
      </w:r>
      <w:r w:rsidRPr="001055CB">
        <w:rPr>
          <w:rFonts w:cs="Arial"/>
          <w:szCs w:val="24"/>
        </w:rPr>
        <w:t xml:space="preserve">delle richieste di progetto </w:t>
      </w:r>
      <w:r>
        <w:rPr>
          <w:rFonts w:cs="Arial"/>
          <w:szCs w:val="24"/>
        </w:rPr>
        <w:t>degli abituali</w:t>
      </w:r>
      <w:r w:rsidRPr="001055CB">
        <w:rPr>
          <w:rFonts w:cs="Arial"/>
          <w:szCs w:val="24"/>
        </w:rPr>
        <w:t xml:space="preserve"> partner privati. Nel 2017 4.2 milioni</w:t>
      </w:r>
      <w:r w:rsidRPr="00AB7BB7">
        <w:rPr>
          <w:rFonts w:cs="Arial"/>
          <w:szCs w:val="24"/>
        </w:rPr>
        <w:t xml:space="preserve"> </w:t>
      </w:r>
      <w:r>
        <w:rPr>
          <w:rFonts w:cs="Arial"/>
          <w:szCs w:val="24"/>
        </w:rPr>
        <w:t xml:space="preserve">di franchi </w:t>
      </w:r>
      <w:r w:rsidRPr="00AB7BB7">
        <w:rPr>
          <w:rFonts w:cs="Arial"/>
          <w:szCs w:val="24"/>
        </w:rPr>
        <w:t xml:space="preserve">di ricavi </w:t>
      </w:r>
      <w:r>
        <w:rPr>
          <w:rFonts w:cs="Arial"/>
          <w:szCs w:val="24"/>
        </w:rPr>
        <w:t xml:space="preserve">da progetti di ricerca europei </w:t>
      </w:r>
      <w:r w:rsidRPr="00AB7BB7">
        <w:rPr>
          <w:rFonts w:cs="Arial"/>
          <w:szCs w:val="24"/>
        </w:rPr>
        <w:t xml:space="preserve">interessavano 46 progetti (di cui 28 nell’ambito dell’ottavo programma quadro H2020) che hanno coinvolto, oltre alla SUPSI, 31 aziende svizzere di cui 15 ticinesi. La percentuale dei progetti europei è stata del 24% rispetto al totale dei ricavi da terzi della ricerca della SUPSI. </w:t>
      </w:r>
      <w:r>
        <w:rPr>
          <w:rFonts w:cs="Arial"/>
          <w:szCs w:val="24"/>
        </w:rPr>
        <w:t>T</w:t>
      </w:r>
      <w:r w:rsidRPr="00AB7BB7">
        <w:rPr>
          <w:rFonts w:cs="Arial"/>
          <w:szCs w:val="24"/>
        </w:rPr>
        <w:t xml:space="preserve">ale percentuale </w:t>
      </w:r>
      <w:r>
        <w:rPr>
          <w:rFonts w:cs="Arial"/>
          <w:szCs w:val="24"/>
        </w:rPr>
        <w:t xml:space="preserve">è </w:t>
      </w:r>
      <w:r w:rsidRPr="00AB7BB7">
        <w:rPr>
          <w:rFonts w:cs="Arial"/>
          <w:szCs w:val="24"/>
        </w:rPr>
        <w:t xml:space="preserve">consona alla struttura universitaria e adeguata per assolvere al meglio i mandati istituzionali della SUPSI, rafforzando nel contempo il suo profilo e la sua reputazione accademica. Per quanto riguarda la voce dei mandati diretti ricevuti dal settore privato e pubblico, il volume di 7.2 milioni di franchi del 2017 (cfr. </w:t>
      </w:r>
      <w:r>
        <w:rPr>
          <w:rFonts w:cs="Arial"/>
          <w:szCs w:val="24"/>
        </w:rPr>
        <w:t>T</w:t>
      </w:r>
      <w:r w:rsidRPr="00C65DAB">
        <w:rPr>
          <w:rFonts w:cs="Arial"/>
          <w:szCs w:val="24"/>
        </w:rPr>
        <w:t>abella 9</w:t>
      </w:r>
      <w:r w:rsidRPr="00AB7BB7">
        <w:rPr>
          <w:rFonts w:cs="Arial"/>
          <w:szCs w:val="24"/>
        </w:rPr>
        <w:t>) sono così suddivisi: 0.8 milioni di franchi generati da aziende in Ticino, 0.5 milioni di franchi da aziende di altri cantoni svizzeri</w:t>
      </w:r>
      <w:r>
        <w:rPr>
          <w:rFonts w:cs="Arial"/>
          <w:szCs w:val="24"/>
        </w:rPr>
        <w:t>,</w:t>
      </w:r>
      <w:r w:rsidRPr="00AB7BB7">
        <w:rPr>
          <w:rFonts w:cs="Arial"/>
          <w:szCs w:val="24"/>
        </w:rPr>
        <w:t xml:space="preserve"> 0.2 milioni</w:t>
      </w:r>
      <w:r>
        <w:rPr>
          <w:rFonts w:cs="Arial"/>
          <w:szCs w:val="24"/>
        </w:rPr>
        <w:t xml:space="preserve"> di franchi da aziende estere; il</w:t>
      </w:r>
      <w:r w:rsidRPr="000C2954">
        <w:rPr>
          <w:rFonts w:cs="Arial"/>
          <w:szCs w:val="24"/>
        </w:rPr>
        <w:t xml:space="preserve"> </w:t>
      </w:r>
      <w:r>
        <w:rPr>
          <w:rFonts w:cs="Arial"/>
          <w:szCs w:val="24"/>
        </w:rPr>
        <w:t>rimanente</w:t>
      </w:r>
      <w:r w:rsidRPr="000C2954">
        <w:rPr>
          <w:rFonts w:cs="Arial"/>
          <w:szCs w:val="24"/>
        </w:rPr>
        <w:t xml:space="preserve"> è frutto di mandati pubblici (Confederazione, Cantone e Comuni). </w:t>
      </w:r>
      <w:r>
        <w:rPr>
          <w:rFonts w:cs="Arial"/>
          <w:szCs w:val="24"/>
        </w:rPr>
        <w:t>In</w:t>
      </w:r>
      <w:r w:rsidRPr="000C2954">
        <w:rPr>
          <w:rFonts w:cs="Arial"/>
          <w:szCs w:val="24"/>
        </w:rPr>
        <w:t xml:space="preserve"> questi mandati diretti sono </w:t>
      </w:r>
      <w:r>
        <w:rPr>
          <w:rFonts w:cs="Arial"/>
          <w:szCs w:val="24"/>
        </w:rPr>
        <w:t>compresi</w:t>
      </w:r>
      <w:r w:rsidRPr="000C2954">
        <w:rPr>
          <w:rFonts w:cs="Arial"/>
          <w:szCs w:val="24"/>
        </w:rPr>
        <w:t xml:space="preserve"> </w:t>
      </w:r>
      <w:r>
        <w:rPr>
          <w:rFonts w:cs="Arial"/>
          <w:szCs w:val="24"/>
        </w:rPr>
        <w:t>anche</w:t>
      </w:r>
      <w:r w:rsidRPr="000C2954">
        <w:rPr>
          <w:rFonts w:cs="Arial"/>
          <w:szCs w:val="24"/>
        </w:rPr>
        <w:t xml:space="preserve"> il mandato di prestazioni tra </w:t>
      </w:r>
      <w:r>
        <w:rPr>
          <w:rFonts w:cs="Arial"/>
          <w:szCs w:val="24"/>
        </w:rPr>
        <w:t xml:space="preserve">il </w:t>
      </w:r>
      <w:r w:rsidRPr="000C2954">
        <w:rPr>
          <w:rFonts w:cs="Arial"/>
          <w:szCs w:val="24"/>
        </w:rPr>
        <w:t>Dipartimento</w:t>
      </w:r>
      <w:r w:rsidRPr="008E30A3">
        <w:rPr>
          <w:rFonts w:cs="Arial"/>
          <w:szCs w:val="24"/>
        </w:rPr>
        <w:t xml:space="preserve"> del territorio e </w:t>
      </w:r>
      <w:r>
        <w:rPr>
          <w:rFonts w:cs="Arial"/>
          <w:szCs w:val="24"/>
        </w:rPr>
        <w:t xml:space="preserve">la </w:t>
      </w:r>
      <w:r w:rsidRPr="008E30A3">
        <w:rPr>
          <w:rFonts w:cs="Arial"/>
          <w:szCs w:val="24"/>
        </w:rPr>
        <w:t xml:space="preserve">SUPSI - Istituto scienze della terra e </w:t>
      </w:r>
      <w:r w:rsidRPr="008E30A3">
        <w:rPr>
          <w:rStyle w:val="bold1"/>
          <w:rFonts w:cs="Arial"/>
          <w:szCs w:val="24"/>
        </w:rPr>
        <w:t>Istituto sostenibilità applicata all'ambiente costruito</w:t>
      </w:r>
      <w:r>
        <w:rPr>
          <w:rStyle w:val="bold1"/>
          <w:rFonts w:cs="Arial"/>
          <w:szCs w:val="24"/>
        </w:rPr>
        <w:t xml:space="preserve"> -</w:t>
      </w:r>
      <w:r>
        <w:rPr>
          <w:rFonts w:cs="Arial"/>
          <w:szCs w:val="24"/>
        </w:rPr>
        <w:t xml:space="preserve"> per un volume di circa 0.</w:t>
      </w:r>
      <w:r w:rsidRPr="002B2AC2">
        <w:rPr>
          <w:rFonts w:cs="Arial"/>
          <w:szCs w:val="24"/>
        </w:rPr>
        <w:t>8 milioni di franchi (il totale del manda</w:t>
      </w:r>
      <w:r>
        <w:rPr>
          <w:rFonts w:cs="Arial"/>
          <w:szCs w:val="24"/>
        </w:rPr>
        <w:t>to tra ricerca e servizi è di 1.</w:t>
      </w:r>
      <w:r w:rsidRPr="002B2AC2">
        <w:rPr>
          <w:rFonts w:cs="Arial"/>
          <w:szCs w:val="24"/>
        </w:rPr>
        <w:t>65 milioni di franchi)</w:t>
      </w:r>
      <w:r>
        <w:rPr>
          <w:rFonts w:cs="Arial"/>
          <w:szCs w:val="24"/>
        </w:rPr>
        <w:t xml:space="preserve"> e</w:t>
      </w:r>
      <w:r w:rsidRPr="004E431C">
        <w:rPr>
          <w:rFonts w:cs="Arial"/>
          <w:szCs w:val="24"/>
        </w:rPr>
        <w:t xml:space="preserve"> il </w:t>
      </w:r>
      <w:r>
        <w:rPr>
          <w:rFonts w:cs="Arial"/>
          <w:szCs w:val="24"/>
        </w:rPr>
        <w:t>m</w:t>
      </w:r>
      <w:r w:rsidRPr="004E431C">
        <w:rPr>
          <w:rFonts w:cs="Arial"/>
          <w:szCs w:val="24"/>
        </w:rPr>
        <w:t>andato di prestazion</w:t>
      </w:r>
      <w:r>
        <w:rPr>
          <w:rFonts w:cs="Arial"/>
          <w:szCs w:val="24"/>
        </w:rPr>
        <w:t>i</w:t>
      </w:r>
      <w:r w:rsidRPr="004E431C">
        <w:rPr>
          <w:rFonts w:cs="Arial"/>
          <w:szCs w:val="24"/>
        </w:rPr>
        <w:t xml:space="preserve"> con il Dipartimento della sanità e della </w:t>
      </w:r>
      <w:r>
        <w:rPr>
          <w:rFonts w:cs="Arial"/>
          <w:szCs w:val="24"/>
        </w:rPr>
        <w:t>socialità di circa 1.</w:t>
      </w:r>
      <w:r w:rsidRPr="004E431C">
        <w:rPr>
          <w:rFonts w:cs="Arial"/>
          <w:szCs w:val="24"/>
        </w:rPr>
        <w:t xml:space="preserve">2 </w:t>
      </w:r>
      <w:r>
        <w:rPr>
          <w:rFonts w:cs="Arial"/>
          <w:szCs w:val="24"/>
        </w:rPr>
        <w:t>milioni di franchi,</w:t>
      </w:r>
      <w:r w:rsidRPr="004E431C">
        <w:rPr>
          <w:rFonts w:cs="Arial"/>
          <w:szCs w:val="24"/>
        </w:rPr>
        <w:t xml:space="preserve"> che ha portato all’integrazione </w:t>
      </w:r>
      <w:r w:rsidRPr="006B1948">
        <w:rPr>
          <w:rFonts w:cs="Arial"/>
          <w:szCs w:val="24"/>
        </w:rPr>
        <w:t>nella SUPSI</w:t>
      </w:r>
      <w:r w:rsidRPr="004E431C">
        <w:rPr>
          <w:rFonts w:cs="Arial"/>
          <w:szCs w:val="24"/>
        </w:rPr>
        <w:t xml:space="preserve"> del Laboratorio di </w:t>
      </w:r>
      <w:r w:rsidRPr="006B1948">
        <w:rPr>
          <w:rFonts w:cs="Arial"/>
          <w:szCs w:val="24"/>
        </w:rPr>
        <w:t>microbiologia applicata.</w:t>
      </w:r>
    </w:p>
    <w:p w:rsidR="0024207A" w:rsidRDefault="0024207A" w:rsidP="0024207A">
      <w:pPr>
        <w:rPr>
          <w:iCs/>
        </w:rPr>
      </w:pPr>
    </w:p>
    <w:p w:rsidR="0024207A" w:rsidRPr="006B1948" w:rsidRDefault="0024207A" w:rsidP="0024207A">
      <w:pPr>
        <w:rPr>
          <w:iCs/>
        </w:rPr>
      </w:pPr>
      <w:r>
        <w:rPr>
          <w:iCs/>
        </w:rPr>
        <w:t xml:space="preserve">Per quanto riguarda la ricerca, </w:t>
      </w:r>
      <w:r w:rsidRPr="006B1948">
        <w:rPr>
          <w:iCs/>
        </w:rPr>
        <w:t xml:space="preserve">la SUPSI </w:t>
      </w:r>
      <w:r>
        <w:rPr>
          <w:iCs/>
        </w:rPr>
        <w:t xml:space="preserve">ci comunica che, </w:t>
      </w:r>
      <w:r w:rsidRPr="006B1948">
        <w:rPr>
          <w:iCs/>
        </w:rPr>
        <w:t xml:space="preserve">conformemente a quanto indicato dalla </w:t>
      </w:r>
      <w:r>
        <w:rPr>
          <w:iCs/>
        </w:rPr>
        <w:t>C</w:t>
      </w:r>
      <w:r w:rsidRPr="006B1948">
        <w:rPr>
          <w:iCs/>
        </w:rPr>
        <w:t>ommi</w:t>
      </w:r>
      <w:r>
        <w:rPr>
          <w:iCs/>
        </w:rPr>
        <w:t>ssi</w:t>
      </w:r>
      <w:r w:rsidRPr="006B1948">
        <w:rPr>
          <w:iCs/>
        </w:rPr>
        <w:t xml:space="preserve">one </w:t>
      </w:r>
      <w:r>
        <w:rPr>
          <w:iCs/>
        </w:rPr>
        <w:t>speciale s</w:t>
      </w:r>
      <w:r w:rsidRPr="006B1948">
        <w:rPr>
          <w:iCs/>
        </w:rPr>
        <w:t xml:space="preserve">colastica e </w:t>
      </w:r>
      <w:r>
        <w:rPr>
          <w:iCs/>
        </w:rPr>
        <w:t xml:space="preserve">a quanto </w:t>
      </w:r>
      <w:r w:rsidRPr="006B1948">
        <w:rPr>
          <w:iCs/>
        </w:rPr>
        <w:t>i</w:t>
      </w:r>
      <w:r>
        <w:rPr>
          <w:iCs/>
        </w:rPr>
        <w:t>n</w:t>
      </w:r>
      <w:r w:rsidRPr="006B1948">
        <w:rPr>
          <w:iCs/>
        </w:rPr>
        <w:t xml:space="preserve">serito nel </w:t>
      </w:r>
      <w:proofErr w:type="spellStart"/>
      <w:r w:rsidRPr="006B1948">
        <w:rPr>
          <w:iCs/>
        </w:rPr>
        <w:t>nuovo</w:t>
      </w:r>
      <w:r>
        <w:rPr>
          <w:iCs/>
        </w:rPr>
        <w:t>Cdp</w:t>
      </w:r>
      <w:proofErr w:type="spellEnd"/>
      <w:r w:rsidRPr="006B1948">
        <w:rPr>
          <w:iCs/>
        </w:rPr>
        <w:t xml:space="preserve"> per il </w:t>
      </w:r>
      <w:r w:rsidRPr="006B1948">
        <w:rPr>
          <w:iCs/>
        </w:rPr>
        <w:lastRenderedPageBreak/>
        <w:t>quadriennio 2017-2020</w:t>
      </w:r>
      <w:r>
        <w:rPr>
          <w:iCs/>
        </w:rPr>
        <w:t>,</w:t>
      </w:r>
      <w:r w:rsidRPr="006B1948">
        <w:rPr>
          <w:iCs/>
        </w:rPr>
        <w:t xml:space="preserve"> ha ulteriormente affinato il processo relativo alla verifica di eventuali conflitti di interess</w:t>
      </w:r>
      <w:r>
        <w:rPr>
          <w:iCs/>
        </w:rPr>
        <w:t>e</w:t>
      </w:r>
      <w:r w:rsidRPr="006B1948">
        <w:rPr>
          <w:iCs/>
        </w:rPr>
        <w:t xml:space="preserve"> da parte dei propri collaboratori. Ai dispositivi normativi e all’autocertificazione regolare delle attività accessorie </w:t>
      </w:r>
      <w:r>
        <w:rPr>
          <w:iCs/>
        </w:rPr>
        <w:t>è stata</w:t>
      </w:r>
      <w:r w:rsidRPr="006B1948">
        <w:rPr>
          <w:iCs/>
        </w:rPr>
        <w:t xml:space="preserve"> aggiunt</w:t>
      </w:r>
      <w:r>
        <w:rPr>
          <w:iCs/>
        </w:rPr>
        <w:t>a</w:t>
      </w:r>
      <w:r w:rsidRPr="006B1948">
        <w:rPr>
          <w:iCs/>
        </w:rPr>
        <w:t xml:space="preserve"> una prassi che prevede la dichiarazione esplicita di assenza di conflitti al momento dell’attivazione di ogni progetto di ricerca da parte di tutti i collaboratori coinvolt</w:t>
      </w:r>
      <w:r>
        <w:rPr>
          <w:iCs/>
        </w:rPr>
        <w:t>i</w:t>
      </w:r>
      <w:r w:rsidRPr="006B1948">
        <w:rPr>
          <w:iCs/>
        </w:rPr>
        <w:t xml:space="preserve">. </w:t>
      </w:r>
    </w:p>
    <w:p w:rsidR="0024207A" w:rsidRDefault="0024207A" w:rsidP="0024207A">
      <w:pPr>
        <w:rPr>
          <w:rFonts w:cs="Arial"/>
          <w:szCs w:val="24"/>
        </w:rPr>
      </w:pPr>
    </w:p>
    <w:p w:rsidR="0024207A" w:rsidRDefault="0024207A" w:rsidP="0024207A">
      <w:pPr>
        <w:rPr>
          <w:rFonts w:cs="Arial"/>
          <w:szCs w:val="24"/>
        </w:rPr>
      </w:pPr>
      <w:r w:rsidRPr="00477F0B">
        <w:rPr>
          <w:rFonts w:cs="Arial"/>
          <w:szCs w:val="24"/>
        </w:rPr>
        <w:t xml:space="preserve">Tra gli indicatori </w:t>
      </w:r>
      <w:r>
        <w:rPr>
          <w:rFonts w:cs="Arial"/>
          <w:szCs w:val="24"/>
        </w:rPr>
        <w:t xml:space="preserve">del </w:t>
      </w:r>
      <w:proofErr w:type="spellStart"/>
      <w:r>
        <w:rPr>
          <w:rFonts w:cs="Arial"/>
          <w:szCs w:val="24"/>
        </w:rPr>
        <w:t>Cdp</w:t>
      </w:r>
      <w:proofErr w:type="spellEnd"/>
      <w:r>
        <w:rPr>
          <w:rFonts w:cs="Arial"/>
          <w:szCs w:val="24"/>
        </w:rPr>
        <w:t xml:space="preserve"> </w:t>
      </w:r>
      <w:r w:rsidRPr="00477F0B">
        <w:rPr>
          <w:rFonts w:cs="Arial"/>
          <w:szCs w:val="24"/>
        </w:rPr>
        <w:t>già misurati gli scorsi anni</w:t>
      </w:r>
      <w:r>
        <w:rPr>
          <w:rFonts w:cs="Arial"/>
          <w:szCs w:val="24"/>
        </w:rPr>
        <w:t xml:space="preserve"> da rilevare la </w:t>
      </w:r>
      <w:r w:rsidRPr="000C2954">
        <w:rPr>
          <w:rFonts w:cs="Arial"/>
          <w:szCs w:val="24"/>
        </w:rPr>
        <w:t>quota parte di ricerca rispetto ai ricavi totali</w:t>
      </w:r>
      <w:r>
        <w:rPr>
          <w:rFonts w:cs="Arial"/>
          <w:szCs w:val="24"/>
        </w:rPr>
        <w:t>, la competitività dei ricercatori della SUPSI (percentuale di accettazione dei progetti inoltrati) e la soddisfazione delle imprese.</w:t>
      </w:r>
      <w:r w:rsidRPr="00477F0B">
        <w:rPr>
          <w:rFonts w:cs="Arial"/>
          <w:szCs w:val="24"/>
        </w:rPr>
        <w:t xml:space="preserve"> </w:t>
      </w:r>
      <w:r>
        <w:rPr>
          <w:rFonts w:cs="Arial"/>
          <w:szCs w:val="24"/>
        </w:rPr>
        <w:t>La</w:t>
      </w:r>
      <w:r w:rsidRPr="000C2954">
        <w:rPr>
          <w:rFonts w:cs="Arial"/>
          <w:szCs w:val="24"/>
        </w:rPr>
        <w:t xml:space="preserve"> quota parte di ricerca rispett</w:t>
      </w:r>
      <w:r>
        <w:rPr>
          <w:rFonts w:cs="Arial"/>
          <w:szCs w:val="24"/>
        </w:rPr>
        <w:t xml:space="preserve">o ai ricavi totali pari al </w:t>
      </w:r>
      <w:r w:rsidRPr="000C2954">
        <w:rPr>
          <w:rFonts w:cs="Arial"/>
          <w:szCs w:val="24"/>
        </w:rPr>
        <w:t>3</w:t>
      </w:r>
      <w:r>
        <w:rPr>
          <w:rFonts w:cs="Arial"/>
          <w:szCs w:val="24"/>
        </w:rPr>
        <w:t>7</w:t>
      </w:r>
      <w:r w:rsidRPr="000C2954">
        <w:rPr>
          <w:rFonts w:cs="Arial"/>
          <w:szCs w:val="24"/>
        </w:rPr>
        <w:t>%</w:t>
      </w:r>
      <w:r>
        <w:rPr>
          <w:rFonts w:cs="Arial"/>
          <w:szCs w:val="24"/>
        </w:rPr>
        <w:t xml:space="preserve"> (2017) è importante rispetto alle altre SUP svizzere, ma</w:t>
      </w:r>
      <w:r w:rsidRPr="000C2954">
        <w:rPr>
          <w:rFonts w:cs="Arial"/>
          <w:szCs w:val="24"/>
        </w:rPr>
        <w:t xml:space="preserve"> rispett</w:t>
      </w:r>
      <w:r>
        <w:rPr>
          <w:rFonts w:cs="Arial"/>
          <w:szCs w:val="24"/>
        </w:rPr>
        <w:t xml:space="preserve">a </w:t>
      </w:r>
      <w:r w:rsidRPr="000C2954">
        <w:rPr>
          <w:rFonts w:cs="Arial"/>
          <w:szCs w:val="24"/>
        </w:rPr>
        <w:t>l'obiettivo massimo del 50%</w:t>
      </w:r>
      <w:r>
        <w:rPr>
          <w:rFonts w:cs="Arial"/>
          <w:szCs w:val="24"/>
        </w:rPr>
        <w:t xml:space="preserve"> del </w:t>
      </w:r>
      <w:proofErr w:type="spellStart"/>
      <w:r>
        <w:rPr>
          <w:rFonts w:cs="Arial"/>
          <w:szCs w:val="24"/>
        </w:rPr>
        <w:t>CdP</w:t>
      </w:r>
      <w:proofErr w:type="spellEnd"/>
      <w:r w:rsidRPr="000C2954">
        <w:rPr>
          <w:rFonts w:cs="Arial"/>
          <w:szCs w:val="24"/>
        </w:rPr>
        <w:t xml:space="preserve">. La competitività dei ricercatori risulta dall’indicatore che misura il tasso di successo dei progetti presentati a enti di finanziamento competitivo (CTI, UE, FNRS). </w:t>
      </w:r>
      <w:r>
        <w:rPr>
          <w:rFonts w:cs="Arial"/>
          <w:szCs w:val="24"/>
        </w:rPr>
        <w:t>Come lo scorso anno il tasso</w:t>
      </w:r>
      <w:r w:rsidRPr="000C2954">
        <w:rPr>
          <w:rFonts w:cs="Arial"/>
          <w:szCs w:val="24"/>
        </w:rPr>
        <w:t xml:space="preserve"> di successo dei progetti CTI</w:t>
      </w:r>
      <w:r>
        <w:rPr>
          <w:rFonts w:cs="Arial"/>
          <w:szCs w:val="24"/>
        </w:rPr>
        <w:t xml:space="preserve"> è risultato del 77%, superiore alla media svizzera (50%)</w:t>
      </w:r>
      <w:r w:rsidRPr="000C2954">
        <w:rPr>
          <w:rFonts w:cs="Arial"/>
          <w:szCs w:val="24"/>
        </w:rPr>
        <w:t xml:space="preserve">. </w:t>
      </w:r>
    </w:p>
    <w:p w:rsidR="0024207A" w:rsidRDefault="0024207A" w:rsidP="0024207A">
      <w:pPr>
        <w:rPr>
          <w:rFonts w:cs="Arial"/>
          <w:szCs w:val="24"/>
        </w:rPr>
      </w:pPr>
    </w:p>
    <w:p w:rsidR="0024207A" w:rsidRDefault="0024207A" w:rsidP="0024207A">
      <w:pPr>
        <w:rPr>
          <w:rFonts w:cs="Arial"/>
          <w:iCs/>
          <w:szCs w:val="24"/>
        </w:rPr>
      </w:pPr>
      <w:r w:rsidRPr="00105FEC">
        <w:rPr>
          <w:rFonts w:cs="Arial"/>
          <w:szCs w:val="24"/>
        </w:rPr>
        <w:t xml:space="preserve">Il grado di soddisfazione delle imprese su progetti di ricerca in collaborazione con la SUPSI viene </w:t>
      </w:r>
      <w:r>
        <w:rPr>
          <w:rFonts w:cs="Arial"/>
          <w:szCs w:val="24"/>
        </w:rPr>
        <w:t>rilevato</w:t>
      </w:r>
      <w:r w:rsidRPr="00105FEC">
        <w:rPr>
          <w:rFonts w:cs="Arial"/>
          <w:szCs w:val="24"/>
        </w:rPr>
        <w:t xml:space="preserve"> </w:t>
      </w:r>
      <w:r>
        <w:rPr>
          <w:rFonts w:cs="Arial"/>
          <w:szCs w:val="24"/>
        </w:rPr>
        <w:t xml:space="preserve">a cadenza regolare ogni due anni. Nel 2017 sono stati forniti i dati relativi alla soddisfazione delle imprese che hanno terminato progetti con la SUPSI durante il periodo 2015-2017. Delle 87 imprese interpellate 35 hanno risposto con un commento molto positivo. </w:t>
      </w:r>
      <w:r w:rsidRPr="00CF4F9F">
        <w:rPr>
          <w:rFonts w:cs="Arial"/>
          <w:iCs/>
          <w:szCs w:val="24"/>
        </w:rPr>
        <w:t xml:space="preserve">Il rilevamento non ha permesso </w:t>
      </w:r>
      <w:r>
        <w:rPr>
          <w:rFonts w:cs="Arial"/>
          <w:iCs/>
          <w:szCs w:val="24"/>
        </w:rPr>
        <w:t xml:space="preserve">purtroppo </w:t>
      </w:r>
      <w:r w:rsidRPr="00CF4F9F">
        <w:rPr>
          <w:rFonts w:cs="Arial"/>
          <w:iCs/>
          <w:szCs w:val="24"/>
        </w:rPr>
        <w:t xml:space="preserve">di stimare l’entità dell’impatto diretto delle collaborazioni </w:t>
      </w:r>
      <w:r>
        <w:rPr>
          <w:rFonts w:cs="Arial"/>
          <w:iCs/>
          <w:szCs w:val="24"/>
        </w:rPr>
        <w:t xml:space="preserve">di ricerca </w:t>
      </w:r>
      <w:r w:rsidRPr="00CF4F9F">
        <w:rPr>
          <w:rFonts w:cs="Arial"/>
          <w:iCs/>
          <w:szCs w:val="24"/>
        </w:rPr>
        <w:t>con la SUPSI sulla performance e i risultati di esercizio delle aziende</w:t>
      </w:r>
      <w:r>
        <w:rPr>
          <w:rFonts w:cs="Arial"/>
          <w:iCs/>
          <w:szCs w:val="24"/>
        </w:rPr>
        <w:t>,</w:t>
      </w:r>
      <w:r w:rsidRPr="00CF4F9F">
        <w:rPr>
          <w:rFonts w:cs="Arial"/>
          <w:iCs/>
          <w:szCs w:val="24"/>
        </w:rPr>
        <w:t xml:space="preserve"> come prevede l’indicatore. Alla domanda specifica “Potrebbe quantificare </w:t>
      </w:r>
      <w:r>
        <w:rPr>
          <w:rFonts w:cs="Arial"/>
          <w:iCs/>
          <w:szCs w:val="24"/>
        </w:rPr>
        <w:t>i</w:t>
      </w:r>
      <w:r w:rsidRPr="00CF4F9F">
        <w:rPr>
          <w:rFonts w:cs="Arial"/>
          <w:iCs/>
          <w:szCs w:val="24"/>
        </w:rPr>
        <w:t xml:space="preserve">n % l’entità dell’impatto sul fatturato?” solo 3 aziende delle 35 hanno risposto indicando cifre molto diverse e senza una concreta consistenza. </w:t>
      </w:r>
      <w:r>
        <w:rPr>
          <w:rFonts w:cs="Arial"/>
          <w:iCs/>
          <w:szCs w:val="24"/>
        </w:rPr>
        <w:t xml:space="preserve">Per il prossimo rilevamento la SUPSI intende rilevare la soddisfazione alla fine di ogni progetto in modo di avere subito risposte precise. Andrà però anche richiesto alle </w:t>
      </w:r>
      <w:r w:rsidRPr="00CF4F9F">
        <w:rPr>
          <w:rFonts w:cs="Arial"/>
          <w:iCs/>
          <w:szCs w:val="24"/>
        </w:rPr>
        <w:t xml:space="preserve">imprese </w:t>
      </w:r>
      <w:r>
        <w:rPr>
          <w:rFonts w:cs="Arial"/>
          <w:iCs/>
          <w:szCs w:val="24"/>
        </w:rPr>
        <w:t>partner un feedback dopo 1-2 anni dalla fine del</w:t>
      </w:r>
      <w:r w:rsidRPr="00CF4F9F">
        <w:rPr>
          <w:rFonts w:cs="Arial"/>
          <w:iCs/>
          <w:szCs w:val="24"/>
        </w:rPr>
        <w:t xml:space="preserve"> progett</w:t>
      </w:r>
      <w:r>
        <w:rPr>
          <w:rFonts w:cs="Arial"/>
          <w:iCs/>
          <w:szCs w:val="24"/>
        </w:rPr>
        <w:t>o,</w:t>
      </w:r>
      <w:r w:rsidRPr="00CF4F9F">
        <w:rPr>
          <w:rFonts w:cs="Arial"/>
          <w:iCs/>
          <w:szCs w:val="24"/>
        </w:rPr>
        <w:t xml:space="preserve"> in modo che abbiano avuto il tempo </w:t>
      </w:r>
      <w:r>
        <w:rPr>
          <w:rFonts w:cs="Arial"/>
          <w:iCs/>
          <w:szCs w:val="24"/>
        </w:rPr>
        <w:t>di misurarne l’impatto grazie all’</w:t>
      </w:r>
      <w:r w:rsidRPr="00CF4F9F">
        <w:rPr>
          <w:rFonts w:cs="Arial"/>
          <w:iCs/>
          <w:szCs w:val="24"/>
        </w:rPr>
        <w:t>intr</w:t>
      </w:r>
      <w:r>
        <w:rPr>
          <w:rFonts w:cs="Arial"/>
          <w:iCs/>
          <w:szCs w:val="24"/>
        </w:rPr>
        <w:t>oduzione del</w:t>
      </w:r>
      <w:r w:rsidRPr="00CF4F9F">
        <w:rPr>
          <w:rFonts w:cs="Arial"/>
          <w:iCs/>
          <w:szCs w:val="24"/>
        </w:rPr>
        <w:t xml:space="preserve"> nuovo prodotto sul mercato o </w:t>
      </w:r>
      <w:r>
        <w:rPr>
          <w:rFonts w:cs="Arial"/>
          <w:iCs/>
          <w:szCs w:val="24"/>
        </w:rPr>
        <w:t>del</w:t>
      </w:r>
      <w:r w:rsidRPr="00CF4F9F">
        <w:rPr>
          <w:rFonts w:cs="Arial"/>
          <w:iCs/>
          <w:szCs w:val="24"/>
        </w:rPr>
        <w:t xml:space="preserve">la </w:t>
      </w:r>
      <w:r>
        <w:rPr>
          <w:rFonts w:cs="Arial"/>
          <w:iCs/>
          <w:szCs w:val="24"/>
        </w:rPr>
        <w:t xml:space="preserve">nuova </w:t>
      </w:r>
      <w:r w:rsidRPr="00CF4F9F">
        <w:rPr>
          <w:rFonts w:cs="Arial"/>
          <w:iCs/>
          <w:szCs w:val="24"/>
        </w:rPr>
        <w:t>procedura risultante dalla ricerca</w:t>
      </w:r>
      <w:r>
        <w:rPr>
          <w:rFonts w:cs="Arial"/>
          <w:iCs/>
          <w:szCs w:val="24"/>
        </w:rPr>
        <w:t xml:space="preserve"> all’interno dell’azienda.</w:t>
      </w:r>
    </w:p>
    <w:p w:rsidR="0024207A" w:rsidRDefault="0024207A" w:rsidP="0024207A">
      <w:pPr>
        <w:rPr>
          <w:rFonts w:cs="Arial"/>
          <w:szCs w:val="24"/>
        </w:rPr>
      </w:pPr>
    </w:p>
    <w:p w:rsidR="0024207A" w:rsidRPr="001D6C4D" w:rsidRDefault="0024207A" w:rsidP="0024207A">
      <w:pPr>
        <w:rPr>
          <w:rFonts w:cs="Arial"/>
          <w:szCs w:val="24"/>
        </w:rPr>
      </w:pPr>
    </w:p>
    <w:p w:rsidR="0024207A" w:rsidRPr="00072942" w:rsidRDefault="0024207A" w:rsidP="0024207A">
      <w:pPr>
        <w:pStyle w:val="Titolo2"/>
      </w:pPr>
      <w:bookmarkStart w:id="59" w:name="_Toc268859950"/>
      <w:bookmarkStart w:id="60" w:name="_Toc303080084"/>
      <w:r w:rsidRPr="00072942">
        <w:t>3</w:t>
      </w:r>
      <w:r>
        <w:t>.4</w:t>
      </w:r>
      <w:r w:rsidRPr="00072942">
        <w:tab/>
        <w:t>Formazione continua alla SUPSI</w:t>
      </w:r>
      <w:bookmarkEnd w:id="59"/>
      <w:bookmarkEnd w:id="60"/>
    </w:p>
    <w:p w:rsidR="0024207A" w:rsidRPr="00654EFF" w:rsidRDefault="0024207A" w:rsidP="0024207A">
      <w:pPr>
        <w:rPr>
          <w:iCs/>
        </w:rPr>
      </w:pPr>
      <w:r>
        <w:t>Il</w:t>
      </w:r>
      <w:r w:rsidRPr="00072942">
        <w:t xml:space="preserve"> </w:t>
      </w:r>
      <w:proofErr w:type="spellStart"/>
      <w:r>
        <w:t>Cdp</w:t>
      </w:r>
      <w:proofErr w:type="spellEnd"/>
      <w:r w:rsidRPr="00072942">
        <w:t xml:space="preserve"> della SUPSI prevede</w:t>
      </w:r>
      <w:r>
        <w:t xml:space="preserve"> diversi indicatori riguardanti</w:t>
      </w:r>
      <w:r w:rsidRPr="00072942">
        <w:t xml:space="preserve"> </w:t>
      </w:r>
      <w:r>
        <w:t>la</w:t>
      </w:r>
      <w:r w:rsidRPr="00072942">
        <w:t xml:space="preserve"> formazione continua certificata (</w:t>
      </w:r>
      <w:r w:rsidRPr="00654EFF">
        <w:rPr>
          <w:i/>
        </w:rPr>
        <w:t>Ce</w:t>
      </w:r>
      <w:r w:rsidRPr="00654EFF">
        <w:rPr>
          <w:i/>
          <w:iCs/>
        </w:rPr>
        <w:t xml:space="preserve">rtificate of </w:t>
      </w:r>
      <w:r>
        <w:rPr>
          <w:i/>
          <w:iCs/>
        </w:rPr>
        <w:t>A</w:t>
      </w:r>
      <w:r w:rsidRPr="00654EFF">
        <w:rPr>
          <w:i/>
          <w:iCs/>
        </w:rPr>
        <w:t xml:space="preserve">dvanced </w:t>
      </w:r>
      <w:proofErr w:type="spellStart"/>
      <w:r>
        <w:rPr>
          <w:i/>
          <w:iCs/>
        </w:rPr>
        <w:t>S</w:t>
      </w:r>
      <w:r w:rsidRPr="00654EFF">
        <w:rPr>
          <w:i/>
          <w:iCs/>
        </w:rPr>
        <w:t>tudies</w:t>
      </w:r>
      <w:proofErr w:type="spellEnd"/>
      <w:r>
        <w:rPr>
          <w:iCs/>
        </w:rPr>
        <w:t xml:space="preserve"> - CAS, </w:t>
      </w:r>
      <w:r>
        <w:rPr>
          <w:i/>
          <w:iCs/>
        </w:rPr>
        <w:t>Diploma</w:t>
      </w:r>
      <w:r w:rsidRPr="00654EFF">
        <w:rPr>
          <w:i/>
          <w:iCs/>
        </w:rPr>
        <w:t xml:space="preserve"> of </w:t>
      </w:r>
      <w:r>
        <w:rPr>
          <w:i/>
          <w:iCs/>
        </w:rPr>
        <w:t>A</w:t>
      </w:r>
      <w:r w:rsidRPr="00654EFF">
        <w:rPr>
          <w:i/>
          <w:iCs/>
        </w:rPr>
        <w:t xml:space="preserve">dvanced </w:t>
      </w:r>
      <w:proofErr w:type="spellStart"/>
      <w:r>
        <w:rPr>
          <w:i/>
          <w:iCs/>
        </w:rPr>
        <w:t>S</w:t>
      </w:r>
      <w:r w:rsidRPr="00654EFF">
        <w:rPr>
          <w:i/>
          <w:iCs/>
        </w:rPr>
        <w:t>tudies</w:t>
      </w:r>
      <w:proofErr w:type="spellEnd"/>
      <w:r>
        <w:rPr>
          <w:iCs/>
        </w:rPr>
        <w:t xml:space="preserve"> - </w:t>
      </w:r>
      <w:r w:rsidRPr="00072942">
        <w:rPr>
          <w:iCs/>
        </w:rPr>
        <w:t xml:space="preserve">DAS, </w:t>
      </w:r>
      <w:r w:rsidRPr="00654EFF">
        <w:rPr>
          <w:i/>
          <w:iCs/>
        </w:rPr>
        <w:t xml:space="preserve">Master of </w:t>
      </w:r>
      <w:r>
        <w:rPr>
          <w:i/>
          <w:iCs/>
        </w:rPr>
        <w:t>A</w:t>
      </w:r>
      <w:r w:rsidRPr="00654EFF">
        <w:rPr>
          <w:i/>
          <w:iCs/>
        </w:rPr>
        <w:t xml:space="preserve">dvanced </w:t>
      </w:r>
      <w:proofErr w:type="spellStart"/>
      <w:r>
        <w:rPr>
          <w:i/>
          <w:iCs/>
        </w:rPr>
        <w:t>S</w:t>
      </w:r>
      <w:r w:rsidRPr="00654EFF">
        <w:rPr>
          <w:i/>
          <w:iCs/>
        </w:rPr>
        <w:t>tudies</w:t>
      </w:r>
      <w:proofErr w:type="spellEnd"/>
      <w:r>
        <w:rPr>
          <w:i/>
          <w:iCs/>
        </w:rPr>
        <w:t xml:space="preserve"> -</w:t>
      </w:r>
      <w:r w:rsidRPr="00072942">
        <w:rPr>
          <w:iCs/>
        </w:rPr>
        <w:t xml:space="preserve"> MAS). </w:t>
      </w:r>
      <w:r>
        <w:t>L</w:t>
      </w:r>
      <w:r w:rsidRPr="00072942">
        <w:t xml:space="preserve">o Stato affida questo compito alla SUPSI proprio per migliorare le competenze legate al mercato del lavoro interno </w:t>
      </w:r>
      <w:r>
        <w:t>tramite</w:t>
      </w:r>
      <w:r w:rsidRPr="00072942">
        <w:t xml:space="preserve"> l’aggiornamento dei professi</w:t>
      </w:r>
      <w:r>
        <w:t xml:space="preserve">onisti presenti sul territorio. Da diversi anni la </w:t>
      </w:r>
      <w:r w:rsidRPr="00072942">
        <w:rPr>
          <w:iCs/>
        </w:rPr>
        <w:t>SUPSI orienta la propria strategia verso la formazione continua nell’ambito di formazioni certificate e strutturate di livello universitario. Nel 201</w:t>
      </w:r>
      <w:r>
        <w:rPr>
          <w:iCs/>
        </w:rPr>
        <w:t>7</w:t>
      </w:r>
      <w:r w:rsidRPr="00072942">
        <w:rPr>
          <w:iCs/>
        </w:rPr>
        <w:t xml:space="preserve"> i corsi di formazione </w:t>
      </w:r>
      <w:bookmarkStart w:id="61" w:name="OLE_LINK26"/>
      <w:bookmarkStart w:id="62" w:name="OLE_LINK27"/>
      <w:r w:rsidRPr="00072942">
        <w:rPr>
          <w:iCs/>
        </w:rPr>
        <w:t xml:space="preserve">continua certificati sono stati </w:t>
      </w:r>
      <w:r>
        <w:rPr>
          <w:iCs/>
        </w:rPr>
        <w:t>42</w:t>
      </w:r>
      <w:r w:rsidRPr="00072942">
        <w:rPr>
          <w:iCs/>
        </w:rPr>
        <w:t xml:space="preserve"> CAS, </w:t>
      </w:r>
      <w:r>
        <w:rPr>
          <w:iCs/>
        </w:rPr>
        <w:t>20</w:t>
      </w:r>
      <w:r w:rsidRPr="00072942">
        <w:rPr>
          <w:iCs/>
        </w:rPr>
        <w:t xml:space="preserve"> DAS e </w:t>
      </w:r>
      <w:r>
        <w:rPr>
          <w:iCs/>
        </w:rPr>
        <w:t xml:space="preserve">20 MAS. I partecipanti </w:t>
      </w:r>
      <w:r w:rsidRPr="00072942">
        <w:rPr>
          <w:iCs/>
        </w:rPr>
        <w:t xml:space="preserve">alle attività di </w:t>
      </w:r>
      <w:bookmarkEnd w:id="61"/>
      <w:bookmarkEnd w:id="62"/>
      <w:r>
        <w:rPr>
          <w:iCs/>
        </w:rPr>
        <w:t xml:space="preserve">formazione continua certificata (incluse le scuole affiliate) sono stati 1’988. Il volume di formazione continua è paragonabile a quella del 2016, con una lieve flessione per i settori del Lavoro sociale e dell’Economia. </w:t>
      </w:r>
    </w:p>
    <w:p w:rsidR="0024207A" w:rsidRDefault="0024207A" w:rsidP="0024207A"/>
    <w:p w:rsidR="0024207A" w:rsidRDefault="0024207A" w:rsidP="0024207A">
      <w:r w:rsidRPr="00072942">
        <w:t xml:space="preserve">Il maggior </w:t>
      </w:r>
      <w:r w:rsidRPr="000C2954">
        <w:t xml:space="preserve">volume di formazione continua della SUPSI </w:t>
      </w:r>
      <w:r>
        <w:t xml:space="preserve">certificata </w:t>
      </w:r>
      <w:r w:rsidRPr="000C2954">
        <w:t xml:space="preserve">è rappresentato </w:t>
      </w:r>
      <w:r>
        <w:t>dal Dipartimento economia aziendale, sanità e sociale (DEASS). Si riporta di seguito una descrizione dei prodotti MAS del DEASS.</w:t>
      </w:r>
      <w:r w:rsidRPr="000C2954">
        <w:t xml:space="preserve"> </w:t>
      </w:r>
    </w:p>
    <w:p w:rsidR="0024207A" w:rsidRDefault="0024207A" w:rsidP="001F1B4B"/>
    <w:p w:rsidR="0024207A" w:rsidRDefault="0024207A" w:rsidP="001F1B4B">
      <w:pPr>
        <w:rPr>
          <w:rFonts w:cs="Arial"/>
          <w:szCs w:val="24"/>
        </w:rPr>
      </w:pPr>
      <w:r>
        <w:rPr>
          <w:rFonts w:cs="Arial"/>
          <w:szCs w:val="24"/>
        </w:rPr>
        <w:t>Per l’area Economia:</w:t>
      </w:r>
    </w:p>
    <w:p w:rsidR="0024207A" w:rsidRDefault="0024207A" w:rsidP="0024207A">
      <w:pPr>
        <w:widowControl w:val="0"/>
        <w:numPr>
          <w:ilvl w:val="0"/>
          <w:numId w:val="32"/>
        </w:numPr>
        <w:tabs>
          <w:tab w:val="clear" w:pos="720"/>
          <w:tab w:val="num" w:pos="28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ind w:left="284" w:hanging="284"/>
        <w:rPr>
          <w:rFonts w:cs="SUPSIFedra Sans Light"/>
          <w:szCs w:val="24"/>
        </w:rPr>
      </w:pPr>
      <w:r w:rsidRPr="0083295B">
        <w:rPr>
          <w:rFonts w:cs="Arial"/>
          <w:szCs w:val="24"/>
        </w:rPr>
        <w:t>l’</w:t>
      </w:r>
      <w:r w:rsidRPr="0083295B">
        <w:rPr>
          <w:rFonts w:cs="SUPSIFedra Sans Light"/>
          <w:szCs w:val="24"/>
        </w:rPr>
        <w:t xml:space="preserve">EMBA, forma in ambito di competenze generaliste nella gestione d’impresa e del Business Management e Business </w:t>
      </w:r>
      <w:proofErr w:type="spellStart"/>
      <w:r w:rsidRPr="0083295B">
        <w:rPr>
          <w:rFonts w:cs="SUPSIFedra Sans Light"/>
          <w:szCs w:val="24"/>
        </w:rPr>
        <w:t>Engineering</w:t>
      </w:r>
      <w:proofErr w:type="spellEnd"/>
      <w:r w:rsidRPr="0083295B">
        <w:rPr>
          <w:rFonts w:cs="SUPSIFedra Sans Light"/>
          <w:szCs w:val="24"/>
        </w:rPr>
        <w:t>;</w:t>
      </w:r>
    </w:p>
    <w:p w:rsidR="0024207A" w:rsidRPr="0083295B" w:rsidRDefault="0024207A" w:rsidP="0024207A">
      <w:pPr>
        <w:widowControl w:val="0"/>
        <w:numPr>
          <w:ilvl w:val="0"/>
          <w:numId w:val="32"/>
        </w:numPr>
        <w:tabs>
          <w:tab w:val="clear" w:pos="720"/>
          <w:tab w:val="num" w:pos="28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ind w:left="284" w:hanging="284"/>
        <w:rPr>
          <w:rFonts w:cs="SUPSIFedra Sans Light"/>
          <w:szCs w:val="24"/>
        </w:rPr>
      </w:pPr>
      <w:r w:rsidRPr="0083295B">
        <w:rPr>
          <w:rFonts w:cs="SUPSIFedra Sans Light"/>
          <w:szCs w:val="24"/>
        </w:rPr>
        <w:t xml:space="preserve">il Master in Human Capital Management (MHCM) </w:t>
      </w:r>
      <w:r>
        <w:rPr>
          <w:rFonts w:cs="SUPSIFedra Sans Light"/>
          <w:szCs w:val="24"/>
        </w:rPr>
        <w:t>forma</w:t>
      </w:r>
      <w:r w:rsidRPr="0083295B">
        <w:rPr>
          <w:rFonts w:cs="SUPSIFedra Sans Light"/>
          <w:szCs w:val="24"/>
        </w:rPr>
        <w:t xml:space="preserve"> professionisti in grado di intervenire sulle organizzazioni complesse con una visione ampia delle problematiche di </w:t>
      </w:r>
      <w:r w:rsidRPr="0083295B">
        <w:rPr>
          <w:rFonts w:cs="SUPSIFedra Sans Light"/>
          <w:szCs w:val="24"/>
        </w:rPr>
        <w:lastRenderedPageBreak/>
        <w:t>gestione delle risorse umane;</w:t>
      </w:r>
    </w:p>
    <w:p w:rsidR="0024207A" w:rsidRDefault="0024207A" w:rsidP="0024207A">
      <w:pPr>
        <w:widowControl w:val="0"/>
        <w:numPr>
          <w:ilvl w:val="0"/>
          <w:numId w:val="32"/>
        </w:numPr>
        <w:tabs>
          <w:tab w:val="clear" w:pos="720"/>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ind w:left="284" w:hanging="284"/>
        <w:rPr>
          <w:rFonts w:cs="SUPSIFedra Sans Light"/>
          <w:szCs w:val="24"/>
        </w:rPr>
      </w:pPr>
      <w:r w:rsidRPr="00072942">
        <w:rPr>
          <w:rFonts w:cs="SUPSIFedra Sans Light"/>
          <w:szCs w:val="24"/>
        </w:rPr>
        <w:t xml:space="preserve">il Master in </w:t>
      </w:r>
      <w:proofErr w:type="spellStart"/>
      <w:r w:rsidRPr="00072942">
        <w:rPr>
          <w:rFonts w:cs="SUPSIFedra Sans Light"/>
          <w:szCs w:val="24"/>
        </w:rPr>
        <w:t>Tax</w:t>
      </w:r>
      <w:proofErr w:type="spellEnd"/>
      <w:r w:rsidRPr="00072942">
        <w:rPr>
          <w:rFonts w:cs="SUPSIFedra Sans Light"/>
          <w:szCs w:val="24"/>
        </w:rPr>
        <w:t xml:space="preserve"> Law (Master in diritto tributario</w:t>
      </w:r>
      <w:r>
        <w:rPr>
          <w:rFonts w:cs="SUPSIFedra Sans Light"/>
          <w:szCs w:val="24"/>
        </w:rPr>
        <w:t xml:space="preserve"> </w:t>
      </w:r>
      <w:r w:rsidRPr="00072942">
        <w:rPr>
          <w:rFonts w:cs="SUPSIFedra Sans Light"/>
          <w:szCs w:val="24"/>
        </w:rPr>
        <w:t>-</w:t>
      </w:r>
      <w:r>
        <w:rPr>
          <w:rFonts w:cs="SUPSIFedra Sans Light"/>
          <w:szCs w:val="24"/>
        </w:rPr>
        <w:t xml:space="preserve"> </w:t>
      </w:r>
      <w:r w:rsidRPr="00072942">
        <w:rPr>
          <w:rFonts w:cs="SUPSIFedra Sans Light"/>
          <w:szCs w:val="24"/>
        </w:rPr>
        <w:t xml:space="preserve">MDT) </w:t>
      </w:r>
      <w:r>
        <w:rPr>
          <w:rFonts w:cs="SUPSIFedra Sans Light"/>
          <w:szCs w:val="24"/>
        </w:rPr>
        <w:t>ha</w:t>
      </w:r>
      <w:r w:rsidRPr="00072942">
        <w:rPr>
          <w:rFonts w:cs="SUPSIFedra Sans Light"/>
          <w:szCs w:val="24"/>
        </w:rPr>
        <w:t xml:space="preserve"> l’obiettivo di fornire a professionisti le conoscenze pratiche e teoriche del diritto e della prassi tributaria</w:t>
      </w:r>
      <w:r>
        <w:rPr>
          <w:rFonts w:cs="SUPSIFedra Sans Light"/>
          <w:szCs w:val="24"/>
        </w:rPr>
        <w:t xml:space="preserve"> cantonale, nazionale ed internazionale;</w:t>
      </w:r>
    </w:p>
    <w:p w:rsidR="0024207A" w:rsidRPr="00B55209" w:rsidRDefault="0024207A" w:rsidP="0024207A">
      <w:pPr>
        <w:widowControl w:val="0"/>
        <w:numPr>
          <w:ilvl w:val="0"/>
          <w:numId w:val="32"/>
        </w:numPr>
        <w:tabs>
          <w:tab w:val="clear" w:pos="720"/>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ind w:left="284" w:hanging="284"/>
        <w:rPr>
          <w:rFonts w:cs="SUPSIFedra Sans Light"/>
          <w:color w:val="000000"/>
          <w:szCs w:val="24"/>
        </w:rPr>
      </w:pPr>
      <w:r w:rsidRPr="00510DCD">
        <w:rPr>
          <w:color w:val="000000"/>
        </w:rPr>
        <w:t xml:space="preserve">il Master in </w:t>
      </w:r>
      <w:r w:rsidRPr="006C37A1">
        <w:rPr>
          <w:color w:val="000000"/>
        </w:rPr>
        <w:t>Business Crime e Diritto economico (MBC</w:t>
      </w:r>
      <w:r w:rsidRPr="00510DCD">
        <w:rPr>
          <w:color w:val="000000"/>
        </w:rPr>
        <w:t>) offre un'opportunità di specializzazione aggiornata per profili professionali del settore pubblico e privato e risponde a un'esigenza specifica della piazza economic</w:t>
      </w:r>
      <w:r>
        <w:rPr>
          <w:color w:val="000000"/>
        </w:rPr>
        <w:t>o</w:t>
      </w:r>
      <w:r w:rsidRPr="00510DCD">
        <w:rPr>
          <w:color w:val="000000"/>
        </w:rPr>
        <w:t>-finanziaria del Cantone e delle funzioni dello Stato</w:t>
      </w:r>
      <w:r>
        <w:rPr>
          <w:color w:val="000000"/>
        </w:rPr>
        <w:t xml:space="preserve">. </w:t>
      </w:r>
      <w:r w:rsidRPr="002B1377">
        <w:rPr>
          <w:rFonts w:cs="Arial"/>
          <w:iCs/>
          <w:szCs w:val="24"/>
        </w:rPr>
        <w:t xml:space="preserve">Il percorso formativo è stato attivato nel 2015-2016 e i primi diplomati saranno </w:t>
      </w:r>
      <w:r>
        <w:rPr>
          <w:rFonts w:cs="Arial"/>
          <w:iCs/>
          <w:szCs w:val="24"/>
        </w:rPr>
        <w:t>attivi</w:t>
      </w:r>
      <w:r w:rsidRPr="002B1377">
        <w:rPr>
          <w:rFonts w:cs="Arial"/>
          <w:iCs/>
          <w:szCs w:val="24"/>
        </w:rPr>
        <w:t xml:space="preserve"> nel 2018</w:t>
      </w:r>
      <w:r>
        <w:rPr>
          <w:rFonts w:cs="Arial"/>
          <w:iCs/>
          <w:szCs w:val="24"/>
        </w:rPr>
        <w:t>;</w:t>
      </w:r>
    </w:p>
    <w:p w:rsidR="0024207A" w:rsidRPr="00B55209" w:rsidRDefault="0024207A" w:rsidP="0024207A">
      <w:pPr>
        <w:widowControl w:val="0"/>
        <w:numPr>
          <w:ilvl w:val="0"/>
          <w:numId w:val="32"/>
        </w:numPr>
        <w:tabs>
          <w:tab w:val="clear" w:pos="720"/>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ind w:left="284" w:hanging="284"/>
        <w:rPr>
          <w:rFonts w:cs="SUPSIFedra Sans Light"/>
          <w:color w:val="000000"/>
          <w:szCs w:val="24"/>
        </w:rPr>
      </w:pPr>
      <w:r>
        <w:rPr>
          <w:rFonts w:cs="Arial"/>
          <w:iCs/>
          <w:szCs w:val="24"/>
        </w:rPr>
        <w:t>il Master</w:t>
      </w:r>
      <w:r w:rsidRPr="00CF4F9F">
        <w:rPr>
          <w:rFonts w:cs="Arial"/>
          <w:iCs/>
          <w:szCs w:val="24"/>
        </w:rPr>
        <w:t xml:space="preserve"> in Public Administration Management</w:t>
      </w:r>
      <w:r>
        <w:rPr>
          <w:rFonts w:cs="Arial"/>
          <w:iCs/>
          <w:szCs w:val="24"/>
        </w:rPr>
        <w:t xml:space="preserve"> è</w:t>
      </w:r>
      <w:r w:rsidRPr="00CF4F9F">
        <w:rPr>
          <w:rFonts w:cs="Arial"/>
          <w:iCs/>
          <w:szCs w:val="24"/>
        </w:rPr>
        <w:t xml:space="preserve"> rivolto ai dirigenti dell’Amministrazione cantonale</w:t>
      </w:r>
      <w:r>
        <w:rPr>
          <w:rFonts w:cs="Arial"/>
          <w:iCs/>
          <w:szCs w:val="24"/>
        </w:rPr>
        <w:t>. F</w:t>
      </w:r>
      <w:r w:rsidRPr="00CF4F9F">
        <w:rPr>
          <w:rFonts w:cs="Arial"/>
          <w:iCs/>
          <w:szCs w:val="24"/>
        </w:rPr>
        <w:t>ino al 2016 venivano conteggiati tutti i dirigenti in formazione (oltre un centinaio), mentre dal 2017 è stato concordato con l’ufficio cantonale preposto alla supervisione del personale in formazione di conteggiare in statistica solo i dirigenti che hanno certificato la formazione CAS/MAS nell’anno di riferimento</w:t>
      </w:r>
      <w:r>
        <w:rPr>
          <w:rFonts w:cs="Arial"/>
          <w:iCs/>
          <w:szCs w:val="24"/>
        </w:rPr>
        <w:t>.</w:t>
      </w:r>
    </w:p>
    <w:p w:rsidR="0024207A" w:rsidRDefault="0024207A" w:rsidP="0024207A">
      <w:pPr>
        <w:rPr>
          <w:rFonts w:cs="Arial"/>
          <w:color w:val="000000"/>
          <w:szCs w:val="24"/>
        </w:rPr>
      </w:pPr>
    </w:p>
    <w:p w:rsidR="0024207A" w:rsidRPr="00510DCD" w:rsidRDefault="0024207A" w:rsidP="0024207A">
      <w:pPr>
        <w:rPr>
          <w:rFonts w:cs="Arial"/>
          <w:color w:val="000000"/>
          <w:szCs w:val="24"/>
        </w:rPr>
      </w:pPr>
      <w:r>
        <w:rPr>
          <w:rFonts w:cs="Arial"/>
          <w:color w:val="000000"/>
          <w:szCs w:val="24"/>
        </w:rPr>
        <w:t>Per l’area S</w:t>
      </w:r>
      <w:r w:rsidRPr="00510DCD">
        <w:rPr>
          <w:rFonts w:cs="Arial"/>
          <w:color w:val="000000"/>
          <w:szCs w:val="24"/>
        </w:rPr>
        <w:t>anità:</w:t>
      </w:r>
    </w:p>
    <w:p w:rsidR="0024207A" w:rsidRPr="00510DCD" w:rsidRDefault="0024207A" w:rsidP="0024207A">
      <w:pPr>
        <w:numPr>
          <w:ilvl w:val="0"/>
          <w:numId w:val="32"/>
        </w:numPr>
        <w:tabs>
          <w:tab w:val="clear" w:pos="720"/>
          <w:tab w:val="num" w:pos="284"/>
        </w:tabs>
        <w:autoSpaceDE w:val="0"/>
        <w:autoSpaceDN w:val="0"/>
        <w:spacing w:before="80"/>
        <w:ind w:left="284" w:hanging="284"/>
        <w:rPr>
          <w:color w:val="000000"/>
        </w:rPr>
      </w:pPr>
      <w:r w:rsidRPr="00510DCD">
        <w:rPr>
          <w:color w:val="000000"/>
        </w:rPr>
        <w:t>il Master in Clinica generale (MCG) mira a formare esperti clinici responsabili della promozione della salute, della prevenzione della malattia, della pianificazione e dell’erogazione di cure appropriate e di qualità;</w:t>
      </w:r>
    </w:p>
    <w:p w:rsidR="0024207A" w:rsidRPr="0024207A" w:rsidRDefault="0024207A" w:rsidP="0024207A">
      <w:pPr>
        <w:widowControl w:val="0"/>
        <w:numPr>
          <w:ilvl w:val="0"/>
          <w:numId w:val="32"/>
        </w:numPr>
        <w:tabs>
          <w:tab w:val="clear" w:pos="720"/>
          <w:tab w:val="num" w:pos="28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ind w:left="284" w:hanging="284"/>
        <w:rPr>
          <w:rFonts w:cs="Arial"/>
          <w:szCs w:val="24"/>
        </w:rPr>
      </w:pPr>
      <w:r w:rsidRPr="0024207A">
        <w:rPr>
          <w:rFonts w:cs="Arial"/>
          <w:szCs w:val="24"/>
        </w:rPr>
        <w:t>il Master in Gestione sanitaria (MGS), rivolto a professionisti sanitari, sviluppa competenze gestionali necessarie per assumere un ruolo di quadro intermedio nelle diverse strutture e organizzazioni del sistema sanitario cantonale, nazionale e internazionale;</w:t>
      </w:r>
    </w:p>
    <w:p w:rsidR="0024207A" w:rsidRPr="0024207A" w:rsidRDefault="0024207A" w:rsidP="0024207A">
      <w:pPr>
        <w:widowControl w:val="0"/>
        <w:numPr>
          <w:ilvl w:val="0"/>
          <w:numId w:val="32"/>
        </w:numPr>
        <w:tabs>
          <w:tab w:val="clear" w:pos="720"/>
          <w:tab w:val="num" w:pos="28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ind w:left="284" w:hanging="284"/>
        <w:rPr>
          <w:rFonts w:cs="Arial"/>
          <w:szCs w:val="24"/>
        </w:rPr>
      </w:pPr>
      <w:r w:rsidRPr="0024207A">
        <w:rPr>
          <w:rFonts w:cs="Arial"/>
          <w:szCs w:val="24"/>
        </w:rPr>
        <w:t>il Master in Etica e umanesimo clinico (MEUC), rivolto a professionisti attivi in ambito sanitario e sociale, si focalizza nello studio e approfondimento degli aspetti esistenziali della cura, dell’etica e dell’umanesimo clinico;</w:t>
      </w:r>
    </w:p>
    <w:p w:rsidR="0024207A" w:rsidRPr="0024207A" w:rsidRDefault="0024207A" w:rsidP="0024207A">
      <w:pPr>
        <w:widowControl w:val="0"/>
        <w:numPr>
          <w:ilvl w:val="0"/>
          <w:numId w:val="32"/>
        </w:numPr>
        <w:tabs>
          <w:tab w:val="clear" w:pos="720"/>
          <w:tab w:val="num" w:pos="284"/>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80"/>
        <w:ind w:left="284" w:hanging="284"/>
        <w:rPr>
          <w:rFonts w:cs="Arial"/>
          <w:szCs w:val="24"/>
        </w:rPr>
      </w:pPr>
      <w:r w:rsidRPr="0024207A">
        <w:rPr>
          <w:rFonts w:cs="Arial"/>
          <w:szCs w:val="24"/>
        </w:rPr>
        <w:t xml:space="preserve">il Master in </w:t>
      </w:r>
      <w:hyperlink r:id="rId19" w:history="1">
        <w:proofErr w:type="spellStart"/>
        <w:r w:rsidRPr="0024207A">
          <w:rPr>
            <w:rFonts w:cs="Arial"/>
            <w:szCs w:val="24"/>
          </w:rPr>
          <w:t>Counselling</w:t>
        </w:r>
        <w:proofErr w:type="spellEnd"/>
        <w:r w:rsidRPr="0024207A">
          <w:rPr>
            <w:rFonts w:cs="Arial"/>
            <w:szCs w:val="24"/>
          </w:rPr>
          <w:t xml:space="preserve"> cognitivo-sistemico</w:t>
        </w:r>
      </w:hyperlink>
      <w:r w:rsidRPr="0024207A">
        <w:rPr>
          <w:rFonts w:cs="Arial"/>
          <w:szCs w:val="24"/>
        </w:rPr>
        <w:t xml:space="preserve"> (MCCS) è rivolto a professionisti in ambito psicologico, socio-sanitario e formativo, responsabili o funzionari di servizi pubblici e privati, quadri e dirigenti di aziende o professionisti in ambito giuridico e permette di acquisire metodi e tecniche utili al processo di </w:t>
      </w:r>
      <w:proofErr w:type="spellStart"/>
      <w:r w:rsidRPr="0024207A">
        <w:rPr>
          <w:rFonts w:cs="Arial"/>
          <w:szCs w:val="24"/>
        </w:rPr>
        <w:t>counselling</w:t>
      </w:r>
      <w:proofErr w:type="spellEnd"/>
      <w:r w:rsidRPr="0024207A">
        <w:rPr>
          <w:rFonts w:cs="Arial"/>
          <w:szCs w:val="24"/>
        </w:rPr>
        <w:t xml:space="preserve"> e di sperimentare le abilità di </w:t>
      </w:r>
      <w:proofErr w:type="spellStart"/>
      <w:r w:rsidRPr="0024207A">
        <w:rPr>
          <w:rFonts w:cs="Arial"/>
          <w:szCs w:val="24"/>
        </w:rPr>
        <w:t>counselling</w:t>
      </w:r>
      <w:proofErr w:type="spellEnd"/>
      <w:r w:rsidRPr="0024207A">
        <w:rPr>
          <w:rFonts w:cs="Arial"/>
          <w:szCs w:val="24"/>
        </w:rPr>
        <w:t xml:space="preserve"> in situazioni professionali concrete. Il percorso formativo è stato attivato nel 2015-2016 e i primi diplomati saranno attivi nel 2018.</w:t>
      </w:r>
    </w:p>
    <w:p w:rsidR="0024207A" w:rsidRDefault="0024207A" w:rsidP="0024207A">
      <w:pPr>
        <w:rPr>
          <w:lang w:val="it-CH"/>
        </w:rPr>
      </w:pPr>
    </w:p>
    <w:p w:rsidR="0024207A" w:rsidRDefault="0024207A" w:rsidP="0024207A">
      <w:pPr>
        <w:rPr>
          <w:color w:val="000000"/>
        </w:rPr>
      </w:pPr>
      <w:r>
        <w:rPr>
          <w:lang w:val="it-CH"/>
        </w:rPr>
        <w:t xml:space="preserve">Alcuni corsi negli ultimi 3-5 anni hanno concluso definitivamente il loro ciclo di vita e sono stati sostituiti da nuovi programmi master maggiormente aderenti alle richieste del mercato. Sono stati già citati alcuni nuovi prodotti erogati negli ultimi 1-2 anni, quali il Master in </w:t>
      </w:r>
      <w:proofErr w:type="spellStart"/>
      <w:r>
        <w:rPr>
          <w:lang w:val="it-CH"/>
        </w:rPr>
        <w:t>Counselling</w:t>
      </w:r>
      <w:proofErr w:type="spellEnd"/>
      <w:r>
        <w:rPr>
          <w:lang w:val="it-CH"/>
        </w:rPr>
        <w:t xml:space="preserve"> cognitivo-sistemico, il Master in Business crime, il Master in Etica e umanesimo clinico. La maggior parte dei nuovi MAS rilasceranno i primi diplomi nel corso del 2018 e 2019; non sono quindi riportati nella lista della </w:t>
      </w:r>
      <w:r w:rsidRPr="00C65DAB">
        <w:rPr>
          <w:color w:val="000000"/>
        </w:rPr>
        <w:t>Tabella 10</w:t>
      </w:r>
      <w:r>
        <w:rPr>
          <w:color w:val="000000"/>
        </w:rPr>
        <w:t xml:space="preserve"> che dettaglia appunto la lista dei MAS con l’evoluzione dei diplomati dal 2008 al 2017. </w:t>
      </w:r>
    </w:p>
    <w:p w:rsidR="0024207A" w:rsidRDefault="0024207A" w:rsidP="0024207A">
      <w:pPr>
        <w:rPr>
          <w:color w:val="000000"/>
        </w:rPr>
      </w:pPr>
    </w:p>
    <w:p w:rsidR="001F1B4B" w:rsidRDefault="001F1B4B">
      <w:pPr>
        <w:jc w:val="left"/>
        <w:rPr>
          <w:rFonts w:cs="Arial"/>
          <w:b/>
          <w:sz w:val="22"/>
          <w:szCs w:val="22"/>
        </w:rPr>
      </w:pPr>
      <w:r>
        <w:rPr>
          <w:rFonts w:cs="Arial"/>
          <w:b/>
          <w:sz w:val="22"/>
          <w:szCs w:val="22"/>
        </w:rPr>
        <w:br w:type="page"/>
      </w:r>
    </w:p>
    <w:p w:rsidR="0024207A" w:rsidRPr="0024207A" w:rsidRDefault="0024207A" w:rsidP="0024207A">
      <w:pPr>
        <w:rPr>
          <w:rFonts w:cs="Arial"/>
          <w:b/>
          <w:sz w:val="22"/>
          <w:szCs w:val="22"/>
        </w:rPr>
      </w:pPr>
      <w:r w:rsidRPr="0024207A">
        <w:rPr>
          <w:rFonts w:cs="Arial"/>
          <w:b/>
          <w:sz w:val="22"/>
          <w:szCs w:val="22"/>
        </w:rPr>
        <w:lastRenderedPageBreak/>
        <w:t xml:space="preserve">Tabella 10 - </w:t>
      </w:r>
      <w:r w:rsidR="00D6413E">
        <w:rPr>
          <w:rFonts w:cs="Arial"/>
          <w:b/>
          <w:sz w:val="22"/>
          <w:szCs w:val="22"/>
        </w:rPr>
        <w:t>E</w:t>
      </w:r>
      <w:r w:rsidRPr="0024207A">
        <w:rPr>
          <w:rFonts w:cs="Arial"/>
          <w:b/>
          <w:sz w:val="22"/>
          <w:szCs w:val="22"/>
        </w:rPr>
        <w:t xml:space="preserve">voluzione del numero di diplomati dei MAS della SUPSI </w:t>
      </w:r>
    </w:p>
    <w:p w:rsidR="0024207A" w:rsidRDefault="0024207A" w:rsidP="0024207A">
      <w:pPr>
        <w:rPr>
          <w:rFonts w:cs="Arial"/>
          <w:szCs w:val="24"/>
        </w:rPr>
      </w:pPr>
    </w:p>
    <w:tbl>
      <w:tblPr>
        <w:tblW w:w="9228" w:type="dxa"/>
        <w:tblInd w:w="70" w:type="dxa"/>
        <w:tblCellMar>
          <w:left w:w="0" w:type="dxa"/>
          <w:right w:w="0" w:type="dxa"/>
        </w:tblCellMar>
        <w:tblLook w:val="04A0" w:firstRow="1" w:lastRow="0" w:firstColumn="1" w:lastColumn="0" w:noHBand="0" w:noVBand="1"/>
      </w:tblPr>
      <w:tblGrid>
        <w:gridCol w:w="2268"/>
        <w:gridCol w:w="696"/>
        <w:gridCol w:w="696"/>
        <w:gridCol w:w="696"/>
        <w:gridCol w:w="696"/>
        <w:gridCol w:w="696"/>
        <w:gridCol w:w="696"/>
        <w:gridCol w:w="696"/>
        <w:gridCol w:w="696"/>
        <w:gridCol w:w="696"/>
        <w:gridCol w:w="696"/>
      </w:tblGrid>
      <w:tr w:rsidR="0024207A" w:rsidRPr="001F1B4B" w:rsidTr="0024207A">
        <w:trPr>
          <w:trHeight w:val="315"/>
        </w:trPr>
        <w:tc>
          <w:tcPr>
            <w:tcW w:w="2268" w:type="dxa"/>
            <w:tcBorders>
              <w:top w:val="nil"/>
              <w:left w:val="nil"/>
              <w:bottom w:val="single" w:sz="8" w:space="0" w:color="auto"/>
              <w:right w:val="nil"/>
            </w:tcBorders>
            <w:noWrap/>
            <w:tcMar>
              <w:top w:w="0" w:type="dxa"/>
              <w:left w:w="70" w:type="dxa"/>
              <w:bottom w:w="0" w:type="dxa"/>
              <w:right w:w="70" w:type="dxa"/>
            </w:tcMar>
            <w:vAlign w:val="center"/>
            <w:hideMark/>
          </w:tcPr>
          <w:p w:rsidR="0024207A" w:rsidRPr="001F1B4B" w:rsidRDefault="0024207A" w:rsidP="0024207A">
            <w:pPr>
              <w:rPr>
                <w:rFonts w:eastAsia="Calibri" w:cs="Arial"/>
                <w:sz w:val="22"/>
                <w:szCs w:val="22"/>
              </w:rPr>
            </w:pPr>
            <w:r w:rsidRPr="001F1B4B">
              <w:rPr>
                <w:sz w:val="22"/>
                <w:szCs w:val="22"/>
              </w:rPr>
              <w:t> </w:t>
            </w:r>
          </w:p>
        </w:tc>
        <w:tc>
          <w:tcPr>
            <w:tcW w:w="696" w:type="dxa"/>
            <w:tcBorders>
              <w:top w:val="nil"/>
              <w:left w:val="nil"/>
              <w:bottom w:val="single" w:sz="8" w:space="0" w:color="auto"/>
              <w:right w:val="nil"/>
            </w:tcBorders>
            <w:tcMar>
              <w:top w:w="0" w:type="dxa"/>
              <w:left w:w="70" w:type="dxa"/>
              <w:bottom w:w="0" w:type="dxa"/>
              <w:right w:w="70" w:type="dxa"/>
            </w:tcMar>
            <w:vAlign w:val="center"/>
            <w:hideMark/>
          </w:tcPr>
          <w:p w:rsidR="0024207A" w:rsidRPr="001F1B4B" w:rsidRDefault="0024207A" w:rsidP="0024207A">
            <w:pPr>
              <w:jc w:val="center"/>
              <w:rPr>
                <w:rFonts w:eastAsia="Calibri" w:cs="Arial"/>
                <w:sz w:val="22"/>
                <w:szCs w:val="22"/>
              </w:rPr>
            </w:pPr>
            <w:r w:rsidRPr="001F1B4B">
              <w:rPr>
                <w:sz w:val="22"/>
                <w:szCs w:val="22"/>
              </w:rPr>
              <w:t>2008</w:t>
            </w:r>
          </w:p>
        </w:tc>
        <w:tc>
          <w:tcPr>
            <w:tcW w:w="696" w:type="dxa"/>
            <w:tcBorders>
              <w:top w:val="nil"/>
              <w:left w:val="nil"/>
              <w:bottom w:val="single" w:sz="8" w:space="0" w:color="auto"/>
              <w:right w:val="nil"/>
            </w:tcBorders>
            <w:tcMar>
              <w:top w:w="0" w:type="dxa"/>
              <w:left w:w="70" w:type="dxa"/>
              <w:bottom w:w="0" w:type="dxa"/>
              <w:right w:w="70" w:type="dxa"/>
            </w:tcMar>
            <w:vAlign w:val="center"/>
            <w:hideMark/>
          </w:tcPr>
          <w:p w:rsidR="0024207A" w:rsidRPr="001F1B4B" w:rsidRDefault="0024207A" w:rsidP="0024207A">
            <w:pPr>
              <w:jc w:val="center"/>
              <w:rPr>
                <w:rFonts w:eastAsia="Calibri" w:cs="Arial"/>
                <w:sz w:val="22"/>
                <w:szCs w:val="22"/>
              </w:rPr>
            </w:pPr>
            <w:r w:rsidRPr="001F1B4B">
              <w:rPr>
                <w:sz w:val="22"/>
                <w:szCs w:val="22"/>
              </w:rPr>
              <w:t>2009</w:t>
            </w:r>
          </w:p>
        </w:tc>
        <w:tc>
          <w:tcPr>
            <w:tcW w:w="696" w:type="dxa"/>
            <w:tcBorders>
              <w:top w:val="nil"/>
              <w:left w:val="nil"/>
              <w:bottom w:val="single" w:sz="8" w:space="0" w:color="auto"/>
              <w:right w:val="nil"/>
            </w:tcBorders>
            <w:tcMar>
              <w:top w:w="0" w:type="dxa"/>
              <w:left w:w="70" w:type="dxa"/>
              <w:bottom w:w="0" w:type="dxa"/>
              <w:right w:w="70" w:type="dxa"/>
            </w:tcMar>
            <w:vAlign w:val="center"/>
            <w:hideMark/>
          </w:tcPr>
          <w:p w:rsidR="0024207A" w:rsidRPr="001F1B4B" w:rsidRDefault="0024207A" w:rsidP="0024207A">
            <w:pPr>
              <w:jc w:val="center"/>
              <w:rPr>
                <w:rFonts w:eastAsia="Calibri" w:cs="Arial"/>
                <w:sz w:val="22"/>
                <w:szCs w:val="22"/>
              </w:rPr>
            </w:pPr>
            <w:r w:rsidRPr="001F1B4B">
              <w:rPr>
                <w:sz w:val="22"/>
                <w:szCs w:val="22"/>
              </w:rPr>
              <w:t>2010</w:t>
            </w:r>
          </w:p>
        </w:tc>
        <w:tc>
          <w:tcPr>
            <w:tcW w:w="696" w:type="dxa"/>
            <w:tcBorders>
              <w:top w:val="nil"/>
              <w:left w:val="nil"/>
              <w:bottom w:val="single" w:sz="8" w:space="0" w:color="auto"/>
              <w:right w:val="nil"/>
            </w:tcBorders>
            <w:tcMar>
              <w:top w:w="0" w:type="dxa"/>
              <w:left w:w="70" w:type="dxa"/>
              <w:bottom w:w="0" w:type="dxa"/>
              <w:right w:w="70" w:type="dxa"/>
            </w:tcMar>
            <w:vAlign w:val="center"/>
            <w:hideMark/>
          </w:tcPr>
          <w:p w:rsidR="0024207A" w:rsidRPr="001F1B4B" w:rsidRDefault="0024207A" w:rsidP="0024207A">
            <w:pPr>
              <w:jc w:val="center"/>
              <w:rPr>
                <w:rFonts w:eastAsia="Calibri" w:cs="Arial"/>
                <w:sz w:val="22"/>
                <w:szCs w:val="22"/>
              </w:rPr>
            </w:pPr>
            <w:r w:rsidRPr="001F1B4B">
              <w:rPr>
                <w:sz w:val="22"/>
                <w:szCs w:val="22"/>
              </w:rPr>
              <w:t>2011</w:t>
            </w:r>
          </w:p>
        </w:tc>
        <w:tc>
          <w:tcPr>
            <w:tcW w:w="696" w:type="dxa"/>
            <w:tcBorders>
              <w:top w:val="nil"/>
              <w:left w:val="nil"/>
              <w:bottom w:val="single" w:sz="8" w:space="0" w:color="auto"/>
              <w:right w:val="nil"/>
            </w:tcBorders>
            <w:tcMar>
              <w:top w:w="0" w:type="dxa"/>
              <w:left w:w="70" w:type="dxa"/>
              <w:bottom w:w="0" w:type="dxa"/>
              <w:right w:w="70" w:type="dxa"/>
            </w:tcMar>
            <w:vAlign w:val="center"/>
            <w:hideMark/>
          </w:tcPr>
          <w:p w:rsidR="0024207A" w:rsidRPr="001F1B4B" w:rsidRDefault="0024207A" w:rsidP="0024207A">
            <w:pPr>
              <w:jc w:val="center"/>
              <w:rPr>
                <w:rFonts w:eastAsia="Calibri" w:cs="Arial"/>
                <w:sz w:val="22"/>
                <w:szCs w:val="22"/>
              </w:rPr>
            </w:pPr>
            <w:r w:rsidRPr="001F1B4B">
              <w:rPr>
                <w:sz w:val="22"/>
                <w:szCs w:val="22"/>
              </w:rPr>
              <w:t>2012</w:t>
            </w:r>
          </w:p>
        </w:tc>
        <w:tc>
          <w:tcPr>
            <w:tcW w:w="696" w:type="dxa"/>
            <w:tcBorders>
              <w:top w:val="nil"/>
              <w:left w:val="nil"/>
              <w:bottom w:val="single" w:sz="8" w:space="0" w:color="auto"/>
              <w:right w:val="nil"/>
            </w:tcBorders>
            <w:tcMar>
              <w:top w:w="0" w:type="dxa"/>
              <w:left w:w="70" w:type="dxa"/>
              <w:bottom w:w="0" w:type="dxa"/>
              <w:right w:w="70" w:type="dxa"/>
            </w:tcMar>
            <w:vAlign w:val="center"/>
            <w:hideMark/>
          </w:tcPr>
          <w:p w:rsidR="0024207A" w:rsidRPr="001F1B4B" w:rsidRDefault="0024207A" w:rsidP="0024207A">
            <w:pPr>
              <w:jc w:val="center"/>
              <w:rPr>
                <w:rFonts w:eastAsia="Calibri" w:cs="Arial"/>
                <w:sz w:val="22"/>
                <w:szCs w:val="22"/>
              </w:rPr>
            </w:pPr>
            <w:r w:rsidRPr="001F1B4B">
              <w:rPr>
                <w:sz w:val="22"/>
                <w:szCs w:val="22"/>
              </w:rPr>
              <w:t>2013</w:t>
            </w:r>
          </w:p>
        </w:tc>
        <w:tc>
          <w:tcPr>
            <w:tcW w:w="696" w:type="dxa"/>
            <w:tcBorders>
              <w:top w:val="nil"/>
              <w:left w:val="nil"/>
              <w:bottom w:val="single" w:sz="8" w:space="0" w:color="auto"/>
              <w:right w:val="nil"/>
            </w:tcBorders>
            <w:tcMar>
              <w:top w:w="0" w:type="dxa"/>
              <w:left w:w="70" w:type="dxa"/>
              <w:bottom w:w="0" w:type="dxa"/>
              <w:right w:w="70" w:type="dxa"/>
            </w:tcMar>
            <w:vAlign w:val="center"/>
            <w:hideMark/>
          </w:tcPr>
          <w:p w:rsidR="0024207A" w:rsidRPr="001F1B4B" w:rsidRDefault="0024207A" w:rsidP="0024207A">
            <w:pPr>
              <w:jc w:val="center"/>
              <w:rPr>
                <w:rFonts w:eastAsia="Calibri" w:cs="Arial"/>
                <w:sz w:val="22"/>
                <w:szCs w:val="22"/>
              </w:rPr>
            </w:pPr>
            <w:r w:rsidRPr="001F1B4B">
              <w:rPr>
                <w:sz w:val="22"/>
                <w:szCs w:val="22"/>
              </w:rPr>
              <w:t>2014</w:t>
            </w:r>
          </w:p>
        </w:tc>
        <w:tc>
          <w:tcPr>
            <w:tcW w:w="696" w:type="dxa"/>
            <w:tcBorders>
              <w:top w:val="nil"/>
              <w:left w:val="nil"/>
              <w:bottom w:val="single" w:sz="8" w:space="0" w:color="auto"/>
              <w:right w:val="nil"/>
            </w:tcBorders>
            <w:tcMar>
              <w:top w:w="0" w:type="dxa"/>
              <w:left w:w="70" w:type="dxa"/>
              <w:bottom w:w="0" w:type="dxa"/>
              <w:right w:w="70" w:type="dxa"/>
            </w:tcMar>
            <w:vAlign w:val="center"/>
            <w:hideMark/>
          </w:tcPr>
          <w:p w:rsidR="0024207A" w:rsidRPr="001F1B4B" w:rsidRDefault="0024207A" w:rsidP="0024207A">
            <w:pPr>
              <w:jc w:val="center"/>
              <w:rPr>
                <w:rFonts w:eastAsia="Calibri" w:cs="Arial"/>
                <w:sz w:val="22"/>
                <w:szCs w:val="22"/>
              </w:rPr>
            </w:pPr>
            <w:r w:rsidRPr="001F1B4B">
              <w:rPr>
                <w:sz w:val="22"/>
                <w:szCs w:val="22"/>
              </w:rPr>
              <w:t>2015</w:t>
            </w:r>
          </w:p>
        </w:tc>
        <w:tc>
          <w:tcPr>
            <w:tcW w:w="696" w:type="dxa"/>
            <w:tcBorders>
              <w:top w:val="nil"/>
              <w:left w:val="nil"/>
              <w:bottom w:val="single" w:sz="8" w:space="0" w:color="auto"/>
              <w:right w:val="nil"/>
            </w:tcBorders>
            <w:tcMar>
              <w:top w:w="0" w:type="dxa"/>
              <w:left w:w="70" w:type="dxa"/>
              <w:bottom w:w="0" w:type="dxa"/>
              <w:right w:w="70" w:type="dxa"/>
            </w:tcMar>
            <w:vAlign w:val="center"/>
            <w:hideMark/>
          </w:tcPr>
          <w:p w:rsidR="0024207A" w:rsidRPr="001F1B4B" w:rsidRDefault="0024207A" w:rsidP="0024207A">
            <w:pPr>
              <w:jc w:val="center"/>
              <w:rPr>
                <w:rFonts w:eastAsia="Calibri" w:cs="Arial"/>
                <w:bCs/>
                <w:sz w:val="22"/>
                <w:szCs w:val="22"/>
              </w:rPr>
            </w:pPr>
            <w:r w:rsidRPr="001F1B4B">
              <w:rPr>
                <w:bCs/>
                <w:sz w:val="22"/>
                <w:szCs w:val="22"/>
              </w:rPr>
              <w:t>2016</w:t>
            </w:r>
          </w:p>
        </w:tc>
        <w:tc>
          <w:tcPr>
            <w:tcW w:w="696" w:type="dxa"/>
            <w:tcBorders>
              <w:top w:val="nil"/>
              <w:left w:val="nil"/>
              <w:bottom w:val="single" w:sz="8" w:space="0" w:color="auto"/>
              <w:right w:val="nil"/>
            </w:tcBorders>
            <w:noWrap/>
            <w:tcMar>
              <w:top w:w="0" w:type="dxa"/>
              <w:left w:w="70" w:type="dxa"/>
              <w:bottom w:w="0" w:type="dxa"/>
              <w:right w:w="70" w:type="dxa"/>
            </w:tcMar>
            <w:vAlign w:val="center"/>
            <w:hideMark/>
          </w:tcPr>
          <w:p w:rsidR="0024207A" w:rsidRPr="001F1B4B" w:rsidRDefault="0024207A" w:rsidP="0024207A">
            <w:pPr>
              <w:jc w:val="center"/>
              <w:rPr>
                <w:rFonts w:eastAsia="Calibri" w:cs="Arial"/>
                <w:b/>
                <w:bCs/>
                <w:sz w:val="22"/>
                <w:szCs w:val="22"/>
                <w:highlight w:val="yellow"/>
              </w:rPr>
            </w:pPr>
            <w:r w:rsidRPr="001F1B4B">
              <w:rPr>
                <w:b/>
                <w:bCs/>
                <w:sz w:val="22"/>
                <w:szCs w:val="22"/>
              </w:rPr>
              <w:t>2017</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ascii="Calibri" w:eastAsia="Calibri" w:hAnsi="Calibri"/>
                <w:color w:val="000000"/>
                <w:sz w:val="22"/>
                <w:szCs w:val="22"/>
                <w:lang w:eastAsia="en-US"/>
              </w:rPr>
            </w:pPr>
            <w:r w:rsidRPr="001F1B4B">
              <w:rPr>
                <w:color w:val="000000"/>
                <w:sz w:val="22"/>
                <w:szCs w:val="22"/>
              </w:rPr>
              <w:t>MAS CSI*</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ascii="Calibri" w:eastAsia="Calibri" w:hAnsi="Calibri"/>
                <w:color w:val="000000"/>
                <w:sz w:val="22"/>
                <w:szCs w:val="22"/>
                <w:lang w:eastAsia="en-US"/>
              </w:rPr>
            </w:pPr>
            <w:proofErr w:type="spellStart"/>
            <w:r w:rsidRPr="001F1B4B">
              <w:rPr>
                <w:color w:val="000000"/>
                <w:sz w:val="22"/>
                <w:szCs w:val="22"/>
              </w:rPr>
              <w:t>n.d.</w:t>
            </w:r>
            <w:proofErr w:type="spellEnd"/>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ascii="Calibri" w:eastAsia="Calibri" w:hAnsi="Calibri"/>
                <w:color w:val="000000"/>
                <w:sz w:val="22"/>
                <w:szCs w:val="22"/>
                <w:lang w:eastAsia="en-US"/>
              </w:rPr>
            </w:pPr>
            <w:proofErr w:type="spellStart"/>
            <w:r w:rsidRPr="001F1B4B">
              <w:rPr>
                <w:color w:val="000000"/>
                <w:sz w:val="22"/>
                <w:szCs w:val="22"/>
              </w:rPr>
              <w:t>n.d.</w:t>
            </w:r>
            <w:proofErr w:type="spellEnd"/>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ascii="Calibri" w:eastAsia="Calibri" w:hAnsi="Calibri"/>
                <w:color w:val="000000"/>
                <w:sz w:val="22"/>
                <w:szCs w:val="22"/>
                <w:lang w:eastAsia="en-US"/>
              </w:rPr>
            </w:pPr>
            <w:r w:rsidRPr="001F1B4B">
              <w:rPr>
                <w:color w:val="000000"/>
                <w:sz w:val="22"/>
                <w:szCs w:val="22"/>
              </w:rPr>
              <w:t>2</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ascii="Calibri" w:eastAsia="Calibri" w:hAnsi="Calibri"/>
                <w:color w:val="000000"/>
                <w:sz w:val="22"/>
                <w:szCs w:val="22"/>
                <w:lang w:eastAsia="en-US"/>
              </w:rPr>
            </w:pPr>
            <w:r w:rsidRPr="001F1B4B">
              <w:rPr>
                <w:color w:val="000000"/>
                <w:sz w:val="22"/>
                <w:szCs w:val="22"/>
              </w:rPr>
              <w:t>4</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ascii="Calibri" w:eastAsia="Calibri" w:hAnsi="Calibri"/>
                <w:color w:val="000000"/>
                <w:sz w:val="22"/>
                <w:szCs w:val="22"/>
                <w:lang w:eastAsia="en-US"/>
              </w:rPr>
            </w:pPr>
            <w:r w:rsidRPr="001F1B4B">
              <w:rPr>
                <w:color w:val="000000"/>
                <w:sz w:val="22"/>
                <w:szCs w:val="22"/>
              </w:rPr>
              <w:t>4</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ascii="Calibri" w:eastAsia="Calibri" w:hAnsi="Calibri"/>
                <w:color w:val="000000"/>
                <w:sz w:val="22"/>
                <w:szCs w:val="22"/>
                <w:lang w:eastAsia="en-US"/>
              </w:rPr>
            </w:pPr>
            <w:r w:rsidRPr="001F1B4B">
              <w:rPr>
                <w:color w:val="000000"/>
                <w:sz w:val="22"/>
                <w:szCs w:val="22"/>
              </w:rPr>
              <w:t>22</w:t>
            </w:r>
          </w:p>
        </w:tc>
        <w:tc>
          <w:tcPr>
            <w:tcW w:w="696" w:type="dxa"/>
            <w:tcMar>
              <w:top w:w="0" w:type="dxa"/>
              <w:left w:w="70" w:type="dxa"/>
              <w:bottom w:w="0" w:type="dxa"/>
              <w:right w:w="70" w:type="dxa"/>
            </w:tcMar>
            <w:vAlign w:val="center"/>
            <w:hideMark/>
          </w:tcPr>
          <w:p w:rsidR="0024207A" w:rsidRPr="001F1B4B" w:rsidRDefault="0024207A" w:rsidP="0024207A">
            <w:pPr>
              <w:jc w:val="center"/>
              <w:rPr>
                <w:rFonts w:ascii="Calibri" w:eastAsia="Calibri" w:hAnsi="Calibri"/>
                <w:color w:val="000000"/>
                <w:sz w:val="22"/>
                <w:szCs w:val="22"/>
                <w:lang w:eastAsia="it-CH"/>
              </w:rPr>
            </w:pPr>
            <w:r w:rsidRPr="001F1B4B">
              <w:rPr>
                <w:color w:val="000000"/>
                <w:sz w:val="22"/>
                <w:szCs w:val="22"/>
                <w:lang w:eastAsia="it-CH"/>
              </w:rPr>
              <w:t>15</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ascii="Calibri" w:eastAsia="Calibri" w:hAnsi="Calibri"/>
                <w:color w:val="000000"/>
                <w:sz w:val="22"/>
                <w:szCs w:val="22"/>
                <w:lang w:eastAsia="it-CH"/>
              </w:rPr>
            </w:pPr>
            <w:r w:rsidRPr="001F1B4B">
              <w:rPr>
                <w:color w:val="000000"/>
                <w:sz w:val="22"/>
                <w:szCs w:val="22"/>
                <w:lang w:eastAsia="it-CH"/>
              </w:rPr>
              <w:t>22</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ascii="Calibri" w:eastAsia="Calibri" w:hAnsi="Calibri"/>
                <w:bCs/>
                <w:color w:val="000000"/>
                <w:sz w:val="22"/>
                <w:szCs w:val="22"/>
                <w:lang w:eastAsia="it-CH"/>
              </w:rPr>
            </w:pPr>
            <w:r w:rsidRPr="001F1B4B">
              <w:rPr>
                <w:bCs/>
                <w:color w:val="000000"/>
                <w:sz w:val="22"/>
                <w:szCs w:val="22"/>
                <w:lang w:eastAsia="it-CH"/>
              </w:rPr>
              <w:t>18</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6</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MID (DACD)</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4</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9</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8</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16</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MCG (</w:t>
            </w:r>
            <w:r w:rsidRPr="001F1B4B">
              <w:rPr>
                <w:rFonts w:cs="Arial"/>
                <w:sz w:val="22"/>
                <w:szCs w:val="22"/>
              </w:rPr>
              <w:t>DEASS</w:t>
            </w: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12</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1</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9</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1</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10</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1</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8</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MGS (</w:t>
            </w:r>
            <w:r w:rsidRPr="001F1B4B">
              <w:rPr>
                <w:rFonts w:cs="Arial"/>
                <w:sz w:val="22"/>
                <w:szCs w:val="22"/>
              </w:rPr>
              <w:t>DEASS</w:t>
            </w: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10</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8</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3</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17</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7</w:t>
            </w:r>
          </w:p>
        </w:tc>
      </w:tr>
      <w:tr w:rsidR="0024207A" w:rsidRPr="001F1B4B" w:rsidTr="0024207A">
        <w:tc>
          <w:tcPr>
            <w:tcW w:w="2268" w:type="dxa"/>
            <w:noWrap/>
            <w:tcMar>
              <w:top w:w="0" w:type="dxa"/>
              <w:left w:w="70" w:type="dxa"/>
              <w:bottom w:w="0" w:type="dxa"/>
              <w:right w:w="70" w:type="dxa"/>
            </w:tcMar>
            <w:vAlign w:val="bottom"/>
          </w:tcPr>
          <w:p w:rsidR="0024207A" w:rsidRPr="001F1B4B" w:rsidRDefault="0024207A" w:rsidP="0024207A">
            <w:pPr>
              <w:spacing w:before="40"/>
              <w:rPr>
                <w:color w:val="000000"/>
                <w:sz w:val="22"/>
                <w:szCs w:val="22"/>
              </w:rPr>
            </w:pPr>
            <w:r w:rsidRPr="001F1B4B">
              <w:rPr>
                <w:color w:val="000000"/>
                <w:sz w:val="22"/>
                <w:szCs w:val="22"/>
              </w:rPr>
              <w:t>MEUC (DEASS)</w:t>
            </w:r>
          </w:p>
        </w:tc>
        <w:tc>
          <w:tcPr>
            <w:tcW w:w="696" w:type="dxa"/>
            <w:tcMar>
              <w:top w:w="0" w:type="dxa"/>
              <w:left w:w="70" w:type="dxa"/>
              <w:bottom w:w="0" w:type="dxa"/>
              <w:right w:w="70" w:type="dxa"/>
            </w:tcMar>
            <w:vAlign w:val="bottom"/>
          </w:tcPr>
          <w:p w:rsidR="0024207A" w:rsidRPr="001F1B4B" w:rsidRDefault="0024207A" w:rsidP="0024207A">
            <w:pPr>
              <w:spacing w:before="40"/>
              <w:jc w:val="center"/>
              <w:rPr>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tcPr>
          <w:p w:rsidR="0024207A" w:rsidRPr="001F1B4B" w:rsidRDefault="0024207A" w:rsidP="0024207A">
            <w:pPr>
              <w:spacing w:before="40"/>
              <w:jc w:val="center"/>
              <w:rPr>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tcPr>
          <w:p w:rsidR="0024207A" w:rsidRPr="001F1B4B" w:rsidRDefault="0024207A" w:rsidP="0024207A">
            <w:pPr>
              <w:spacing w:before="40"/>
              <w:jc w:val="center"/>
              <w:rPr>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tcPr>
          <w:p w:rsidR="0024207A" w:rsidRPr="001F1B4B" w:rsidRDefault="0024207A" w:rsidP="0024207A">
            <w:pPr>
              <w:spacing w:before="40"/>
              <w:jc w:val="center"/>
              <w:rPr>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tcPr>
          <w:p w:rsidR="0024207A" w:rsidRPr="001F1B4B" w:rsidRDefault="0024207A" w:rsidP="0024207A">
            <w:pPr>
              <w:spacing w:before="40"/>
              <w:jc w:val="center"/>
              <w:rPr>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tcPr>
          <w:p w:rsidR="0024207A" w:rsidRPr="001F1B4B" w:rsidRDefault="0024207A" w:rsidP="0024207A">
            <w:pPr>
              <w:spacing w:before="40"/>
              <w:jc w:val="center"/>
              <w:rPr>
                <w:color w:val="000000"/>
                <w:sz w:val="22"/>
                <w:szCs w:val="22"/>
              </w:rPr>
            </w:pPr>
            <w:r w:rsidRPr="001F1B4B">
              <w:rPr>
                <w:color w:val="000000"/>
                <w:sz w:val="22"/>
                <w:szCs w:val="22"/>
              </w:rPr>
              <w:t>-</w:t>
            </w:r>
          </w:p>
        </w:tc>
        <w:tc>
          <w:tcPr>
            <w:tcW w:w="696" w:type="dxa"/>
            <w:tcMar>
              <w:top w:w="0" w:type="dxa"/>
              <w:left w:w="70" w:type="dxa"/>
              <w:bottom w:w="0" w:type="dxa"/>
              <w:right w:w="70" w:type="dxa"/>
            </w:tcMar>
            <w:vAlign w:val="center"/>
          </w:tcPr>
          <w:p w:rsidR="0024207A" w:rsidRPr="001F1B4B" w:rsidRDefault="0024207A" w:rsidP="0024207A">
            <w:pPr>
              <w:jc w:val="center"/>
              <w:rPr>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tcPr>
          <w:p w:rsidR="0024207A" w:rsidRPr="001F1B4B" w:rsidRDefault="0024207A" w:rsidP="0024207A">
            <w:pPr>
              <w:jc w:val="center"/>
              <w:rPr>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tcPr>
          <w:p w:rsidR="0024207A" w:rsidRPr="001F1B4B" w:rsidRDefault="0024207A" w:rsidP="0024207A">
            <w:pPr>
              <w:jc w:val="center"/>
              <w:rPr>
                <w:bCs/>
                <w:color w:val="000000"/>
                <w:sz w:val="22"/>
                <w:szCs w:val="22"/>
                <w:lang w:eastAsia="it-CH"/>
              </w:rPr>
            </w:pPr>
            <w:r w:rsidRPr="001F1B4B">
              <w:rPr>
                <w:bCs/>
                <w:color w:val="000000"/>
                <w:sz w:val="22"/>
                <w:szCs w:val="22"/>
                <w:lang w:eastAsia="it-CH"/>
              </w:rPr>
              <w:t>-</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5</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MDT (</w:t>
            </w:r>
            <w:r w:rsidRPr="001F1B4B">
              <w:rPr>
                <w:rFonts w:cs="Arial"/>
                <w:sz w:val="22"/>
                <w:szCs w:val="22"/>
              </w:rPr>
              <w:t>DEASS</w:t>
            </w: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1</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10</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9</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6</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9</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8</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3</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11</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3</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10</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MHCM (</w:t>
            </w:r>
            <w:r w:rsidRPr="001F1B4B">
              <w:rPr>
                <w:rFonts w:cs="Arial"/>
                <w:sz w:val="22"/>
                <w:szCs w:val="22"/>
              </w:rPr>
              <w:t>DEASS</w:t>
            </w: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12</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1</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10</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5</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13</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3</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11</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EMBA (</w:t>
            </w:r>
            <w:r w:rsidRPr="001F1B4B">
              <w:rPr>
                <w:rFonts w:cs="Arial"/>
                <w:sz w:val="22"/>
                <w:szCs w:val="22"/>
              </w:rPr>
              <w:t>DEASS</w:t>
            </w: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26</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25</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22</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3</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26</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6</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19</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1</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MMH (</w:t>
            </w:r>
            <w:r w:rsidRPr="001F1B4B">
              <w:rPr>
                <w:rFonts w:cs="Arial"/>
                <w:sz w:val="22"/>
                <w:szCs w:val="22"/>
              </w:rPr>
              <w:t>DEASS</w:t>
            </w: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12</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MACS (DTI)</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5</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2</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5</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3</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MASIEO (DTI)</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4</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2</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3</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15</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13</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MITMG (DTI)</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7</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3</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3</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6</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1</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6</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MPPPM (DTI)</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1</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5</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3</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MIMIA (DTI)</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1</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MITCS (DTI)</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1</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1</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MLIS (DTI)</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27</w:t>
            </w:r>
          </w:p>
        </w:tc>
        <w:tc>
          <w:tcPr>
            <w:tcW w:w="696" w:type="dxa"/>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Cs/>
                <w:color w:val="000000"/>
                <w:sz w:val="22"/>
                <w:szCs w:val="22"/>
                <w:lang w:eastAsia="it-CH"/>
              </w:rPr>
            </w:pPr>
            <w:r w:rsidRPr="001F1B4B">
              <w:rPr>
                <w:bCs/>
                <w:color w:val="000000"/>
                <w:sz w:val="22"/>
                <w:szCs w:val="22"/>
                <w:lang w:eastAsia="it-CH"/>
              </w:rPr>
              <w:t>-</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ascii="Calibri" w:eastAsia="Calibri" w:hAnsi="Calibri"/>
                <w:color w:val="000000"/>
                <w:sz w:val="22"/>
                <w:szCs w:val="22"/>
                <w:lang w:eastAsia="en-US"/>
              </w:rPr>
            </w:pPr>
            <w:r w:rsidRPr="001F1B4B">
              <w:rPr>
                <w:color w:val="000000"/>
                <w:sz w:val="22"/>
                <w:szCs w:val="22"/>
              </w:rPr>
              <w:t>MISE (DFA)</w:t>
            </w: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center"/>
          </w:tcPr>
          <w:p w:rsidR="0024207A" w:rsidRPr="001F1B4B" w:rsidRDefault="0024207A" w:rsidP="0024207A">
            <w:pPr>
              <w:jc w:val="center"/>
              <w:rPr>
                <w:rFonts w:ascii="Calibri" w:eastAsia="Calibri" w:hAnsi="Calibri"/>
                <w:color w:val="000000"/>
                <w:sz w:val="22"/>
                <w:szCs w:val="22"/>
                <w:lang w:eastAsia="it-CH"/>
              </w:rPr>
            </w:pPr>
          </w:p>
        </w:tc>
        <w:tc>
          <w:tcPr>
            <w:tcW w:w="696" w:type="dxa"/>
            <w:shd w:val="clear" w:color="auto" w:fill="FFFFFF"/>
            <w:tcMar>
              <w:top w:w="0" w:type="dxa"/>
              <w:left w:w="70" w:type="dxa"/>
              <w:bottom w:w="0" w:type="dxa"/>
              <w:right w:w="70" w:type="dxa"/>
            </w:tcMar>
            <w:vAlign w:val="center"/>
          </w:tcPr>
          <w:p w:rsidR="0024207A" w:rsidRPr="001F1B4B" w:rsidRDefault="0024207A" w:rsidP="0024207A">
            <w:pPr>
              <w:jc w:val="center"/>
              <w:rPr>
                <w:rFonts w:ascii="Calibri" w:eastAsia="Calibri" w:hAnsi="Calibri"/>
                <w:color w:val="000000"/>
                <w:sz w:val="22"/>
                <w:szCs w:val="22"/>
                <w:lang w:eastAsia="it-CH"/>
              </w:rPr>
            </w:pPr>
          </w:p>
        </w:tc>
        <w:tc>
          <w:tcPr>
            <w:tcW w:w="696" w:type="dxa"/>
            <w:shd w:val="clear" w:color="auto" w:fill="FFFFFF"/>
            <w:tcMar>
              <w:top w:w="0" w:type="dxa"/>
              <w:left w:w="70" w:type="dxa"/>
              <w:bottom w:w="0" w:type="dxa"/>
              <w:right w:w="70" w:type="dxa"/>
            </w:tcMar>
            <w:vAlign w:val="center"/>
          </w:tcPr>
          <w:p w:rsidR="0024207A" w:rsidRPr="001F1B4B" w:rsidRDefault="0024207A" w:rsidP="0024207A">
            <w:pPr>
              <w:jc w:val="center"/>
              <w:rPr>
                <w:rFonts w:ascii="Calibri" w:eastAsia="Calibri" w:hAnsi="Calibri"/>
                <w:bCs/>
                <w:color w:val="000000"/>
                <w:sz w:val="22"/>
                <w:szCs w:val="22"/>
                <w:lang w:eastAsia="it-CH"/>
              </w:rPr>
            </w:pPr>
            <w:r w:rsidRPr="001F1B4B">
              <w:rPr>
                <w:bCs/>
                <w:color w:val="000000"/>
                <w:sz w:val="22"/>
                <w:szCs w:val="22"/>
                <w:lang w:eastAsia="it-CH"/>
              </w:rPr>
              <w:t>6</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19</w:t>
            </w:r>
          </w:p>
        </w:tc>
      </w:tr>
      <w:tr w:rsidR="0024207A" w:rsidRPr="001F1B4B" w:rsidTr="0024207A">
        <w:tc>
          <w:tcPr>
            <w:tcW w:w="2268" w:type="dxa"/>
            <w:noWrap/>
            <w:tcMar>
              <w:top w:w="0" w:type="dxa"/>
              <w:left w:w="70" w:type="dxa"/>
              <w:bottom w:w="0" w:type="dxa"/>
              <w:right w:w="70" w:type="dxa"/>
            </w:tcMar>
            <w:vAlign w:val="bottom"/>
            <w:hideMark/>
          </w:tcPr>
          <w:p w:rsidR="0024207A" w:rsidRPr="001F1B4B" w:rsidRDefault="0024207A" w:rsidP="0024207A">
            <w:pPr>
              <w:spacing w:before="40"/>
              <w:rPr>
                <w:rFonts w:ascii="Calibri" w:eastAsia="Calibri" w:hAnsi="Calibri"/>
                <w:color w:val="000000"/>
                <w:sz w:val="22"/>
                <w:szCs w:val="22"/>
                <w:lang w:eastAsia="en-US"/>
              </w:rPr>
            </w:pPr>
            <w:r w:rsidRPr="001F1B4B">
              <w:rPr>
                <w:color w:val="000000"/>
                <w:sz w:val="22"/>
                <w:szCs w:val="22"/>
              </w:rPr>
              <w:t>MAC (DFA)</w:t>
            </w: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bottom"/>
          </w:tcPr>
          <w:p w:rsidR="0024207A" w:rsidRPr="001F1B4B" w:rsidRDefault="0024207A" w:rsidP="0024207A">
            <w:pPr>
              <w:spacing w:before="40"/>
              <w:jc w:val="center"/>
              <w:rPr>
                <w:rFonts w:ascii="Calibri" w:eastAsia="Calibri" w:hAnsi="Calibri"/>
                <w:color w:val="000000"/>
                <w:sz w:val="22"/>
                <w:szCs w:val="22"/>
                <w:lang w:eastAsia="en-US"/>
              </w:rPr>
            </w:pPr>
          </w:p>
        </w:tc>
        <w:tc>
          <w:tcPr>
            <w:tcW w:w="696" w:type="dxa"/>
            <w:tcMar>
              <w:top w:w="0" w:type="dxa"/>
              <w:left w:w="70" w:type="dxa"/>
              <w:bottom w:w="0" w:type="dxa"/>
              <w:right w:w="70" w:type="dxa"/>
            </w:tcMar>
            <w:vAlign w:val="center"/>
          </w:tcPr>
          <w:p w:rsidR="0024207A" w:rsidRPr="001F1B4B" w:rsidRDefault="0024207A" w:rsidP="0024207A">
            <w:pPr>
              <w:jc w:val="center"/>
              <w:rPr>
                <w:rFonts w:ascii="Calibri" w:eastAsia="Calibri" w:hAnsi="Calibri"/>
                <w:color w:val="000000"/>
                <w:sz w:val="22"/>
                <w:szCs w:val="22"/>
                <w:lang w:eastAsia="it-CH"/>
              </w:rPr>
            </w:pPr>
          </w:p>
        </w:tc>
        <w:tc>
          <w:tcPr>
            <w:tcW w:w="696" w:type="dxa"/>
            <w:shd w:val="clear" w:color="auto" w:fill="FFFFFF"/>
            <w:tcMar>
              <w:top w:w="0" w:type="dxa"/>
              <w:left w:w="70" w:type="dxa"/>
              <w:bottom w:w="0" w:type="dxa"/>
              <w:right w:w="70" w:type="dxa"/>
            </w:tcMar>
            <w:vAlign w:val="center"/>
          </w:tcPr>
          <w:p w:rsidR="0024207A" w:rsidRPr="001F1B4B" w:rsidRDefault="0024207A" w:rsidP="0024207A">
            <w:pPr>
              <w:jc w:val="center"/>
              <w:rPr>
                <w:rFonts w:ascii="Calibri" w:eastAsia="Calibri" w:hAnsi="Calibri"/>
                <w:color w:val="000000"/>
                <w:sz w:val="22"/>
                <w:szCs w:val="22"/>
                <w:lang w:eastAsia="it-CH"/>
              </w:rPr>
            </w:pPr>
          </w:p>
        </w:tc>
        <w:tc>
          <w:tcPr>
            <w:tcW w:w="696" w:type="dxa"/>
            <w:shd w:val="clear" w:color="auto" w:fill="FFFFFF"/>
            <w:tcMar>
              <w:top w:w="0" w:type="dxa"/>
              <w:left w:w="70" w:type="dxa"/>
              <w:bottom w:w="0" w:type="dxa"/>
              <w:right w:w="70" w:type="dxa"/>
            </w:tcMar>
            <w:vAlign w:val="center"/>
          </w:tcPr>
          <w:p w:rsidR="0024207A" w:rsidRPr="001F1B4B" w:rsidRDefault="0024207A" w:rsidP="0024207A">
            <w:pPr>
              <w:jc w:val="center"/>
              <w:rPr>
                <w:rFonts w:ascii="Calibri" w:eastAsia="Calibri" w:hAnsi="Calibri"/>
                <w:bCs/>
                <w:color w:val="000000"/>
                <w:sz w:val="22"/>
                <w:szCs w:val="22"/>
                <w:lang w:eastAsia="it-CH"/>
              </w:rPr>
            </w:pPr>
            <w:r w:rsidRPr="001F1B4B">
              <w:rPr>
                <w:bCs/>
                <w:color w:val="000000"/>
                <w:sz w:val="22"/>
                <w:szCs w:val="22"/>
                <w:lang w:eastAsia="it-CH"/>
              </w:rPr>
              <w:t>19</w:t>
            </w:r>
          </w:p>
        </w:tc>
        <w:tc>
          <w:tcPr>
            <w:tcW w:w="696" w:type="dxa"/>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1</w:t>
            </w:r>
          </w:p>
        </w:tc>
      </w:tr>
      <w:tr w:rsidR="0024207A" w:rsidRPr="001F1B4B" w:rsidTr="0024207A">
        <w:tc>
          <w:tcPr>
            <w:tcW w:w="2268" w:type="dxa"/>
            <w:tcBorders>
              <w:top w:val="nil"/>
              <w:left w:val="nil"/>
              <w:bottom w:val="single" w:sz="8" w:space="0" w:color="auto"/>
              <w:right w:val="nil"/>
            </w:tcBorders>
            <w:noWrap/>
            <w:tcMar>
              <w:top w:w="0" w:type="dxa"/>
              <w:left w:w="70" w:type="dxa"/>
              <w:bottom w:w="0" w:type="dxa"/>
              <w:right w:w="70" w:type="dxa"/>
            </w:tcMar>
            <w:vAlign w:val="bottom"/>
            <w:hideMark/>
          </w:tcPr>
          <w:p w:rsidR="0024207A" w:rsidRPr="001F1B4B" w:rsidRDefault="0024207A" w:rsidP="0024207A">
            <w:pPr>
              <w:spacing w:before="40"/>
              <w:rPr>
                <w:rFonts w:eastAsia="Calibri" w:cs="Arial"/>
                <w:color w:val="000000"/>
                <w:sz w:val="22"/>
                <w:szCs w:val="22"/>
              </w:rPr>
            </w:pPr>
            <w:r w:rsidRPr="001F1B4B">
              <w:rPr>
                <w:color w:val="000000"/>
                <w:sz w:val="22"/>
                <w:szCs w:val="22"/>
              </w:rPr>
              <w:t>MSPE (DFA)</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color w:val="000000"/>
                <w:sz w:val="22"/>
                <w:szCs w:val="22"/>
              </w:rPr>
            </w:pPr>
            <w:r w:rsidRPr="001F1B4B">
              <w:rPr>
                <w:color w:val="000000"/>
                <w:sz w:val="22"/>
                <w:szCs w:val="22"/>
              </w:rPr>
              <w:t>-</w:t>
            </w:r>
          </w:p>
        </w:tc>
        <w:tc>
          <w:tcPr>
            <w:tcW w:w="696" w:type="dxa"/>
            <w:tcBorders>
              <w:top w:val="nil"/>
              <w:left w:val="nil"/>
              <w:bottom w:val="single" w:sz="8" w:space="0" w:color="auto"/>
              <w:right w:val="nil"/>
            </w:tcBorders>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w:t>
            </w:r>
          </w:p>
        </w:tc>
        <w:tc>
          <w:tcPr>
            <w:tcW w:w="696" w:type="dxa"/>
            <w:tcBorders>
              <w:top w:val="nil"/>
              <w:left w:val="nil"/>
              <w:bottom w:val="single" w:sz="8" w:space="0" w:color="auto"/>
              <w:right w:val="nil"/>
            </w:tcBorders>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6</w:t>
            </w:r>
          </w:p>
        </w:tc>
        <w:tc>
          <w:tcPr>
            <w:tcW w:w="696" w:type="dxa"/>
            <w:tcBorders>
              <w:top w:val="nil"/>
              <w:left w:val="nil"/>
              <w:bottom w:val="single" w:sz="8" w:space="0" w:color="auto"/>
              <w:right w:val="nil"/>
            </w:tcBorders>
            <w:shd w:val="clear" w:color="auto" w:fill="FFFFFF"/>
            <w:tcMar>
              <w:top w:w="0" w:type="dxa"/>
              <w:left w:w="70" w:type="dxa"/>
              <w:bottom w:w="0" w:type="dxa"/>
              <w:right w:w="70" w:type="dxa"/>
            </w:tcMar>
            <w:vAlign w:val="center"/>
            <w:hideMark/>
          </w:tcPr>
          <w:p w:rsidR="0024207A" w:rsidRPr="001F1B4B" w:rsidRDefault="0024207A" w:rsidP="0024207A">
            <w:pPr>
              <w:jc w:val="center"/>
              <w:rPr>
                <w:rFonts w:eastAsia="Calibri" w:cs="Arial"/>
                <w:bCs/>
                <w:color w:val="000000"/>
                <w:sz w:val="22"/>
                <w:szCs w:val="22"/>
                <w:lang w:eastAsia="it-CH"/>
              </w:rPr>
            </w:pPr>
            <w:r w:rsidRPr="001F1B4B">
              <w:rPr>
                <w:rFonts w:cs="Arial"/>
                <w:bCs/>
                <w:color w:val="000000"/>
                <w:sz w:val="22"/>
                <w:szCs w:val="22"/>
                <w:lang w:eastAsia="it-CH"/>
              </w:rPr>
              <w:t>31</w:t>
            </w:r>
          </w:p>
        </w:tc>
        <w:tc>
          <w:tcPr>
            <w:tcW w:w="696" w:type="dxa"/>
            <w:tcBorders>
              <w:top w:val="nil"/>
              <w:left w:val="nil"/>
              <w:bottom w:val="single" w:sz="8" w:space="0" w:color="auto"/>
              <w:right w:val="nil"/>
            </w:tcBorders>
            <w:shd w:val="clear" w:color="auto" w:fill="FFFFFF"/>
            <w:noWrap/>
            <w:tcMar>
              <w:top w:w="0" w:type="dxa"/>
              <w:left w:w="70" w:type="dxa"/>
              <w:bottom w:w="0" w:type="dxa"/>
              <w:right w:w="70" w:type="dxa"/>
            </w:tcMar>
            <w:vAlign w:val="center"/>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17</w:t>
            </w:r>
          </w:p>
        </w:tc>
      </w:tr>
      <w:tr w:rsidR="0024207A" w:rsidRPr="001F1B4B" w:rsidTr="0024207A">
        <w:tc>
          <w:tcPr>
            <w:tcW w:w="2268" w:type="dxa"/>
            <w:tcBorders>
              <w:top w:val="nil"/>
              <w:left w:val="nil"/>
              <w:bottom w:val="single" w:sz="8" w:space="0" w:color="auto"/>
              <w:right w:val="nil"/>
            </w:tcBorders>
            <w:noWrap/>
            <w:tcMar>
              <w:top w:w="0" w:type="dxa"/>
              <w:left w:w="70" w:type="dxa"/>
              <w:bottom w:w="0" w:type="dxa"/>
              <w:right w:w="70" w:type="dxa"/>
            </w:tcMar>
            <w:vAlign w:val="bottom"/>
            <w:hideMark/>
          </w:tcPr>
          <w:p w:rsidR="0024207A" w:rsidRPr="001F1B4B" w:rsidRDefault="0024207A" w:rsidP="0024207A">
            <w:pPr>
              <w:spacing w:before="40"/>
              <w:rPr>
                <w:rFonts w:eastAsia="Calibri" w:cs="Arial"/>
                <w:i/>
                <w:iCs/>
                <w:color w:val="000000"/>
                <w:sz w:val="22"/>
                <w:szCs w:val="22"/>
              </w:rPr>
            </w:pPr>
            <w:r w:rsidRPr="001F1B4B">
              <w:rPr>
                <w:i/>
                <w:iCs/>
                <w:color w:val="000000"/>
                <w:sz w:val="22"/>
                <w:szCs w:val="22"/>
              </w:rPr>
              <w:t xml:space="preserve">TOTALE </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i/>
                <w:iCs/>
                <w:color w:val="000000"/>
                <w:sz w:val="22"/>
                <w:szCs w:val="22"/>
              </w:rPr>
            </w:pPr>
            <w:r w:rsidRPr="001F1B4B">
              <w:rPr>
                <w:i/>
                <w:iCs/>
                <w:color w:val="000000"/>
                <w:sz w:val="22"/>
                <w:szCs w:val="22"/>
              </w:rPr>
              <w:t>32</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i/>
                <w:iCs/>
                <w:color w:val="000000"/>
                <w:sz w:val="22"/>
                <w:szCs w:val="22"/>
              </w:rPr>
            </w:pPr>
            <w:r w:rsidRPr="001F1B4B">
              <w:rPr>
                <w:i/>
                <w:iCs/>
                <w:color w:val="000000"/>
                <w:sz w:val="22"/>
                <w:szCs w:val="22"/>
              </w:rPr>
              <w:t>35</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i/>
                <w:iCs/>
                <w:color w:val="000000"/>
                <w:sz w:val="22"/>
                <w:szCs w:val="22"/>
              </w:rPr>
            </w:pPr>
            <w:r w:rsidRPr="001F1B4B">
              <w:rPr>
                <w:i/>
                <w:iCs/>
                <w:color w:val="000000"/>
                <w:sz w:val="22"/>
                <w:szCs w:val="22"/>
              </w:rPr>
              <w:t>23</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i/>
                <w:iCs/>
                <w:color w:val="000000"/>
                <w:sz w:val="22"/>
                <w:szCs w:val="22"/>
              </w:rPr>
            </w:pPr>
            <w:r w:rsidRPr="001F1B4B">
              <w:rPr>
                <w:i/>
                <w:iCs/>
                <w:color w:val="000000"/>
                <w:sz w:val="22"/>
                <w:szCs w:val="22"/>
              </w:rPr>
              <w:t>56</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i/>
                <w:iCs/>
                <w:color w:val="000000"/>
                <w:sz w:val="22"/>
                <w:szCs w:val="22"/>
              </w:rPr>
            </w:pPr>
            <w:r w:rsidRPr="001F1B4B">
              <w:rPr>
                <w:i/>
                <w:iCs/>
                <w:color w:val="000000"/>
                <w:sz w:val="22"/>
                <w:szCs w:val="22"/>
              </w:rPr>
              <w:t>55</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spacing w:before="40"/>
              <w:jc w:val="center"/>
              <w:rPr>
                <w:rFonts w:eastAsia="Calibri" w:cs="Arial"/>
                <w:i/>
                <w:iCs/>
                <w:color w:val="000000"/>
                <w:sz w:val="22"/>
                <w:szCs w:val="22"/>
              </w:rPr>
            </w:pPr>
            <w:r w:rsidRPr="001F1B4B">
              <w:rPr>
                <w:i/>
                <w:iCs/>
                <w:color w:val="000000"/>
                <w:sz w:val="22"/>
                <w:szCs w:val="22"/>
              </w:rPr>
              <w:t>65</w:t>
            </w:r>
          </w:p>
        </w:tc>
        <w:tc>
          <w:tcPr>
            <w:tcW w:w="696" w:type="dxa"/>
            <w:tcBorders>
              <w:top w:val="nil"/>
              <w:left w:val="nil"/>
              <w:bottom w:val="single" w:sz="8" w:space="0" w:color="auto"/>
              <w:right w:val="nil"/>
            </w:tcBorders>
            <w:tcMar>
              <w:top w:w="0" w:type="dxa"/>
              <w:left w:w="70" w:type="dxa"/>
              <w:bottom w:w="0" w:type="dxa"/>
              <w:right w:w="70" w:type="dxa"/>
            </w:tcMar>
            <w:vAlign w:val="bottom"/>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83</w:t>
            </w:r>
          </w:p>
        </w:tc>
        <w:tc>
          <w:tcPr>
            <w:tcW w:w="696" w:type="dxa"/>
            <w:tcBorders>
              <w:top w:val="nil"/>
              <w:left w:val="nil"/>
              <w:bottom w:val="single" w:sz="8" w:space="0" w:color="auto"/>
              <w:right w:val="nil"/>
            </w:tcBorders>
            <w:shd w:val="clear" w:color="auto" w:fill="FFFFFF"/>
            <w:tcMar>
              <w:top w:w="0" w:type="dxa"/>
              <w:left w:w="70" w:type="dxa"/>
              <w:bottom w:w="0" w:type="dxa"/>
              <w:right w:w="70" w:type="dxa"/>
            </w:tcMar>
            <w:vAlign w:val="bottom"/>
            <w:hideMark/>
          </w:tcPr>
          <w:p w:rsidR="0024207A" w:rsidRPr="001F1B4B" w:rsidRDefault="0024207A" w:rsidP="0024207A">
            <w:pPr>
              <w:jc w:val="center"/>
              <w:rPr>
                <w:rFonts w:eastAsia="Calibri" w:cs="Arial"/>
                <w:color w:val="000000"/>
                <w:sz w:val="22"/>
                <w:szCs w:val="22"/>
                <w:lang w:eastAsia="it-CH"/>
              </w:rPr>
            </w:pPr>
            <w:r w:rsidRPr="001F1B4B">
              <w:rPr>
                <w:color w:val="000000"/>
                <w:sz w:val="22"/>
                <w:szCs w:val="22"/>
                <w:lang w:eastAsia="it-CH"/>
              </w:rPr>
              <w:t>112</w:t>
            </w:r>
          </w:p>
        </w:tc>
        <w:tc>
          <w:tcPr>
            <w:tcW w:w="696" w:type="dxa"/>
            <w:tcBorders>
              <w:top w:val="nil"/>
              <w:left w:val="nil"/>
              <w:bottom w:val="single" w:sz="8" w:space="0" w:color="auto"/>
              <w:right w:val="nil"/>
            </w:tcBorders>
            <w:shd w:val="clear" w:color="auto" w:fill="FFFFFF"/>
            <w:tcMar>
              <w:top w:w="0" w:type="dxa"/>
              <w:left w:w="70" w:type="dxa"/>
              <w:bottom w:w="0" w:type="dxa"/>
              <w:right w:w="70" w:type="dxa"/>
            </w:tcMar>
            <w:vAlign w:val="bottom"/>
            <w:hideMark/>
          </w:tcPr>
          <w:p w:rsidR="0024207A" w:rsidRPr="001F1B4B" w:rsidRDefault="0024207A" w:rsidP="0024207A">
            <w:pPr>
              <w:jc w:val="center"/>
              <w:rPr>
                <w:rFonts w:eastAsia="Calibri" w:cs="Arial"/>
                <w:bCs/>
                <w:color w:val="000000"/>
                <w:sz w:val="22"/>
                <w:szCs w:val="22"/>
                <w:lang w:eastAsia="it-CH"/>
              </w:rPr>
            </w:pPr>
            <w:r w:rsidRPr="001F1B4B">
              <w:rPr>
                <w:bCs/>
                <w:color w:val="000000"/>
                <w:sz w:val="22"/>
                <w:szCs w:val="22"/>
                <w:lang w:eastAsia="it-CH"/>
              </w:rPr>
              <w:t>134</w:t>
            </w:r>
          </w:p>
        </w:tc>
        <w:tc>
          <w:tcPr>
            <w:tcW w:w="696" w:type="dxa"/>
            <w:tcBorders>
              <w:top w:val="nil"/>
              <w:left w:val="nil"/>
              <w:bottom w:val="single" w:sz="8" w:space="0" w:color="auto"/>
              <w:right w:val="nil"/>
            </w:tcBorders>
            <w:shd w:val="clear" w:color="auto" w:fill="FFFFFF"/>
            <w:noWrap/>
            <w:tcMar>
              <w:top w:w="0" w:type="dxa"/>
              <w:left w:w="70" w:type="dxa"/>
              <w:bottom w:w="0" w:type="dxa"/>
              <w:right w:w="70" w:type="dxa"/>
            </w:tcMar>
            <w:vAlign w:val="bottom"/>
          </w:tcPr>
          <w:p w:rsidR="0024207A" w:rsidRPr="001F1B4B" w:rsidRDefault="0024207A" w:rsidP="0024207A">
            <w:pPr>
              <w:jc w:val="center"/>
              <w:rPr>
                <w:b/>
                <w:bCs/>
                <w:color w:val="000000"/>
                <w:sz w:val="22"/>
                <w:szCs w:val="22"/>
                <w:lang w:eastAsia="it-CH"/>
              </w:rPr>
            </w:pPr>
            <w:r w:rsidRPr="001F1B4B">
              <w:rPr>
                <w:b/>
                <w:bCs/>
                <w:color w:val="000000"/>
                <w:sz w:val="22"/>
                <w:szCs w:val="22"/>
                <w:lang w:eastAsia="it-CH"/>
              </w:rPr>
              <w:t>108</w:t>
            </w:r>
          </w:p>
        </w:tc>
      </w:tr>
    </w:tbl>
    <w:p w:rsidR="0024207A" w:rsidRPr="002B1377" w:rsidRDefault="0024207A" w:rsidP="0024207A">
      <w:pPr>
        <w:rPr>
          <w:rFonts w:cs="Arial"/>
          <w:i/>
          <w:iCs/>
          <w:sz w:val="16"/>
          <w:szCs w:val="16"/>
          <w:lang w:val="it-CH"/>
        </w:rPr>
      </w:pPr>
    </w:p>
    <w:p w:rsidR="0024207A" w:rsidRPr="008145A1" w:rsidRDefault="0024207A" w:rsidP="0024207A">
      <w:pPr>
        <w:rPr>
          <w:rFonts w:eastAsia="Calibri" w:cs="Arial"/>
          <w:i/>
          <w:iCs/>
          <w:color w:val="000000"/>
          <w:sz w:val="18"/>
          <w:szCs w:val="18"/>
        </w:rPr>
      </w:pPr>
      <w:r w:rsidRPr="008145A1">
        <w:rPr>
          <w:rFonts w:cs="Arial"/>
          <w:i/>
          <w:iCs/>
          <w:sz w:val="18"/>
          <w:szCs w:val="18"/>
        </w:rPr>
        <w:t>Fonte: SUPSI</w:t>
      </w:r>
    </w:p>
    <w:p w:rsidR="0024207A" w:rsidRPr="008145A1" w:rsidRDefault="0024207A" w:rsidP="0024207A">
      <w:pPr>
        <w:rPr>
          <w:rFonts w:cs="Arial"/>
          <w:i/>
          <w:sz w:val="18"/>
          <w:szCs w:val="18"/>
          <w:lang w:eastAsia="en-US"/>
        </w:rPr>
      </w:pPr>
      <w:r w:rsidRPr="008145A1">
        <w:rPr>
          <w:rFonts w:cs="Arial"/>
          <w:i/>
          <w:sz w:val="18"/>
          <w:szCs w:val="18"/>
        </w:rPr>
        <w:t>*CSI: dati diplomati MAS disponibili dal 2010</w:t>
      </w:r>
      <w:r>
        <w:rPr>
          <w:rFonts w:cs="Arial"/>
          <w:i/>
          <w:sz w:val="18"/>
          <w:szCs w:val="18"/>
        </w:rPr>
        <w:t xml:space="preserve">, attualmente sono 4 i MAS (MAS Music </w:t>
      </w:r>
      <w:proofErr w:type="spellStart"/>
      <w:r>
        <w:rPr>
          <w:rFonts w:cs="Arial"/>
          <w:i/>
          <w:sz w:val="18"/>
          <w:szCs w:val="18"/>
        </w:rPr>
        <w:t>Composition</w:t>
      </w:r>
      <w:proofErr w:type="spellEnd"/>
      <w:r>
        <w:rPr>
          <w:rFonts w:cs="Arial"/>
          <w:i/>
          <w:sz w:val="18"/>
          <w:szCs w:val="18"/>
        </w:rPr>
        <w:t xml:space="preserve">, MAS Performance and </w:t>
      </w:r>
      <w:proofErr w:type="spellStart"/>
      <w:r>
        <w:rPr>
          <w:rFonts w:cs="Arial"/>
          <w:i/>
          <w:sz w:val="18"/>
          <w:szCs w:val="18"/>
        </w:rPr>
        <w:t>Interpretation</w:t>
      </w:r>
      <w:proofErr w:type="spellEnd"/>
      <w:r>
        <w:rPr>
          <w:rFonts w:cs="Arial"/>
          <w:i/>
          <w:sz w:val="18"/>
          <w:szCs w:val="18"/>
        </w:rPr>
        <w:t xml:space="preserve">, MAS Wind </w:t>
      </w:r>
      <w:proofErr w:type="spellStart"/>
      <w:r>
        <w:rPr>
          <w:rFonts w:cs="Arial"/>
          <w:i/>
          <w:sz w:val="18"/>
          <w:szCs w:val="18"/>
        </w:rPr>
        <w:t>Conducting</w:t>
      </w:r>
      <w:proofErr w:type="spellEnd"/>
      <w:r>
        <w:rPr>
          <w:rFonts w:cs="Arial"/>
          <w:i/>
          <w:sz w:val="18"/>
          <w:szCs w:val="18"/>
        </w:rPr>
        <w:t xml:space="preserve"> e il MAS </w:t>
      </w:r>
      <w:proofErr w:type="spellStart"/>
      <w:r>
        <w:rPr>
          <w:rFonts w:cs="Arial"/>
          <w:i/>
          <w:sz w:val="18"/>
          <w:szCs w:val="18"/>
        </w:rPr>
        <w:t>Contemporary</w:t>
      </w:r>
      <w:proofErr w:type="spellEnd"/>
      <w:r>
        <w:rPr>
          <w:rFonts w:cs="Arial"/>
          <w:i/>
          <w:sz w:val="18"/>
          <w:szCs w:val="18"/>
        </w:rPr>
        <w:t xml:space="preserve"> Music Performance)</w:t>
      </w:r>
    </w:p>
    <w:p w:rsidR="0024207A" w:rsidRPr="001F1B4B" w:rsidRDefault="0024207A" w:rsidP="0024207A">
      <w:pPr>
        <w:rPr>
          <w:rFonts w:cs="Arial"/>
          <w:sz w:val="36"/>
          <w:szCs w:val="36"/>
        </w:rPr>
      </w:pPr>
    </w:p>
    <w:p w:rsidR="0024207A" w:rsidRDefault="0024207A" w:rsidP="0024207A">
      <w:r>
        <w:t>N</w:t>
      </w:r>
      <w:r w:rsidRPr="00510DCD">
        <w:t xml:space="preserve">ell’ambito della tecnica (DTI) non vengono più offerti </w:t>
      </w:r>
      <w:r>
        <w:t xml:space="preserve">alcuni MAS, </w:t>
      </w:r>
      <w:r w:rsidRPr="00510DCD">
        <w:t>sostituiti con nuovi prodotti più in linea con l’evoluzione tecnologica degli ultimi anni.</w:t>
      </w:r>
      <w:r>
        <w:t xml:space="preserve"> Per il settore del Design è previsto da anni il MID (MAS </w:t>
      </w:r>
      <w:proofErr w:type="spellStart"/>
      <w:r>
        <w:t>Interaction</w:t>
      </w:r>
      <w:proofErr w:type="spellEnd"/>
      <w:r>
        <w:t xml:space="preserve"> design). Inoltre, nella tabella sono anche inseriti </w:t>
      </w:r>
      <w:r w:rsidRPr="00510DCD">
        <w:t xml:space="preserve">tre MAS promossi dall’ambito Formazione docenti (DFA): Master in </w:t>
      </w:r>
      <w:r>
        <w:t>Attività creative (MAC),</w:t>
      </w:r>
      <w:r w:rsidRPr="00510DCD">
        <w:t xml:space="preserve"> Master in Insegnamento nella Scuol</w:t>
      </w:r>
      <w:r>
        <w:t>a</w:t>
      </w:r>
      <w:r w:rsidRPr="00510DCD">
        <w:t xml:space="preserve"> elementare (MISE), Master in Sostegno pedagogico nella Scuola dell’obbligo (MSPE</w:t>
      </w:r>
      <w:r>
        <w:t xml:space="preserve">). </w:t>
      </w:r>
    </w:p>
    <w:p w:rsidR="0024207A" w:rsidRDefault="0024207A" w:rsidP="0024207A">
      <w:pPr>
        <w:rPr>
          <w:rFonts w:cs="Arial"/>
          <w:szCs w:val="24"/>
        </w:rPr>
      </w:pPr>
    </w:p>
    <w:p w:rsidR="0024207A" w:rsidRDefault="0024207A" w:rsidP="0024207A">
      <w:pPr>
        <w:rPr>
          <w:rFonts w:cs="Arial"/>
          <w:szCs w:val="24"/>
          <w:lang w:val="it-CH"/>
        </w:rPr>
      </w:pPr>
      <w:r>
        <w:rPr>
          <w:rFonts w:cs="Arial"/>
          <w:szCs w:val="24"/>
        </w:rPr>
        <w:t xml:space="preserve">Il </w:t>
      </w:r>
      <w:proofErr w:type="spellStart"/>
      <w:r>
        <w:rPr>
          <w:rFonts w:cs="Arial"/>
          <w:szCs w:val="24"/>
        </w:rPr>
        <w:t>Cdp</w:t>
      </w:r>
      <w:proofErr w:type="spellEnd"/>
      <w:r>
        <w:rPr>
          <w:rFonts w:cs="Arial"/>
          <w:szCs w:val="24"/>
        </w:rPr>
        <w:t xml:space="preserve"> prevede</w:t>
      </w:r>
      <w:r w:rsidRPr="000C2954">
        <w:rPr>
          <w:rFonts w:cs="Arial"/>
          <w:szCs w:val="24"/>
        </w:rPr>
        <w:t xml:space="preserve"> obiettivi </w:t>
      </w:r>
      <w:r>
        <w:rPr>
          <w:rFonts w:cs="Arial"/>
          <w:szCs w:val="24"/>
        </w:rPr>
        <w:t>legati alla</w:t>
      </w:r>
      <w:r w:rsidRPr="000C2954">
        <w:rPr>
          <w:rFonts w:cs="Arial"/>
          <w:szCs w:val="24"/>
        </w:rPr>
        <w:t xml:space="preserve"> qualità e la percezione del mercato dell’insegnamento proposto. </w:t>
      </w:r>
      <w:r>
        <w:rPr>
          <w:rFonts w:cs="Arial"/>
          <w:szCs w:val="24"/>
        </w:rPr>
        <w:t>La SUPSI ha verificato tali obiettivi tramite un’unica indagine presso i diplomati e i datori di lavoro dell’EMBA del DEASS. Mentre la soddisfazione dei datori di lavoro è difficilmente interpretabile alla</w:t>
      </w:r>
      <w:r w:rsidRPr="000C2954">
        <w:rPr>
          <w:rFonts w:cs="Arial"/>
          <w:szCs w:val="24"/>
        </w:rPr>
        <w:t xml:space="preserve"> luce del limitato numero </w:t>
      </w:r>
      <w:r w:rsidRPr="000C2954">
        <w:rPr>
          <w:rFonts w:cs="Arial"/>
          <w:szCs w:val="24"/>
          <w:shd w:val="clear" w:color="auto" w:fill="FFFFFF"/>
        </w:rPr>
        <w:t>d’interviste (</w:t>
      </w:r>
      <w:r>
        <w:rPr>
          <w:rFonts w:cs="Arial"/>
          <w:szCs w:val="24"/>
          <w:shd w:val="clear" w:color="auto" w:fill="FFFFFF"/>
        </w:rPr>
        <w:t>solo 4</w:t>
      </w:r>
      <w:r w:rsidRPr="000C2954">
        <w:rPr>
          <w:rFonts w:cs="Arial"/>
          <w:szCs w:val="24"/>
          <w:shd w:val="clear" w:color="auto" w:fill="FFFFFF"/>
        </w:rPr>
        <w:t xml:space="preserve"> </w:t>
      </w:r>
      <w:r w:rsidRPr="000C2954">
        <w:rPr>
          <w:rFonts w:cs="Arial"/>
          <w:szCs w:val="24"/>
        </w:rPr>
        <w:t xml:space="preserve">datori di lavoro </w:t>
      </w:r>
      <w:r>
        <w:rPr>
          <w:rFonts w:cs="Arial"/>
          <w:szCs w:val="24"/>
        </w:rPr>
        <w:t>provenienti dal settore dell’istruzione)</w:t>
      </w:r>
      <w:r w:rsidRPr="000C2954">
        <w:rPr>
          <w:rFonts w:cs="Arial"/>
          <w:szCs w:val="24"/>
        </w:rPr>
        <w:t>, l'indagine sull’indicatore riferito all’avanzamen</w:t>
      </w:r>
      <w:r>
        <w:rPr>
          <w:rFonts w:cs="Arial"/>
          <w:szCs w:val="24"/>
        </w:rPr>
        <w:t>to di carriera dei diplomati EMBA</w:t>
      </w:r>
      <w:r w:rsidRPr="000C2954">
        <w:rPr>
          <w:rFonts w:cs="Arial"/>
          <w:szCs w:val="24"/>
        </w:rPr>
        <w:t xml:space="preserve"> (</w:t>
      </w:r>
      <w:r>
        <w:rPr>
          <w:rFonts w:cs="Arial"/>
          <w:szCs w:val="24"/>
        </w:rPr>
        <w:t>a cui hanno risposto 52 diplomati su 128 intervistati)</w:t>
      </w:r>
      <w:r w:rsidRPr="000C2954">
        <w:rPr>
          <w:rFonts w:cs="Arial"/>
          <w:szCs w:val="24"/>
          <w:lang w:val="it-CH"/>
        </w:rPr>
        <w:t xml:space="preserve"> ha fornito ottimi risultati. </w:t>
      </w:r>
      <w:r>
        <w:rPr>
          <w:rFonts w:cs="Arial"/>
          <w:szCs w:val="24"/>
          <w:lang w:val="it-CH"/>
        </w:rPr>
        <w:t xml:space="preserve">La maggior parte degli intervistati </w:t>
      </w:r>
      <w:r w:rsidRPr="000C2954">
        <w:rPr>
          <w:rFonts w:cs="Arial"/>
          <w:szCs w:val="24"/>
          <w:lang w:val="it-CH"/>
        </w:rPr>
        <w:t xml:space="preserve">ritiene che le competenze acquisite si </w:t>
      </w:r>
      <w:r>
        <w:rPr>
          <w:rFonts w:cs="Arial"/>
          <w:szCs w:val="24"/>
          <w:lang w:val="it-CH"/>
        </w:rPr>
        <w:t>sono</w:t>
      </w:r>
      <w:r w:rsidRPr="000C2954">
        <w:rPr>
          <w:rFonts w:cs="Arial"/>
          <w:szCs w:val="24"/>
          <w:lang w:val="it-CH"/>
        </w:rPr>
        <w:t xml:space="preserve"> </w:t>
      </w:r>
      <w:r>
        <w:rPr>
          <w:rFonts w:cs="Arial"/>
          <w:szCs w:val="24"/>
          <w:lang w:val="it-CH"/>
        </w:rPr>
        <w:t>rivelate</w:t>
      </w:r>
      <w:r w:rsidRPr="000C2954">
        <w:rPr>
          <w:rFonts w:cs="Arial"/>
          <w:szCs w:val="24"/>
          <w:lang w:val="it-CH"/>
        </w:rPr>
        <w:t xml:space="preserve"> utili sul posto di lavoro</w:t>
      </w:r>
      <w:r>
        <w:rPr>
          <w:rFonts w:cs="Arial"/>
          <w:szCs w:val="24"/>
          <w:lang w:val="it-CH"/>
        </w:rPr>
        <w:t xml:space="preserve">, con </w:t>
      </w:r>
      <w:r w:rsidRPr="000C2954">
        <w:rPr>
          <w:rFonts w:cs="Arial"/>
          <w:szCs w:val="24"/>
          <w:lang w:val="it-CH"/>
        </w:rPr>
        <w:t xml:space="preserve">un miglioramento </w:t>
      </w:r>
      <w:r>
        <w:rPr>
          <w:rFonts w:cs="Arial"/>
          <w:szCs w:val="24"/>
          <w:lang w:val="it-CH"/>
        </w:rPr>
        <w:t>sia</w:t>
      </w:r>
      <w:r w:rsidRPr="000C2954">
        <w:rPr>
          <w:rFonts w:cs="Arial"/>
          <w:szCs w:val="24"/>
          <w:lang w:val="it-CH"/>
        </w:rPr>
        <w:t xml:space="preserve"> delle mansioni di lavoro </w:t>
      </w:r>
      <w:r>
        <w:rPr>
          <w:rFonts w:cs="Arial"/>
          <w:szCs w:val="24"/>
          <w:lang w:val="it-CH"/>
        </w:rPr>
        <w:t>sia del</w:t>
      </w:r>
      <w:r w:rsidRPr="000C2954">
        <w:rPr>
          <w:rFonts w:cs="Arial"/>
          <w:szCs w:val="24"/>
          <w:lang w:val="it-CH"/>
        </w:rPr>
        <w:t xml:space="preserve"> grado di responsabilità</w:t>
      </w:r>
      <w:r>
        <w:rPr>
          <w:rFonts w:cs="Arial"/>
          <w:szCs w:val="24"/>
          <w:lang w:val="it-CH"/>
        </w:rPr>
        <w:t>. Si può quindi dire che, nel caso dell’EMBA del DEASS, la percezione del mercato e degli studenti è molto buona.</w:t>
      </w:r>
    </w:p>
    <w:p w:rsidR="0024207A" w:rsidRDefault="0024207A" w:rsidP="0024207A">
      <w:pPr>
        <w:rPr>
          <w:rFonts w:cs="Arial"/>
          <w:szCs w:val="24"/>
          <w:lang w:val="it-CH"/>
        </w:rPr>
      </w:pPr>
    </w:p>
    <w:p w:rsidR="0024207A" w:rsidRDefault="0024207A" w:rsidP="0024207A">
      <w:pPr>
        <w:rPr>
          <w:rFonts w:cs="Arial"/>
          <w:szCs w:val="24"/>
          <w:lang w:val="it-CH"/>
        </w:rPr>
      </w:pPr>
      <w:r>
        <w:rPr>
          <w:rFonts w:cs="Arial"/>
          <w:szCs w:val="24"/>
          <w:lang w:val="it-CH"/>
        </w:rPr>
        <w:t xml:space="preserve">Al fine di avere una visione qualitativa globale dell’istituzione, è stato richiesto alla SUPSI di estendere le interviste a tutti (o a buona parte) dei MAS. </w:t>
      </w:r>
    </w:p>
    <w:p w:rsidR="0024207A" w:rsidRDefault="0024207A" w:rsidP="0024207A">
      <w:pPr>
        <w:rPr>
          <w:rFonts w:cs="Arial"/>
          <w:szCs w:val="24"/>
          <w:lang w:val="it-CH"/>
        </w:rPr>
      </w:pPr>
    </w:p>
    <w:p w:rsidR="0024207A" w:rsidRDefault="0024207A" w:rsidP="0024207A">
      <w:pPr>
        <w:rPr>
          <w:rFonts w:cs="Arial"/>
          <w:szCs w:val="24"/>
          <w:lang w:val="it-CH"/>
        </w:rPr>
      </w:pPr>
    </w:p>
    <w:p w:rsidR="0024207A" w:rsidRPr="008F0E44" w:rsidRDefault="0024207A" w:rsidP="0024207A">
      <w:pPr>
        <w:pStyle w:val="Titolo2"/>
      </w:pPr>
      <w:bookmarkStart w:id="63" w:name="_Toc303080085"/>
      <w:r w:rsidRPr="008F0E44">
        <w:lastRenderedPageBreak/>
        <w:t>3.5</w:t>
      </w:r>
      <w:r>
        <w:tab/>
      </w:r>
      <w:r w:rsidRPr="008F0E44">
        <w:t xml:space="preserve">Dati finanziari </w:t>
      </w:r>
      <w:r>
        <w:t>2017</w:t>
      </w:r>
      <w:r w:rsidRPr="008F0E44">
        <w:t xml:space="preserve"> della SUPSI</w:t>
      </w:r>
      <w:r>
        <w:t xml:space="preserve"> e c</w:t>
      </w:r>
      <w:r w:rsidRPr="008F0E44">
        <w:t>ontratto di prestazion</w:t>
      </w:r>
      <w:bookmarkEnd w:id="63"/>
      <w:r>
        <w:t>i</w:t>
      </w:r>
    </w:p>
    <w:p w:rsidR="0024207A" w:rsidRDefault="0024207A" w:rsidP="0024207A">
      <w:r w:rsidRPr="00972401">
        <w:t xml:space="preserve">Il CCF nel suo Rapporto di revisione verifica alcuni aspetti finanziari del </w:t>
      </w:r>
      <w:proofErr w:type="spellStart"/>
      <w:r>
        <w:t>Cdp</w:t>
      </w:r>
      <w:proofErr w:type="spellEnd"/>
      <w:r w:rsidRPr="00972401">
        <w:t>, in particolare legati ai parametri di calcolo secondo l’art. 2</w:t>
      </w:r>
      <w:r>
        <w:t>2</w:t>
      </w:r>
      <w:r w:rsidRPr="00972401">
        <w:t>. L’art</w:t>
      </w:r>
      <w:r>
        <w:t xml:space="preserve">. </w:t>
      </w:r>
      <w:r w:rsidRPr="00972401">
        <w:t>2</w:t>
      </w:r>
      <w:r>
        <w:t xml:space="preserve">4 prevede che, </w:t>
      </w:r>
      <w:r w:rsidRPr="00ED0D4A">
        <w:t xml:space="preserve">in caso di eccedenze o </w:t>
      </w:r>
      <w:r w:rsidRPr="00113209">
        <w:t>disavanzi d’esercizio</w:t>
      </w:r>
      <w:r>
        <w:t>, questi vadano a incidere sull’apposito “fondo di compensazione rischi” esposto a bilancio (in proporzione alla parte finanziata dallo Stato).</w:t>
      </w:r>
    </w:p>
    <w:p w:rsidR="0024207A" w:rsidRDefault="0024207A" w:rsidP="0024207A"/>
    <w:p w:rsidR="0024207A" w:rsidRDefault="0024207A" w:rsidP="0024207A">
      <w:pPr>
        <w:rPr>
          <w:sz w:val="22"/>
          <w:szCs w:val="22"/>
        </w:rPr>
      </w:pPr>
      <w:r w:rsidRPr="00B97321">
        <w:t>Per il 201</w:t>
      </w:r>
      <w:r>
        <w:t>7</w:t>
      </w:r>
      <w:r w:rsidRPr="00B97321">
        <w:t xml:space="preserve"> il risultato </w:t>
      </w:r>
      <w:r w:rsidRPr="00692570">
        <w:t xml:space="preserve">d’esercizio della </w:t>
      </w:r>
      <w:r w:rsidRPr="00CD3783">
        <w:t xml:space="preserve">SUPSI indica un utile </w:t>
      </w:r>
      <w:r w:rsidRPr="00CD3783">
        <w:rPr>
          <w:rFonts w:cs="Arial"/>
        </w:rPr>
        <w:t>d’esercizio di 2'127'090 franchi</w:t>
      </w:r>
      <w:r>
        <w:rPr>
          <w:rFonts w:cs="Arial"/>
        </w:rPr>
        <w:t>,</w:t>
      </w:r>
      <w:r w:rsidRPr="00CD3783">
        <w:rPr>
          <w:rFonts w:cs="Arial"/>
        </w:rPr>
        <w:t xml:space="preserve"> costituito </w:t>
      </w:r>
      <w:r w:rsidRPr="00B925AA">
        <w:rPr>
          <w:rFonts w:cs="Arial"/>
        </w:rPr>
        <w:t>dall’utile di CHF 154'268.52 del DFA e dall’utile di CHF 1'972'821.50 della SUPSI</w:t>
      </w:r>
      <w:r>
        <w:rPr>
          <w:rFonts w:cs="Arial"/>
        </w:rPr>
        <w:t>.</w:t>
      </w:r>
      <w:r w:rsidRPr="00B925AA">
        <w:rPr>
          <w:rFonts w:cs="Arial"/>
        </w:rPr>
        <w:t xml:space="preserve"> Tale utile è </w:t>
      </w:r>
      <w:r>
        <w:rPr>
          <w:rFonts w:cs="Arial"/>
        </w:rPr>
        <w:t>specialmente frutto dell’</w:t>
      </w:r>
      <w:r w:rsidRPr="00B925AA">
        <w:rPr>
          <w:rFonts w:cs="Arial"/>
        </w:rPr>
        <w:t xml:space="preserve">aumento dei sussidi federali </w:t>
      </w:r>
      <w:r>
        <w:rPr>
          <w:rFonts w:cs="Arial"/>
        </w:rPr>
        <w:t>dovuto al</w:t>
      </w:r>
      <w:r>
        <w:t>l’introduzione dei</w:t>
      </w:r>
      <w:r w:rsidRPr="00B925AA">
        <w:t xml:space="preserve"> nuov</w:t>
      </w:r>
      <w:r>
        <w:t>i principi</w:t>
      </w:r>
      <w:r w:rsidRPr="00B925AA">
        <w:t xml:space="preserve"> di finanziamento </w:t>
      </w:r>
      <w:r>
        <w:t xml:space="preserve">previsti dall’OLPSU </w:t>
      </w:r>
      <w:r w:rsidRPr="00B925AA">
        <w:t>valid</w:t>
      </w:r>
      <w:r>
        <w:t>i</w:t>
      </w:r>
      <w:r w:rsidRPr="00B925AA">
        <w:t xml:space="preserve"> dal 1 gennaio 2017. </w:t>
      </w:r>
      <w:r>
        <w:t>Il nuovo metodo di finanziamento federale</w:t>
      </w:r>
      <w:r w:rsidRPr="00B925AA">
        <w:t xml:space="preserve"> ha determinato un aumento dei ricavi della SUPSI per i contributi della Confederazione sulla formazione (+ 1</w:t>
      </w:r>
      <w:r>
        <w:t>.</w:t>
      </w:r>
      <w:r w:rsidRPr="00B925AA">
        <w:t>5 mio) e sul</w:t>
      </w:r>
      <w:r>
        <w:t>la ricerca (+ 2.4 mio). L’applicazione della</w:t>
      </w:r>
      <w:r w:rsidRPr="00B925AA">
        <w:t xml:space="preserve"> OLPSU </w:t>
      </w:r>
      <w:r>
        <w:t>e le modifiche rispetto al passato hanno</w:t>
      </w:r>
      <w:r w:rsidRPr="00B925AA">
        <w:t xml:space="preserve"> anche toccato il calcolo </w:t>
      </w:r>
      <w:r>
        <w:t>dei</w:t>
      </w:r>
      <w:r w:rsidRPr="00B925AA">
        <w:t xml:space="preserve"> sussidi federali per le spese locative</w:t>
      </w:r>
      <w:r>
        <w:t>,</w:t>
      </w:r>
      <w:r w:rsidRPr="00B925AA">
        <w:t xml:space="preserve"> determinando una diminuzione de</w:t>
      </w:r>
      <w:r>
        <w:t>gli</w:t>
      </w:r>
      <w:r w:rsidRPr="00B925AA">
        <w:t xml:space="preserve"> stess</w:t>
      </w:r>
      <w:r>
        <w:t>i</w:t>
      </w:r>
      <w:r w:rsidRPr="00B925AA">
        <w:t xml:space="preserve"> (-0.9 mio). Tale diminuzione non inficia però in nessun modo l’importante aumento dei sussidi </w:t>
      </w:r>
      <w:r>
        <w:t>e quindi dei ricavi della SUPSI. L’aumento dei ricavi e la stabilità dei costi, in particolare del personale, hanno quindi determinato il risultato positivo di esercizio per l’anno in questione</w:t>
      </w:r>
      <w:r w:rsidRPr="00B925AA">
        <w:t>.</w:t>
      </w:r>
      <w:r>
        <w:rPr>
          <w:sz w:val="22"/>
          <w:szCs w:val="22"/>
        </w:rPr>
        <w:t xml:space="preserve">  </w:t>
      </w:r>
    </w:p>
    <w:p w:rsidR="0024207A" w:rsidRDefault="0024207A" w:rsidP="0024207A">
      <w:pPr>
        <w:rPr>
          <w:rFonts w:cs="Arial"/>
          <w:lang w:val="it-CH"/>
        </w:rPr>
      </w:pPr>
    </w:p>
    <w:p w:rsidR="0024207A" w:rsidRPr="009B27D6" w:rsidRDefault="0024207A" w:rsidP="0024207A">
      <w:pPr>
        <w:rPr>
          <w:rFonts w:cs="Arial"/>
        </w:rPr>
      </w:pPr>
      <w:r w:rsidRPr="00692570">
        <w:rPr>
          <w:rFonts w:cs="Arial"/>
          <w:lang w:val="it-CH"/>
        </w:rPr>
        <w:t>Al 31 dicembre 201</w:t>
      </w:r>
      <w:r>
        <w:rPr>
          <w:rFonts w:cs="Arial"/>
          <w:lang w:val="it-CH"/>
        </w:rPr>
        <w:t>7</w:t>
      </w:r>
      <w:r w:rsidRPr="00692570">
        <w:rPr>
          <w:rFonts w:cs="Arial"/>
          <w:lang w:val="it-CH"/>
        </w:rPr>
        <w:t xml:space="preserve"> il fondo di compensazione rischi previsto dall’art. 24 del </w:t>
      </w:r>
      <w:proofErr w:type="spellStart"/>
      <w:r>
        <w:rPr>
          <w:rFonts w:cs="Arial"/>
          <w:lang w:val="it-CH"/>
        </w:rPr>
        <w:t>Cdp</w:t>
      </w:r>
      <w:proofErr w:type="spellEnd"/>
      <w:r w:rsidRPr="00692570">
        <w:rPr>
          <w:rFonts w:cs="Arial"/>
          <w:lang w:val="it-CH"/>
        </w:rPr>
        <w:t xml:space="preserve"> </w:t>
      </w:r>
      <w:r>
        <w:rPr>
          <w:rFonts w:cs="Arial"/>
          <w:lang w:val="it-CH"/>
        </w:rPr>
        <w:t>era</w:t>
      </w:r>
      <w:r w:rsidRPr="00692570">
        <w:rPr>
          <w:rFonts w:cs="Arial"/>
          <w:lang w:val="it-CH"/>
        </w:rPr>
        <w:t xml:space="preserve"> di</w:t>
      </w:r>
      <w:r>
        <w:rPr>
          <w:rFonts w:cs="Arial"/>
          <w:lang w:val="it-CH"/>
        </w:rPr>
        <w:t xml:space="preserve"> </w:t>
      </w:r>
      <w:r>
        <w:t xml:space="preserve">4'020'498 franchi. L’attribuzione del risultato d’esercizio 2017 a tale fondo comporterà un aumento a circa 5 milioni di franchi. </w:t>
      </w:r>
    </w:p>
    <w:p w:rsidR="0024207A" w:rsidRDefault="0024207A" w:rsidP="0024207A">
      <w:pPr>
        <w:rPr>
          <w:rFonts w:cs="Arial"/>
        </w:rPr>
      </w:pPr>
    </w:p>
    <w:p w:rsidR="0024207A" w:rsidRDefault="0024207A" w:rsidP="0024207A">
      <w:pPr>
        <w:rPr>
          <w:rFonts w:cs="Arial"/>
        </w:rPr>
      </w:pPr>
      <w:r w:rsidRPr="00B97321">
        <w:rPr>
          <w:rFonts w:cs="Arial"/>
        </w:rPr>
        <w:t xml:space="preserve">Il CCF </w:t>
      </w:r>
      <w:r>
        <w:rPr>
          <w:rFonts w:cs="Arial"/>
        </w:rPr>
        <w:t xml:space="preserve">raccomanda di approvare il conto annuale della SUPSI e </w:t>
      </w:r>
      <w:r w:rsidRPr="00B97321">
        <w:rPr>
          <w:rFonts w:cs="Arial"/>
        </w:rPr>
        <w:t>attesta che</w:t>
      </w:r>
      <w:r>
        <w:rPr>
          <w:rFonts w:cs="Arial"/>
        </w:rPr>
        <w:t>:</w:t>
      </w:r>
      <w:r w:rsidRPr="00B97321">
        <w:rPr>
          <w:rFonts w:cs="Arial"/>
        </w:rPr>
        <w:t xml:space="preserve"> </w:t>
      </w:r>
      <w:r w:rsidRPr="00F74EAF">
        <w:rPr>
          <w:rFonts w:cs="Arial"/>
          <w:i/>
        </w:rPr>
        <w:t>“</w:t>
      </w:r>
      <w:r w:rsidRPr="00794F8B">
        <w:rPr>
          <w:rFonts w:cs="Arial"/>
        </w:rPr>
        <w:t>la contabilità e il conto annuale sono conformi alle disposizioni legali</w:t>
      </w:r>
      <w:r>
        <w:rPr>
          <w:rFonts w:cs="Arial"/>
        </w:rPr>
        <w:t xml:space="preserve"> e regolamentari</w:t>
      </w:r>
      <w:r w:rsidRPr="00F74EAF">
        <w:rPr>
          <w:rFonts w:cs="Arial"/>
          <w:i/>
        </w:rPr>
        <w:t>”</w:t>
      </w:r>
      <w:r>
        <w:rPr>
          <w:rFonts w:cs="Arial"/>
        </w:rPr>
        <w:t>.</w:t>
      </w:r>
    </w:p>
    <w:p w:rsidR="0024207A" w:rsidRDefault="0024207A" w:rsidP="0024207A">
      <w:pPr>
        <w:rPr>
          <w:lang w:val="it-CH"/>
        </w:rPr>
      </w:pPr>
    </w:p>
    <w:p w:rsidR="0024207A" w:rsidRDefault="0024207A" w:rsidP="0024207A">
      <w:pPr>
        <w:rPr>
          <w:lang w:val="it-CH"/>
        </w:rPr>
      </w:pPr>
      <w:r w:rsidRPr="00A5661F">
        <w:rPr>
          <w:lang w:val="it-CH"/>
        </w:rPr>
        <w:t xml:space="preserve">La </w:t>
      </w:r>
      <w:r w:rsidRPr="00C65DAB">
        <w:rPr>
          <w:lang w:val="it-CH"/>
        </w:rPr>
        <w:t>Tabella 11</w:t>
      </w:r>
      <w:r>
        <w:rPr>
          <w:i/>
          <w:lang w:val="it-CH"/>
        </w:rPr>
        <w:t xml:space="preserve"> </w:t>
      </w:r>
      <w:r w:rsidRPr="00A5661F">
        <w:rPr>
          <w:lang w:val="it-CH"/>
        </w:rPr>
        <w:t xml:space="preserve">riporta le cifre del </w:t>
      </w:r>
      <w:r>
        <w:rPr>
          <w:lang w:val="it-CH"/>
        </w:rPr>
        <w:t xml:space="preserve">contributo di gestione </w:t>
      </w:r>
      <w:r w:rsidRPr="00A5661F">
        <w:rPr>
          <w:lang w:val="it-CH"/>
        </w:rPr>
        <w:t>erogato o previsto dal 20</w:t>
      </w:r>
      <w:r>
        <w:rPr>
          <w:lang w:val="it-CH"/>
        </w:rPr>
        <w:t>12</w:t>
      </w:r>
      <w:r w:rsidRPr="00A5661F">
        <w:rPr>
          <w:lang w:val="it-CH"/>
        </w:rPr>
        <w:t xml:space="preserve"> al 201</w:t>
      </w:r>
      <w:r>
        <w:rPr>
          <w:lang w:val="it-CH"/>
        </w:rPr>
        <w:t>7</w:t>
      </w:r>
      <w:r w:rsidRPr="00A5661F">
        <w:rPr>
          <w:lang w:val="it-CH"/>
        </w:rPr>
        <w:t xml:space="preserve"> nelle sue componenti</w:t>
      </w:r>
      <w:r>
        <w:rPr>
          <w:lang w:val="it-CH"/>
        </w:rPr>
        <w:t>.</w:t>
      </w:r>
    </w:p>
    <w:p w:rsidR="0024207A" w:rsidRDefault="0024207A" w:rsidP="0024207A">
      <w:pPr>
        <w:rPr>
          <w:szCs w:val="24"/>
          <w:lang w:val="it-CH"/>
        </w:rPr>
      </w:pPr>
    </w:p>
    <w:p w:rsidR="0024207A" w:rsidRPr="0024207A" w:rsidRDefault="0024207A" w:rsidP="0024207A">
      <w:pPr>
        <w:spacing w:before="120" w:after="120"/>
        <w:rPr>
          <w:rFonts w:cs="Arial"/>
          <w:b/>
          <w:sz w:val="22"/>
          <w:szCs w:val="22"/>
          <w:lang w:val="it-CH"/>
        </w:rPr>
      </w:pPr>
      <w:r w:rsidRPr="0024207A">
        <w:rPr>
          <w:rFonts w:cs="Arial"/>
          <w:b/>
          <w:sz w:val="22"/>
          <w:szCs w:val="22"/>
          <w:lang w:val="it-CH"/>
        </w:rPr>
        <w:t xml:space="preserve">Tabella 11 - Evoluzione del contributo di gestione cantonale SUPSI per prestazione (cifre in migliaia di </w:t>
      </w:r>
      <w:proofErr w:type="spellStart"/>
      <w:r w:rsidRPr="0024207A">
        <w:rPr>
          <w:rFonts w:cs="Arial"/>
          <w:b/>
          <w:sz w:val="22"/>
          <w:szCs w:val="22"/>
          <w:lang w:val="it-CH"/>
        </w:rPr>
        <w:t>fr</w:t>
      </w:r>
      <w:proofErr w:type="spellEnd"/>
      <w:r w:rsidRPr="0024207A">
        <w:rPr>
          <w:rFonts w:cs="Arial"/>
          <w:b/>
          <w:sz w:val="22"/>
          <w:szCs w:val="22"/>
          <w:lang w:val="it-CH"/>
        </w:rPr>
        <w:t>. incluso l’importo per le affiliate ticinesi)</w:t>
      </w:r>
    </w:p>
    <w:tbl>
      <w:tblPr>
        <w:tblW w:w="9492" w:type="dxa"/>
        <w:tblInd w:w="57" w:type="dxa"/>
        <w:tblCellMar>
          <w:left w:w="70" w:type="dxa"/>
          <w:right w:w="70" w:type="dxa"/>
        </w:tblCellMar>
        <w:tblLook w:val="0000" w:firstRow="0" w:lastRow="0" w:firstColumn="0" w:lastColumn="0" w:noHBand="0" w:noVBand="0"/>
      </w:tblPr>
      <w:tblGrid>
        <w:gridCol w:w="3132"/>
        <w:gridCol w:w="1060"/>
        <w:gridCol w:w="1060"/>
        <w:gridCol w:w="1060"/>
        <w:gridCol w:w="1060"/>
        <w:gridCol w:w="1060"/>
        <w:gridCol w:w="1060"/>
      </w:tblGrid>
      <w:tr w:rsidR="0024207A" w:rsidRPr="00B06324" w:rsidTr="0024207A">
        <w:trPr>
          <w:trHeight w:val="300"/>
        </w:trPr>
        <w:tc>
          <w:tcPr>
            <w:tcW w:w="3132" w:type="dxa"/>
            <w:tcBorders>
              <w:top w:val="single" w:sz="8" w:space="0" w:color="auto"/>
              <w:left w:val="nil"/>
              <w:bottom w:val="nil"/>
              <w:right w:val="nil"/>
            </w:tcBorders>
            <w:shd w:val="clear" w:color="auto" w:fill="auto"/>
            <w:noWrap/>
            <w:vAlign w:val="bottom"/>
          </w:tcPr>
          <w:p w:rsidR="0024207A" w:rsidRPr="00C9290E" w:rsidRDefault="0024207A" w:rsidP="0024207A">
            <w:pPr>
              <w:jc w:val="left"/>
              <w:rPr>
                <w:rFonts w:cs="Arial"/>
                <w:b/>
                <w:bCs/>
                <w:sz w:val="22"/>
                <w:szCs w:val="22"/>
                <w:lang w:val="it-CH"/>
              </w:rPr>
            </w:pPr>
            <w:r w:rsidRPr="00C9290E">
              <w:rPr>
                <w:rFonts w:cs="Arial"/>
                <w:b/>
                <w:bCs/>
                <w:sz w:val="22"/>
                <w:szCs w:val="22"/>
                <w:lang w:val="it-CH"/>
              </w:rPr>
              <w:t> </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b/>
                <w:bCs/>
                <w:sz w:val="22"/>
                <w:szCs w:val="22"/>
              </w:rPr>
            </w:pPr>
            <w:r w:rsidRPr="00DD49D9">
              <w:rPr>
                <w:rFonts w:cs="Arial"/>
                <w:b/>
                <w:bCs/>
                <w:sz w:val="22"/>
                <w:szCs w:val="22"/>
                <w:lang w:val="it-CH"/>
              </w:rPr>
              <w:t>2012</w:t>
            </w: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b/>
                <w:bCs/>
                <w:sz w:val="22"/>
                <w:szCs w:val="22"/>
              </w:rPr>
            </w:pPr>
            <w:r w:rsidRPr="004868E7">
              <w:rPr>
                <w:rFonts w:cs="Arial"/>
                <w:b/>
                <w:bCs/>
                <w:sz w:val="22"/>
                <w:szCs w:val="22"/>
                <w:lang w:val="it-CH"/>
              </w:rPr>
              <w:t>2013</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b/>
                <w:bCs/>
                <w:sz w:val="22"/>
                <w:szCs w:val="22"/>
                <w:lang w:val="it-CH"/>
              </w:rPr>
            </w:pPr>
            <w:r w:rsidRPr="00814248">
              <w:rPr>
                <w:rFonts w:cs="Arial"/>
                <w:b/>
                <w:bCs/>
                <w:sz w:val="22"/>
                <w:szCs w:val="22"/>
                <w:lang w:val="it-CH"/>
              </w:rPr>
              <w:t>2014</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b/>
                <w:bCs/>
                <w:sz w:val="22"/>
                <w:szCs w:val="22"/>
                <w:lang w:val="it-CH"/>
              </w:rPr>
            </w:pPr>
            <w:r w:rsidRPr="00814248">
              <w:rPr>
                <w:rFonts w:cs="Arial"/>
                <w:b/>
                <w:bCs/>
                <w:sz w:val="22"/>
                <w:szCs w:val="22"/>
                <w:lang w:val="it-CH"/>
              </w:rPr>
              <w:t>201</w:t>
            </w:r>
            <w:r>
              <w:rPr>
                <w:rFonts w:cs="Arial"/>
                <w:b/>
                <w:bCs/>
                <w:sz w:val="22"/>
                <w:szCs w:val="22"/>
                <w:lang w:val="it-CH"/>
              </w:rPr>
              <w:t>5</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b/>
                <w:bCs/>
                <w:sz w:val="22"/>
                <w:szCs w:val="22"/>
                <w:lang w:val="it-CH"/>
              </w:rPr>
            </w:pPr>
            <w:r w:rsidRPr="00E430CD">
              <w:rPr>
                <w:rFonts w:cs="Arial"/>
                <w:b/>
                <w:bCs/>
                <w:sz w:val="22"/>
                <w:szCs w:val="22"/>
                <w:lang w:val="it-CH"/>
              </w:rPr>
              <w:t>2016</w:t>
            </w:r>
          </w:p>
        </w:tc>
        <w:tc>
          <w:tcPr>
            <w:tcW w:w="1060" w:type="dxa"/>
            <w:tcBorders>
              <w:top w:val="single" w:sz="8" w:space="0" w:color="auto"/>
              <w:left w:val="nil"/>
              <w:bottom w:val="nil"/>
              <w:right w:val="nil"/>
            </w:tcBorders>
            <w:shd w:val="clear" w:color="auto" w:fill="auto"/>
            <w:noWrap/>
            <w:vAlign w:val="bottom"/>
          </w:tcPr>
          <w:p w:rsidR="0024207A" w:rsidRPr="00CD3783" w:rsidRDefault="0024207A" w:rsidP="0024207A">
            <w:pPr>
              <w:jc w:val="right"/>
              <w:rPr>
                <w:rFonts w:cs="Arial"/>
                <w:b/>
                <w:bCs/>
                <w:sz w:val="22"/>
                <w:szCs w:val="22"/>
                <w:lang w:val="it-CH"/>
              </w:rPr>
            </w:pPr>
            <w:r w:rsidRPr="00CD3783">
              <w:rPr>
                <w:rFonts w:cs="Arial"/>
                <w:b/>
                <w:bCs/>
                <w:sz w:val="22"/>
                <w:szCs w:val="22"/>
                <w:lang w:val="it-CH"/>
              </w:rPr>
              <w:t>2017</w:t>
            </w:r>
          </w:p>
        </w:tc>
      </w:tr>
      <w:tr w:rsidR="0024207A" w:rsidRPr="00B06324" w:rsidTr="0024207A">
        <w:trPr>
          <w:trHeight w:val="300"/>
        </w:trPr>
        <w:tc>
          <w:tcPr>
            <w:tcW w:w="3132" w:type="dxa"/>
            <w:tcBorders>
              <w:top w:val="single" w:sz="8" w:space="0" w:color="auto"/>
              <w:left w:val="nil"/>
              <w:bottom w:val="nil"/>
              <w:right w:val="nil"/>
            </w:tcBorders>
            <w:noWrap/>
            <w:vAlign w:val="bottom"/>
          </w:tcPr>
          <w:p w:rsidR="0024207A" w:rsidRPr="00C9290E" w:rsidRDefault="0024207A" w:rsidP="0024207A">
            <w:pPr>
              <w:jc w:val="left"/>
              <w:rPr>
                <w:rFonts w:cs="Arial"/>
                <w:sz w:val="22"/>
                <w:szCs w:val="22"/>
                <w:lang w:val="it-CH"/>
              </w:rPr>
            </w:pPr>
            <w:r w:rsidRPr="00C9290E">
              <w:rPr>
                <w:rFonts w:cs="Arial"/>
                <w:sz w:val="22"/>
                <w:szCs w:val="22"/>
                <w:lang w:val="it-CH"/>
              </w:rPr>
              <w:t>Formazione base</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sz w:val="22"/>
                <w:szCs w:val="22"/>
              </w:rPr>
            </w:pPr>
            <w:r w:rsidRPr="00DD49D9">
              <w:rPr>
                <w:rFonts w:cs="Arial"/>
                <w:sz w:val="22"/>
                <w:szCs w:val="22"/>
                <w:lang w:val="it-CH"/>
              </w:rPr>
              <w:t>10’634</w:t>
            </w: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sz w:val="22"/>
                <w:szCs w:val="22"/>
              </w:rPr>
            </w:pPr>
            <w:r w:rsidRPr="004868E7">
              <w:rPr>
                <w:rFonts w:cs="Arial"/>
                <w:sz w:val="22"/>
                <w:szCs w:val="22"/>
                <w:lang w:val="it-CH"/>
              </w:rPr>
              <w:t>8’147</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sz w:val="22"/>
                <w:szCs w:val="22"/>
                <w:lang w:val="it-CH"/>
              </w:rPr>
            </w:pPr>
            <w:r>
              <w:rPr>
                <w:rFonts w:cs="Arial"/>
                <w:sz w:val="22"/>
                <w:szCs w:val="22"/>
                <w:lang w:val="it-CH"/>
              </w:rPr>
              <w:t>9’431</w:t>
            </w:r>
          </w:p>
        </w:tc>
        <w:tc>
          <w:tcPr>
            <w:tcW w:w="1060" w:type="dxa"/>
            <w:tcBorders>
              <w:top w:val="single" w:sz="8" w:space="0" w:color="auto"/>
              <w:left w:val="nil"/>
              <w:bottom w:val="nil"/>
              <w:right w:val="nil"/>
            </w:tcBorders>
            <w:vAlign w:val="bottom"/>
          </w:tcPr>
          <w:p w:rsidR="0024207A" w:rsidRPr="00373E1F" w:rsidRDefault="0024207A" w:rsidP="0024207A">
            <w:pPr>
              <w:jc w:val="right"/>
              <w:rPr>
                <w:rFonts w:cs="Arial"/>
                <w:sz w:val="22"/>
                <w:szCs w:val="22"/>
                <w:lang w:val="it-CH"/>
              </w:rPr>
            </w:pPr>
            <w:r w:rsidRPr="00373E1F">
              <w:rPr>
                <w:rFonts w:cs="Arial"/>
                <w:sz w:val="22"/>
                <w:szCs w:val="22"/>
                <w:lang w:val="it-CH"/>
              </w:rPr>
              <w:t>10’019</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sz w:val="22"/>
                <w:szCs w:val="22"/>
                <w:lang w:val="it-CH"/>
              </w:rPr>
            </w:pPr>
            <w:r w:rsidRPr="00E430CD">
              <w:rPr>
                <w:rFonts w:cs="Arial"/>
                <w:sz w:val="22"/>
                <w:szCs w:val="22"/>
                <w:lang w:val="it-CH"/>
              </w:rPr>
              <w:t>10’306</w:t>
            </w:r>
          </w:p>
        </w:tc>
        <w:tc>
          <w:tcPr>
            <w:tcW w:w="1060" w:type="dxa"/>
            <w:tcBorders>
              <w:top w:val="single" w:sz="8" w:space="0" w:color="auto"/>
              <w:left w:val="nil"/>
              <w:bottom w:val="nil"/>
              <w:right w:val="nil"/>
            </w:tcBorders>
            <w:noWrap/>
            <w:vAlign w:val="bottom"/>
          </w:tcPr>
          <w:p w:rsidR="0024207A" w:rsidRPr="00CD3783" w:rsidRDefault="0024207A" w:rsidP="0024207A">
            <w:pPr>
              <w:jc w:val="right"/>
              <w:rPr>
                <w:rFonts w:cs="Arial"/>
                <w:sz w:val="22"/>
                <w:szCs w:val="22"/>
                <w:lang w:val="it-CH"/>
              </w:rPr>
            </w:pPr>
            <w:r w:rsidRPr="00CD3783">
              <w:rPr>
                <w:rFonts w:cs="Arial"/>
                <w:sz w:val="22"/>
                <w:szCs w:val="22"/>
                <w:lang w:val="it-CH"/>
              </w:rPr>
              <w:t>10’275</w:t>
            </w:r>
          </w:p>
        </w:tc>
      </w:tr>
      <w:tr w:rsidR="0024207A" w:rsidRPr="00B06324" w:rsidTr="0024207A">
        <w:trPr>
          <w:trHeight w:val="300"/>
        </w:trPr>
        <w:tc>
          <w:tcPr>
            <w:tcW w:w="3132" w:type="dxa"/>
            <w:tcBorders>
              <w:top w:val="single" w:sz="8" w:space="0" w:color="auto"/>
              <w:left w:val="nil"/>
              <w:bottom w:val="nil"/>
              <w:right w:val="nil"/>
            </w:tcBorders>
            <w:noWrap/>
            <w:vAlign w:val="bottom"/>
          </w:tcPr>
          <w:p w:rsidR="0024207A" w:rsidRPr="00C9290E" w:rsidRDefault="0024207A" w:rsidP="0024207A">
            <w:pPr>
              <w:jc w:val="left"/>
              <w:rPr>
                <w:rFonts w:cs="Arial"/>
                <w:sz w:val="22"/>
                <w:szCs w:val="22"/>
                <w:lang w:val="it-CH"/>
              </w:rPr>
            </w:pPr>
            <w:r w:rsidRPr="00C9290E">
              <w:rPr>
                <w:rFonts w:cs="Arial"/>
                <w:sz w:val="22"/>
                <w:szCs w:val="22"/>
                <w:lang w:val="it-CH"/>
              </w:rPr>
              <w:t>Formazione continua</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sz w:val="22"/>
                <w:szCs w:val="22"/>
              </w:rPr>
            </w:pPr>
            <w:r w:rsidRPr="00DD49D9">
              <w:rPr>
                <w:rFonts w:cs="Arial"/>
                <w:sz w:val="22"/>
                <w:szCs w:val="22"/>
                <w:lang w:val="it-CH"/>
              </w:rPr>
              <w:t>1'696</w:t>
            </w: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sz w:val="22"/>
                <w:szCs w:val="22"/>
              </w:rPr>
            </w:pPr>
            <w:r w:rsidRPr="004868E7">
              <w:rPr>
                <w:rFonts w:cs="Arial"/>
                <w:sz w:val="22"/>
                <w:szCs w:val="22"/>
                <w:lang w:val="it-CH"/>
              </w:rPr>
              <w:t>1'472</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sz w:val="22"/>
                <w:szCs w:val="22"/>
                <w:lang w:val="it-CH"/>
              </w:rPr>
            </w:pPr>
            <w:r>
              <w:rPr>
                <w:rFonts w:cs="Arial"/>
                <w:sz w:val="22"/>
                <w:szCs w:val="22"/>
                <w:lang w:val="it-CH"/>
              </w:rPr>
              <w:t>1’670</w:t>
            </w:r>
          </w:p>
        </w:tc>
        <w:tc>
          <w:tcPr>
            <w:tcW w:w="1060" w:type="dxa"/>
            <w:tcBorders>
              <w:top w:val="single" w:sz="8" w:space="0" w:color="auto"/>
              <w:left w:val="nil"/>
              <w:bottom w:val="nil"/>
              <w:right w:val="nil"/>
            </w:tcBorders>
            <w:vAlign w:val="bottom"/>
          </w:tcPr>
          <w:p w:rsidR="0024207A" w:rsidRPr="00373E1F" w:rsidRDefault="0024207A" w:rsidP="0024207A">
            <w:pPr>
              <w:jc w:val="right"/>
              <w:rPr>
                <w:rFonts w:cs="Arial"/>
                <w:sz w:val="22"/>
                <w:szCs w:val="22"/>
                <w:lang w:val="it-CH"/>
              </w:rPr>
            </w:pPr>
            <w:r w:rsidRPr="00373E1F">
              <w:rPr>
                <w:rFonts w:cs="Arial"/>
                <w:sz w:val="22"/>
                <w:szCs w:val="22"/>
                <w:lang w:val="it-CH"/>
              </w:rPr>
              <w:t>1’865</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sz w:val="22"/>
                <w:szCs w:val="22"/>
                <w:lang w:val="it-CH"/>
              </w:rPr>
            </w:pPr>
            <w:r w:rsidRPr="00E430CD">
              <w:rPr>
                <w:rFonts w:cs="Arial"/>
                <w:sz w:val="22"/>
                <w:szCs w:val="22"/>
                <w:lang w:val="it-CH"/>
              </w:rPr>
              <w:t>1’</w:t>
            </w:r>
            <w:r>
              <w:rPr>
                <w:rFonts w:cs="Arial"/>
                <w:sz w:val="22"/>
                <w:szCs w:val="22"/>
                <w:lang w:val="it-CH"/>
              </w:rPr>
              <w:t>640</w:t>
            </w:r>
          </w:p>
        </w:tc>
        <w:tc>
          <w:tcPr>
            <w:tcW w:w="1060" w:type="dxa"/>
            <w:tcBorders>
              <w:top w:val="single" w:sz="8" w:space="0" w:color="auto"/>
              <w:left w:val="nil"/>
              <w:bottom w:val="nil"/>
              <w:right w:val="nil"/>
            </w:tcBorders>
            <w:noWrap/>
            <w:vAlign w:val="bottom"/>
          </w:tcPr>
          <w:p w:rsidR="0024207A" w:rsidRPr="00CD3783" w:rsidRDefault="0024207A" w:rsidP="0024207A">
            <w:pPr>
              <w:jc w:val="right"/>
              <w:rPr>
                <w:rFonts w:cs="Arial"/>
                <w:sz w:val="22"/>
                <w:szCs w:val="22"/>
                <w:lang w:val="it-CH"/>
              </w:rPr>
            </w:pPr>
            <w:r w:rsidRPr="00CD3783">
              <w:rPr>
                <w:rFonts w:cs="Arial"/>
                <w:sz w:val="22"/>
                <w:szCs w:val="22"/>
                <w:lang w:val="it-CH"/>
              </w:rPr>
              <w:t>1’302</w:t>
            </w:r>
          </w:p>
        </w:tc>
      </w:tr>
      <w:tr w:rsidR="0024207A" w:rsidRPr="00B06324" w:rsidTr="0024207A">
        <w:trPr>
          <w:trHeight w:val="300"/>
        </w:trPr>
        <w:tc>
          <w:tcPr>
            <w:tcW w:w="3132" w:type="dxa"/>
            <w:tcBorders>
              <w:top w:val="single" w:sz="8" w:space="0" w:color="auto"/>
              <w:left w:val="nil"/>
              <w:bottom w:val="nil"/>
              <w:right w:val="nil"/>
            </w:tcBorders>
            <w:noWrap/>
            <w:vAlign w:val="bottom"/>
          </w:tcPr>
          <w:p w:rsidR="0024207A" w:rsidRPr="00C9290E" w:rsidRDefault="0024207A" w:rsidP="0024207A">
            <w:pPr>
              <w:jc w:val="left"/>
              <w:rPr>
                <w:rFonts w:cs="Arial"/>
                <w:sz w:val="22"/>
                <w:szCs w:val="22"/>
                <w:lang w:val="it-CH"/>
              </w:rPr>
            </w:pPr>
            <w:r w:rsidRPr="00C9290E">
              <w:rPr>
                <w:rFonts w:cs="Arial"/>
                <w:sz w:val="22"/>
                <w:szCs w:val="22"/>
                <w:lang w:val="it-CH"/>
              </w:rPr>
              <w:t>Ricerca</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sz w:val="22"/>
                <w:szCs w:val="22"/>
              </w:rPr>
            </w:pPr>
            <w:r w:rsidRPr="00DD49D9">
              <w:rPr>
                <w:rFonts w:cs="Arial"/>
                <w:sz w:val="22"/>
                <w:szCs w:val="22"/>
                <w:lang w:val="it-CH"/>
              </w:rPr>
              <w:t>9'753</w:t>
            </w: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sz w:val="22"/>
                <w:szCs w:val="22"/>
              </w:rPr>
            </w:pPr>
            <w:r w:rsidRPr="004868E7">
              <w:rPr>
                <w:rFonts w:cs="Arial"/>
                <w:sz w:val="22"/>
                <w:szCs w:val="22"/>
                <w:lang w:val="it-CH"/>
              </w:rPr>
              <w:t>7'423</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sz w:val="22"/>
                <w:szCs w:val="22"/>
                <w:lang w:val="it-CH"/>
              </w:rPr>
            </w:pPr>
            <w:r>
              <w:rPr>
                <w:rFonts w:cs="Arial"/>
                <w:sz w:val="22"/>
                <w:szCs w:val="22"/>
                <w:lang w:val="it-CH"/>
              </w:rPr>
              <w:t>8’083</w:t>
            </w:r>
          </w:p>
        </w:tc>
        <w:tc>
          <w:tcPr>
            <w:tcW w:w="1060" w:type="dxa"/>
            <w:tcBorders>
              <w:top w:val="single" w:sz="8" w:space="0" w:color="auto"/>
              <w:left w:val="nil"/>
              <w:bottom w:val="nil"/>
              <w:right w:val="nil"/>
            </w:tcBorders>
            <w:vAlign w:val="bottom"/>
          </w:tcPr>
          <w:p w:rsidR="0024207A" w:rsidRPr="00373E1F" w:rsidRDefault="0024207A" w:rsidP="0024207A">
            <w:pPr>
              <w:jc w:val="right"/>
              <w:rPr>
                <w:rFonts w:cs="Arial"/>
                <w:sz w:val="22"/>
                <w:szCs w:val="22"/>
                <w:lang w:val="it-CH"/>
              </w:rPr>
            </w:pPr>
            <w:r w:rsidRPr="00373E1F">
              <w:rPr>
                <w:rFonts w:cs="Arial"/>
                <w:sz w:val="22"/>
                <w:szCs w:val="22"/>
                <w:lang w:val="it-CH"/>
              </w:rPr>
              <w:t>8’647</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sz w:val="22"/>
                <w:szCs w:val="22"/>
                <w:lang w:val="it-CH"/>
              </w:rPr>
            </w:pPr>
            <w:r w:rsidRPr="00E430CD">
              <w:rPr>
                <w:rFonts w:cs="Arial"/>
                <w:sz w:val="22"/>
                <w:szCs w:val="22"/>
                <w:lang w:val="it-CH"/>
              </w:rPr>
              <w:t>9’192</w:t>
            </w:r>
          </w:p>
        </w:tc>
        <w:tc>
          <w:tcPr>
            <w:tcW w:w="1060" w:type="dxa"/>
            <w:tcBorders>
              <w:top w:val="single" w:sz="8" w:space="0" w:color="auto"/>
              <w:left w:val="nil"/>
              <w:bottom w:val="nil"/>
              <w:right w:val="nil"/>
            </w:tcBorders>
            <w:noWrap/>
            <w:vAlign w:val="bottom"/>
          </w:tcPr>
          <w:p w:rsidR="0024207A" w:rsidRPr="00CD3783" w:rsidRDefault="0024207A" w:rsidP="0024207A">
            <w:pPr>
              <w:jc w:val="right"/>
              <w:rPr>
                <w:rFonts w:cs="Arial"/>
                <w:sz w:val="22"/>
                <w:szCs w:val="22"/>
                <w:lang w:val="it-CH"/>
              </w:rPr>
            </w:pPr>
            <w:r w:rsidRPr="00CD3783">
              <w:rPr>
                <w:rFonts w:cs="Arial"/>
                <w:sz w:val="22"/>
                <w:szCs w:val="22"/>
                <w:lang w:val="it-CH"/>
              </w:rPr>
              <w:t>7’695</w:t>
            </w:r>
          </w:p>
        </w:tc>
      </w:tr>
      <w:tr w:rsidR="0024207A" w:rsidRPr="00B06324" w:rsidTr="0024207A">
        <w:trPr>
          <w:trHeight w:val="300"/>
        </w:trPr>
        <w:tc>
          <w:tcPr>
            <w:tcW w:w="3132" w:type="dxa"/>
            <w:tcBorders>
              <w:top w:val="single" w:sz="8" w:space="0" w:color="auto"/>
              <w:left w:val="nil"/>
              <w:bottom w:val="nil"/>
              <w:right w:val="nil"/>
            </w:tcBorders>
            <w:noWrap/>
            <w:vAlign w:val="bottom"/>
          </w:tcPr>
          <w:p w:rsidR="0024207A" w:rsidRPr="00C9290E" w:rsidRDefault="0024207A" w:rsidP="0024207A">
            <w:pPr>
              <w:jc w:val="left"/>
              <w:rPr>
                <w:rFonts w:cs="Arial"/>
                <w:sz w:val="22"/>
                <w:szCs w:val="22"/>
                <w:lang w:val="it-CH"/>
              </w:rPr>
            </w:pPr>
            <w:r w:rsidRPr="00C9290E">
              <w:rPr>
                <w:rFonts w:cs="Arial"/>
                <w:sz w:val="22"/>
                <w:szCs w:val="22"/>
                <w:lang w:val="it-CH"/>
              </w:rPr>
              <w:t>Infrastruttura</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sz w:val="22"/>
                <w:szCs w:val="22"/>
              </w:rPr>
            </w:pPr>
            <w:r w:rsidRPr="00DD49D9">
              <w:rPr>
                <w:rFonts w:cs="Arial"/>
                <w:sz w:val="22"/>
                <w:szCs w:val="22"/>
                <w:lang w:val="it-CH"/>
              </w:rPr>
              <w:t>4’996</w:t>
            </w: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sz w:val="22"/>
                <w:szCs w:val="22"/>
              </w:rPr>
            </w:pPr>
            <w:r w:rsidRPr="004868E7">
              <w:rPr>
                <w:rFonts w:cs="Arial"/>
                <w:sz w:val="22"/>
                <w:szCs w:val="22"/>
                <w:lang w:val="it-CH"/>
              </w:rPr>
              <w:t>4’169</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sz w:val="22"/>
                <w:szCs w:val="22"/>
                <w:lang w:val="it-CH"/>
              </w:rPr>
            </w:pPr>
            <w:r>
              <w:rPr>
                <w:rFonts w:cs="Arial"/>
                <w:sz w:val="22"/>
                <w:szCs w:val="22"/>
                <w:lang w:val="it-CH"/>
              </w:rPr>
              <w:t>4’251</w:t>
            </w:r>
          </w:p>
        </w:tc>
        <w:tc>
          <w:tcPr>
            <w:tcW w:w="1060" w:type="dxa"/>
            <w:tcBorders>
              <w:top w:val="single" w:sz="8" w:space="0" w:color="auto"/>
              <w:left w:val="nil"/>
              <w:bottom w:val="nil"/>
              <w:right w:val="nil"/>
            </w:tcBorders>
            <w:vAlign w:val="bottom"/>
          </w:tcPr>
          <w:p w:rsidR="0024207A" w:rsidRPr="00373E1F" w:rsidRDefault="0024207A" w:rsidP="0024207A">
            <w:pPr>
              <w:jc w:val="right"/>
              <w:rPr>
                <w:rFonts w:cs="Arial"/>
                <w:sz w:val="22"/>
                <w:szCs w:val="22"/>
                <w:lang w:val="it-CH"/>
              </w:rPr>
            </w:pPr>
            <w:r w:rsidRPr="00373E1F">
              <w:rPr>
                <w:rFonts w:cs="Arial"/>
                <w:sz w:val="22"/>
                <w:szCs w:val="22"/>
                <w:lang w:val="it-CH"/>
              </w:rPr>
              <w:t>5’308</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sz w:val="22"/>
                <w:szCs w:val="22"/>
                <w:lang w:val="it-CH"/>
              </w:rPr>
            </w:pPr>
            <w:r w:rsidRPr="00E430CD">
              <w:rPr>
                <w:rFonts w:cs="Arial"/>
                <w:sz w:val="22"/>
                <w:szCs w:val="22"/>
                <w:lang w:val="it-CH"/>
              </w:rPr>
              <w:t>5’165</w:t>
            </w:r>
          </w:p>
        </w:tc>
        <w:tc>
          <w:tcPr>
            <w:tcW w:w="1060" w:type="dxa"/>
            <w:tcBorders>
              <w:top w:val="single" w:sz="8" w:space="0" w:color="auto"/>
              <w:left w:val="nil"/>
              <w:bottom w:val="nil"/>
              <w:right w:val="nil"/>
            </w:tcBorders>
            <w:noWrap/>
            <w:vAlign w:val="bottom"/>
          </w:tcPr>
          <w:p w:rsidR="0024207A" w:rsidRPr="00CD3783" w:rsidRDefault="0024207A" w:rsidP="0024207A">
            <w:pPr>
              <w:jc w:val="right"/>
              <w:rPr>
                <w:rFonts w:cs="Arial"/>
                <w:sz w:val="22"/>
                <w:szCs w:val="22"/>
                <w:lang w:val="it-CH"/>
              </w:rPr>
            </w:pPr>
            <w:r w:rsidRPr="00CD3783">
              <w:rPr>
                <w:rFonts w:cs="Arial"/>
                <w:sz w:val="22"/>
                <w:szCs w:val="22"/>
                <w:lang w:val="it-CH"/>
              </w:rPr>
              <w:t>5’080</w:t>
            </w:r>
          </w:p>
        </w:tc>
      </w:tr>
      <w:tr w:rsidR="0024207A" w:rsidRPr="00B06324" w:rsidTr="0024207A">
        <w:trPr>
          <w:trHeight w:val="300"/>
        </w:trPr>
        <w:tc>
          <w:tcPr>
            <w:tcW w:w="3132" w:type="dxa"/>
            <w:tcBorders>
              <w:top w:val="single" w:sz="8" w:space="0" w:color="auto"/>
              <w:left w:val="nil"/>
              <w:bottom w:val="nil"/>
              <w:right w:val="nil"/>
            </w:tcBorders>
            <w:shd w:val="clear" w:color="auto" w:fill="auto"/>
            <w:noWrap/>
            <w:vAlign w:val="bottom"/>
          </w:tcPr>
          <w:p w:rsidR="0024207A" w:rsidRPr="00C9290E" w:rsidRDefault="0024207A" w:rsidP="0024207A">
            <w:pPr>
              <w:jc w:val="left"/>
              <w:rPr>
                <w:rFonts w:cs="Arial"/>
                <w:sz w:val="22"/>
                <w:szCs w:val="22"/>
                <w:lang w:val="it-CH"/>
              </w:rPr>
            </w:pPr>
            <w:r>
              <w:rPr>
                <w:rFonts w:cs="Arial"/>
                <w:sz w:val="22"/>
                <w:szCs w:val="22"/>
                <w:lang w:val="it-CH"/>
              </w:rPr>
              <w:t>Vantaggio di ubicazione</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sz w:val="22"/>
                <w:szCs w:val="22"/>
                <w:lang w:val="it-CH"/>
              </w:rPr>
            </w:pP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sz w:val="22"/>
                <w:szCs w:val="22"/>
                <w:lang w:val="it-CH"/>
              </w:rPr>
            </w:pPr>
            <w:r w:rsidRPr="004868E7">
              <w:rPr>
                <w:rFonts w:cs="Arial"/>
                <w:sz w:val="22"/>
                <w:szCs w:val="22"/>
                <w:lang w:val="it-CH"/>
              </w:rPr>
              <w:t>1’348</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sz w:val="22"/>
                <w:szCs w:val="22"/>
                <w:lang w:val="it-CH"/>
              </w:rPr>
            </w:pPr>
            <w:r>
              <w:rPr>
                <w:rFonts w:cs="Arial"/>
                <w:sz w:val="22"/>
                <w:szCs w:val="22"/>
                <w:lang w:val="it-CH"/>
              </w:rPr>
              <w:t>1’483</w:t>
            </w:r>
          </w:p>
        </w:tc>
        <w:tc>
          <w:tcPr>
            <w:tcW w:w="1060" w:type="dxa"/>
            <w:tcBorders>
              <w:top w:val="single" w:sz="8" w:space="0" w:color="auto"/>
              <w:left w:val="nil"/>
              <w:bottom w:val="nil"/>
              <w:right w:val="nil"/>
            </w:tcBorders>
            <w:vAlign w:val="bottom"/>
          </w:tcPr>
          <w:p w:rsidR="0024207A" w:rsidRPr="00373E1F" w:rsidRDefault="0024207A" w:rsidP="0024207A">
            <w:pPr>
              <w:jc w:val="right"/>
              <w:rPr>
                <w:rFonts w:cs="Arial"/>
                <w:sz w:val="22"/>
                <w:szCs w:val="22"/>
                <w:lang w:val="it-CH"/>
              </w:rPr>
            </w:pPr>
            <w:r w:rsidRPr="00373E1F">
              <w:rPr>
                <w:rFonts w:cs="Arial"/>
                <w:sz w:val="22"/>
                <w:szCs w:val="22"/>
                <w:lang w:val="it-CH"/>
              </w:rPr>
              <w:t>1’577</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sz w:val="22"/>
                <w:szCs w:val="22"/>
                <w:lang w:val="it-CH"/>
              </w:rPr>
            </w:pPr>
            <w:r w:rsidRPr="00E430CD">
              <w:rPr>
                <w:rFonts w:cs="Arial"/>
                <w:sz w:val="22"/>
                <w:szCs w:val="22"/>
                <w:lang w:val="it-CH"/>
              </w:rPr>
              <w:t>1’</w:t>
            </w:r>
            <w:r>
              <w:rPr>
                <w:rFonts w:cs="Arial"/>
                <w:sz w:val="22"/>
                <w:szCs w:val="22"/>
                <w:lang w:val="it-CH"/>
              </w:rPr>
              <w:t>640</w:t>
            </w:r>
          </w:p>
        </w:tc>
        <w:tc>
          <w:tcPr>
            <w:tcW w:w="1060" w:type="dxa"/>
            <w:tcBorders>
              <w:top w:val="single" w:sz="8" w:space="0" w:color="auto"/>
              <w:left w:val="nil"/>
              <w:bottom w:val="nil"/>
              <w:right w:val="nil"/>
            </w:tcBorders>
            <w:shd w:val="clear" w:color="auto" w:fill="auto"/>
            <w:noWrap/>
            <w:vAlign w:val="bottom"/>
          </w:tcPr>
          <w:p w:rsidR="0024207A" w:rsidRPr="00CD3783" w:rsidRDefault="0024207A" w:rsidP="0024207A">
            <w:pPr>
              <w:jc w:val="right"/>
              <w:rPr>
                <w:rFonts w:cs="Arial"/>
                <w:sz w:val="22"/>
                <w:szCs w:val="22"/>
                <w:lang w:val="it-CH"/>
              </w:rPr>
            </w:pPr>
            <w:r w:rsidRPr="00CD3783">
              <w:rPr>
                <w:rFonts w:cs="Arial"/>
                <w:sz w:val="22"/>
                <w:szCs w:val="22"/>
                <w:lang w:val="it-CH"/>
              </w:rPr>
              <w:t>1’733</w:t>
            </w:r>
          </w:p>
        </w:tc>
      </w:tr>
      <w:tr w:rsidR="0024207A" w:rsidRPr="00B06324" w:rsidTr="0024207A">
        <w:trPr>
          <w:trHeight w:val="300"/>
        </w:trPr>
        <w:tc>
          <w:tcPr>
            <w:tcW w:w="3132" w:type="dxa"/>
            <w:tcBorders>
              <w:top w:val="single" w:sz="8" w:space="0" w:color="auto"/>
              <w:left w:val="nil"/>
              <w:bottom w:val="nil"/>
              <w:right w:val="nil"/>
            </w:tcBorders>
            <w:noWrap/>
            <w:vAlign w:val="bottom"/>
          </w:tcPr>
          <w:p w:rsidR="0024207A" w:rsidRPr="00C9290E" w:rsidRDefault="0024207A" w:rsidP="0024207A">
            <w:pPr>
              <w:jc w:val="left"/>
              <w:rPr>
                <w:rFonts w:cs="Arial"/>
                <w:b/>
                <w:bCs/>
                <w:sz w:val="22"/>
                <w:szCs w:val="22"/>
                <w:lang w:val="it-CH"/>
              </w:rPr>
            </w:pPr>
            <w:r w:rsidRPr="00C9290E">
              <w:rPr>
                <w:rFonts w:cs="Arial"/>
                <w:b/>
                <w:bCs/>
                <w:sz w:val="22"/>
                <w:szCs w:val="22"/>
                <w:lang w:val="it-CH"/>
              </w:rPr>
              <w:t>Totale richiesto</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b/>
                <w:bCs/>
                <w:sz w:val="22"/>
                <w:szCs w:val="22"/>
              </w:rPr>
            </w:pPr>
            <w:r w:rsidRPr="00DD49D9">
              <w:rPr>
                <w:rFonts w:cs="Arial"/>
                <w:b/>
                <w:bCs/>
                <w:sz w:val="22"/>
                <w:szCs w:val="22"/>
                <w:lang w:val="it-CH"/>
              </w:rPr>
              <w:t>27'079</w:t>
            </w: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b/>
                <w:bCs/>
                <w:sz w:val="22"/>
                <w:szCs w:val="22"/>
              </w:rPr>
            </w:pPr>
            <w:r w:rsidRPr="004868E7">
              <w:rPr>
                <w:rFonts w:cs="Arial"/>
                <w:b/>
                <w:bCs/>
                <w:sz w:val="22"/>
                <w:szCs w:val="22"/>
                <w:lang w:val="it-CH"/>
              </w:rPr>
              <w:t>22'558</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b/>
                <w:bCs/>
                <w:sz w:val="22"/>
                <w:szCs w:val="22"/>
                <w:lang w:val="it-CH"/>
              </w:rPr>
            </w:pPr>
            <w:r>
              <w:rPr>
                <w:rFonts w:cs="Arial"/>
                <w:b/>
                <w:bCs/>
                <w:sz w:val="22"/>
                <w:szCs w:val="22"/>
                <w:lang w:val="it-CH"/>
              </w:rPr>
              <w:t>24’918</w:t>
            </w:r>
          </w:p>
        </w:tc>
        <w:tc>
          <w:tcPr>
            <w:tcW w:w="1060" w:type="dxa"/>
            <w:tcBorders>
              <w:top w:val="single" w:sz="8" w:space="0" w:color="auto"/>
              <w:left w:val="nil"/>
              <w:bottom w:val="nil"/>
              <w:right w:val="nil"/>
            </w:tcBorders>
            <w:vAlign w:val="bottom"/>
          </w:tcPr>
          <w:p w:rsidR="0024207A" w:rsidRPr="00373E1F" w:rsidRDefault="0024207A" w:rsidP="0024207A">
            <w:pPr>
              <w:jc w:val="right"/>
              <w:rPr>
                <w:rFonts w:cs="Arial"/>
                <w:b/>
                <w:bCs/>
                <w:sz w:val="22"/>
                <w:szCs w:val="22"/>
                <w:lang w:val="it-CH"/>
              </w:rPr>
            </w:pPr>
            <w:r w:rsidRPr="00373E1F">
              <w:rPr>
                <w:rFonts w:cs="Arial"/>
                <w:b/>
                <w:bCs/>
                <w:sz w:val="22"/>
                <w:szCs w:val="22"/>
                <w:lang w:val="it-CH"/>
              </w:rPr>
              <w:t>27’418</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b/>
                <w:bCs/>
                <w:sz w:val="22"/>
                <w:szCs w:val="22"/>
                <w:lang w:val="it-CH"/>
              </w:rPr>
            </w:pPr>
            <w:r w:rsidRPr="00E430CD">
              <w:rPr>
                <w:rFonts w:cs="Arial"/>
                <w:b/>
                <w:bCs/>
                <w:sz w:val="22"/>
                <w:szCs w:val="22"/>
                <w:lang w:val="it-CH"/>
              </w:rPr>
              <w:t>27’943</w:t>
            </w:r>
          </w:p>
        </w:tc>
        <w:tc>
          <w:tcPr>
            <w:tcW w:w="1060" w:type="dxa"/>
            <w:tcBorders>
              <w:top w:val="single" w:sz="8" w:space="0" w:color="auto"/>
              <w:left w:val="nil"/>
              <w:bottom w:val="nil"/>
              <w:right w:val="nil"/>
            </w:tcBorders>
            <w:noWrap/>
            <w:vAlign w:val="bottom"/>
          </w:tcPr>
          <w:p w:rsidR="0024207A" w:rsidRPr="00CD3783" w:rsidRDefault="0024207A" w:rsidP="0024207A">
            <w:pPr>
              <w:jc w:val="right"/>
              <w:rPr>
                <w:rFonts w:cs="Arial"/>
                <w:b/>
                <w:bCs/>
                <w:sz w:val="22"/>
                <w:szCs w:val="22"/>
                <w:lang w:val="it-CH"/>
              </w:rPr>
            </w:pPr>
            <w:r w:rsidRPr="00CD3783">
              <w:rPr>
                <w:rFonts w:cs="Arial"/>
                <w:b/>
                <w:bCs/>
                <w:sz w:val="22"/>
                <w:szCs w:val="22"/>
                <w:lang w:val="it-CH"/>
              </w:rPr>
              <w:t>26’086</w:t>
            </w:r>
          </w:p>
        </w:tc>
      </w:tr>
      <w:tr w:rsidR="0024207A" w:rsidRPr="00B06324" w:rsidTr="0024207A">
        <w:trPr>
          <w:trHeight w:val="300"/>
        </w:trPr>
        <w:tc>
          <w:tcPr>
            <w:tcW w:w="3132" w:type="dxa"/>
            <w:tcBorders>
              <w:top w:val="single" w:sz="8" w:space="0" w:color="auto"/>
              <w:left w:val="nil"/>
              <w:bottom w:val="nil"/>
              <w:right w:val="nil"/>
            </w:tcBorders>
            <w:shd w:val="clear" w:color="auto" w:fill="auto"/>
            <w:noWrap/>
            <w:vAlign w:val="bottom"/>
          </w:tcPr>
          <w:p w:rsidR="0024207A" w:rsidRPr="00CC0346" w:rsidRDefault="0024207A" w:rsidP="0024207A">
            <w:pPr>
              <w:jc w:val="left"/>
              <w:rPr>
                <w:rFonts w:cs="Arial"/>
                <w:i/>
                <w:iCs/>
                <w:sz w:val="22"/>
                <w:szCs w:val="22"/>
                <w:lang w:val="it-CH"/>
              </w:rPr>
            </w:pPr>
            <w:r w:rsidRPr="00CC0346">
              <w:rPr>
                <w:rFonts w:cs="Arial"/>
                <w:i/>
                <w:iCs/>
                <w:sz w:val="22"/>
                <w:szCs w:val="22"/>
                <w:lang w:val="it-CH"/>
              </w:rPr>
              <w:t>Differenza richiesto-concesso</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i/>
                <w:iCs/>
                <w:sz w:val="22"/>
                <w:szCs w:val="22"/>
              </w:rPr>
            </w:pPr>
            <w:r w:rsidRPr="00DD49D9">
              <w:rPr>
                <w:rFonts w:cs="Arial"/>
                <w:i/>
                <w:iCs/>
                <w:sz w:val="22"/>
                <w:szCs w:val="22"/>
                <w:lang w:val="it-CH"/>
              </w:rPr>
              <w:t>5’022</w:t>
            </w: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i/>
                <w:iCs/>
                <w:sz w:val="22"/>
                <w:szCs w:val="22"/>
              </w:rPr>
            </w:pPr>
            <w:r w:rsidRPr="004868E7">
              <w:rPr>
                <w:rFonts w:cs="Arial"/>
                <w:i/>
                <w:iCs/>
                <w:sz w:val="22"/>
                <w:szCs w:val="22"/>
                <w:lang w:val="it-CH"/>
              </w:rPr>
              <w:t>405</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i/>
                <w:iCs/>
                <w:sz w:val="22"/>
                <w:szCs w:val="22"/>
                <w:lang w:val="it-CH"/>
              </w:rPr>
            </w:pPr>
            <w:r>
              <w:rPr>
                <w:rFonts w:cs="Arial"/>
                <w:i/>
                <w:iCs/>
                <w:sz w:val="22"/>
                <w:szCs w:val="22"/>
                <w:lang w:val="it-CH"/>
              </w:rPr>
              <w:t>1’698</w:t>
            </w:r>
          </w:p>
        </w:tc>
        <w:tc>
          <w:tcPr>
            <w:tcW w:w="1060" w:type="dxa"/>
            <w:tcBorders>
              <w:top w:val="single" w:sz="8" w:space="0" w:color="auto"/>
              <w:left w:val="nil"/>
              <w:bottom w:val="nil"/>
              <w:right w:val="nil"/>
            </w:tcBorders>
            <w:vAlign w:val="bottom"/>
          </w:tcPr>
          <w:p w:rsidR="0024207A" w:rsidRPr="00373E1F" w:rsidRDefault="0024207A" w:rsidP="0024207A">
            <w:pPr>
              <w:jc w:val="right"/>
              <w:rPr>
                <w:rFonts w:cs="Arial"/>
                <w:i/>
                <w:iCs/>
                <w:sz w:val="22"/>
                <w:szCs w:val="22"/>
                <w:lang w:val="it-CH"/>
              </w:rPr>
            </w:pPr>
            <w:r w:rsidRPr="00373E1F">
              <w:rPr>
                <w:rFonts w:cs="Arial"/>
                <w:i/>
                <w:iCs/>
                <w:sz w:val="22"/>
                <w:szCs w:val="22"/>
                <w:lang w:val="it-CH"/>
              </w:rPr>
              <w:t>4’165</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i/>
                <w:iCs/>
                <w:sz w:val="22"/>
                <w:szCs w:val="22"/>
                <w:lang w:val="it-CH"/>
              </w:rPr>
            </w:pPr>
            <w:r w:rsidRPr="00E430CD">
              <w:rPr>
                <w:rFonts w:cs="Arial"/>
                <w:i/>
                <w:iCs/>
                <w:sz w:val="22"/>
                <w:szCs w:val="22"/>
                <w:lang w:val="it-CH"/>
              </w:rPr>
              <w:t>3’843</w:t>
            </w:r>
          </w:p>
        </w:tc>
        <w:tc>
          <w:tcPr>
            <w:tcW w:w="1060" w:type="dxa"/>
            <w:tcBorders>
              <w:top w:val="single" w:sz="8" w:space="0" w:color="auto"/>
              <w:left w:val="nil"/>
              <w:bottom w:val="nil"/>
              <w:right w:val="nil"/>
            </w:tcBorders>
            <w:shd w:val="clear" w:color="auto" w:fill="auto"/>
            <w:noWrap/>
            <w:vAlign w:val="bottom"/>
          </w:tcPr>
          <w:p w:rsidR="0024207A" w:rsidRPr="00CD3783" w:rsidRDefault="0024207A" w:rsidP="0024207A">
            <w:pPr>
              <w:jc w:val="right"/>
              <w:rPr>
                <w:rFonts w:cs="Arial"/>
                <w:i/>
                <w:iCs/>
                <w:sz w:val="22"/>
                <w:szCs w:val="22"/>
                <w:lang w:val="it-CH"/>
              </w:rPr>
            </w:pPr>
            <w:r w:rsidRPr="00CD3783">
              <w:rPr>
                <w:rFonts w:cs="Arial"/>
                <w:i/>
                <w:iCs/>
                <w:sz w:val="22"/>
                <w:szCs w:val="22"/>
                <w:lang w:val="it-CH"/>
              </w:rPr>
              <w:t>1’986</w:t>
            </w:r>
          </w:p>
        </w:tc>
      </w:tr>
      <w:tr w:rsidR="0024207A" w:rsidRPr="00B06324" w:rsidTr="0024207A">
        <w:trPr>
          <w:trHeight w:val="300"/>
        </w:trPr>
        <w:tc>
          <w:tcPr>
            <w:tcW w:w="3132" w:type="dxa"/>
            <w:tcBorders>
              <w:top w:val="single" w:sz="8" w:space="0" w:color="auto"/>
              <w:left w:val="nil"/>
              <w:bottom w:val="nil"/>
              <w:right w:val="nil"/>
            </w:tcBorders>
            <w:shd w:val="clear" w:color="auto" w:fill="auto"/>
            <w:noWrap/>
            <w:vAlign w:val="bottom"/>
          </w:tcPr>
          <w:p w:rsidR="0024207A" w:rsidRPr="00CC0346" w:rsidRDefault="0024207A" w:rsidP="0024207A">
            <w:pPr>
              <w:jc w:val="left"/>
              <w:rPr>
                <w:rFonts w:cs="Arial"/>
                <w:i/>
                <w:iCs/>
                <w:sz w:val="22"/>
                <w:szCs w:val="22"/>
                <w:lang w:val="it-CH"/>
              </w:rPr>
            </w:pPr>
            <w:r w:rsidRPr="00CC0346">
              <w:rPr>
                <w:rFonts w:cs="Arial"/>
                <w:i/>
                <w:iCs/>
                <w:sz w:val="22"/>
                <w:szCs w:val="22"/>
                <w:lang w:val="it-CH"/>
              </w:rPr>
              <w:t>In %</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i/>
                <w:iCs/>
                <w:sz w:val="22"/>
                <w:szCs w:val="22"/>
              </w:rPr>
            </w:pPr>
            <w:r w:rsidRPr="00DD49D9">
              <w:rPr>
                <w:rFonts w:cs="Arial"/>
                <w:i/>
                <w:iCs/>
                <w:sz w:val="22"/>
                <w:szCs w:val="22"/>
                <w:lang w:val="it-CH"/>
              </w:rPr>
              <w:t>18</w:t>
            </w:r>
            <w:r>
              <w:rPr>
                <w:rFonts w:cs="Arial"/>
                <w:i/>
                <w:iCs/>
                <w:sz w:val="22"/>
                <w:szCs w:val="22"/>
                <w:lang w:val="it-CH"/>
              </w:rPr>
              <w:t>.5</w:t>
            </w:r>
            <w:r w:rsidRPr="00DD49D9">
              <w:rPr>
                <w:rFonts w:cs="Arial"/>
                <w:i/>
                <w:iCs/>
                <w:sz w:val="22"/>
                <w:szCs w:val="22"/>
                <w:lang w:val="it-CH"/>
              </w:rPr>
              <w:t>%</w:t>
            </w: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i/>
                <w:iCs/>
                <w:sz w:val="22"/>
                <w:szCs w:val="22"/>
              </w:rPr>
            </w:pPr>
            <w:r w:rsidRPr="004868E7">
              <w:rPr>
                <w:rFonts w:cs="Arial"/>
                <w:i/>
                <w:iCs/>
                <w:sz w:val="22"/>
                <w:szCs w:val="22"/>
                <w:lang w:val="it-CH"/>
              </w:rPr>
              <w:t>1</w:t>
            </w:r>
            <w:r>
              <w:rPr>
                <w:rFonts w:cs="Arial"/>
                <w:i/>
                <w:iCs/>
                <w:sz w:val="22"/>
                <w:szCs w:val="22"/>
                <w:lang w:val="it-CH"/>
              </w:rPr>
              <w:t>.8</w:t>
            </w:r>
            <w:r w:rsidRPr="004868E7">
              <w:rPr>
                <w:rFonts w:cs="Arial"/>
                <w:i/>
                <w:iCs/>
                <w:sz w:val="22"/>
                <w:szCs w:val="22"/>
                <w:lang w:val="it-CH"/>
              </w:rPr>
              <w:t>%</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i/>
                <w:iCs/>
                <w:sz w:val="22"/>
                <w:szCs w:val="22"/>
                <w:lang w:val="it-CH"/>
              </w:rPr>
            </w:pPr>
            <w:r w:rsidRPr="007F7DAC">
              <w:rPr>
                <w:rFonts w:cs="Arial"/>
                <w:i/>
                <w:iCs/>
                <w:sz w:val="22"/>
                <w:szCs w:val="22"/>
                <w:lang w:val="it-CH"/>
              </w:rPr>
              <w:t>6.8</w:t>
            </w:r>
            <w:r>
              <w:rPr>
                <w:rFonts w:cs="Arial"/>
                <w:i/>
                <w:iCs/>
                <w:sz w:val="22"/>
                <w:szCs w:val="22"/>
                <w:lang w:val="it-CH"/>
              </w:rPr>
              <w:t>%</w:t>
            </w:r>
          </w:p>
        </w:tc>
        <w:tc>
          <w:tcPr>
            <w:tcW w:w="1060" w:type="dxa"/>
            <w:tcBorders>
              <w:top w:val="single" w:sz="8" w:space="0" w:color="auto"/>
              <w:left w:val="nil"/>
              <w:bottom w:val="nil"/>
              <w:right w:val="nil"/>
            </w:tcBorders>
            <w:vAlign w:val="bottom"/>
          </w:tcPr>
          <w:p w:rsidR="0024207A" w:rsidRPr="00373E1F" w:rsidRDefault="0024207A" w:rsidP="0024207A">
            <w:pPr>
              <w:jc w:val="right"/>
              <w:rPr>
                <w:rFonts w:cs="Arial"/>
                <w:i/>
                <w:iCs/>
                <w:sz w:val="22"/>
                <w:szCs w:val="22"/>
                <w:lang w:val="it-CH"/>
              </w:rPr>
            </w:pPr>
            <w:r w:rsidRPr="00373E1F">
              <w:rPr>
                <w:rFonts w:cs="Arial"/>
                <w:i/>
                <w:iCs/>
                <w:sz w:val="22"/>
                <w:szCs w:val="22"/>
                <w:lang w:val="it-CH"/>
              </w:rPr>
              <w:t>15.</w:t>
            </w:r>
            <w:r>
              <w:rPr>
                <w:rFonts w:cs="Arial"/>
                <w:i/>
                <w:iCs/>
                <w:sz w:val="22"/>
                <w:szCs w:val="22"/>
                <w:lang w:val="it-CH"/>
              </w:rPr>
              <w:t>2</w:t>
            </w:r>
            <w:r w:rsidRPr="00373E1F">
              <w:rPr>
                <w:rFonts w:cs="Arial"/>
                <w:i/>
                <w:iCs/>
                <w:sz w:val="22"/>
                <w:szCs w:val="22"/>
                <w:lang w:val="it-CH"/>
              </w:rPr>
              <w:t>%</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i/>
                <w:iCs/>
                <w:sz w:val="22"/>
                <w:szCs w:val="22"/>
                <w:lang w:val="it-CH"/>
              </w:rPr>
            </w:pPr>
            <w:r w:rsidRPr="00E430CD">
              <w:rPr>
                <w:rFonts w:cs="Arial"/>
                <w:i/>
                <w:iCs/>
                <w:sz w:val="22"/>
                <w:szCs w:val="22"/>
                <w:lang w:val="it-CH"/>
              </w:rPr>
              <w:t>13.8%</w:t>
            </w:r>
          </w:p>
        </w:tc>
        <w:tc>
          <w:tcPr>
            <w:tcW w:w="1060" w:type="dxa"/>
            <w:tcBorders>
              <w:top w:val="single" w:sz="8" w:space="0" w:color="auto"/>
              <w:left w:val="nil"/>
              <w:bottom w:val="nil"/>
              <w:right w:val="nil"/>
            </w:tcBorders>
            <w:shd w:val="clear" w:color="auto" w:fill="auto"/>
            <w:noWrap/>
            <w:vAlign w:val="bottom"/>
          </w:tcPr>
          <w:p w:rsidR="0024207A" w:rsidRPr="00CD3783" w:rsidRDefault="0024207A" w:rsidP="0024207A">
            <w:pPr>
              <w:jc w:val="right"/>
              <w:rPr>
                <w:rFonts w:cs="Arial"/>
                <w:i/>
                <w:iCs/>
                <w:sz w:val="22"/>
                <w:szCs w:val="22"/>
                <w:lang w:val="it-CH"/>
              </w:rPr>
            </w:pPr>
            <w:r w:rsidRPr="00CD3783">
              <w:rPr>
                <w:rFonts w:cs="Arial"/>
                <w:i/>
                <w:iCs/>
                <w:sz w:val="22"/>
                <w:szCs w:val="22"/>
                <w:lang w:val="it-CH"/>
              </w:rPr>
              <w:t>7.6%</w:t>
            </w:r>
          </w:p>
        </w:tc>
      </w:tr>
      <w:tr w:rsidR="0024207A" w:rsidRPr="00B06324" w:rsidTr="0024207A">
        <w:trPr>
          <w:trHeight w:val="300"/>
        </w:trPr>
        <w:tc>
          <w:tcPr>
            <w:tcW w:w="3132" w:type="dxa"/>
            <w:tcBorders>
              <w:top w:val="single" w:sz="8" w:space="0" w:color="auto"/>
              <w:left w:val="nil"/>
              <w:bottom w:val="nil"/>
              <w:right w:val="nil"/>
            </w:tcBorders>
            <w:shd w:val="clear" w:color="auto" w:fill="auto"/>
            <w:noWrap/>
            <w:vAlign w:val="bottom"/>
          </w:tcPr>
          <w:p w:rsidR="0024207A" w:rsidRPr="00CC0346" w:rsidRDefault="0024207A" w:rsidP="0024207A">
            <w:pPr>
              <w:jc w:val="left"/>
              <w:rPr>
                <w:rFonts w:cs="Arial"/>
                <w:b/>
                <w:bCs/>
                <w:sz w:val="22"/>
                <w:szCs w:val="22"/>
                <w:lang w:val="it-CH"/>
              </w:rPr>
            </w:pPr>
            <w:r w:rsidRPr="00CC0346">
              <w:rPr>
                <w:rFonts w:cs="Arial"/>
                <w:b/>
                <w:bCs/>
                <w:sz w:val="22"/>
                <w:szCs w:val="22"/>
                <w:lang w:val="it-CH"/>
              </w:rPr>
              <w:t>Totale accordato</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b/>
                <w:bCs/>
                <w:sz w:val="22"/>
                <w:szCs w:val="22"/>
              </w:rPr>
            </w:pPr>
            <w:r w:rsidRPr="00DD49D9">
              <w:rPr>
                <w:rFonts w:cs="Arial"/>
                <w:b/>
                <w:bCs/>
                <w:sz w:val="22"/>
                <w:szCs w:val="22"/>
                <w:lang w:val="it-CH"/>
              </w:rPr>
              <w:t>22'057</w:t>
            </w: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b/>
                <w:bCs/>
                <w:sz w:val="22"/>
                <w:szCs w:val="22"/>
              </w:rPr>
            </w:pPr>
            <w:r w:rsidRPr="004868E7">
              <w:rPr>
                <w:rFonts w:cs="Arial"/>
                <w:b/>
                <w:bCs/>
                <w:sz w:val="22"/>
                <w:szCs w:val="22"/>
                <w:lang w:val="it-CH"/>
              </w:rPr>
              <w:t>22'153</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b/>
                <w:bCs/>
                <w:sz w:val="22"/>
                <w:szCs w:val="22"/>
                <w:lang w:val="it-CH"/>
              </w:rPr>
            </w:pPr>
            <w:r>
              <w:rPr>
                <w:rFonts w:cs="Arial"/>
                <w:b/>
                <w:bCs/>
                <w:sz w:val="22"/>
                <w:szCs w:val="22"/>
                <w:lang w:val="it-CH"/>
              </w:rPr>
              <w:t>23’220</w:t>
            </w:r>
          </w:p>
        </w:tc>
        <w:tc>
          <w:tcPr>
            <w:tcW w:w="1060" w:type="dxa"/>
            <w:tcBorders>
              <w:top w:val="single" w:sz="8" w:space="0" w:color="auto"/>
              <w:left w:val="nil"/>
              <w:bottom w:val="nil"/>
              <w:right w:val="nil"/>
            </w:tcBorders>
            <w:vAlign w:val="bottom"/>
          </w:tcPr>
          <w:p w:rsidR="0024207A" w:rsidRPr="00373E1F" w:rsidRDefault="0024207A" w:rsidP="0024207A">
            <w:pPr>
              <w:jc w:val="right"/>
              <w:rPr>
                <w:rFonts w:cs="Arial"/>
                <w:b/>
                <w:bCs/>
                <w:sz w:val="22"/>
                <w:szCs w:val="22"/>
                <w:lang w:val="it-CH"/>
              </w:rPr>
            </w:pPr>
            <w:r w:rsidRPr="00373E1F">
              <w:rPr>
                <w:rFonts w:cs="Arial"/>
                <w:b/>
                <w:bCs/>
                <w:sz w:val="22"/>
                <w:szCs w:val="22"/>
                <w:lang w:val="it-CH"/>
              </w:rPr>
              <w:t>23’253</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b/>
                <w:bCs/>
                <w:sz w:val="22"/>
                <w:szCs w:val="22"/>
                <w:lang w:val="it-CH"/>
              </w:rPr>
            </w:pPr>
            <w:r w:rsidRPr="00E430CD">
              <w:rPr>
                <w:rFonts w:cs="Arial"/>
                <w:b/>
                <w:bCs/>
                <w:sz w:val="22"/>
                <w:szCs w:val="22"/>
                <w:lang w:val="it-CH"/>
              </w:rPr>
              <w:t>24’100</w:t>
            </w:r>
          </w:p>
        </w:tc>
        <w:tc>
          <w:tcPr>
            <w:tcW w:w="1060" w:type="dxa"/>
            <w:tcBorders>
              <w:top w:val="single" w:sz="8" w:space="0" w:color="auto"/>
              <w:left w:val="nil"/>
              <w:bottom w:val="nil"/>
              <w:right w:val="nil"/>
            </w:tcBorders>
            <w:shd w:val="clear" w:color="auto" w:fill="auto"/>
            <w:noWrap/>
            <w:vAlign w:val="bottom"/>
          </w:tcPr>
          <w:p w:rsidR="0024207A" w:rsidRPr="00CD3783" w:rsidRDefault="0024207A" w:rsidP="0024207A">
            <w:pPr>
              <w:jc w:val="right"/>
              <w:rPr>
                <w:rFonts w:cs="Arial"/>
                <w:b/>
                <w:bCs/>
                <w:sz w:val="22"/>
                <w:szCs w:val="22"/>
                <w:lang w:val="it-CH"/>
              </w:rPr>
            </w:pPr>
            <w:r w:rsidRPr="00CD3783">
              <w:rPr>
                <w:rFonts w:cs="Arial"/>
                <w:b/>
                <w:bCs/>
                <w:sz w:val="22"/>
                <w:szCs w:val="22"/>
                <w:lang w:val="it-CH"/>
              </w:rPr>
              <w:t>24’1</w:t>
            </w:r>
            <w:r>
              <w:rPr>
                <w:rFonts w:cs="Arial"/>
                <w:b/>
                <w:bCs/>
                <w:sz w:val="22"/>
                <w:szCs w:val="22"/>
                <w:lang w:val="it-CH"/>
              </w:rPr>
              <w:t>9</w:t>
            </w:r>
            <w:r w:rsidRPr="00CD3783">
              <w:rPr>
                <w:rFonts w:cs="Arial"/>
                <w:b/>
                <w:bCs/>
                <w:sz w:val="22"/>
                <w:szCs w:val="22"/>
                <w:lang w:val="it-CH"/>
              </w:rPr>
              <w:t>0</w:t>
            </w:r>
          </w:p>
        </w:tc>
      </w:tr>
      <w:tr w:rsidR="0024207A" w:rsidRPr="00B06324" w:rsidTr="0024207A">
        <w:trPr>
          <w:trHeight w:val="300"/>
        </w:trPr>
        <w:tc>
          <w:tcPr>
            <w:tcW w:w="3132" w:type="dxa"/>
            <w:tcBorders>
              <w:top w:val="single" w:sz="8" w:space="0" w:color="auto"/>
              <w:left w:val="nil"/>
              <w:bottom w:val="nil"/>
              <w:right w:val="nil"/>
            </w:tcBorders>
            <w:shd w:val="clear" w:color="auto" w:fill="auto"/>
            <w:noWrap/>
            <w:vAlign w:val="bottom"/>
          </w:tcPr>
          <w:p w:rsidR="0024207A" w:rsidRPr="00C9290E" w:rsidRDefault="0024207A" w:rsidP="0024207A">
            <w:pPr>
              <w:jc w:val="left"/>
              <w:rPr>
                <w:rFonts w:cs="Arial"/>
                <w:i/>
                <w:iCs/>
                <w:sz w:val="22"/>
                <w:szCs w:val="22"/>
                <w:lang w:val="it-CH"/>
              </w:rPr>
            </w:pPr>
            <w:r w:rsidRPr="00C9290E">
              <w:rPr>
                <w:rFonts w:cs="Arial"/>
                <w:i/>
                <w:iCs/>
                <w:sz w:val="22"/>
                <w:szCs w:val="22"/>
                <w:lang w:val="it-CH"/>
              </w:rPr>
              <w:t>Aumento annuo</w:t>
            </w:r>
          </w:p>
        </w:tc>
        <w:tc>
          <w:tcPr>
            <w:tcW w:w="1060" w:type="dxa"/>
            <w:tcBorders>
              <w:top w:val="single" w:sz="8" w:space="0" w:color="auto"/>
              <w:left w:val="nil"/>
              <w:bottom w:val="nil"/>
              <w:right w:val="nil"/>
            </w:tcBorders>
            <w:vAlign w:val="bottom"/>
          </w:tcPr>
          <w:p w:rsidR="0024207A" w:rsidRPr="00DD49D9" w:rsidRDefault="0024207A" w:rsidP="0024207A">
            <w:pPr>
              <w:jc w:val="right"/>
              <w:rPr>
                <w:rFonts w:cs="Arial"/>
                <w:i/>
                <w:iCs/>
                <w:sz w:val="22"/>
                <w:szCs w:val="22"/>
              </w:rPr>
            </w:pPr>
            <w:r w:rsidRPr="00DD49D9">
              <w:rPr>
                <w:rFonts w:cs="Arial"/>
                <w:i/>
                <w:iCs/>
                <w:sz w:val="22"/>
                <w:szCs w:val="22"/>
                <w:lang w:val="it-CH"/>
              </w:rPr>
              <w:t>5</w:t>
            </w:r>
            <w:r>
              <w:rPr>
                <w:rFonts w:cs="Arial"/>
                <w:i/>
                <w:iCs/>
                <w:sz w:val="22"/>
                <w:szCs w:val="22"/>
                <w:lang w:val="it-CH"/>
              </w:rPr>
              <w:t>.3</w:t>
            </w:r>
            <w:r w:rsidRPr="00DD49D9">
              <w:rPr>
                <w:rFonts w:cs="Arial"/>
                <w:i/>
                <w:iCs/>
                <w:sz w:val="22"/>
                <w:szCs w:val="22"/>
                <w:lang w:val="it-CH"/>
              </w:rPr>
              <w:t>%</w:t>
            </w:r>
          </w:p>
        </w:tc>
        <w:tc>
          <w:tcPr>
            <w:tcW w:w="1060" w:type="dxa"/>
            <w:tcBorders>
              <w:top w:val="single" w:sz="8" w:space="0" w:color="auto"/>
              <w:left w:val="nil"/>
              <w:bottom w:val="nil"/>
              <w:right w:val="nil"/>
            </w:tcBorders>
            <w:vAlign w:val="bottom"/>
          </w:tcPr>
          <w:p w:rsidR="0024207A" w:rsidRPr="004868E7" w:rsidRDefault="0024207A" w:rsidP="0024207A">
            <w:pPr>
              <w:jc w:val="right"/>
              <w:rPr>
                <w:rFonts w:cs="Arial"/>
                <w:i/>
                <w:iCs/>
                <w:sz w:val="22"/>
                <w:szCs w:val="22"/>
              </w:rPr>
            </w:pPr>
            <w:r w:rsidRPr="004868E7">
              <w:rPr>
                <w:rFonts w:cs="Arial"/>
                <w:i/>
                <w:iCs/>
                <w:sz w:val="22"/>
                <w:szCs w:val="22"/>
                <w:lang w:val="it-CH"/>
              </w:rPr>
              <w:t>0</w:t>
            </w:r>
            <w:r>
              <w:rPr>
                <w:rFonts w:cs="Arial"/>
                <w:i/>
                <w:iCs/>
                <w:sz w:val="22"/>
                <w:szCs w:val="22"/>
                <w:lang w:val="it-CH"/>
              </w:rPr>
              <w:t>.4</w:t>
            </w:r>
            <w:r w:rsidRPr="004868E7">
              <w:rPr>
                <w:rFonts w:cs="Arial"/>
                <w:i/>
                <w:iCs/>
                <w:sz w:val="22"/>
                <w:szCs w:val="22"/>
                <w:lang w:val="it-CH"/>
              </w:rPr>
              <w:t>%</w:t>
            </w:r>
          </w:p>
        </w:tc>
        <w:tc>
          <w:tcPr>
            <w:tcW w:w="1060" w:type="dxa"/>
            <w:tcBorders>
              <w:top w:val="single" w:sz="8" w:space="0" w:color="auto"/>
              <w:left w:val="nil"/>
              <w:bottom w:val="nil"/>
              <w:right w:val="nil"/>
            </w:tcBorders>
            <w:vAlign w:val="bottom"/>
          </w:tcPr>
          <w:p w:rsidR="0024207A" w:rsidRPr="00C9290E" w:rsidRDefault="0024207A" w:rsidP="0024207A">
            <w:pPr>
              <w:jc w:val="right"/>
              <w:rPr>
                <w:rFonts w:cs="Arial"/>
                <w:i/>
                <w:iCs/>
                <w:sz w:val="22"/>
                <w:szCs w:val="22"/>
                <w:lang w:val="it-CH"/>
              </w:rPr>
            </w:pPr>
            <w:r w:rsidRPr="00DD613F">
              <w:rPr>
                <w:rFonts w:cs="Arial"/>
                <w:i/>
                <w:iCs/>
                <w:sz w:val="22"/>
                <w:szCs w:val="22"/>
                <w:lang w:val="it-CH"/>
              </w:rPr>
              <w:t>4.</w:t>
            </w:r>
            <w:r>
              <w:rPr>
                <w:rFonts w:cs="Arial"/>
                <w:i/>
                <w:iCs/>
                <w:sz w:val="22"/>
                <w:szCs w:val="22"/>
                <w:lang w:val="it-CH"/>
              </w:rPr>
              <w:t>8</w:t>
            </w:r>
            <w:r w:rsidRPr="00DD49D9">
              <w:rPr>
                <w:rFonts w:cs="Arial"/>
                <w:i/>
                <w:iCs/>
                <w:sz w:val="22"/>
                <w:szCs w:val="22"/>
                <w:lang w:val="it-CH"/>
              </w:rPr>
              <w:t>%</w:t>
            </w:r>
          </w:p>
        </w:tc>
        <w:tc>
          <w:tcPr>
            <w:tcW w:w="1060" w:type="dxa"/>
            <w:tcBorders>
              <w:top w:val="single" w:sz="8" w:space="0" w:color="auto"/>
              <w:left w:val="nil"/>
              <w:bottom w:val="nil"/>
              <w:right w:val="nil"/>
            </w:tcBorders>
            <w:vAlign w:val="bottom"/>
          </w:tcPr>
          <w:p w:rsidR="0024207A" w:rsidRPr="00373E1F" w:rsidRDefault="0024207A" w:rsidP="0024207A">
            <w:pPr>
              <w:jc w:val="right"/>
              <w:rPr>
                <w:rFonts w:cs="Arial"/>
                <w:i/>
                <w:iCs/>
                <w:sz w:val="22"/>
                <w:szCs w:val="22"/>
                <w:lang w:val="it-CH"/>
              </w:rPr>
            </w:pPr>
            <w:r>
              <w:rPr>
                <w:rFonts w:cs="Arial"/>
                <w:i/>
                <w:iCs/>
                <w:sz w:val="22"/>
                <w:szCs w:val="22"/>
                <w:lang w:val="it-CH"/>
              </w:rPr>
              <w:t>0.1</w:t>
            </w:r>
            <w:r w:rsidRPr="00373E1F">
              <w:rPr>
                <w:rFonts w:cs="Arial"/>
                <w:i/>
                <w:iCs/>
                <w:sz w:val="22"/>
                <w:szCs w:val="22"/>
                <w:lang w:val="it-CH"/>
              </w:rPr>
              <w:t>%</w:t>
            </w:r>
          </w:p>
        </w:tc>
        <w:tc>
          <w:tcPr>
            <w:tcW w:w="1060" w:type="dxa"/>
            <w:tcBorders>
              <w:top w:val="single" w:sz="8" w:space="0" w:color="auto"/>
              <w:left w:val="nil"/>
              <w:bottom w:val="nil"/>
              <w:right w:val="nil"/>
            </w:tcBorders>
            <w:vAlign w:val="bottom"/>
          </w:tcPr>
          <w:p w:rsidR="0024207A" w:rsidRPr="00E430CD" w:rsidRDefault="0024207A" w:rsidP="0024207A">
            <w:pPr>
              <w:jc w:val="right"/>
              <w:rPr>
                <w:rFonts w:cs="Arial"/>
                <w:i/>
                <w:iCs/>
                <w:sz w:val="22"/>
                <w:szCs w:val="22"/>
                <w:lang w:val="it-CH"/>
              </w:rPr>
            </w:pPr>
            <w:r w:rsidRPr="00E430CD">
              <w:rPr>
                <w:rFonts w:cs="Arial"/>
                <w:i/>
                <w:iCs/>
                <w:sz w:val="22"/>
                <w:szCs w:val="22"/>
                <w:lang w:val="it-CH"/>
              </w:rPr>
              <w:t>3.6%</w:t>
            </w:r>
          </w:p>
        </w:tc>
        <w:tc>
          <w:tcPr>
            <w:tcW w:w="1060" w:type="dxa"/>
            <w:tcBorders>
              <w:top w:val="single" w:sz="8" w:space="0" w:color="auto"/>
              <w:left w:val="nil"/>
              <w:bottom w:val="nil"/>
              <w:right w:val="nil"/>
            </w:tcBorders>
            <w:shd w:val="clear" w:color="auto" w:fill="auto"/>
            <w:noWrap/>
            <w:vAlign w:val="bottom"/>
          </w:tcPr>
          <w:p w:rsidR="0024207A" w:rsidRPr="00CD3783" w:rsidRDefault="0024207A" w:rsidP="0024207A">
            <w:pPr>
              <w:jc w:val="right"/>
              <w:rPr>
                <w:rFonts w:cs="Arial"/>
                <w:i/>
                <w:iCs/>
                <w:sz w:val="22"/>
                <w:szCs w:val="22"/>
                <w:lang w:val="it-CH"/>
              </w:rPr>
            </w:pPr>
            <w:r w:rsidRPr="00CD3783">
              <w:rPr>
                <w:rFonts w:cs="Arial"/>
                <w:i/>
                <w:iCs/>
                <w:sz w:val="22"/>
                <w:szCs w:val="22"/>
                <w:lang w:val="it-CH"/>
              </w:rPr>
              <w:t>0.0%</w:t>
            </w:r>
          </w:p>
        </w:tc>
      </w:tr>
    </w:tbl>
    <w:p w:rsidR="0024207A" w:rsidRPr="00C13E52" w:rsidRDefault="0024207A" w:rsidP="0024207A">
      <w:pPr>
        <w:autoSpaceDE w:val="0"/>
        <w:autoSpaceDN w:val="0"/>
        <w:adjustRightInd w:val="0"/>
        <w:jc w:val="left"/>
        <w:rPr>
          <w:rFonts w:cs="Arial"/>
          <w:bCs/>
          <w:i/>
          <w:sz w:val="16"/>
          <w:szCs w:val="16"/>
          <w:lang w:val="it-CH"/>
        </w:rPr>
      </w:pPr>
    </w:p>
    <w:p w:rsidR="0024207A" w:rsidRPr="00C13E52" w:rsidRDefault="0024207A" w:rsidP="0024207A">
      <w:pPr>
        <w:autoSpaceDE w:val="0"/>
        <w:autoSpaceDN w:val="0"/>
        <w:adjustRightInd w:val="0"/>
        <w:jc w:val="left"/>
        <w:rPr>
          <w:rFonts w:cs="Arial"/>
          <w:bCs/>
          <w:i/>
          <w:szCs w:val="24"/>
          <w:lang w:val="it-CH"/>
        </w:rPr>
      </w:pPr>
      <w:r w:rsidRPr="00C13E52">
        <w:rPr>
          <w:rFonts w:cs="Arial"/>
          <w:bCs/>
          <w:i/>
          <w:sz w:val="16"/>
          <w:szCs w:val="18"/>
          <w:lang w:val="it-CH"/>
        </w:rPr>
        <w:t xml:space="preserve">Fonte: </w:t>
      </w:r>
      <w:r>
        <w:rPr>
          <w:rFonts w:cs="Arial"/>
          <w:bCs/>
          <w:i/>
          <w:sz w:val="16"/>
          <w:szCs w:val="18"/>
          <w:lang w:val="it-CH"/>
        </w:rPr>
        <w:t xml:space="preserve">elaborazione </w:t>
      </w:r>
      <w:r w:rsidRPr="00C13E52">
        <w:rPr>
          <w:rFonts w:cs="Arial"/>
          <w:bCs/>
          <w:i/>
          <w:sz w:val="16"/>
          <w:szCs w:val="18"/>
          <w:lang w:val="it-CH"/>
        </w:rPr>
        <w:t xml:space="preserve">DCSU </w:t>
      </w:r>
    </w:p>
    <w:p w:rsidR="0024207A" w:rsidRPr="001F1B4B" w:rsidRDefault="0024207A" w:rsidP="0024207A">
      <w:pPr>
        <w:rPr>
          <w:rFonts w:cs="Arial"/>
          <w:sz w:val="36"/>
          <w:szCs w:val="36"/>
          <w:lang w:val="it-CH"/>
        </w:rPr>
      </w:pPr>
    </w:p>
    <w:p w:rsidR="0024207A" w:rsidRDefault="0024207A" w:rsidP="0024207A">
      <w:pPr>
        <w:rPr>
          <w:lang w:val="it-CH"/>
        </w:rPr>
      </w:pPr>
      <w:r>
        <w:rPr>
          <w:lang w:val="it-CH"/>
        </w:rPr>
        <w:t xml:space="preserve">Per le spiegazioni riguardo alla voce “vantaggio di ubicazione”, anch’esso previsto dal </w:t>
      </w:r>
      <w:proofErr w:type="spellStart"/>
      <w:r>
        <w:rPr>
          <w:lang w:val="it-CH"/>
        </w:rPr>
        <w:t>Cdp</w:t>
      </w:r>
      <w:proofErr w:type="spellEnd"/>
      <w:r>
        <w:rPr>
          <w:lang w:val="it-CH"/>
        </w:rPr>
        <w:t xml:space="preserve"> SUPSI, si rimanda al punto 2.6 relativo all’USI. </w:t>
      </w:r>
    </w:p>
    <w:p w:rsidR="0024207A" w:rsidRDefault="0024207A" w:rsidP="0024207A">
      <w:pPr>
        <w:rPr>
          <w:lang w:val="it-CH"/>
        </w:rPr>
      </w:pPr>
    </w:p>
    <w:p w:rsidR="0024207A" w:rsidRPr="00D25883" w:rsidRDefault="0024207A" w:rsidP="0024207A">
      <w:pPr>
        <w:rPr>
          <w:lang w:val="it-CH"/>
        </w:rPr>
      </w:pPr>
      <w:r>
        <w:rPr>
          <w:lang w:val="it-CH"/>
        </w:rPr>
        <w:t xml:space="preserve">Come risulta dalla </w:t>
      </w:r>
      <w:r w:rsidRPr="00C65DAB">
        <w:rPr>
          <w:lang w:val="it-CH"/>
        </w:rPr>
        <w:t>Tabella 11</w:t>
      </w:r>
      <w:r>
        <w:rPr>
          <w:lang w:val="it-CH"/>
        </w:rPr>
        <w:t xml:space="preserve"> il contributo richiesto in base</w:t>
      </w:r>
      <w:r w:rsidRPr="00245751">
        <w:rPr>
          <w:lang w:val="it-CH"/>
        </w:rPr>
        <w:t xml:space="preserve"> al calcolo </w:t>
      </w:r>
      <w:r>
        <w:rPr>
          <w:lang w:val="it-CH"/>
        </w:rPr>
        <w:t>de</w:t>
      </w:r>
      <w:r w:rsidRPr="00245751">
        <w:rPr>
          <w:lang w:val="it-CH"/>
        </w:rPr>
        <w:t>ll’art</w:t>
      </w:r>
      <w:r>
        <w:rPr>
          <w:lang w:val="it-CH"/>
        </w:rPr>
        <w:t xml:space="preserve">. </w:t>
      </w:r>
      <w:r w:rsidRPr="00245751">
        <w:rPr>
          <w:lang w:val="it-CH"/>
        </w:rPr>
        <w:t xml:space="preserve">22 del </w:t>
      </w:r>
      <w:proofErr w:type="spellStart"/>
      <w:r>
        <w:rPr>
          <w:lang w:val="it-CH"/>
        </w:rPr>
        <w:t>Cdp</w:t>
      </w:r>
      <w:proofErr w:type="spellEnd"/>
      <w:r>
        <w:rPr>
          <w:lang w:val="it-CH"/>
        </w:rPr>
        <w:t xml:space="preserve"> (26.1 mio) è stato superiore al limite previsto dall’art. 27 del </w:t>
      </w:r>
      <w:proofErr w:type="spellStart"/>
      <w:r>
        <w:rPr>
          <w:lang w:val="it-CH"/>
        </w:rPr>
        <w:t>Cdp</w:t>
      </w:r>
      <w:proofErr w:type="spellEnd"/>
      <w:r>
        <w:rPr>
          <w:lang w:val="it-CH"/>
        </w:rPr>
        <w:t xml:space="preserve"> (19.5 mio), a cui va </w:t>
      </w:r>
      <w:r>
        <w:rPr>
          <w:lang w:val="it-CH"/>
        </w:rPr>
        <w:lastRenderedPageBreak/>
        <w:t xml:space="preserve">sommato il sussidio all’infrastruttura che, non essendo plafonato, è stato aumentato dell’1% rispetto al 2016, passando da 4.6 milioni di franchi nel 2016 a 4.69 milioni nel 2017 (ovvero +90'000 franchi). È stato pertanto applicato l’art. 27 del </w:t>
      </w:r>
      <w:proofErr w:type="spellStart"/>
      <w:r>
        <w:rPr>
          <w:lang w:val="it-CH"/>
        </w:rPr>
        <w:t>Cdp</w:t>
      </w:r>
      <w:proofErr w:type="spellEnd"/>
      <w:r>
        <w:rPr>
          <w:lang w:val="it-CH"/>
        </w:rPr>
        <w:t xml:space="preserve"> con la concessione del limite massimo di 19.5 milioni di franchi di contributo. A tale cifra viene sommata quella di 4.69 milioni per l’infrastruttura per un totale di 24.19 milioni, come riportato nella Tabella 11. Da ricordare che il limite secondo l’art. 27 è previsto per il triennio 2017-2019.</w:t>
      </w:r>
      <w:r w:rsidRPr="00D25883">
        <w:rPr>
          <w:lang w:val="it-CH"/>
        </w:rPr>
        <w:t xml:space="preserve"> </w:t>
      </w:r>
    </w:p>
    <w:p w:rsidR="0024207A" w:rsidRDefault="0024207A" w:rsidP="0024207A">
      <w:pPr>
        <w:rPr>
          <w:lang w:val="it-CH"/>
        </w:rPr>
      </w:pPr>
    </w:p>
    <w:p w:rsidR="0024207A" w:rsidRPr="009366EA" w:rsidRDefault="0024207A" w:rsidP="0024207A">
      <w:r w:rsidRPr="00D25883">
        <w:rPr>
          <w:lang w:val="it-CH"/>
        </w:rPr>
        <w:t>Da notare inoltre che</w:t>
      </w:r>
      <w:r>
        <w:rPr>
          <w:lang w:val="it-CH"/>
        </w:rPr>
        <w:t>,</w:t>
      </w:r>
      <w:r w:rsidRPr="00D25883">
        <w:rPr>
          <w:lang w:val="it-CH"/>
        </w:rPr>
        <w:t xml:space="preserve"> a causa</w:t>
      </w:r>
      <w:r>
        <w:rPr>
          <w:lang w:val="it-CH"/>
        </w:rPr>
        <w:t xml:space="preserve"> della modifica del metodo di calcolo dei </w:t>
      </w:r>
      <w:proofErr w:type="spellStart"/>
      <w:r>
        <w:rPr>
          <w:lang w:val="it-CH"/>
        </w:rPr>
        <w:t>Cdp</w:t>
      </w:r>
      <w:proofErr w:type="spellEnd"/>
      <w:r>
        <w:rPr>
          <w:lang w:val="it-CH"/>
        </w:rPr>
        <w:t xml:space="preserve"> a partire dal 2017, i dati non sono confrontabili. L’obiettivo del nuovo metodo di calcolo secondo l’art. 22 del </w:t>
      </w:r>
      <w:proofErr w:type="spellStart"/>
      <w:r>
        <w:rPr>
          <w:lang w:val="it-CH"/>
        </w:rPr>
        <w:t>Cdp</w:t>
      </w:r>
      <w:proofErr w:type="spellEnd"/>
      <w:r>
        <w:rPr>
          <w:lang w:val="it-CH"/>
        </w:rPr>
        <w:t xml:space="preserve"> era quello di bilanciare, proprio perché sussidiario al sistema dei contributi federali, le variazioni determinante dal nuovo finanziamento federale in base alla OLPSU. Con anticipo, gli uffici federali avevano fatto proiezioni che inserivano la SUPSI tra gli istituti che avrebbero beneficiato del nuovo metodo di ripartizione dei sussidi federali, in particolare per quanto riguarda la parte di sussidio sulla ricerca. La diminuzione del calcolo del contributo cantonale alla ricerca riportata nella Tabella 11 (da 9.2 a 7.6 milioni di franchi) è la conferma che il nuovo </w:t>
      </w:r>
      <w:proofErr w:type="spellStart"/>
      <w:r>
        <w:rPr>
          <w:lang w:val="it-CH"/>
        </w:rPr>
        <w:t>Cdp</w:t>
      </w:r>
      <w:proofErr w:type="spellEnd"/>
      <w:r>
        <w:rPr>
          <w:lang w:val="it-CH"/>
        </w:rPr>
        <w:t xml:space="preserve"> avrebbe dovuto bilanciare l’aumento del contributo federale; in realtà tale contributo federale è stato superiore al previsto, determinando l’utile sopra presentato. </w:t>
      </w:r>
    </w:p>
    <w:p w:rsidR="0024207A" w:rsidRDefault="0024207A" w:rsidP="0024207A"/>
    <w:p w:rsidR="0024207A" w:rsidRDefault="0024207A" w:rsidP="0024207A">
      <w:r w:rsidRPr="009366EA">
        <w:t xml:space="preserve">Dalla </w:t>
      </w:r>
      <w:r w:rsidRPr="00C65DAB">
        <w:t>Tabella 12</w:t>
      </w:r>
      <w:r w:rsidRPr="009366EA">
        <w:t xml:space="preserve"> si evince che</w:t>
      </w:r>
      <w:r>
        <w:t xml:space="preserve"> nel 2017</w:t>
      </w:r>
      <w:r w:rsidRPr="009366EA">
        <w:t xml:space="preserve"> lo Stato ha </w:t>
      </w:r>
      <w:r w:rsidRPr="00ED2436">
        <w:t xml:space="preserve">coperto il </w:t>
      </w:r>
      <w:r>
        <w:t>40.8</w:t>
      </w:r>
      <w:r w:rsidRPr="00ED2436">
        <w:t>%</w:t>
      </w:r>
      <w:r w:rsidRPr="009366EA">
        <w:t xml:space="preserve"> del finanziamento totale della SUPSI (al </w:t>
      </w:r>
      <w:r>
        <w:t>contributo di gestione secondo</w:t>
      </w:r>
      <w:r w:rsidRPr="009366EA">
        <w:t xml:space="preserve"> </w:t>
      </w:r>
      <w:proofErr w:type="spellStart"/>
      <w:r>
        <w:t>Cdp</w:t>
      </w:r>
      <w:proofErr w:type="spellEnd"/>
      <w:r w:rsidRPr="009366EA">
        <w:t xml:space="preserve"> si aggiunge il contributo che il Cantone versa, analogamente </w:t>
      </w:r>
      <w:r w:rsidRPr="000C2954">
        <w:t>all’USI, per gli studenti ticinesi</w:t>
      </w:r>
      <w:r>
        <w:t xml:space="preserve"> secondo i parametri dell’Accordo </w:t>
      </w:r>
      <w:proofErr w:type="spellStart"/>
      <w:r>
        <w:t>intercantonale</w:t>
      </w:r>
      <w:proofErr w:type="spellEnd"/>
      <w:r>
        <w:t xml:space="preserve"> AISUP</w:t>
      </w:r>
      <w:r w:rsidRPr="000C2954">
        <w:t xml:space="preserve">). </w:t>
      </w:r>
    </w:p>
    <w:p w:rsidR="0024207A" w:rsidRDefault="0024207A" w:rsidP="0024207A">
      <w:pPr>
        <w:rPr>
          <w:b/>
          <w:szCs w:val="24"/>
        </w:rPr>
      </w:pPr>
    </w:p>
    <w:p w:rsidR="0024207A" w:rsidRPr="0024207A" w:rsidRDefault="0024207A" w:rsidP="0024207A">
      <w:pPr>
        <w:rPr>
          <w:b/>
          <w:sz w:val="22"/>
          <w:szCs w:val="22"/>
        </w:rPr>
      </w:pPr>
      <w:r w:rsidRPr="0024207A">
        <w:rPr>
          <w:b/>
          <w:sz w:val="22"/>
          <w:szCs w:val="22"/>
        </w:rPr>
        <w:t>Tabella 12 - Fonti di finanziamento della SUPSI escluse affiliate (</w:t>
      </w:r>
      <w:r w:rsidRPr="0024207A">
        <w:rPr>
          <w:rFonts w:cs="Arial"/>
          <w:b/>
          <w:sz w:val="22"/>
          <w:szCs w:val="22"/>
        </w:rPr>
        <w:t xml:space="preserve">cifre in milioni di </w:t>
      </w:r>
      <w:proofErr w:type="spellStart"/>
      <w:r w:rsidRPr="0024207A">
        <w:rPr>
          <w:rFonts w:cs="Arial"/>
          <w:b/>
          <w:sz w:val="22"/>
          <w:szCs w:val="22"/>
        </w:rPr>
        <w:t>fr</w:t>
      </w:r>
      <w:proofErr w:type="spellEnd"/>
      <w:r w:rsidRPr="0024207A">
        <w:rPr>
          <w:rFonts w:cs="Arial"/>
          <w:b/>
          <w:sz w:val="22"/>
          <w:szCs w:val="22"/>
        </w:rPr>
        <w:t>.</w:t>
      </w:r>
      <w:r w:rsidRPr="0024207A">
        <w:rPr>
          <w:b/>
          <w:sz w:val="22"/>
          <w:szCs w:val="22"/>
        </w:rPr>
        <w:t>)</w:t>
      </w:r>
      <w:bookmarkStart w:id="64" w:name="_Toc242173240"/>
    </w:p>
    <w:p w:rsidR="0024207A" w:rsidRPr="0024207A" w:rsidRDefault="0024207A" w:rsidP="0024207A">
      <w:pPr>
        <w:rPr>
          <w:rStyle w:val="TestonormaleCarattere"/>
          <w:rFonts w:ascii="Arial" w:hAnsi="Arial" w:cs="Arial"/>
          <w:sz w:val="22"/>
          <w:szCs w:val="22"/>
        </w:rPr>
      </w:pPr>
    </w:p>
    <w:tbl>
      <w:tblPr>
        <w:tblW w:w="9160" w:type="dxa"/>
        <w:tblInd w:w="57" w:type="dxa"/>
        <w:tblCellMar>
          <w:left w:w="70" w:type="dxa"/>
          <w:right w:w="70" w:type="dxa"/>
        </w:tblCellMar>
        <w:tblLook w:val="0000" w:firstRow="0" w:lastRow="0" w:firstColumn="0" w:lastColumn="0" w:noHBand="0" w:noVBand="0"/>
      </w:tblPr>
      <w:tblGrid>
        <w:gridCol w:w="5320"/>
        <w:gridCol w:w="960"/>
        <w:gridCol w:w="960"/>
        <w:gridCol w:w="960"/>
        <w:gridCol w:w="960"/>
      </w:tblGrid>
      <w:tr w:rsidR="0024207A" w:rsidRPr="009366EA" w:rsidTr="0024207A">
        <w:trPr>
          <w:trHeight w:val="300"/>
        </w:trPr>
        <w:tc>
          <w:tcPr>
            <w:tcW w:w="5320" w:type="dxa"/>
            <w:tcBorders>
              <w:top w:val="single" w:sz="4" w:space="0" w:color="auto"/>
              <w:left w:val="nil"/>
              <w:bottom w:val="single" w:sz="4" w:space="0" w:color="auto"/>
              <w:right w:val="nil"/>
            </w:tcBorders>
            <w:shd w:val="clear" w:color="auto" w:fill="auto"/>
          </w:tcPr>
          <w:p w:rsidR="0024207A" w:rsidRPr="009366EA" w:rsidRDefault="0024207A" w:rsidP="0024207A">
            <w:pPr>
              <w:rPr>
                <w:rFonts w:cs="Arial"/>
                <w:sz w:val="22"/>
                <w:szCs w:val="22"/>
              </w:rPr>
            </w:pPr>
            <w:r w:rsidRPr="009366EA">
              <w:rPr>
                <w:rFonts w:cs="Arial"/>
                <w:sz w:val="22"/>
                <w:szCs w:val="22"/>
              </w:rPr>
              <w:t> </w:t>
            </w:r>
          </w:p>
        </w:tc>
        <w:tc>
          <w:tcPr>
            <w:tcW w:w="960" w:type="dxa"/>
            <w:tcBorders>
              <w:top w:val="single" w:sz="4" w:space="0" w:color="auto"/>
              <w:left w:val="nil"/>
              <w:bottom w:val="single" w:sz="4" w:space="0" w:color="auto"/>
              <w:right w:val="nil"/>
            </w:tcBorders>
            <w:shd w:val="clear" w:color="auto" w:fill="auto"/>
            <w:vAlign w:val="center"/>
          </w:tcPr>
          <w:p w:rsidR="0024207A" w:rsidRPr="008145A1" w:rsidRDefault="0024207A" w:rsidP="0024207A">
            <w:pPr>
              <w:jc w:val="right"/>
              <w:rPr>
                <w:rFonts w:cs="Arial"/>
                <w:b/>
                <w:bCs/>
                <w:color w:val="000000"/>
                <w:sz w:val="22"/>
                <w:szCs w:val="22"/>
              </w:rPr>
            </w:pPr>
            <w:r w:rsidRPr="008145A1">
              <w:rPr>
                <w:rFonts w:cs="Arial"/>
                <w:b/>
                <w:bCs/>
                <w:color w:val="000000"/>
                <w:sz w:val="22"/>
                <w:szCs w:val="22"/>
              </w:rPr>
              <w:t>2016</w:t>
            </w:r>
          </w:p>
        </w:tc>
        <w:tc>
          <w:tcPr>
            <w:tcW w:w="960" w:type="dxa"/>
            <w:tcBorders>
              <w:top w:val="single" w:sz="4" w:space="0" w:color="auto"/>
              <w:left w:val="nil"/>
              <w:bottom w:val="single" w:sz="4" w:space="0" w:color="auto"/>
              <w:right w:val="nil"/>
            </w:tcBorders>
            <w:shd w:val="clear" w:color="auto" w:fill="auto"/>
            <w:vAlign w:val="center"/>
          </w:tcPr>
          <w:p w:rsidR="0024207A" w:rsidRPr="008145A1" w:rsidRDefault="0024207A" w:rsidP="0024207A">
            <w:pPr>
              <w:jc w:val="right"/>
              <w:rPr>
                <w:rFonts w:cs="Arial"/>
                <w:b/>
                <w:bCs/>
                <w:color w:val="000000"/>
                <w:sz w:val="22"/>
                <w:szCs w:val="22"/>
              </w:rPr>
            </w:pPr>
            <w:r w:rsidRPr="008145A1">
              <w:rPr>
                <w:rFonts w:cs="Arial"/>
                <w:b/>
                <w:bCs/>
                <w:color w:val="000000"/>
                <w:sz w:val="22"/>
                <w:szCs w:val="22"/>
              </w:rPr>
              <w:t>in %</w:t>
            </w:r>
          </w:p>
        </w:tc>
        <w:tc>
          <w:tcPr>
            <w:tcW w:w="960" w:type="dxa"/>
            <w:tcBorders>
              <w:top w:val="single" w:sz="4" w:space="0" w:color="auto"/>
              <w:left w:val="nil"/>
              <w:bottom w:val="single" w:sz="4" w:space="0" w:color="auto"/>
              <w:right w:val="nil"/>
            </w:tcBorders>
            <w:shd w:val="clear" w:color="auto" w:fill="auto"/>
            <w:vAlign w:val="center"/>
          </w:tcPr>
          <w:p w:rsidR="0024207A" w:rsidRPr="00AC2267" w:rsidRDefault="0024207A" w:rsidP="0024207A">
            <w:pPr>
              <w:jc w:val="right"/>
              <w:rPr>
                <w:rFonts w:cs="Arial"/>
                <w:b/>
                <w:bCs/>
                <w:color w:val="000000"/>
                <w:sz w:val="22"/>
                <w:szCs w:val="22"/>
              </w:rPr>
            </w:pPr>
            <w:r w:rsidRPr="00AC2267">
              <w:rPr>
                <w:rFonts w:cs="Arial"/>
                <w:b/>
                <w:bCs/>
                <w:color w:val="000000"/>
                <w:sz w:val="22"/>
                <w:szCs w:val="22"/>
              </w:rPr>
              <w:t>2017</w:t>
            </w:r>
          </w:p>
        </w:tc>
        <w:tc>
          <w:tcPr>
            <w:tcW w:w="960" w:type="dxa"/>
            <w:tcBorders>
              <w:top w:val="single" w:sz="4" w:space="0" w:color="auto"/>
              <w:left w:val="nil"/>
              <w:bottom w:val="single" w:sz="4" w:space="0" w:color="auto"/>
              <w:right w:val="nil"/>
            </w:tcBorders>
            <w:shd w:val="clear" w:color="auto" w:fill="auto"/>
            <w:vAlign w:val="center"/>
          </w:tcPr>
          <w:p w:rsidR="0024207A" w:rsidRPr="00AC2267" w:rsidRDefault="0024207A" w:rsidP="0024207A">
            <w:pPr>
              <w:jc w:val="right"/>
              <w:rPr>
                <w:rFonts w:cs="Arial"/>
                <w:b/>
                <w:bCs/>
                <w:color w:val="000000"/>
                <w:sz w:val="22"/>
                <w:szCs w:val="22"/>
              </w:rPr>
            </w:pPr>
            <w:r w:rsidRPr="00AC2267">
              <w:rPr>
                <w:rFonts w:cs="Arial"/>
                <w:b/>
                <w:bCs/>
                <w:color w:val="000000"/>
                <w:sz w:val="22"/>
                <w:szCs w:val="22"/>
              </w:rPr>
              <w:t>in %</w:t>
            </w:r>
          </w:p>
        </w:tc>
      </w:tr>
      <w:tr w:rsidR="0024207A" w:rsidRPr="00D84E79" w:rsidTr="0024207A">
        <w:trPr>
          <w:trHeight w:val="300"/>
        </w:trPr>
        <w:tc>
          <w:tcPr>
            <w:tcW w:w="5320" w:type="dxa"/>
            <w:tcBorders>
              <w:top w:val="nil"/>
              <w:left w:val="nil"/>
              <w:bottom w:val="nil"/>
              <w:right w:val="nil"/>
            </w:tcBorders>
            <w:shd w:val="clear" w:color="auto" w:fill="auto"/>
          </w:tcPr>
          <w:p w:rsidR="0024207A" w:rsidRPr="008E30A3" w:rsidRDefault="0024207A" w:rsidP="0024207A">
            <w:pPr>
              <w:rPr>
                <w:rFonts w:cs="Arial"/>
                <w:sz w:val="22"/>
                <w:szCs w:val="22"/>
              </w:rPr>
            </w:pPr>
            <w:r w:rsidRPr="008E30A3">
              <w:rPr>
                <w:rFonts w:cs="Arial"/>
                <w:sz w:val="22"/>
                <w:szCs w:val="22"/>
              </w:rPr>
              <w:t xml:space="preserve">Cantone Ticino </w:t>
            </w:r>
            <w:r>
              <w:rPr>
                <w:rFonts w:cs="Arial"/>
                <w:sz w:val="22"/>
                <w:szCs w:val="22"/>
              </w:rPr>
              <w:t>–</w:t>
            </w:r>
            <w:r w:rsidRPr="008E30A3">
              <w:rPr>
                <w:rFonts w:cs="Arial"/>
                <w:sz w:val="22"/>
                <w:szCs w:val="22"/>
              </w:rPr>
              <w:t xml:space="preserve"> </w:t>
            </w:r>
            <w:r>
              <w:rPr>
                <w:rFonts w:cs="Arial"/>
                <w:sz w:val="22"/>
                <w:szCs w:val="22"/>
              </w:rPr>
              <w:t xml:space="preserve">contributo di </w:t>
            </w:r>
            <w:r w:rsidRPr="008E30A3">
              <w:rPr>
                <w:rFonts w:cs="Arial"/>
                <w:sz w:val="22"/>
                <w:szCs w:val="22"/>
              </w:rPr>
              <w:t>gestione</w:t>
            </w:r>
          </w:p>
        </w:tc>
        <w:tc>
          <w:tcPr>
            <w:tcW w:w="960" w:type="dxa"/>
            <w:tcBorders>
              <w:top w:val="nil"/>
              <w:left w:val="nil"/>
              <w:right w:val="nil"/>
            </w:tcBorders>
            <w:shd w:val="clear" w:color="auto" w:fill="auto"/>
            <w:vAlign w:val="center"/>
          </w:tcPr>
          <w:p w:rsidR="0024207A" w:rsidRPr="008145A1" w:rsidRDefault="0024207A" w:rsidP="0024207A">
            <w:pPr>
              <w:jc w:val="right"/>
              <w:rPr>
                <w:rFonts w:cs="Arial"/>
                <w:color w:val="000000"/>
                <w:sz w:val="22"/>
                <w:szCs w:val="22"/>
              </w:rPr>
            </w:pPr>
            <w:r w:rsidRPr="008145A1">
              <w:rPr>
                <w:rFonts w:cs="Arial"/>
                <w:color w:val="000000"/>
                <w:sz w:val="22"/>
                <w:szCs w:val="22"/>
              </w:rPr>
              <w:t>20.6</w:t>
            </w:r>
          </w:p>
        </w:tc>
        <w:tc>
          <w:tcPr>
            <w:tcW w:w="960" w:type="dxa"/>
            <w:tcBorders>
              <w:top w:val="nil"/>
              <w:left w:val="nil"/>
              <w:right w:val="nil"/>
            </w:tcBorders>
            <w:shd w:val="clear" w:color="auto" w:fill="auto"/>
            <w:vAlign w:val="center"/>
          </w:tcPr>
          <w:p w:rsidR="0024207A" w:rsidRPr="008145A1" w:rsidRDefault="0024207A" w:rsidP="0024207A">
            <w:pPr>
              <w:jc w:val="right"/>
              <w:rPr>
                <w:rFonts w:cs="Arial"/>
                <w:i/>
                <w:iCs/>
                <w:color w:val="000000"/>
                <w:sz w:val="22"/>
                <w:szCs w:val="22"/>
              </w:rPr>
            </w:pPr>
            <w:r w:rsidRPr="008145A1">
              <w:rPr>
                <w:rFonts w:cs="Arial"/>
                <w:color w:val="000000"/>
                <w:sz w:val="22"/>
                <w:szCs w:val="22"/>
              </w:rPr>
              <w:t>21.4%</w:t>
            </w:r>
          </w:p>
        </w:tc>
        <w:tc>
          <w:tcPr>
            <w:tcW w:w="960" w:type="dxa"/>
            <w:tcBorders>
              <w:top w:val="single" w:sz="4" w:space="0" w:color="auto"/>
              <w:left w:val="nil"/>
              <w:right w:val="nil"/>
            </w:tcBorders>
            <w:shd w:val="clear" w:color="auto" w:fill="auto"/>
            <w:vAlign w:val="center"/>
          </w:tcPr>
          <w:p w:rsidR="0024207A" w:rsidRPr="008145A1" w:rsidRDefault="0024207A" w:rsidP="0024207A">
            <w:pPr>
              <w:jc w:val="right"/>
              <w:rPr>
                <w:rFonts w:cs="Arial"/>
                <w:color w:val="000000"/>
                <w:sz w:val="22"/>
                <w:szCs w:val="22"/>
              </w:rPr>
            </w:pPr>
            <w:r w:rsidRPr="00587E77">
              <w:rPr>
                <w:rFonts w:cs="Arial"/>
                <w:color w:val="000000"/>
                <w:sz w:val="22"/>
                <w:szCs w:val="22"/>
              </w:rPr>
              <w:t>20.</w:t>
            </w:r>
            <w:r>
              <w:rPr>
                <w:rFonts w:cs="Arial"/>
                <w:color w:val="000000"/>
                <w:sz w:val="22"/>
                <w:szCs w:val="22"/>
              </w:rPr>
              <w:t>6</w:t>
            </w:r>
          </w:p>
        </w:tc>
        <w:tc>
          <w:tcPr>
            <w:tcW w:w="960" w:type="dxa"/>
            <w:tcBorders>
              <w:top w:val="single" w:sz="4" w:space="0" w:color="auto"/>
              <w:left w:val="nil"/>
              <w:right w:val="nil"/>
            </w:tcBorders>
            <w:shd w:val="clear" w:color="auto" w:fill="auto"/>
            <w:vAlign w:val="center"/>
          </w:tcPr>
          <w:p w:rsidR="0024207A" w:rsidRPr="008145A1" w:rsidRDefault="0024207A" w:rsidP="0024207A">
            <w:pPr>
              <w:jc w:val="right"/>
              <w:rPr>
                <w:rFonts w:cs="Arial"/>
                <w:i/>
                <w:iCs/>
                <w:color w:val="000000"/>
                <w:sz w:val="22"/>
                <w:szCs w:val="22"/>
              </w:rPr>
            </w:pPr>
            <w:r>
              <w:rPr>
                <w:rFonts w:cs="Arial"/>
                <w:i/>
                <w:iCs/>
                <w:color w:val="000000"/>
                <w:sz w:val="22"/>
                <w:szCs w:val="22"/>
              </w:rPr>
              <w:t>21.1%</w:t>
            </w:r>
          </w:p>
        </w:tc>
      </w:tr>
      <w:tr w:rsidR="0024207A" w:rsidRPr="00D84E79" w:rsidTr="0024207A">
        <w:trPr>
          <w:trHeight w:val="300"/>
        </w:trPr>
        <w:tc>
          <w:tcPr>
            <w:tcW w:w="5320" w:type="dxa"/>
            <w:tcBorders>
              <w:top w:val="nil"/>
              <w:left w:val="nil"/>
              <w:bottom w:val="nil"/>
              <w:right w:val="nil"/>
            </w:tcBorders>
            <w:shd w:val="clear" w:color="auto" w:fill="auto"/>
          </w:tcPr>
          <w:p w:rsidR="0024207A" w:rsidRPr="008E30A3" w:rsidRDefault="0024207A" w:rsidP="0024207A">
            <w:pPr>
              <w:rPr>
                <w:rFonts w:cs="Arial"/>
                <w:sz w:val="22"/>
                <w:szCs w:val="22"/>
              </w:rPr>
            </w:pPr>
            <w:r w:rsidRPr="008E30A3">
              <w:rPr>
                <w:rFonts w:cs="Arial"/>
                <w:sz w:val="22"/>
                <w:szCs w:val="22"/>
              </w:rPr>
              <w:t>Cantone Ticin</w:t>
            </w:r>
            <w:r>
              <w:rPr>
                <w:rFonts w:cs="Arial"/>
                <w:sz w:val="22"/>
                <w:szCs w:val="22"/>
              </w:rPr>
              <w:t>o - studenti ticinesi secondo AI</w:t>
            </w:r>
            <w:r w:rsidRPr="008E30A3">
              <w:rPr>
                <w:rFonts w:cs="Arial"/>
                <w:sz w:val="22"/>
                <w:szCs w:val="22"/>
              </w:rPr>
              <w:t>SUP</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color w:val="000000"/>
                <w:sz w:val="22"/>
                <w:szCs w:val="22"/>
              </w:rPr>
            </w:pPr>
            <w:r w:rsidRPr="008145A1">
              <w:rPr>
                <w:rFonts w:cs="Arial"/>
                <w:color w:val="000000"/>
                <w:sz w:val="22"/>
                <w:szCs w:val="22"/>
              </w:rPr>
              <w:t>18.7</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i/>
                <w:iCs/>
                <w:color w:val="000000"/>
                <w:sz w:val="22"/>
                <w:szCs w:val="22"/>
              </w:rPr>
            </w:pPr>
            <w:r w:rsidRPr="008145A1">
              <w:rPr>
                <w:rFonts w:cs="Arial"/>
                <w:color w:val="000000"/>
                <w:sz w:val="22"/>
                <w:szCs w:val="22"/>
              </w:rPr>
              <w:t>19.5%</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color w:val="000000"/>
                <w:sz w:val="22"/>
                <w:szCs w:val="22"/>
              </w:rPr>
            </w:pPr>
            <w:r>
              <w:rPr>
                <w:rFonts w:cs="Arial"/>
                <w:color w:val="000000"/>
                <w:sz w:val="22"/>
                <w:szCs w:val="22"/>
              </w:rPr>
              <w:t>19.2</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i/>
                <w:iCs/>
                <w:color w:val="000000"/>
                <w:sz w:val="22"/>
                <w:szCs w:val="22"/>
              </w:rPr>
            </w:pPr>
            <w:r>
              <w:rPr>
                <w:rFonts w:cs="Arial"/>
                <w:i/>
                <w:iCs/>
                <w:color w:val="000000"/>
                <w:sz w:val="22"/>
                <w:szCs w:val="22"/>
              </w:rPr>
              <w:t>19.7%</w:t>
            </w:r>
          </w:p>
        </w:tc>
      </w:tr>
      <w:tr w:rsidR="0024207A" w:rsidRPr="00D84E79" w:rsidTr="0024207A">
        <w:trPr>
          <w:trHeight w:val="300"/>
        </w:trPr>
        <w:tc>
          <w:tcPr>
            <w:tcW w:w="5320" w:type="dxa"/>
            <w:tcBorders>
              <w:top w:val="nil"/>
              <w:left w:val="nil"/>
              <w:bottom w:val="nil"/>
              <w:right w:val="nil"/>
            </w:tcBorders>
            <w:shd w:val="clear" w:color="auto" w:fill="auto"/>
          </w:tcPr>
          <w:p w:rsidR="0024207A" w:rsidRPr="009366EA" w:rsidRDefault="0024207A" w:rsidP="0024207A">
            <w:pPr>
              <w:rPr>
                <w:rFonts w:cs="Arial"/>
                <w:sz w:val="22"/>
                <w:szCs w:val="22"/>
              </w:rPr>
            </w:pPr>
            <w:r w:rsidRPr="009366EA">
              <w:rPr>
                <w:rFonts w:cs="Arial"/>
                <w:sz w:val="22"/>
                <w:szCs w:val="22"/>
              </w:rPr>
              <w:t xml:space="preserve">Accordo </w:t>
            </w:r>
            <w:proofErr w:type="spellStart"/>
            <w:r w:rsidRPr="009366EA">
              <w:rPr>
                <w:rFonts w:cs="Arial"/>
                <w:sz w:val="22"/>
                <w:szCs w:val="22"/>
              </w:rPr>
              <w:t>intercantonale</w:t>
            </w:r>
            <w:proofErr w:type="spellEnd"/>
            <w:r w:rsidRPr="009366EA">
              <w:rPr>
                <w:rFonts w:cs="Arial"/>
                <w:sz w:val="22"/>
                <w:szCs w:val="22"/>
              </w:rPr>
              <w:t xml:space="preserve"> per studenti da altri cantoni</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color w:val="000000"/>
                <w:sz w:val="22"/>
                <w:szCs w:val="22"/>
              </w:rPr>
            </w:pPr>
            <w:r w:rsidRPr="008145A1">
              <w:rPr>
                <w:rFonts w:cs="Arial"/>
                <w:color w:val="000000"/>
                <w:sz w:val="22"/>
                <w:szCs w:val="22"/>
              </w:rPr>
              <w:t>0.9</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i/>
                <w:iCs/>
                <w:color w:val="000000"/>
                <w:sz w:val="22"/>
                <w:szCs w:val="22"/>
              </w:rPr>
            </w:pPr>
            <w:r w:rsidRPr="008145A1">
              <w:rPr>
                <w:rFonts w:cs="Arial"/>
                <w:color w:val="000000"/>
                <w:sz w:val="22"/>
                <w:szCs w:val="22"/>
              </w:rPr>
              <w:t>0.9%</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color w:val="000000"/>
                <w:sz w:val="22"/>
                <w:szCs w:val="22"/>
              </w:rPr>
            </w:pPr>
            <w:r>
              <w:rPr>
                <w:rFonts w:cs="Arial"/>
                <w:color w:val="000000"/>
                <w:sz w:val="22"/>
                <w:szCs w:val="22"/>
              </w:rPr>
              <w:t>0.9</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i/>
                <w:iCs/>
                <w:color w:val="000000"/>
                <w:sz w:val="22"/>
                <w:szCs w:val="22"/>
              </w:rPr>
            </w:pPr>
            <w:r>
              <w:rPr>
                <w:rFonts w:cs="Arial"/>
                <w:i/>
                <w:iCs/>
                <w:color w:val="000000"/>
                <w:sz w:val="22"/>
                <w:szCs w:val="22"/>
              </w:rPr>
              <w:t>0.9%</w:t>
            </w:r>
          </w:p>
        </w:tc>
      </w:tr>
      <w:tr w:rsidR="0024207A" w:rsidRPr="00D84E79" w:rsidTr="0024207A">
        <w:trPr>
          <w:trHeight w:val="300"/>
        </w:trPr>
        <w:tc>
          <w:tcPr>
            <w:tcW w:w="5320" w:type="dxa"/>
            <w:tcBorders>
              <w:top w:val="nil"/>
              <w:left w:val="nil"/>
              <w:bottom w:val="nil"/>
              <w:right w:val="nil"/>
            </w:tcBorders>
            <w:shd w:val="clear" w:color="auto" w:fill="auto"/>
          </w:tcPr>
          <w:p w:rsidR="0024207A" w:rsidRPr="009366EA" w:rsidRDefault="0024207A" w:rsidP="0024207A">
            <w:pPr>
              <w:rPr>
                <w:rFonts w:cs="Arial"/>
                <w:sz w:val="22"/>
                <w:szCs w:val="22"/>
              </w:rPr>
            </w:pPr>
            <w:r>
              <w:rPr>
                <w:rFonts w:cs="Arial"/>
                <w:sz w:val="22"/>
                <w:szCs w:val="22"/>
              </w:rPr>
              <w:t xml:space="preserve">Confederazione </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color w:val="000000"/>
                <w:sz w:val="22"/>
                <w:szCs w:val="22"/>
              </w:rPr>
            </w:pPr>
            <w:r w:rsidRPr="008145A1">
              <w:rPr>
                <w:rFonts w:cs="Arial"/>
                <w:color w:val="000000"/>
                <w:sz w:val="22"/>
                <w:szCs w:val="22"/>
              </w:rPr>
              <w:t>18.6</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i/>
                <w:iCs/>
                <w:color w:val="000000"/>
                <w:sz w:val="22"/>
                <w:szCs w:val="22"/>
              </w:rPr>
            </w:pPr>
            <w:r w:rsidRPr="008145A1">
              <w:rPr>
                <w:rFonts w:cs="Arial"/>
                <w:color w:val="000000"/>
                <w:sz w:val="22"/>
                <w:szCs w:val="22"/>
              </w:rPr>
              <w:t>19.3%</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color w:val="000000"/>
                <w:sz w:val="22"/>
                <w:szCs w:val="22"/>
              </w:rPr>
            </w:pPr>
            <w:r>
              <w:rPr>
                <w:rFonts w:cs="Arial"/>
                <w:color w:val="000000"/>
                <w:sz w:val="22"/>
                <w:szCs w:val="22"/>
              </w:rPr>
              <w:t>21.5</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i/>
                <w:iCs/>
                <w:color w:val="000000"/>
                <w:sz w:val="22"/>
                <w:szCs w:val="22"/>
              </w:rPr>
            </w:pPr>
            <w:r>
              <w:rPr>
                <w:rFonts w:cs="Arial"/>
                <w:i/>
                <w:iCs/>
                <w:color w:val="000000"/>
                <w:sz w:val="22"/>
                <w:szCs w:val="22"/>
              </w:rPr>
              <w:t>22.0%</w:t>
            </w:r>
          </w:p>
        </w:tc>
      </w:tr>
      <w:tr w:rsidR="0024207A" w:rsidRPr="00D84E79" w:rsidTr="0024207A">
        <w:trPr>
          <w:trHeight w:val="300"/>
        </w:trPr>
        <w:tc>
          <w:tcPr>
            <w:tcW w:w="5320" w:type="dxa"/>
            <w:tcBorders>
              <w:top w:val="nil"/>
              <w:left w:val="nil"/>
              <w:bottom w:val="nil"/>
              <w:right w:val="nil"/>
            </w:tcBorders>
            <w:shd w:val="clear" w:color="auto" w:fill="auto"/>
          </w:tcPr>
          <w:p w:rsidR="0024207A" w:rsidRPr="009366EA" w:rsidRDefault="0024207A" w:rsidP="0024207A">
            <w:pPr>
              <w:rPr>
                <w:rFonts w:cs="Arial"/>
                <w:sz w:val="22"/>
                <w:szCs w:val="22"/>
              </w:rPr>
            </w:pPr>
            <w:r w:rsidRPr="009366EA">
              <w:rPr>
                <w:rFonts w:cs="Arial"/>
                <w:sz w:val="22"/>
                <w:szCs w:val="22"/>
              </w:rPr>
              <w:t>Ricavi da terzi (formazione, ricerca, servizi, altro)</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color w:val="000000"/>
                <w:sz w:val="22"/>
                <w:szCs w:val="22"/>
              </w:rPr>
            </w:pPr>
            <w:r w:rsidRPr="008145A1">
              <w:rPr>
                <w:rFonts w:cs="Arial"/>
                <w:color w:val="000000"/>
                <w:sz w:val="22"/>
                <w:szCs w:val="22"/>
              </w:rPr>
              <w:t>37.4</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i/>
                <w:iCs/>
                <w:color w:val="000000"/>
                <w:sz w:val="22"/>
                <w:szCs w:val="22"/>
              </w:rPr>
            </w:pPr>
            <w:r w:rsidRPr="008145A1">
              <w:rPr>
                <w:rFonts w:cs="Arial"/>
                <w:color w:val="000000"/>
                <w:sz w:val="22"/>
                <w:szCs w:val="22"/>
              </w:rPr>
              <w:t>38.9%</w:t>
            </w:r>
          </w:p>
        </w:tc>
        <w:tc>
          <w:tcPr>
            <w:tcW w:w="960" w:type="dxa"/>
            <w:tcBorders>
              <w:top w:val="nil"/>
              <w:left w:val="nil"/>
              <w:bottom w:val="nil"/>
              <w:right w:val="nil"/>
            </w:tcBorders>
            <w:shd w:val="clear" w:color="auto" w:fill="auto"/>
            <w:vAlign w:val="center"/>
          </w:tcPr>
          <w:p w:rsidR="0024207A" w:rsidRPr="006C37A1" w:rsidRDefault="0024207A" w:rsidP="0024207A">
            <w:pPr>
              <w:jc w:val="right"/>
              <w:rPr>
                <w:rFonts w:cs="Arial"/>
                <w:color w:val="000000"/>
                <w:sz w:val="22"/>
                <w:szCs w:val="22"/>
              </w:rPr>
            </w:pPr>
            <w:r w:rsidRPr="006C37A1">
              <w:rPr>
                <w:rFonts w:cs="Arial"/>
                <w:color w:val="000000"/>
                <w:sz w:val="22"/>
                <w:szCs w:val="22"/>
              </w:rPr>
              <w:t>35.7</w:t>
            </w:r>
          </w:p>
        </w:tc>
        <w:tc>
          <w:tcPr>
            <w:tcW w:w="960" w:type="dxa"/>
            <w:tcBorders>
              <w:top w:val="nil"/>
              <w:left w:val="nil"/>
              <w:bottom w:val="nil"/>
              <w:right w:val="nil"/>
            </w:tcBorders>
            <w:shd w:val="clear" w:color="auto" w:fill="auto"/>
            <w:vAlign w:val="center"/>
          </w:tcPr>
          <w:p w:rsidR="0024207A" w:rsidRPr="008145A1" w:rsidRDefault="0024207A" w:rsidP="0024207A">
            <w:pPr>
              <w:jc w:val="right"/>
              <w:rPr>
                <w:rFonts w:cs="Arial"/>
                <w:i/>
                <w:iCs/>
                <w:color w:val="000000"/>
                <w:sz w:val="22"/>
                <w:szCs w:val="22"/>
              </w:rPr>
            </w:pPr>
            <w:r>
              <w:rPr>
                <w:rFonts w:cs="Arial"/>
                <w:i/>
                <w:iCs/>
                <w:color w:val="000000"/>
                <w:sz w:val="22"/>
                <w:szCs w:val="22"/>
              </w:rPr>
              <w:t>36.3%</w:t>
            </w:r>
          </w:p>
        </w:tc>
      </w:tr>
      <w:tr w:rsidR="0024207A" w:rsidRPr="00D84E79" w:rsidTr="0024207A">
        <w:trPr>
          <w:trHeight w:val="300"/>
        </w:trPr>
        <w:tc>
          <w:tcPr>
            <w:tcW w:w="5320" w:type="dxa"/>
            <w:tcBorders>
              <w:top w:val="nil"/>
              <w:left w:val="nil"/>
              <w:bottom w:val="single" w:sz="4" w:space="0" w:color="auto"/>
              <w:right w:val="nil"/>
            </w:tcBorders>
            <w:shd w:val="clear" w:color="auto" w:fill="auto"/>
          </w:tcPr>
          <w:p w:rsidR="0024207A" w:rsidRPr="009366EA" w:rsidRDefault="0024207A" w:rsidP="0024207A">
            <w:pPr>
              <w:rPr>
                <w:rFonts w:cs="Arial"/>
                <w:i/>
                <w:iCs/>
                <w:sz w:val="22"/>
                <w:szCs w:val="22"/>
              </w:rPr>
            </w:pPr>
            <w:r w:rsidRPr="009366EA">
              <w:rPr>
                <w:rFonts w:cs="Arial"/>
                <w:i/>
                <w:iCs/>
                <w:sz w:val="22"/>
                <w:szCs w:val="22"/>
              </w:rPr>
              <w:t>Totale dei ricavi d'esercizio</w:t>
            </w:r>
          </w:p>
        </w:tc>
        <w:tc>
          <w:tcPr>
            <w:tcW w:w="960" w:type="dxa"/>
            <w:tcBorders>
              <w:top w:val="nil"/>
              <w:left w:val="nil"/>
              <w:bottom w:val="single" w:sz="4" w:space="0" w:color="auto"/>
              <w:right w:val="nil"/>
            </w:tcBorders>
            <w:shd w:val="clear" w:color="auto" w:fill="auto"/>
            <w:vAlign w:val="center"/>
          </w:tcPr>
          <w:p w:rsidR="0024207A" w:rsidRPr="008145A1" w:rsidRDefault="0024207A" w:rsidP="0024207A">
            <w:pPr>
              <w:jc w:val="right"/>
              <w:rPr>
                <w:rFonts w:cs="Arial"/>
                <w:i/>
                <w:iCs/>
                <w:color w:val="000000"/>
                <w:sz w:val="22"/>
                <w:szCs w:val="22"/>
              </w:rPr>
            </w:pPr>
            <w:r w:rsidRPr="008145A1">
              <w:rPr>
                <w:rFonts w:cs="Arial"/>
                <w:color w:val="000000"/>
                <w:sz w:val="22"/>
                <w:szCs w:val="22"/>
              </w:rPr>
              <w:t>96.2</w:t>
            </w:r>
          </w:p>
        </w:tc>
        <w:tc>
          <w:tcPr>
            <w:tcW w:w="960" w:type="dxa"/>
            <w:tcBorders>
              <w:top w:val="nil"/>
              <w:left w:val="nil"/>
              <w:bottom w:val="single" w:sz="4" w:space="0" w:color="auto"/>
              <w:right w:val="nil"/>
            </w:tcBorders>
            <w:shd w:val="clear" w:color="auto" w:fill="auto"/>
            <w:vAlign w:val="center"/>
          </w:tcPr>
          <w:p w:rsidR="0024207A" w:rsidRPr="008145A1" w:rsidRDefault="0024207A" w:rsidP="0024207A">
            <w:pPr>
              <w:jc w:val="right"/>
              <w:rPr>
                <w:rFonts w:cs="Arial"/>
                <w:i/>
                <w:iCs/>
                <w:color w:val="000000"/>
                <w:sz w:val="22"/>
                <w:szCs w:val="22"/>
              </w:rPr>
            </w:pPr>
            <w:r w:rsidRPr="008145A1">
              <w:rPr>
                <w:rFonts w:cs="Arial"/>
                <w:color w:val="000000"/>
                <w:sz w:val="22"/>
                <w:szCs w:val="22"/>
              </w:rPr>
              <w:t>100.0%</w:t>
            </w:r>
          </w:p>
        </w:tc>
        <w:tc>
          <w:tcPr>
            <w:tcW w:w="960" w:type="dxa"/>
            <w:tcBorders>
              <w:top w:val="nil"/>
              <w:left w:val="nil"/>
              <w:bottom w:val="single" w:sz="4" w:space="0" w:color="auto"/>
              <w:right w:val="nil"/>
            </w:tcBorders>
            <w:shd w:val="clear" w:color="auto" w:fill="auto"/>
            <w:vAlign w:val="center"/>
          </w:tcPr>
          <w:p w:rsidR="0024207A" w:rsidRPr="006C37A1" w:rsidRDefault="0024207A" w:rsidP="0024207A">
            <w:pPr>
              <w:jc w:val="right"/>
              <w:rPr>
                <w:rFonts w:cs="Arial"/>
                <w:i/>
                <w:iCs/>
                <w:color w:val="000000"/>
                <w:sz w:val="22"/>
                <w:szCs w:val="22"/>
              </w:rPr>
            </w:pPr>
            <w:r w:rsidRPr="006C37A1">
              <w:rPr>
                <w:rFonts w:cs="Arial"/>
                <w:color w:val="000000"/>
                <w:sz w:val="22"/>
                <w:szCs w:val="22"/>
              </w:rPr>
              <w:t>97.9</w:t>
            </w:r>
          </w:p>
        </w:tc>
        <w:tc>
          <w:tcPr>
            <w:tcW w:w="960" w:type="dxa"/>
            <w:tcBorders>
              <w:top w:val="nil"/>
              <w:left w:val="nil"/>
              <w:bottom w:val="single" w:sz="4" w:space="0" w:color="auto"/>
              <w:right w:val="nil"/>
            </w:tcBorders>
            <w:shd w:val="clear" w:color="auto" w:fill="auto"/>
            <w:vAlign w:val="center"/>
          </w:tcPr>
          <w:p w:rsidR="0024207A" w:rsidRPr="008145A1" w:rsidRDefault="0024207A" w:rsidP="0024207A">
            <w:pPr>
              <w:jc w:val="right"/>
              <w:rPr>
                <w:rFonts w:cs="Arial"/>
                <w:i/>
                <w:iCs/>
                <w:color w:val="000000"/>
                <w:sz w:val="22"/>
                <w:szCs w:val="22"/>
              </w:rPr>
            </w:pPr>
            <w:r>
              <w:rPr>
                <w:rFonts w:cs="Arial"/>
                <w:i/>
                <w:iCs/>
                <w:color w:val="000000"/>
                <w:sz w:val="22"/>
                <w:szCs w:val="22"/>
              </w:rPr>
              <w:t>100%</w:t>
            </w:r>
          </w:p>
        </w:tc>
      </w:tr>
      <w:bookmarkEnd w:id="64"/>
    </w:tbl>
    <w:p w:rsidR="0024207A" w:rsidRPr="00671B1D" w:rsidRDefault="0024207A" w:rsidP="0024207A">
      <w:pPr>
        <w:rPr>
          <w:rFonts w:cs="Arial"/>
          <w:i/>
          <w:sz w:val="16"/>
          <w:szCs w:val="16"/>
        </w:rPr>
      </w:pPr>
    </w:p>
    <w:p w:rsidR="0024207A" w:rsidRPr="00C13E52" w:rsidRDefault="0024207A" w:rsidP="0024207A">
      <w:pPr>
        <w:rPr>
          <w:rFonts w:cs="Arial"/>
          <w:i/>
          <w:szCs w:val="24"/>
        </w:rPr>
      </w:pPr>
      <w:r w:rsidRPr="00C13E52">
        <w:rPr>
          <w:rFonts w:cs="Arial"/>
          <w:i/>
          <w:sz w:val="16"/>
          <w:szCs w:val="18"/>
        </w:rPr>
        <w:t>Fonte: SUPSI</w:t>
      </w:r>
    </w:p>
    <w:p w:rsidR="0024207A" w:rsidRPr="001F1B4B" w:rsidRDefault="0024207A" w:rsidP="0024207A">
      <w:pPr>
        <w:rPr>
          <w:rFonts w:cs="Arial"/>
          <w:sz w:val="36"/>
          <w:szCs w:val="36"/>
        </w:rPr>
      </w:pPr>
    </w:p>
    <w:p w:rsidR="0024207A" w:rsidRDefault="0024207A" w:rsidP="0024207A">
      <w:r>
        <w:t xml:space="preserve">L’aumento del volume in valori assoluti </w:t>
      </w:r>
      <w:r w:rsidRPr="00490172">
        <w:t>dei contributi da parte della Confederazione</w:t>
      </w:r>
      <w:r>
        <w:t xml:space="preserve"> (ma anche percentualmente rispetto al totale dei ricavi della SUPSI, come illustrato nella </w:t>
      </w:r>
      <w:r w:rsidRPr="00C65DAB">
        <w:t>Tabella 12</w:t>
      </w:r>
      <w:r>
        <w:t xml:space="preserve">) </w:t>
      </w:r>
      <w:r w:rsidRPr="00490172">
        <w:t>è dat</w:t>
      </w:r>
      <w:r>
        <w:t>o</w:t>
      </w:r>
      <w:r w:rsidRPr="00490172">
        <w:t xml:space="preserve"> dall’introduzione del nuovo principio di finanziamento valido dal 1 gennaio 2017</w:t>
      </w:r>
      <w:r>
        <w:t xml:space="preserve">. Da notare che l’aumento dei sussidi della Confederazione sarebbe stato ancora superiore se non fossero stati ridotti a partire dal 2017 i sussidi federali per affitti (-0.9 mio rispetto al 2016). La diminuzione dei sussidi per gli affitti è stata decisa dalla Confederazione insieme alla revisione del metodo di calcolo dei sussidi alla costruzione, anch’esso voluto con il passaggio dalle due precedenti leggi (LAU e LSUP) all’unica LPSU per le Università e le SUP. </w:t>
      </w:r>
    </w:p>
    <w:p w:rsidR="0024207A" w:rsidRDefault="0024207A" w:rsidP="0024207A">
      <w:pPr>
        <w:rPr>
          <w:rFonts w:cs="Arial"/>
          <w:szCs w:val="24"/>
        </w:rPr>
      </w:pPr>
    </w:p>
    <w:p w:rsidR="0024207A" w:rsidRDefault="0024207A" w:rsidP="0024207A">
      <w:pPr>
        <w:rPr>
          <w:rFonts w:cs="Arial"/>
          <w:szCs w:val="24"/>
        </w:rPr>
      </w:pPr>
      <w:r>
        <w:rPr>
          <w:rFonts w:cs="Arial"/>
          <w:szCs w:val="24"/>
        </w:rPr>
        <w:t>I</w:t>
      </w:r>
      <w:r w:rsidRPr="00823EDF">
        <w:rPr>
          <w:rFonts w:cs="Arial"/>
          <w:szCs w:val="24"/>
        </w:rPr>
        <w:t xml:space="preserve">l </w:t>
      </w:r>
      <w:proofErr w:type="spellStart"/>
      <w:r>
        <w:rPr>
          <w:rFonts w:cs="Arial"/>
          <w:szCs w:val="24"/>
        </w:rPr>
        <w:t>C</w:t>
      </w:r>
      <w:r w:rsidRPr="00823EDF">
        <w:rPr>
          <w:rFonts w:cs="Arial"/>
          <w:szCs w:val="24"/>
        </w:rPr>
        <w:t>d</w:t>
      </w:r>
      <w:r>
        <w:rPr>
          <w:rFonts w:cs="Arial"/>
          <w:szCs w:val="24"/>
        </w:rPr>
        <w:t>p</w:t>
      </w:r>
      <w:proofErr w:type="spellEnd"/>
      <w:r w:rsidRPr="00823EDF">
        <w:rPr>
          <w:rFonts w:cs="Arial"/>
          <w:szCs w:val="24"/>
        </w:rPr>
        <w:t xml:space="preserve"> prevede </w:t>
      </w:r>
      <w:r>
        <w:rPr>
          <w:rFonts w:cs="Arial"/>
          <w:szCs w:val="24"/>
        </w:rPr>
        <w:t xml:space="preserve">anche </w:t>
      </w:r>
      <w:r w:rsidRPr="00823EDF">
        <w:rPr>
          <w:rFonts w:cs="Arial"/>
          <w:szCs w:val="24"/>
        </w:rPr>
        <w:t>indicatori di efficienza finanziari quali il costo per studente e il livello di copertura dei costi diretti per prestazione. Per quanto riguarda la formazione di base la</w:t>
      </w:r>
      <w:r w:rsidRPr="00823EDF">
        <w:rPr>
          <w:szCs w:val="24"/>
        </w:rPr>
        <w:t xml:space="preserve"> maggior parte dei corsi di laurea </w:t>
      </w:r>
      <w:proofErr w:type="spellStart"/>
      <w:r w:rsidRPr="00823EDF">
        <w:rPr>
          <w:szCs w:val="24"/>
        </w:rPr>
        <w:t>bachelor</w:t>
      </w:r>
      <w:proofErr w:type="spellEnd"/>
      <w:r w:rsidRPr="00823EDF">
        <w:rPr>
          <w:szCs w:val="24"/>
        </w:rPr>
        <w:t xml:space="preserve"> ha un costo medio per studente inferiore o in linea rispetto al </w:t>
      </w:r>
      <w:r>
        <w:rPr>
          <w:szCs w:val="24"/>
        </w:rPr>
        <w:t xml:space="preserve">resto della Svizzera. Il tasso d’inquadramento, generalmente inferiore alla media svizzera, indica che il minor costo per studente </w:t>
      </w:r>
      <w:r w:rsidRPr="00CF4F9F">
        <w:rPr>
          <w:szCs w:val="24"/>
        </w:rPr>
        <w:t xml:space="preserve">è condizionato dalla struttura organizzativa </w:t>
      </w:r>
      <w:r>
        <w:rPr>
          <w:szCs w:val="24"/>
        </w:rPr>
        <w:t xml:space="preserve">(offerta di opzioni) </w:t>
      </w:r>
      <w:r w:rsidRPr="00CF4F9F">
        <w:rPr>
          <w:szCs w:val="24"/>
        </w:rPr>
        <w:t xml:space="preserve">e dal livello salariale (generalmente più basso per la </w:t>
      </w:r>
      <w:r w:rsidRPr="00CF4F9F">
        <w:rPr>
          <w:szCs w:val="24"/>
        </w:rPr>
        <w:lastRenderedPageBreak/>
        <w:t xml:space="preserve">SUPSI). </w:t>
      </w:r>
      <w:r w:rsidRPr="00823EDF">
        <w:rPr>
          <w:rFonts w:cs="Arial"/>
          <w:szCs w:val="24"/>
        </w:rPr>
        <w:t xml:space="preserve">Tra gli indicatori di copertura dei costi diretti tramite ricavi diretti (ovvero costi e ricavi direttamente imputabili dal </w:t>
      </w:r>
      <w:r w:rsidRPr="006C37A1">
        <w:rPr>
          <w:rFonts w:cs="Arial"/>
          <w:szCs w:val="24"/>
        </w:rPr>
        <w:t xml:space="preserve">profilo analitico alla singola prestazione) quello per la ricerca ha superato l’obiettivo. </w:t>
      </w:r>
      <w:r w:rsidRPr="006C37A1">
        <w:rPr>
          <w:szCs w:val="24"/>
        </w:rPr>
        <w:t xml:space="preserve">Per i </w:t>
      </w:r>
      <w:r w:rsidRPr="00450C7B">
        <w:rPr>
          <w:color w:val="000000"/>
          <w:szCs w:val="24"/>
        </w:rPr>
        <w:t>mandati diretti di ricerca e di servizio a</w:t>
      </w:r>
      <w:r w:rsidRPr="006C37A1">
        <w:rPr>
          <w:szCs w:val="24"/>
        </w:rPr>
        <w:t>d aziende ed enti pubblici, invece, la copertura è del 95% (12</w:t>
      </w:r>
      <w:r>
        <w:rPr>
          <w:szCs w:val="24"/>
        </w:rPr>
        <w:t>.1</w:t>
      </w:r>
      <w:r w:rsidRPr="00823EDF">
        <w:rPr>
          <w:szCs w:val="24"/>
        </w:rPr>
        <w:t xml:space="preserve"> milioni di franchi di ricavi, </w:t>
      </w:r>
      <w:r>
        <w:rPr>
          <w:szCs w:val="24"/>
        </w:rPr>
        <w:t>12.8</w:t>
      </w:r>
      <w:r w:rsidRPr="00823EDF">
        <w:rPr>
          <w:szCs w:val="24"/>
        </w:rPr>
        <w:t xml:space="preserve"> milioni di franchi di costi) </w:t>
      </w:r>
      <w:r>
        <w:rPr>
          <w:szCs w:val="24"/>
        </w:rPr>
        <w:t xml:space="preserve">ed è inferiore all’obiettivo </w:t>
      </w:r>
      <w:r w:rsidRPr="00823EDF">
        <w:rPr>
          <w:szCs w:val="24"/>
        </w:rPr>
        <w:t xml:space="preserve">del </w:t>
      </w:r>
      <w:r>
        <w:rPr>
          <w:szCs w:val="24"/>
        </w:rPr>
        <w:t>100</w:t>
      </w:r>
      <w:r w:rsidRPr="00823EDF">
        <w:rPr>
          <w:szCs w:val="24"/>
        </w:rPr>
        <w:t>%</w:t>
      </w:r>
      <w:r>
        <w:rPr>
          <w:szCs w:val="24"/>
        </w:rPr>
        <w:t>.</w:t>
      </w:r>
      <w:r w:rsidRPr="00823EDF">
        <w:rPr>
          <w:szCs w:val="24"/>
        </w:rPr>
        <w:t xml:space="preserve"> </w:t>
      </w:r>
      <w:r w:rsidRPr="00823EDF">
        <w:rPr>
          <w:rFonts w:cs="Arial"/>
          <w:szCs w:val="24"/>
        </w:rPr>
        <w:t xml:space="preserve">Occorre ricordare </w:t>
      </w:r>
      <w:r>
        <w:rPr>
          <w:rFonts w:cs="Arial"/>
          <w:szCs w:val="24"/>
        </w:rPr>
        <w:t>che quest’ultimo obiettivo è monitorato da vicino dal Cantone visto che la</w:t>
      </w:r>
      <w:r w:rsidRPr="00823EDF">
        <w:rPr>
          <w:rFonts w:cs="Arial"/>
          <w:szCs w:val="24"/>
        </w:rPr>
        <w:t xml:space="preserve"> copertura integrale dei costi diretti per i mandati di servizio è conseguente all'obbligo per la SUPSI di non rappresentare una concorrenza sleale per le imprese private.</w:t>
      </w:r>
    </w:p>
    <w:p w:rsidR="0024207A" w:rsidRDefault="0024207A" w:rsidP="0024207A">
      <w:pPr>
        <w:rPr>
          <w:szCs w:val="24"/>
        </w:rPr>
      </w:pPr>
    </w:p>
    <w:p w:rsidR="0024207A" w:rsidRDefault="0024207A" w:rsidP="0024207A">
      <w:pPr>
        <w:rPr>
          <w:szCs w:val="24"/>
        </w:rPr>
      </w:pPr>
    </w:p>
    <w:p w:rsidR="0024207A" w:rsidRPr="008F7E8A" w:rsidRDefault="0024207A" w:rsidP="0024207A">
      <w:pPr>
        <w:pStyle w:val="Titolo2"/>
      </w:pPr>
      <w:bookmarkStart w:id="65" w:name="_Toc303080086"/>
      <w:r w:rsidRPr="008F7E8A">
        <w:t>3.6</w:t>
      </w:r>
      <w:r w:rsidRPr="008F7E8A">
        <w:tab/>
        <w:t>Verifica degli obiettivi</w:t>
      </w:r>
      <w:bookmarkEnd w:id="1"/>
      <w:bookmarkEnd w:id="2"/>
      <w:bookmarkEnd w:id="3"/>
      <w:bookmarkEnd w:id="4"/>
      <w:bookmarkEnd w:id="5"/>
      <w:r w:rsidRPr="008F7E8A">
        <w:t xml:space="preserve"> </w:t>
      </w:r>
      <w:r>
        <w:t>2017</w:t>
      </w:r>
      <w:r w:rsidRPr="008F7E8A">
        <w:t xml:space="preserve"> del </w:t>
      </w:r>
      <w:proofErr w:type="spellStart"/>
      <w:r>
        <w:t>Cdp</w:t>
      </w:r>
      <w:proofErr w:type="spellEnd"/>
      <w:r>
        <w:t xml:space="preserve"> </w:t>
      </w:r>
      <w:r w:rsidRPr="008F7E8A">
        <w:t>SUPSI</w:t>
      </w:r>
      <w:bookmarkEnd w:id="65"/>
    </w:p>
    <w:p w:rsidR="0024207A" w:rsidRDefault="0024207A" w:rsidP="0024207A">
      <w:pPr>
        <w:rPr>
          <w:rFonts w:cs="Arial"/>
          <w:szCs w:val="24"/>
        </w:rPr>
      </w:pPr>
      <w:r w:rsidRPr="008F7E8A">
        <w:rPr>
          <w:rFonts w:cs="Arial"/>
          <w:szCs w:val="24"/>
        </w:rPr>
        <w:t>Da</w:t>
      </w:r>
      <w:r>
        <w:rPr>
          <w:rFonts w:cs="Arial"/>
          <w:szCs w:val="24"/>
        </w:rPr>
        <w:t>l</w:t>
      </w:r>
      <w:r w:rsidRPr="008F7E8A">
        <w:rPr>
          <w:rFonts w:cs="Arial"/>
          <w:szCs w:val="24"/>
        </w:rPr>
        <w:t xml:space="preserve"> document</w:t>
      </w:r>
      <w:r>
        <w:rPr>
          <w:rFonts w:cs="Arial"/>
          <w:szCs w:val="24"/>
        </w:rPr>
        <w:t>o</w:t>
      </w:r>
      <w:r w:rsidRPr="008F7E8A">
        <w:rPr>
          <w:rFonts w:cs="Arial"/>
          <w:szCs w:val="24"/>
        </w:rPr>
        <w:t xml:space="preserve"> “SUPSI - </w:t>
      </w:r>
      <w:r w:rsidRPr="00A14C38">
        <w:t>Rapporto sulla valutazione degli obiettivi per l’anno 201</w:t>
      </w:r>
      <w:r>
        <w:t>7</w:t>
      </w:r>
      <w:r w:rsidRPr="008F7E8A">
        <w:t>”</w:t>
      </w:r>
      <w:r w:rsidRPr="008F7E8A">
        <w:rPr>
          <w:rFonts w:cs="Arial"/>
          <w:szCs w:val="24"/>
        </w:rPr>
        <w:t>, redatt</w:t>
      </w:r>
      <w:r>
        <w:rPr>
          <w:rFonts w:cs="Arial"/>
          <w:szCs w:val="24"/>
        </w:rPr>
        <w:t>o</w:t>
      </w:r>
      <w:r w:rsidRPr="008F7E8A">
        <w:rPr>
          <w:rFonts w:cs="Arial"/>
          <w:szCs w:val="24"/>
        </w:rPr>
        <w:t xml:space="preserve"> dal</w:t>
      </w:r>
      <w:r>
        <w:rPr>
          <w:rFonts w:cs="Arial"/>
          <w:szCs w:val="24"/>
        </w:rPr>
        <w:t xml:space="preserve">la DCSU </w:t>
      </w:r>
      <w:r w:rsidRPr="000C2954">
        <w:rPr>
          <w:rFonts w:cs="Arial"/>
          <w:szCs w:val="24"/>
        </w:rPr>
        <w:t xml:space="preserve">all’attenzione del Consiglio di Stato, </w:t>
      </w:r>
      <w:r>
        <w:rPr>
          <w:rFonts w:cs="Arial"/>
          <w:szCs w:val="24"/>
        </w:rPr>
        <w:t>sono stati estrapolati</w:t>
      </w:r>
      <w:r w:rsidRPr="000C2954">
        <w:rPr>
          <w:rFonts w:cs="Arial"/>
          <w:szCs w:val="24"/>
        </w:rPr>
        <w:t xml:space="preserve"> i dati riassuntivi </w:t>
      </w:r>
      <w:r>
        <w:rPr>
          <w:rFonts w:cs="Arial"/>
          <w:szCs w:val="24"/>
        </w:rPr>
        <w:t>presenti</w:t>
      </w:r>
      <w:r w:rsidRPr="000C2954">
        <w:rPr>
          <w:rFonts w:cs="Arial"/>
          <w:szCs w:val="24"/>
        </w:rPr>
        <w:t xml:space="preserve"> n</w:t>
      </w:r>
      <w:r>
        <w:rPr>
          <w:rFonts w:cs="Arial"/>
          <w:szCs w:val="24"/>
        </w:rPr>
        <w:t xml:space="preserve">ella tabella </w:t>
      </w:r>
      <w:r w:rsidRPr="00644AFE">
        <w:rPr>
          <w:rFonts w:cs="Arial"/>
          <w:szCs w:val="24"/>
        </w:rPr>
        <w:t>dell’</w:t>
      </w:r>
      <w:r w:rsidRPr="00C65DAB">
        <w:rPr>
          <w:rFonts w:cs="Arial"/>
          <w:szCs w:val="24"/>
        </w:rPr>
        <w:t>Allegato</w:t>
      </w:r>
      <w:r w:rsidRPr="00644AFE">
        <w:rPr>
          <w:rFonts w:cs="Arial"/>
          <w:szCs w:val="24"/>
        </w:rPr>
        <w:t xml:space="preserve"> </w:t>
      </w:r>
      <w:r w:rsidRPr="00C65DAB">
        <w:rPr>
          <w:rFonts w:cs="Arial"/>
          <w:szCs w:val="24"/>
        </w:rPr>
        <w:t>2</w:t>
      </w:r>
      <w:r w:rsidRPr="000C2954">
        <w:rPr>
          <w:rFonts w:cs="Arial"/>
          <w:szCs w:val="24"/>
        </w:rPr>
        <w:t xml:space="preserve">. Si </w:t>
      </w:r>
      <w:r>
        <w:rPr>
          <w:rFonts w:cs="Arial"/>
          <w:szCs w:val="24"/>
        </w:rPr>
        <w:t>conclude</w:t>
      </w:r>
      <w:r w:rsidRPr="000C2954">
        <w:rPr>
          <w:rFonts w:cs="Arial"/>
          <w:szCs w:val="24"/>
        </w:rPr>
        <w:t xml:space="preserve"> comunque che la SUPSI adempie alle condizioni del </w:t>
      </w:r>
      <w:proofErr w:type="spellStart"/>
      <w:r>
        <w:rPr>
          <w:rFonts w:cs="Arial"/>
          <w:szCs w:val="24"/>
        </w:rPr>
        <w:t>C</w:t>
      </w:r>
      <w:r w:rsidRPr="000C2954">
        <w:rPr>
          <w:rFonts w:cs="Arial"/>
          <w:szCs w:val="24"/>
        </w:rPr>
        <w:t>dp</w:t>
      </w:r>
      <w:proofErr w:type="spellEnd"/>
      <w:r w:rsidRPr="000C2954">
        <w:rPr>
          <w:rFonts w:cs="Arial"/>
          <w:szCs w:val="24"/>
        </w:rPr>
        <w:t>, raggiungendo</w:t>
      </w:r>
      <w:r>
        <w:rPr>
          <w:rFonts w:cs="Arial"/>
          <w:szCs w:val="24"/>
        </w:rPr>
        <w:t xml:space="preserve"> quasi tutti gli </w:t>
      </w:r>
      <w:r w:rsidRPr="008F7E8A">
        <w:rPr>
          <w:rFonts w:cs="Arial"/>
          <w:szCs w:val="24"/>
        </w:rPr>
        <w:t>obiettivi.</w:t>
      </w:r>
      <w:r>
        <w:rPr>
          <w:rFonts w:cs="Arial"/>
          <w:szCs w:val="24"/>
        </w:rPr>
        <w:t xml:space="preserve"> </w:t>
      </w:r>
    </w:p>
    <w:p w:rsidR="0024207A" w:rsidRDefault="0024207A" w:rsidP="0024207A">
      <w:pPr>
        <w:rPr>
          <w:rFonts w:cs="Arial"/>
          <w:szCs w:val="24"/>
          <w:highlight w:val="yellow"/>
        </w:rPr>
      </w:pPr>
    </w:p>
    <w:p w:rsidR="0024207A" w:rsidRDefault="0024207A" w:rsidP="0024207A">
      <w:pPr>
        <w:rPr>
          <w:rFonts w:cs="Arial"/>
          <w:szCs w:val="24"/>
          <w:highlight w:val="yellow"/>
        </w:rPr>
      </w:pPr>
    </w:p>
    <w:p w:rsidR="0024207A" w:rsidRDefault="0024207A" w:rsidP="0024207A">
      <w:pPr>
        <w:rPr>
          <w:rFonts w:cs="Arial"/>
          <w:szCs w:val="24"/>
          <w:highlight w:val="yellow"/>
        </w:rPr>
      </w:pPr>
    </w:p>
    <w:p w:rsidR="0024207A" w:rsidRPr="0024207A" w:rsidRDefault="0024207A" w:rsidP="0024207A">
      <w:pPr>
        <w:pStyle w:val="Titolo1"/>
      </w:pPr>
      <w:bookmarkStart w:id="66" w:name="_Toc303080087"/>
      <w:r w:rsidRPr="0024207A">
        <w:t>4.</w:t>
      </w:r>
      <w:r w:rsidRPr="0024207A">
        <w:tab/>
        <w:t>Dipartimento formazIone e Apprendimento della supsi</w:t>
      </w:r>
      <w:bookmarkEnd w:id="66"/>
    </w:p>
    <w:p w:rsidR="0024207A" w:rsidRPr="009953E2" w:rsidRDefault="0024207A" w:rsidP="0024207A">
      <w:pPr>
        <w:pStyle w:val="Titolo2"/>
      </w:pPr>
      <w:bookmarkStart w:id="67" w:name="_Toc303080088"/>
      <w:r w:rsidRPr="009953E2">
        <w:t>4</w:t>
      </w:r>
      <w:r>
        <w:t>.</w:t>
      </w:r>
      <w:r w:rsidRPr="009953E2">
        <w:t>1</w:t>
      </w:r>
      <w:r>
        <w:tab/>
        <w:t>Considerazioni</w:t>
      </w:r>
      <w:r w:rsidRPr="009953E2">
        <w:t xml:space="preserve"> generali</w:t>
      </w:r>
      <w:bookmarkEnd w:id="67"/>
    </w:p>
    <w:p w:rsidR="0024207A" w:rsidRPr="000C2954" w:rsidRDefault="0024207A" w:rsidP="0024207A">
      <w:r w:rsidRPr="009953E2">
        <w:t>Il</w:t>
      </w:r>
      <w:r>
        <w:t xml:space="preserve"> </w:t>
      </w:r>
      <w:r w:rsidRPr="009953E2">
        <w:t xml:space="preserve">DFA è </w:t>
      </w:r>
      <w:r>
        <w:t>un d</w:t>
      </w:r>
      <w:r w:rsidRPr="009953E2">
        <w:t xml:space="preserve">ipartimento </w:t>
      </w:r>
      <w:r w:rsidRPr="000C2954">
        <w:t xml:space="preserve">della SUPSI </w:t>
      </w:r>
      <w:r>
        <w:t>ch</w:t>
      </w:r>
      <w:r w:rsidRPr="000C2954">
        <w:t xml:space="preserve">e si occupa della ricerca educativa </w:t>
      </w:r>
      <w:r>
        <w:t xml:space="preserve">e </w:t>
      </w:r>
      <w:r w:rsidRPr="000C2954">
        <w:t>della formazione degli insegnanti di ogni ordine di scuol</w:t>
      </w:r>
      <w:r>
        <w:t>a</w:t>
      </w:r>
      <w:r w:rsidRPr="000C2954">
        <w:t>: dall'insegnamento prescolastico al secondario II (ad eccezione d</w:t>
      </w:r>
      <w:r>
        <w:t>ella formazione professionale)</w:t>
      </w:r>
      <w:r w:rsidRPr="000C2954">
        <w:t xml:space="preserve">. </w:t>
      </w:r>
    </w:p>
    <w:p w:rsidR="0024207A" w:rsidRDefault="0024207A" w:rsidP="0024207A"/>
    <w:p w:rsidR="0024207A" w:rsidRDefault="0024207A" w:rsidP="0024207A">
      <w:r w:rsidRPr="000C2954">
        <w:t xml:space="preserve">Il </w:t>
      </w:r>
      <w:proofErr w:type="spellStart"/>
      <w:r>
        <w:t>Cdp</w:t>
      </w:r>
      <w:proofErr w:type="spellEnd"/>
      <w:r>
        <w:t xml:space="preserve"> specifico tra Cantone e SUPSI-DFA, firmato</w:t>
      </w:r>
      <w:r w:rsidRPr="000C2954">
        <w:t xml:space="preserve"> il </w:t>
      </w:r>
      <w:r>
        <w:t>20</w:t>
      </w:r>
      <w:r w:rsidRPr="000C2954">
        <w:t xml:space="preserve"> </w:t>
      </w:r>
      <w:r>
        <w:t>dicembre</w:t>
      </w:r>
      <w:r w:rsidRPr="000C2954">
        <w:t xml:space="preserve"> 201</w:t>
      </w:r>
      <w:r>
        <w:t>7</w:t>
      </w:r>
      <w:r w:rsidRPr="000C2954">
        <w:t xml:space="preserve"> e v</w:t>
      </w:r>
      <w:r>
        <w:t>alido per il quadriennio 2017-</w:t>
      </w:r>
      <w:r w:rsidRPr="000C2954">
        <w:t>20</w:t>
      </w:r>
      <w:r>
        <w:t>20,</w:t>
      </w:r>
      <w:r w:rsidRPr="000C2954">
        <w:t xml:space="preserve"> </w:t>
      </w:r>
      <w:r>
        <w:t>stabilisce un</w:t>
      </w:r>
      <w:r w:rsidRPr="000C2954">
        <w:t xml:space="preserve"> sistema di monitoraggio (obiettivi e indicatori) e </w:t>
      </w:r>
      <w:r>
        <w:t>un sistema</w:t>
      </w:r>
      <w:r w:rsidRPr="000C2954">
        <w:t xml:space="preserve"> di finanziamento</w:t>
      </w:r>
      <w:r>
        <w:t xml:space="preserve"> basato su </w:t>
      </w:r>
      <w:r w:rsidRPr="000C2954">
        <w:t>un importo forfettario annuo definito dalle parti in sede di preventivo</w:t>
      </w:r>
      <w:r>
        <w:t xml:space="preserve">, invece che su un calcolo sulle prestazioni come definito nei </w:t>
      </w:r>
      <w:proofErr w:type="spellStart"/>
      <w:r>
        <w:t>Cdp</w:t>
      </w:r>
      <w:proofErr w:type="spellEnd"/>
      <w:r>
        <w:t xml:space="preserve"> con l’USI e la SUPSI</w:t>
      </w:r>
      <w:r w:rsidRPr="000C2954">
        <w:t xml:space="preserve">. </w:t>
      </w:r>
      <w:r>
        <w:t xml:space="preserve">A differenza dell’USI e della SUPSI, per le quali si rammenta è stato previsto all’art. 27 dei rispettivi Contratti un contributo massimo basato sul quanto versato per il 2016, al DFA è stato versato per il 2017 un importo </w:t>
      </w:r>
      <w:r w:rsidRPr="000C2954">
        <w:t xml:space="preserve">forfettario </w:t>
      </w:r>
      <w:r>
        <w:t xml:space="preserve">di </w:t>
      </w:r>
      <w:r w:rsidRPr="000C2954">
        <w:t>1</w:t>
      </w:r>
      <w:r>
        <w:t>4.25</w:t>
      </w:r>
      <w:r w:rsidRPr="000C2954">
        <w:t xml:space="preserve"> milioni di franchi</w:t>
      </w:r>
      <w:r>
        <w:t>,</w:t>
      </w:r>
      <w:r w:rsidRPr="000C2954">
        <w:t xml:space="preserve"> </w:t>
      </w:r>
      <w:r>
        <w:t xml:space="preserve">in aumento dell’1% rispetto al 2016. Per gli stessi motivi di risparmio, per gli anni 2018 e 2019 è però già previsto a preventivo dello Stato lo stesso importo del 2017. </w:t>
      </w:r>
    </w:p>
    <w:p w:rsidR="0024207A" w:rsidRDefault="0024207A" w:rsidP="0024207A"/>
    <w:p w:rsidR="0024207A" w:rsidRDefault="0024207A" w:rsidP="0024207A">
      <w:r w:rsidRPr="000C2954">
        <w:t>La netta separazione amministrativa e giuridica fra ente formatore e datore di lavoro</w:t>
      </w:r>
      <w:r>
        <w:t>,</w:t>
      </w:r>
      <w:r w:rsidRPr="000C2954">
        <w:t xml:space="preserve"> venutasi a creare con il trasferimento dell'Alta scuola pedagogica alla SUPSI, richiedeva nuovi strumenti di coordinamento. Per garantire </w:t>
      </w:r>
      <w:r>
        <w:t>tale</w:t>
      </w:r>
      <w:r w:rsidRPr="000C2954">
        <w:t xml:space="preserve"> coordinamento l'art. 13 cpv. 3 LUSI/SUPSI prevede una convenzione fra il datore di lavoro (DECS) e l'ente formatore (SUPSI). </w:t>
      </w:r>
      <w:r>
        <w:t>Questa C</w:t>
      </w:r>
      <w:r w:rsidRPr="000C2954">
        <w:t>onvenzione</w:t>
      </w:r>
      <w:r>
        <w:t>,</w:t>
      </w:r>
      <w:r w:rsidRPr="000C2954">
        <w:t xml:space="preserve"> </w:t>
      </w:r>
      <w:r>
        <w:t>firmata dalle parti in data 19 giugno 2018, definisce</w:t>
      </w:r>
      <w:r w:rsidRPr="000C2954">
        <w:t xml:space="preserve"> le modalità di cooperazione </w:t>
      </w:r>
      <w:r>
        <w:t>tra il DECS e il DFA nell’ambito della</w:t>
      </w:r>
      <w:r w:rsidRPr="000C2954">
        <w:t xml:space="preserve"> formazione </w:t>
      </w:r>
      <w:r>
        <w:t>iniziale e continua e nella ricerca. La C</w:t>
      </w:r>
      <w:r w:rsidRPr="000C2954">
        <w:t xml:space="preserve">onvenzione </w:t>
      </w:r>
      <w:r>
        <w:t>prevede</w:t>
      </w:r>
      <w:r w:rsidRPr="000C2954">
        <w:t xml:space="preserve"> un </w:t>
      </w:r>
      <w:r>
        <w:t>G</w:t>
      </w:r>
      <w:r w:rsidRPr="000C2954">
        <w:t>ruppo di coordinamento</w:t>
      </w:r>
      <w:r>
        <w:t>,</w:t>
      </w:r>
      <w:r w:rsidRPr="000C2954">
        <w:t xml:space="preserve"> </w:t>
      </w:r>
      <w:r>
        <w:t>con la presidenza del direttore del DECS, con lo scopo di definire</w:t>
      </w:r>
      <w:r w:rsidRPr="000C2954">
        <w:t xml:space="preserve"> le necessità </w:t>
      </w:r>
      <w:r>
        <w:t>di collaborazione specifica</w:t>
      </w:r>
      <w:r w:rsidRPr="000C2954">
        <w:t xml:space="preserve">. </w:t>
      </w:r>
      <w:r>
        <w:t xml:space="preserve">Il gruppo è altresì responsabile del monitoraggio del fabbisogno di docenti, oltre che di pianificare l’offerta formativa quadriennale e verificare i mandati specifici di ricerca educativa e di formazione continua dei docenti. </w:t>
      </w:r>
    </w:p>
    <w:p w:rsidR="0024207A" w:rsidRDefault="0024207A" w:rsidP="0024207A"/>
    <w:p w:rsidR="0024207A" w:rsidRDefault="0024207A" w:rsidP="0024207A">
      <w:r>
        <w:t xml:space="preserve">Per quanto riguarda la ricerca educativa, il nuovo </w:t>
      </w:r>
      <w:proofErr w:type="spellStart"/>
      <w:r>
        <w:t>Cdp</w:t>
      </w:r>
      <w:proofErr w:type="spellEnd"/>
      <w:r>
        <w:t xml:space="preserve"> valido dal 2017 prevede all’art. 19 un contributo fisso </w:t>
      </w:r>
      <w:r w:rsidRPr="000C2954">
        <w:t xml:space="preserve">annuo di </w:t>
      </w:r>
      <w:proofErr w:type="spellStart"/>
      <w:r w:rsidRPr="000C2954">
        <w:t>fr</w:t>
      </w:r>
      <w:proofErr w:type="spellEnd"/>
      <w:r w:rsidRPr="000C2954">
        <w:t xml:space="preserve">. 800'000.-. </w:t>
      </w:r>
      <w:r>
        <w:t xml:space="preserve">Questo contributo, ora incluso nel montante forfettario di 14.25 milioni di franchi, era precedentemente versato dalla Divisione della scuola e dalla Divisone della formazione professionale in forma di mandato </w:t>
      </w:r>
      <w:r w:rsidRPr="007D05B5">
        <w:rPr>
          <w:i/>
        </w:rPr>
        <w:t>ad hoc</w:t>
      </w:r>
      <w:r>
        <w:t xml:space="preserve">. La Convenzione citata poc’anzi prevede che eventuali eccedenze all’interno di una forchetta </w:t>
      </w:r>
      <w:r>
        <w:lastRenderedPageBreak/>
        <w:t>del 10% siano riportate all’anno successivo, mentre per le differenze superiori al 10% i direttori della Divisione della scuola, della Divisione della formazione professionale e del DFA decidano di comune accordo l’utilizzo dell’eccedenza o il finanziamento del supplemento non coperto.</w:t>
      </w:r>
    </w:p>
    <w:p w:rsidR="0024207A" w:rsidRDefault="0024207A" w:rsidP="0024207A"/>
    <w:p w:rsidR="0024207A" w:rsidRDefault="0024207A" w:rsidP="0024207A">
      <w:r>
        <w:t xml:space="preserve">Analogamente alla ricerca educativa, è stato integrato nel </w:t>
      </w:r>
      <w:proofErr w:type="spellStart"/>
      <w:r>
        <w:t>Cdp</w:t>
      </w:r>
      <w:proofErr w:type="spellEnd"/>
      <w:r>
        <w:t xml:space="preserve"> all’art. 20 il mandato di formazione continua per un importo forfettario di 900'000 franchi annui. Questo contributo, ora incluso nel montante forfettario di 14.25 milioni di franchi, era già incluso nel vecchio </w:t>
      </w:r>
      <w:proofErr w:type="spellStart"/>
      <w:r>
        <w:t>Cdp</w:t>
      </w:r>
      <w:proofErr w:type="spellEnd"/>
      <w:r>
        <w:t xml:space="preserve">, ma non esplicitamente e solo nella misura di 600'000 franchi. Oltre ai 600'000 franchi inclusi nel vecchio </w:t>
      </w:r>
      <w:proofErr w:type="spellStart"/>
      <w:r>
        <w:t>Cdp</w:t>
      </w:r>
      <w:proofErr w:type="spellEnd"/>
      <w:r>
        <w:t xml:space="preserve">, la Divisione della scuola versava però annualmente circa 300'000 franchi annui per corsi di formazione continua </w:t>
      </w:r>
      <w:r w:rsidRPr="007D05B5">
        <w:rPr>
          <w:i/>
        </w:rPr>
        <w:t>ad hoc</w:t>
      </w:r>
      <w:r>
        <w:t xml:space="preserve">. Questi ultimi sono stati ora integrati nel </w:t>
      </w:r>
      <w:proofErr w:type="spellStart"/>
      <w:r>
        <w:t>Cdp</w:t>
      </w:r>
      <w:proofErr w:type="spellEnd"/>
      <w:r>
        <w:t xml:space="preserve">, con un montante annuo a disposizione di 900'000 franchi. Per eccedenze o mancata copertura di prestazioni, valgono gli stessi parametri e procedure espresse per la ricerca educativa. </w:t>
      </w:r>
    </w:p>
    <w:p w:rsidR="0024207A" w:rsidRDefault="0024207A" w:rsidP="0024207A"/>
    <w:p w:rsidR="0024207A" w:rsidRDefault="0024207A" w:rsidP="0024207A">
      <w:r>
        <w:t xml:space="preserve">Per la ricerca e la formazione continua previste agli artt. 19 e 20 </w:t>
      </w:r>
      <w:proofErr w:type="spellStart"/>
      <w:r>
        <w:t>Cdp</w:t>
      </w:r>
      <w:proofErr w:type="spellEnd"/>
      <w:r>
        <w:t xml:space="preserve"> e nella Convenzione specifica DECS-DFA è redatto un rapporto di attività e finanziario annuale, che deve essere ratificato dal Gruppo di coordinamento e inoltrato al Consiglio di Stato per il tramite della DCSU. I rapporti 2017 sono stati allegati alle valutazioni annuali dei </w:t>
      </w:r>
      <w:proofErr w:type="spellStart"/>
      <w:r>
        <w:t>Cdp</w:t>
      </w:r>
      <w:proofErr w:type="spellEnd"/>
      <w:r>
        <w:t xml:space="preserve"> destinati al Consiglio di Stato.</w:t>
      </w:r>
    </w:p>
    <w:p w:rsidR="0024207A" w:rsidRDefault="0024207A" w:rsidP="0024207A">
      <w:pPr>
        <w:tabs>
          <w:tab w:val="num" w:pos="426"/>
        </w:tabs>
      </w:pPr>
    </w:p>
    <w:p w:rsidR="0024207A" w:rsidRDefault="0024207A" w:rsidP="0024207A">
      <w:pPr>
        <w:tabs>
          <w:tab w:val="num" w:pos="426"/>
        </w:tabs>
      </w:pPr>
    </w:p>
    <w:p w:rsidR="0024207A" w:rsidRPr="009953E2" w:rsidRDefault="0024207A" w:rsidP="0024207A">
      <w:pPr>
        <w:pStyle w:val="Titolo2"/>
      </w:pPr>
      <w:r w:rsidRPr="009953E2">
        <w:t>4</w:t>
      </w:r>
      <w:r>
        <w:t>.2</w:t>
      </w:r>
      <w:r>
        <w:tab/>
        <w:t>Formazione e ricerca al DFA</w:t>
      </w:r>
    </w:p>
    <w:p w:rsidR="0024207A" w:rsidRPr="00245751" w:rsidRDefault="0024207A" w:rsidP="0024207A">
      <w:r w:rsidRPr="007D229B">
        <w:rPr>
          <w:lang w:val="it-CH"/>
        </w:rPr>
        <w:t xml:space="preserve">Dal profilo della </w:t>
      </w:r>
      <w:r w:rsidRPr="00123CC6">
        <w:rPr>
          <w:lang w:val="it-CH"/>
        </w:rPr>
        <w:t xml:space="preserve">formazione </w:t>
      </w:r>
      <w:r>
        <w:rPr>
          <w:lang w:val="it-CH"/>
        </w:rPr>
        <w:t>iniziale,</w:t>
      </w:r>
      <w:r w:rsidRPr="007D229B">
        <w:rPr>
          <w:lang w:val="it-CH"/>
        </w:rPr>
        <w:t xml:space="preserve"> </w:t>
      </w:r>
      <w:r>
        <w:t xml:space="preserve">l’art. 9 </w:t>
      </w:r>
      <w:proofErr w:type="spellStart"/>
      <w:r>
        <w:t>lett</w:t>
      </w:r>
      <w:proofErr w:type="spellEnd"/>
      <w:r>
        <w:t xml:space="preserve">. a) </w:t>
      </w:r>
      <w:r>
        <w:rPr>
          <w:lang w:val="it-CH"/>
        </w:rPr>
        <w:t>del</w:t>
      </w:r>
      <w:r w:rsidRPr="007D229B">
        <w:rPr>
          <w:lang w:val="it-CH"/>
        </w:rPr>
        <w:t xml:space="preserve"> </w:t>
      </w:r>
      <w:proofErr w:type="spellStart"/>
      <w:r>
        <w:rPr>
          <w:lang w:val="it-CH"/>
        </w:rPr>
        <w:t>Cdp</w:t>
      </w:r>
      <w:proofErr w:type="spellEnd"/>
      <w:r w:rsidRPr="00245751">
        <w:t xml:space="preserve"> prevede una </w:t>
      </w:r>
      <w:r w:rsidRPr="00C54873">
        <w:t>forchetta</w:t>
      </w:r>
      <w:r w:rsidRPr="00245751">
        <w:t xml:space="preserve"> di studenti </w:t>
      </w:r>
      <w:proofErr w:type="spellStart"/>
      <w:r w:rsidRPr="00245751">
        <w:t>bachelor</w:t>
      </w:r>
      <w:proofErr w:type="spellEnd"/>
      <w:r w:rsidRPr="00245751">
        <w:t xml:space="preserve"> da un minimo di 160 iscritti a un massimo di 200 </w:t>
      </w:r>
      <w:r>
        <w:t xml:space="preserve">UTP </w:t>
      </w:r>
      <w:r w:rsidRPr="00245751">
        <w:t>(unità a tempo pieno corrispondenti a 60 ECTS annui). Nel 201</w:t>
      </w:r>
      <w:r>
        <w:t>7</w:t>
      </w:r>
      <w:r w:rsidRPr="00245751">
        <w:t xml:space="preserve"> erano iscritti al </w:t>
      </w:r>
      <w:proofErr w:type="spellStart"/>
      <w:r w:rsidRPr="00245751">
        <w:t>bachelor</w:t>
      </w:r>
      <w:proofErr w:type="spellEnd"/>
      <w:r w:rsidRPr="00245751">
        <w:t xml:space="preserve"> </w:t>
      </w:r>
      <w:r>
        <w:t xml:space="preserve">271.2 </w:t>
      </w:r>
      <w:r w:rsidRPr="00245751">
        <w:t xml:space="preserve">studenti, </w:t>
      </w:r>
      <w:r>
        <w:t>dunque il numero di studenti si situa</w:t>
      </w:r>
      <w:r w:rsidRPr="00245751">
        <w:t xml:space="preserve"> </w:t>
      </w:r>
      <w:r>
        <w:t>al di sopra della</w:t>
      </w:r>
      <w:r w:rsidRPr="00245751">
        <w:t xml:space="preserve"> forchetta prevista.</w:t>
      </w:r>
      <w:r>
        <w:t xml:space="preserve"> L’aumento è dovuto alla necessità di incrementare per qualche anno il numero di matricole </w:t>
      </w:r>
      <w:proofErr w:type="spellStart"/>
      <w:r>
        <w:t>bachelor</w:t>
      </w:r>
      <w:proofErr w:type="spellEnd"/>
      <w:r>
        <w:t xml:space="preserve"> al fine di colmare la mancanza di docenti di scuola elementare. Tale progetto, denominato “100 </w:t>
      </w:r>
      <w:r w:rsidRPr="004C3384">
        <w:t>matricole</w:t>
      </w:r>
      <w:r>
        <w:t>”, è stato condotto in collaborazione tra DECS e DFA.</w:t>
      </w:r>
      <w:r w:rsidRPr="004C3384">
        <w:t xml:space="preserve"> In base all’art. 2</w:t>
      </w:r>
      <w:r>
        <w:t>1</w:t>
      </w:r>
      <w:r w:rsidRPr="004C3384">
        <w:t xml:space="preserve"> del </w:t>
      </w:r>
      <w:proofErr w:type="spellStart"/>
      <w:r>
        <w:t>Cdp</w:t>
      </w:r>
      <w:proofErr w:type="spellEnd"/>
      <w:r w:rsidRPr="004C3384">
        <w:t xml:space="preserve"> le differenze </w:t>
      </w:r>
      <w:r>
        <w:t xml:space="preserve">tra il numero effettivo e quello delle forchette </w:t>
      </w:r>
      <w:r w:rsidRPr="004C3384">
        <w:t xml:space="preserve">possono essere compensate tramite un supplemento massimo corrispondente </w:t>
      </w:r>
      <w:r>
        <w:t>alla tariffa per studente</w:t>
      </w:r>
      <w:r w:rsidRPr="004C3384">
        <w:t xml:space="preserve"> previst</w:t>
      </w:r>
      <w:r>
        <w:t>a</w:t>
      </w:r>
      <w:r w:rsidRPr="004C3384">
        <w:t xml:space="preserve"> dall’Accordo </w:t>
      </w:r>
      <w:proofErr w:type="spellStart"/>
      <w:r w:rsidRPr="004C3384">
        <w:t>intercantonale</w:t>
      </w:r>
      <w:proofErr w:type="spellEnd"/>
      <w:r w:rsidRPr="004C3384">
        <w:t xml:space="preserve"> sulle scuole universitarie professionali (ASUP). Per il 201</w:t>
      </w:r>
      <w:r>
        <w:t>7</w:t>
      </w:r>
      <w:r w:rsidRPr="004C3384">
        <w:t xml:space="preserve"> la forchetta è stata superata di </w:t>
      </w:r>
      <w:r>
        <w:t>71.2</w:t>
      </w:r>
      <w:r w:rsidRPr="004C3384">
        <w:t xml:space="preserve"> unità: il supplemento per il DFA corrisponderebbe a </w:t>
      </w:r>
      <w:proofErr w:type="spellStart"/>
      <w:r>
        <w:t>fr</w:t>
      </w:r>
      <w:proofErr w:type="spellEnd"/>
      <w:r>
        <w:t>.</w:t>
      </w:r>
      <w:r w:rsidRPr="004C3384">
        <w:t xml:space="preserve"> 25'500</w:t>
      </w:r>
      <w:r>
        <w:t>.-</w:t>
      </w:r>
      <w:r w:rsidRPr="004C3384">
        <w:t xml:space="preserve"> x </w:t>
      </w:r>
      <w:r>
        <w:t>71.2</w:t>
      </w:r>
      <w:r w:rsidRPr="004C3384">
        <w:t xml:space="preserve"> UTP = </w:t>
      </w:r>
      <w:proofErr w:type="spellStart"/>
      <w:r>
        <w:t>fr</w:t>
      </w:r>
      <w:proofErr w:type="spellEnd"/>
      <w:r>
        <w:t>.</w:t>
      </w:r>
      <w:r w:rsidRPr="004C3384">
        <w:t xml:space="preserve"> 1'</w:t>
      </w:r>
      <w:r>
        <w:t>815</w:t>
      </w:r>
      <w:r w:rsidRPr="004C3384">
        <w:t>'</w:t>
      </w:r>
      <w:r>
        <w:t>6</w:t>
      </w:r>
      <w:r w:rsidRPr="004C3384">
        <w:t>00.</w:t>
      </w:r>
      <w:r>
        <w:t>-.</w:t>
      </w:r>
      <w:r w:rsidRPr="004C3384">
        <w:t xml:space="preserve"> In base alla RG </w:t>
      </w:r>
      <w:r>
        <w:t>3099</w:t>
      </w:r>
      <w:r w:rsidRPr="004C3384">
        <w:t xml:space="preserve"> del </w:t>
      </w:r>
      <w:r>
        <w:t>5</w:t>
      </w:r>
      <w:r w:rsidRPr="004C3384">
        <w:t xml:space="preserve"> </w:t>
      </w:r>
      <w:r>
        <w:t>luglio</w:t>
      </w:r>
      <w:r w:rsidRPr="004C3384">
        <w:t xml:space="preserve"> 201</w:t>
      </w:r>
      <w:r>
        <w:t>7</w:t>
      </w:r>
      <w:r w:rsidRPr="004C3384">
        <w:t xml:space="preserve"> è </w:t>
      </w:r>
      <w:r>
        <w:t xml:space="preserve">stato </w:t>
      </w:r>
      <w:r w:rsidRPr="004C3384">
        <w:t xml:space="preserve">concesso </w:t>
      </w:r>
      <w:r>
        <w:t>l’</w:t>
      </w:r>
      <w:r w:rsidRPr="004C3384">
        <w:t xml:space="preserve">importo massimo di </w:t>
      </w:r>
      <w:proofErr w:type="spellStart"/>
      <w:r>
        <w:t>fr</w:t>
      </w:r>
      <w:proofErr w:type="spellEnd"/>
      <w:r>
        <w:t>. 1’100</w:t>
      </w:r>
      <w:r w:rsidRPr="004C3384">
        <w:t>'000</w:t>
      </w:r>
      <w:r>
        <w:t>.-</w:t>
      </w:r>
      <w:r w:rsidRPr="004C3384">
        <w:t xml:space="preserve"> a copertura dell’aumento di studenti </w:t>
      </w:r>
      <w:r>
        <w:t>di</w:t>
      </w:r>
      <w:r w:rsidRPr="004C3384">
        <w:t xml:space="preserve"> </w:t>
      </w:r>
      <w:proofErr w:type="spellStart"/>
      <w:r>
        <w:t>b</w:t>
      </w:r>
      <w:r w:rsidRPr="004C3384">
        <w:t>achelor</w:t>
      </w:r>
      <w:proofErr w:type="spellEnd"/>
      <w:r w:rsidRPr="004C3384">
        <w:t xml:space="preserve"> per compensare l’attuale carenza di docenti nelle scuole elementari.</w:t>
      </w:r>
    </w:p>
    <w:p w:rsidR="0024207A" w:rsidRDefault="0024207A" w:rsidP="0024207A"/>
    <w:p w:rsidR="0024207A" w:rsidRDefault="0024207A" w:rsidP="0024207A">
      <w:r w:rsidRPr="00245751">
        <w:t xml:space="preserve">Analogamente agli studenti </w:t>
      </w:r>
      <w:r>
        <w:t>di</w:t>
      </w:r>
      <w:r w:rsidRPr="00245751">
        <w:t xml:space="preserve"> </w:t>
      </w:r>
      <w:proofErr w:type="spellStart"/>
      <w:r w:rsidRPr="00245751">
        <w:t>bachelor</w:t>
      </w:r>
      <w:proofErr w:type="spellEnd"/>
      <w:r w:rsidRPr="00245751">
        <w:t xml:space="preserve">, l’art. 9 del </w:t>
      </w:r>
      <w:r>
        <w:t>contratto</w:t>
      </w:r>
      <w:r w:rsidRPr="00245751">
        <w:t xml:space="preserve"> prevede anche per i master una forchetta con </w:t>
      </w:r>
      <w:r>
        <w:t>il</w:t>
      </w:r>
      <w:r w:rsidRPr="00245751">
        <w:t xml:space="preserve"> limite minimo di 120 studenti e massimo di 170. Nel 201</w:t>
      </w:r>
      <w:r>
        <w:t>7</w:t>
      </w:r>
      <w:r w:rsidRPr="00245751">
        <w:t xml:space="preserve"> gli iscritti al master </w:t>
      </w:r>
      <w:r>
        <w:t>erano</w:t>
      </w:r>
      <w:r w:rsidRPr="00245751">
        <w:t xml:space="preserve"> 1</w:t>
      </w:r>
      <w:r>
        <w:t>55.2 UTP</w:t>
      </w:r>
      <w:r w:rsidRPr="00245751">
        <w:t xml:space="preserve">, quindi all’interno della forchetta prevista. </w:t>
      </w:r>
    </w:p>
    <w:p w:rsidR="0024207A" w:rsidRDefault="0024207A" w:rsidP="0024207A"/>
    <w:p w:rsidR="0024207A" w:rsidRPr="002B2736" w:rsidRDefault="0024207A" w:rsidP="0024207A">
      <w:r w:rsidRPr="00245751">
        <w:t xml:space="preserve">La </w:t>
      </w:r>
      <w:r>
        <w:t>T</w:t>
      </w:r>
      <w:r w:rsidRPr="000971CF">
        <w:t>abella 13</w:t>
      </w:r>
      <w:r w:rsidRPr="00245751">
        <w:t xml:space="preserve"> riporta l’evoluzione del numero degli studenti del DFA dal 2009. Le cifre si riferiscono al numero di studenti effettivi e non sono da confondere con il numero di unità a tempo pieno, ovvero corrispondenti a 60 ECTS annui, usato per il calcolo delle forchette minime e massime di cui sopra.</w:t>
      </w:r>
    </w:p>
    <w:p w:rsidR="0024207A" w:rsidRPr="0024207A" w:rsidRDefault="0024207A" w:rsidP="0024207A"/>
    <w:p w:rsidR="0024207A" w:rsidRPr="0024207A" w:rsidRDefault="0024207A" w:rsidP="0024207A"/>
    <w:p w:rsidR="001F1B4B" w:rsidRDefault="001F1B4B">
      <w:pPr>
        <w:jc w:val="left"/>
        <w:rPr>
          <w:rFonts w:cs="Arial"/>
          <w:b/>
          <w:sz w:val="22"/>
          <w:szCs w:val="22"/>
        </w:rPr>
      </w:pPr>
      <w:r>
        <w:rPr>
          <w:rFonts w:cs="Arial"/>
          <w:b/>
          <w:sz w:val="22"/>
          <w:szCs w:val="22"/>
        </w:rPr>
        <w:br w:type="page"/>
      </w:r>
    </w:p>
    <w:p w:rsidR="0024207A" w:rsidRPr="0024207A" w:rsidRDefault="0024207A" w:rsidP="0024207A">
      <w:pPr>
        <w:rPr>
          <w:rFonts w:cs="Arial"/>
          <w:b/>
          <w:sz w:val="22"/>
          <w:szCs w:val="22"/>
        </w:rPr>
      </w:pPr>
      <w:r w:rsidRPr="0024207A">
        <w:rPr>
          <w:rFonts w:cs="Arial"/>
          <w:b/>
          <w:sz w:val="22"/>
          <w:szCs w:val="22"/>
        </w:rPr>
        <w:lastRenderedPageBreak/>
        <w:t>Tabella 13 - Evoluzione 2009-2017 degli studenti del DFA (per testa studente)</w:t>
      </w:r>
    </w:p>
    <w:p w:rsidR="0024207A" w:rsidRDefault="0024207A" w:rsidP="0024207A">
      <w:pPr>
        <w:rPr>
          <w:lang w:val="it-CH"/>
        </w:rPr>
      </w:pPr>
    </w:p>
    <w:tbl>
      <w:tblPr>
        <w:tblW w:w="9214" w:type="dxa"/>
        <w:tblInd w:w="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shd w:val="clear" w:color="auto" w:fill="FFFFFF"/>
        <w:tblCellMar>
          <w:left w:w="70" w:type="dxa"/>
          <w:right w:w="70" w:type="dxa"/>
        </w:tblCellMar>
        <w:tblLook w:val="04A0" w:firstRow="1" w:lastRow="0" w:firstColumn="1" w:lastColumn="0" w:noHBand="0" w:noVBand="1"/>
      </w:tblPr>
      <w:tblGrid>
        <w:gridCol w:w="2127"/>
        <w:gridCol w:w="1275"/>
        <w:gridCol w:w="1134"/>
        <w:gridCol w:w="851"/>
        <w:gridCol w:w="1276"/>
        <w:gridCol w:w="708"/>
        <w:gridCol w:w="1134"/>
        <w:gridCol w:w="709"/>
      </w:tblGrid>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color w:val="000000"/>
                <w:sz w:val="22"/>
                <w:szCs w:val="22"/>
                <w:lang w:val="it-CH" w:eastAsia="it-CH"/>
              </w:rPr>
            </w:pPr>
            <w:r w:rsidRPr="0024207A">
              <w:rPr>
                <w:rFonts w:cs="Arial"/>
                <w:color w:val="000000"/>
                <w:sz w:val="22"/>
                <w:szCs w:val="22"/>
                <w:lang w:eastAsia="it-CH"/>
              </w:rPr>
              <w:t> </w:t>
            </w:r>
          </w:p>
        </w:tc>
        <w:tc>
          <w:tcPr>
            <w:tcW w:w="1275"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eastAsia="it-CH"/>
              </w:rPr>
              <w:t xml:space="preserve">Totale </w:t>
            </w:r>
          </w:p>
        </w:tc>
        <w:tc>
          <w:tcPr>
            <w:tcW w:w="1134"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eastAsia="it-CH"/>
              </w:rPr>
              <w:t xml:space="preserve">Ticino </w:t>
            </w:r>
          </w:p>
        </w:tc>
        <w:tc>
          <w:tcPr>
            <w:tcW w:w="851"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eastAsia="it-CH"/>
              </w:rPr>
              <w:t xml:space="preserve"> in % </w:t>
            </w:r>
          </w:p>
        </w:tc>
        <w:tc>
          <w:tcPr>
            <w:tcW w:w="1276"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eastAsia="it-CH"/>
              </w:rPr>
              <w:t>Altri  cantoni</w:t>
            </w:r>
          </w:p>
        </w:tc>
        <w:tc>
          <w:tcPr>
            <w:tcW w:w="708"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eastAsia="it-CH"/>
              </w:rPr>
              <w:t xml:space="preserve"> in % </w:t>
            </w:r>
          </w:p>
        </w:tc>
        <w:tc>
          <w:tcPr>
            <w:tcW w:w="1134"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eastAsia="it-CH"/>
              </w:rPr>
              <w:t>Estero</w:t>
            </w:r>
          </w:p>
        </w:tc>
        <w:tc>
          <w:tcPr>
            <w:tcW w:w="709"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eastAsia="it-CH"/>
              </w:rPr>
              <w:t xml:space="preserve"> in % </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b/>
                <w:color w:val="000000"/>
                <w:sz w:val="22"/>
                <w:szCs w:val="22"/>
                <w:lang w:val="it-CH" w:eastAsia="it-CH"/>
              </w:rPr>
            </w:pPr>
            <w:r w:rsidRPr="0024207A">
              <w:rPr>
                <w:rFonts w:cs="Arial"/>
                <w:b/>
                <w:bCs/>
                <w:color w:val="000000"/>
                <w:sz w:val="22"/>
                <w:szCs w:val="22"/>
                <w:lang w:eastAsia="it-CH"/>
              </w:rPr>
              <w:t>2009</w:t>
            </w:r>
          </w:p>
        </w:tc>
        <w:tc>
          <w:tcPr>
            <w:tcW w:w="1275"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val="it-CH" w:eastAsia="it-CH"/>
              </w:rPr>
              <w:t>319</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295</w:t>
            </w:r>
          </w:p>
        </w:tc>
        <w:tc>
          <w:tcPr>
            <w:tcW w:w="851"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92%</w:t>
            </w:r>
          </w:p>
        </w:tc>
        <w:tc>
          <w:tcPr>
            <w:tcW w:w="1276"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4</w:t>
            </w:r>
          </w:p>
        </w:tc>
        <w:tc>
          <w:tcPr>
            <w:tcW w:w="708"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20</w:t>
            </w:r>
          </w:p>
        </w:tc>
        <w:tc>
          <w:tcPr>
            <w:tcW w:w="709"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6%</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 xml:space="preserve">di cui </w:t>
            </w:r>
            <w:proofErr w:type="spellStart"/>
            <w:r w:rsidRPr="0024207A">
              <w:rPr>
                <w:rFonts w:cs="Arial"/>
                <w:bCs/>
                <w:i/>
                <w:iCs/>
                <w:color w:val="000000"/>
                <w:sz w:val="22"/>
                <w:szCs w:val="22"/>
                <w:lang w:eastAsia="it-CH"/>
              </w:rPr>
              <w:t>bachelor</w:t>
            </w:r>
            <w:proofErr w:type="spellEnd"/>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163</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160</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98%</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master</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121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103</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85%</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13%</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diploma</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35</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32</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91%</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6%</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b/>
                <w:color w:val="000000"/>
                <w:sz w:val="22"/>
                <w:szCs w:val="22"/>
                <w:lang w:val="it-CH" w:eastAsia="it-CH"/>
              </w:rPr>
            </w:pPr>
            <w:r w:rsidRPr="0024207A">
              <w:rPr>
                <w:rFonts w:cs="Arial"/>
                <w:b/>
                <w:bCs/>
                <w:color w:val="000000"/>
                <w:sz w:val="22"/>
                <w:szCs w:val="22"/>
                <w:lang w:eastAsia="it-CH"/>
              </w:rPr>
              <w:t>2010</w:t>
            </w:r>
          </w:p>
        </w:tc>
        <w:tc>
          <w:tcPr>
            <w:tcW w:w="1275"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val="it-CH" w:eastAsia="it-CH"/>
              </w:rPr>
              <w:t>317</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282</w:t>
            </w:r>
          </w:p>
        </w:tc>
        <w:tc>
          <w:tcPr>
            <w:tcW w:w="851"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89%</w:t>
            </w:r>
          </w:p>
        </w:tc>
        <w:tc>
          <w:tcPr>
            <w:tcW w:w="1276"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5</w:t>
            </w:r>
          </w:p>
        </w:tc>
        <w:tc>
          <w:tcPr>
            <w:tcW w:w="708"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30</w:t>
            </w:r>
          </w:p>
        </w:tc>
        <w:tc>
          <w:tcPr>
            <w:tcW w:w="709"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9%</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 xml:space="preserve">di cui </w:t>
            </w:r>
            <w:proofErr w:type="spellStart"/>
            <w:r w:rsidRPr="0024207A">
              <w:rPr>
                <w:rFonts w:cs="Arial"/>
                <w:bCs/>
                <w:i/>
                <w:iCs/>
                <w:color w:val="000000"/>
                <w:sz w:val="22"/>
                <w:szCs w:val="22"/>
                <w:lang w:eastAsia="it-CH"/>
              </w:rPr>
              <w:t>bachelor</w:t>
            </w:r>
            <w:proofErr w:type="spellEnd"/>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168</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164</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98%</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master</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129</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101</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78%</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4</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24</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19%</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diploma</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20</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17</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85%</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0</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0%</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15%</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b/>
                <w:color w:val="000000"/>
                <w:sz w:val="22"/>
                <w:szCs w:val="22"/>
                <w:lang w:val="it-CH" w:eastAsia="it-CH"/>
              </w:rPr>
            </w:pPr>
            <w:r w:rsidRPr="0024207A">
              <w:rPr>
                <w:rFonts w:cs="Arial"/>
                <w:b/>
                <w:bCs/>
                <w:color w:val="000000"/>
                <w:sz w:val="22"/>
                <w:szCs w:val="22"/>
                <w:lang w:eastAsia="it-CH"/>
              </w:rPr>
              <w:t>2011</w:t>
            </w:r>
          </w:p>
        </w:tc>
        <w:tc>
          <w:tcPr>
            <w:tcW w:w="1275"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val="it-CH" w:eastAsia="it-CH"/>
              </w:rPr>
              <w:t>345</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290</w:t>
            </w:r>
          </w:p>
        </w:tc>
        <w:tc>
          <w:tcPr>
            <w:tcW w:w="851"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84%</w:t>
            </w:r>
          </w:p>
        </w:tc>
        <w:tc>
          <w:tcPr>
            <w:tcW w:w="1276"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5</w:t>
            </w:r>
          </w:p>
        </w:tc>
        <w:tc>
          <w:tcPr>
            <w:tcW w:w="708"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50</w:t>
            </w:r>
          </w:p>
        </w:tc>
        <w:tc>
          <w:tcPr>
            <w:tcW w:w="709"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14%</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 xml:space="preserve">di cui </w:t>
            </w:r>
            <w:proofErr w:type="spellStart"/>
            <w:r w:rsidRPr="0024207A">
              <w:rPr>
                <w:rFonts w:cs="Arial"/>
                <w:bCs/>
                <w:i/>
                <w:iCs/>
                <w:color w:val="000000"/>
                <w:sz w:val="22"/>
                <w:szCs w:val="22"/>
                <w:lang w:eastAsia="it-CH"/>
              </w:rPr>
              <w:t>bachelor</w:t>
            </w:r>
            <w:proofErr w:type="spellEnd"/>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152</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94%</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7</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4%</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master</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154</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114</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74%</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37</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24%</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diploma</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30</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24</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80%</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0</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0%</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6</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20%</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b/>
                <w:color w:val="000000"/>
                <w:sz w:val="22"/>
                <w:szCs w:val="22"/>
                <w:lang w:val="it-CH" w:eastAsia="it-CH"/>
              </w:rPr>
            </w:pPr>
            <w:r w:rsidRPr="0024207A">
              <w:rPr>
                <w:rFonts w:cs="Arial"/>
                <w:b/>
                <w:bCs/>
                <w:color w:val="000000"/>
                <w:sz w:val="22"/>
                <w:szCs w:val="22"/>
                <w:lang w:eastAsia="it-CH"/>
              </w:rPr>
              <w:t>2012</w:t>
            </w:r>
          </w:p>
        </w:tc>
        <w:tc>
          <w:tcPr>
            <w:tcW w:w="1275"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val="it-CH" w:eastAsia="it-CH"/>
              </w:rPr>
              <w:t>348</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295</w:t>
            </w:r>
          </w:p>
        </w:tc>
        <w:tc>
          <w:tcPr>
            <w:tcW w:w="851"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85%</w:t>
            </w:r>
          </w:p>
        </w:tc>
        <w:tc>
          <w:tcPr>
            <w:tcW w:w="1276"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3</w:t>
            </w:r>
          </w:p>
        </w:tc>
        <w:tc>
          <w:tcPr>
            <w:tcW w:w="708"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50</w:t>
            </w:r>
          </w:p>
        </w:tc>
        <w:tc>
          <w:tcPr>
            <w:tcW w:w="709"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14%</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 xml:space="preserve">di cui </w:t>
            </w:r>
            <w:proofErr w:type="spellStart"/>
            <w:r w:rsidRPr="0024207A">
              <w:rPr>
                <w:rFonts w:cs="Arial"/>
                <w:bCs/>
                <w:i/>
                <w:iCs/>
                <w:color w:val="000000"/>
                <w:sz w:val="22"/>
                <w:szCs w:val="22"/>
                <w:lang w:eastAsia="it-CH"/>
              </w:rPr>
              <w:t>bachelor</w:t>
            </w:r>
            <w:proofErr w:type="spellEnd"/>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170</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163</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96%</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6</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4%</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master</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148</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110</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74%</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37</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25%</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diploma</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30</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22</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73%</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7</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23%</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b/>
                <w:color w:val="000000"/>
                <w:sz w:val="22"/>
                <w:szCs w:val="22"/>
                <w:lang w:val="it-CH" w:eastAsia="it-CH"/>
              </w:rPr>
            </w:pPr>
            <w:r w:rsidRPr="0024207A">
              <w:rPr>
                <w:rFonts w:cs="Arial"/>
                <w:b/>
                <w:bCs/>
                <w:color w:val="000000"/>
                <w:sz w:val="22"/>
                <w:szCs w:val="22"/>
                <w:lang w:eastAsia="it-CH"/>
              </w:rPr>
              <w:t>2013</w:t>
            </w:r>
          </w:p>
        </w:tc>
        <w:tc>
          <w:tcPr>
            <w:tcW w:w="1275"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val="it-CH" w:eastAsia="it-CH"/>
              </w:rPr>
              <w:t>341</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299</w:t>
            </w:r>
          </w:p>
        </w:tc>
        <w:tc>
          <w:tcPr>
            <w:tcW w:w="851"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88%</w:t>
            </w:r>
          </w:p>
        </w:tc>
        <w:tc>
          <w:tcPr>
            <w:tcW w:w="1276"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6</w:t>
            </w:r>
          </w:p>
        </w:tc>
        <w:tc>
          <w:tcPr>
            <w:tcW w:w="708"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36</w:t>
            </w:r>
          </w:p>
        </w:tc>
        <w:tc>
          <w:tcPr>
            <w:tcW w:w="709"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11%</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 xml:space="preserve">di cui </w:t>
            </w:r>
            <w:proofErr w:type="spellStart"/>
            <w:r w:rsidRPr="0024207A">
              <w:rPr>
                <w:rFonts w:cs="Arial"/>
                <w:bCs/>
                <w:i/>
                <w:iCs/>
                <w:color w:val="000000"/>
                <w:sz w:val="22"/>
                <w:szCs w:val="22"/>
                <w:lang w:eastAsia="it-CH"/>
              </w:rPr>
              <w:t>bachelor</w:t>
            </w:r>
            <w:proofErr w:type="spellEnd"/>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171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161</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94%</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5%</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master</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141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114</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81%</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24</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17%</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diploma</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29</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24</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83%</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4</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14%</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b/>
                <w:color w:val="000000"/>
                <w:sz w:val="22"/>
                <w:szCs w:val="22"/>
                <w:lang w:val="it-CH" w:eastAsia="it-CH"/>
              </w:rPr>
            </w:pPr>
            <w:r w:rsidRPr="0024207A">
              <w:rPr>
                <w:rFonts w:cs="Arial"/>
                <w:b/>
                <w:color w:val="000000"/>
                <w:sz w:val="22"/>
                <w:szCs w:val="22"/>
                <w:lang w:eastAsia="it-CH"/>
              </w:rPr>
              <w:t>2014</w:t>
            </w:r>
          </w:p>
        </w:tc>
        <w:tc>
          <w:tcPr>
            <w:tcW w:w="1275"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val="it-CH" w:eastAsia="it-CH"/>
              </w:rPr>
              <w:t>378</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347</w:t>
            </w:r>
          </w:p>
        </w:tc>
        <w:tc>
          <w:tcPr>
            <w:tcW w:w="851"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92%</w:t>
            </w:r>
          </w:p>
        </w:tc>
        <w:tc>
          <w:tcPr>
            <w:tcW w:w="1276"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7</w:t>
            </w:r>
          </w:p>
        </w:tc>
        <w:tc>
          <w:tcPr>
            <w:tcW w:w="708"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24</w:t>
            </w:r>
          </w:p>
        </w:tc>
        <w:tc>
          <w:tcPr>
            <w:tcW w:w="709"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6%</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 xml:space="preserve">di cui </w:t>
            </w:r>
            <w:proofErr w:type="spellStart"/>
            <w:r w:rsidRPr="0024207A">
              <w:rPr>
                <w:rFonts w:cs="Arial"/>
                <w:bCs/>
                <w:i/>
                <w:iCs/>
                <w:color w:val="000000"/>
                <w:sz w:val="22"/>
                <w:szCs w:val="22"/>
                <w:lang w:eastAsia="it-CH"/>
              </w:rPr>
              <w:t>bachelor</w:t>
            </w:r>
            <w:proofErr w:type="spellEnd"/>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180</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175</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97%</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4</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master</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169</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146</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86%</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5</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18</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11%</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diploma</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29</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26</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90%</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7%</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b/>
                <w:color w:val="000000"/>
                <w:sz w:val="22"/>
                <w:szCs w:val="22"/>
                <w:lang w:val="it-CH" w:eastAsia="it-CH"/>
              </w:rPr>
            </w:pPr>
            <w:r w:rsidRPr="0024207A">
              <w:rPr>
                <w:rFonts w:cs="Arial"/>
                <w:b/>
                <w:color w:val="000000"/>
                <w:sz w:val="22"/>
                <w:szCs w:val="22"/>
                <w:lang w:eastAsia="it-CH"/>
              </w:rPr>
              <w:t>2015</w:t>
            </w:r>
          </w:p>
        </w:tc>
        <w:tc>
          <w:tcPr>
            <w:tcW w:w="1275"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val="it-CH" w:eastAsia="it-CH"/>
              </w:rPr>
              <w:t>430</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403</w:t>
            </w:r>
          </w:p>
        </w:tc>
        <w:tc>
          <w:tcPr>
            <w:tcW w:w="851"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94%</w:t>
            </w:r>
          </w:p>
        </w:tc>
        <w:tc>
          <w:tcPr>
            <w:tcW w:w="1276"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6</w:t>
            </w:r>
          </w:p>
        </w:tc>
        <w:tc>
          <w:tcPr>
            <w:tcW w:w="708"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21</w:t>
            </w:r>
          </w:p>
        </w:tc>
        <w:tc>
          <w:tcPr>
            <w:tcW w:w="709"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5%</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 xml:space="preserve">di cui </w:t>
            </w:r>
            <w:proofErr w:type="spellStart"/>
            <w:r w:rsidRPr="0024207A">
              <w:rPr>
                <w:rFonts w:cs="Arial"/>
                <w:bCs/>
                <w:i/>
                <w:iCs/>
                <w:color w:val="000000"/>
                <w:sz w:val="22"/>
                <w:szCs w:val="22"/>
                <w:lang w:eastAsia="it-CH"/>
              </w:rPr>
              <w:t>bachelor</w:t>
            </w:r>
            <w:proofErr w:type="spellEnd"/>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227</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223</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98%</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master</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176</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154</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88%</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4</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18</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10%</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diploma</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27</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26</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96%</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0</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0%</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4%</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b/>
                <w:color w:val="000000"/>
                <w:sz w:val="22"/>
                <w:szCs w:val="22"/>
                <w:lang w:val="it-CH" w:eastAsia="it-CH"/>
              </w:rPr>
            </w:pPr>
            <w:r w:rsidRPr="0024207A">
              <w:rPr>
                <w:rFonts w:cs="Arial"/>
                <w:b/>
                <w:color w:val="000000"/>
                <w:sz w:val="22"/>
                <w:szCs w:val="22"/>
                <w:lang w:eastAsia="it-CH"/>
              </w:rPr>
              <w:t>2016</w:t>
            </w:r>
          </w:p>
        </w:tc>
        <w:tc>
          <w:tcPr>
            <w:tcW w:w="1275"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val="it-CH" w:eastAsia="it-CH"/>
              </w:rPr>
              <w:t>463</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440</w:t>
            </w:r>
          </w:p>
        </w:tc>
        <w:tc>
          <w:tcPr>
            <w:tcW w:w="851"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95%</w:t>
            </w:r>
          </w:p>
        </w:tc>
        <w:tc>
          <w:tcPr>
            <w:tcW w:w="1276"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4</w:t>
            </w:r>
          </w:p>
        </w:tc>
        <w:tc>
          <w:tcPr>
            <w:tcW w:w="708"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19</w:t>
            </w:r>
          </w:p>
        </w:tc>
        <w:tc>
          <w:tcPr>
            <w:tcW w:w="709"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4%</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 xml:space="preserve">di cui </w:t>
            </w:r>
            <w:proofErr w:type="spellStart"/>
            <w:r w:rsidRPr="0024207A">
              <w:rPr>
                <w:rFonts w:cs="Arial"/>
                <w:bCs/>
                <w:i/>
                <w:iCs/>
                <w:color w:val="000000"/>
                <w:sz w:val="22"/>
                <w:szCs w:val="22"/>
                <w:lang w:eastAsia="it-CH"/>
              </w:rPr>
              <w:t>bachelor</w:t>
            </w:r>
            <w:proofErr w:type="spellEnd"/>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271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269</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99%</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0%</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0%</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master</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181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161</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89%</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17</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diploma</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10</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91%</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0</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0%</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b/>
                <w:color w:val="000000"/>
                <w:sz w:val="22"/>
                <w:szCs w:val="22"/>
                <w:lang w:val="it-CH" w:eastAsia="it-CH"/>
              </w:rPr>
            </w:pPr>
            <w:r w:rsidRPr="0024207A">
              <w:rPr>
                <w:rFonts w:eastAsia="Calibri" w:cs="Arial"/>
                <w:b/>
                <w:color w:val="000000"/>
                <w:sz w:val="22"/>
                <w:szCs w:val="22"/>
                <w:lang w:eastAsia="it-CH"/>
              </w:rPr>
              <w:t>2017</w:t>
            </w:r>
          </w:p>
        </w:tc>
        <w:tc>
          <w:tcPr>
            <w:tcW w:w="1275" w:type="dxa"/>
            <w:shd w:val="clear" w:color="auto" w:fill="FFFFFF"/>
            <w:noWrap/>
            <w:vAlign w:val="center"/>
            <w:hideMark/>
          </w:tcPr>
          <w:p w:rsidR="0024207A" w:rsidRPr="0024207A" w:rsidRDefault="0024207A" w:rsidP="0024207A">
            <w:pPr>
              <w:jc w:val="right"/>
              <w:rPr>
                <w:rFonts w:cs="Arial"/>
                <w:b/>
                <w:bCs/>
                <w:color w:val="000000"/>
                <w:sz w:val="22"/>
                <w:szCs w:val="22"/>
                <w:lang w:val="it-CH" w:eastAsia="it-CH"/>
              </w:rPr>
            </w:pPr>
            <w:r w:rsidRPr="0024207A">
              <w:rPr>
                <w:rFonts w:cs="Arial"/>
                <w:b/>
                <w:bCs/>
                <w:color w:val="000000"/>
                <w:sz w:val="22"/>
                <w:szCs w:val="22"/>
                <w:lang w:val="it-CH" w:eastAsia="it-CH"/>
              </w:rPr>
              <w:t>483</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457</w:t>
            </w:r>
          </w:p>
        </w:tc>
        <w:tc>
          <w:tcPr>
            <w:tcW w:w="851"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95%</w:t>
            </w:r>
          </w:p>
        </w:tc>
        <w:tc>
          <w:tcPr>
            <w:tcW w:w="1276"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6</w:t>
            </w:r>
          </w:p>
        </w:tc>
        <w:tc>
          <w:tcPr>
            <w:tcW w:w="708"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20</w:t>
            </w:r>
          </w:p>
        </w:tc>
        <w:tc>
          <w:tcPr>
            <w:tcW w:w="709" w:type="dxa"/>
            <w:shd w:val="clear" w:color="auto" w:fill="FFFFFF"/>
            <w:noWrap/>
            <w:vAlign w:val="center"/>
            <w:hideMark/>
          </w:tcPr>
          <w:p w:rsidR="0024207A" w:rsidRPr="0024207A" w:rsidRDefault="0024207A" w:rsidP="0024207A">
            <w:pPr>
              <w:jc w:val="right"/>
              <w:rPr>
                <w:rFonts w:cs="Arial"/>
                <w:color w:val="000000"/>
                <w:sz w:val="22"/>
                <w:szCs w:val="22"/>
                <w:lang w:val="it-CH" w:eastAsia="it-CH"/>
              </w:rPr>
            </w:pPr>
            <w:r w:rsidRPr="0024207A">
              <w:rPr>
                <w:rFonts w:cs="Arial"/>
                <w:color w:val="000000"/>
                <w:sz w:val="22"/>
                <w:szCs w:val="22"/>
                <w:lang w:val="it-CH" w:eastAsia="it-CH"/>
              </w:rPr>
              <w:t>4%</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 xml:space="preserve">di cui </w:t>
            </w:r>
            <w:proofErr w:type="spellStart"/>
            <w:r w:rsidRPr="0024207A">
              <w:rPr>
                <w:rFonts w:cs="Arial"/>
                <w:bCs/>
                <w:i/>
                <w:iCs/>
                <w:color w:val="000000"/>
                <w:sz w:val="22"/>
                <w:szCs w:val="22"/>
                <w:lang w:eastAsia="it-CH"/>
              </w:rPr>
              <w:t>bachelor</w:t>
            </w:r>
            <w:proofErr w:type="spellEnd"/>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288</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283</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98%</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master</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164</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149</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91%</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13</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w:t>
            </w:r>
          </w:p>
        </w:tc>
      </w:tr>
      <w:tr w:rsidR="0024207A" w:rsidRPr="004E5BEC" w:rsidTr="0024207A">
        <w:trPr>
          <w:trHeight w:val="315"/>
        </w:trPr>
        <w:tc>
          <w:tcPr>
            <w:tcW w:w="2127" w:type="dxa"/>
            <w:shd w:val="clear" w:color="auto" w:fill="FFFFFF"/>
            <w:noWrap/>
            <w:vAlign w:val="center"/>
            <w:hideMark/>
          </w:tcPr>
          <w:p w:rsidR="0024207A" w:rsidRPr="0024207A" w:rsidRDefault="0024207A" w:rsidP="0024207A">
            <w:pPr>
              <w:jc w:val="left"/>
              <w:rPr>
                <w:rFonts w:cs="Arial"/>
                <w:i/>
                <w:iCs/>
                <w:color w:val="000000"/>
                <w:sz w:val="22"/>
                <w:szCs w:val="22"/>
                <w:lang w:val="it-CH" w:eastAsia="it-CH"/>
              </w:rPr>
            </w:pPr>
            <w:r w:rsidRPr="0024207A">
              <w:rPr>
                <w:rFonts w:cs="Arial"/>
                <w:bCs/>
                <w:i/>
                <w:iCs/>
                <w:color w:val="000000"/>
                <w:sz w:val="22"/>
                <w:szCs w:val="22"/>
                <w:lang w:eastAsia="it-CH"/>
              </w:rPr>
              <w:t>di cui diploma</w:t>
            </w:r>
          </w:p>
        </w:tc>
        <w:tc>
          <w:tcPr>
            <w:tcW w:w="1275"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31</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25</w:t>
            </w:r>
          </w:p>
        </w:tc>
        <w:tc>
          <w:tcPr>
            <w:tcW w:w="851"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81%</w:t>
            </w:r>
          </w:p>
        </w:tc>
        <w:tc>
          <w:tcPr>
            <w:tcW w:w="1276"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w:t>
            </w:r>
          </w:p>
        </w:tc>
        <w:tc>
          <w:tcPr>
            <w:tcW w:w="708"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3%</w:t>
            </w:r>
          </w:p>
        </w:tc>
        <w:tc>
          <w:tcPr>
            <w:tcW w:w="1134"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5</w:t>
            </w:r>
          </w:p>
        </w:tc>
        <w:tc>
          <w:tcPr>
            <w:tcW w:w="709" w:type="dxa"/>
            <w:shd w:val="clear" w:color="auto" w:fill="FFFFFF"/>
            <w:noWrap/>
            <w:vAlign w:val="center"/>
            <w:hideMark/>
          </w:tcPr>
          <w:p w:rsidR="0024207A" w:rsidRPr="0024207A" w:rsidRDefault="0024207A" w:rsidP="0024207A">
            <w:pPr>
              <w:jc w:val="right"/>
              <w:rPr>
                <w:rFonts w:cs="Arial"/>
                <w:i/>
                <w:iCs/>
                <w:color w:val="000000"/>
                <w:sz w:val="22"/>
                <w:szCs w:val="22"/>
                <w:lang w:val="it-CH" w:eastAsia="it-CH"/>
              </w:rPr>
            </w:pPr>
            <w:r w:rsidRPr="0024207A">
              <w:rPr>
                <w:rFonts w:cs="Arial"/>
                <w:i/>
                <w:iCs/>
                <w:color w:val="000000"/>
                <w:sz w:val="22"/>
                <w:szCs w:val="22"/>
                <w:lang w:val="it-CH" w:eastAsia="it-CH"/>
              </w:rPr>
              <w:t>16%</w:t>
            </w:r>
          </w:p>
        </w:tc>
      </w:tr>
    </w:tbl>
    <w:p w:rsidR="0024207A" w:rsidRDefault="0024207A" w:rsidP="0024207A"/>
    <w:p w:rsidR="0024207A" w:rsidRDefault="0024207A" w:rsidP="0024207A">
      <w:pPr>
        <w:rPr>
          <w:rFonts w:cs="Arial"/>
          <w:i/>
          <w:sz w:val="16"/>
          <w:szCs w:val="16"/>
        </w:rPr>
      </w:pPr>
      <w:r w:rsidRPr="00C13E52">
        <w:rPr>
          <w:rFonts w:cs="Arial"/>
          <w:i/>
          <w:sz w:val="16"/>
          <w:szCs w:val="16"/>
        </w:rPr>
        <w:t>Fonte: SUPSI</w:t>
      </w:r>
    </w:p>
    <w:p w:rsidR="0024207A" w:rsidRPr="00C13E52" w:rsidRDefault="0024207A" w:rsidP="0024207A">
      <w:pPr>
        <w:rPr>
          <w:rFonts w:cs="Arial"/>
          <w:i/>
          <w:szCs w:val="24"/>
        </w:rPr>
      </w:pPr>
    </w:p>
    <w:p w:rsidR="00051D4C" w:rsidRDefault="00051D4C">
      <w:pPr>
        <w:jc w:val="left"/>
        <w:rPr>
          <w:lang w:val="it-CH"/>
        </w:rPr>
      </w:pPr>
      <w:r>
        <w:rPr>
          <w:lang w:val="it-CH"/>
        </w:rPr>
        <w:br w:type="page"/>
      </w:r>
    </w:p>
    <w:p w:rsidR="0024207A" w:rsidRPr="000A58C3" w:rsidRDefault="0024207A" w:rsidP="0024207A">
      <w:pPr>
        <w:rPr>
          <w:lang w:val="it-CH"/>
        </w:rPr>
      </w:pPr>
      <w:r>
        <w:rPr>
          <w:lang w:val="it-CH"/>
        </w:rPr>
        <w:lastRenderedPageBreak/>
        <w:t xml:space="preserve">La crescita illustrata </w:t>
      </w:r>
      <w:r w:rsidRPr="000971CF">
        <w:rPr>
          <w:lang w:val="it-CH"/>
        </w:rPr>
        <w:t>nella Tabella 13 è</w:t>
      </w:r>
      <w:r w:rsidRPr="000A58C3">
        <w:rPr>
          <w:lang w:val="it-CH"/>
        </w:rPr>
        <w:t xml:space="preserve"> dovuta all’aumento degli studenti </w:t>
      </w:r>
      <w:proofErr w:type="spellStart"/>
      <w:r w:rsidRPr="000A58C3">
        <w:rPr>
          <w:lang w:val="it-CH"/>
        </w:rPr>
        <w:t>bachelor</w:t>
      </w:r>
      <w:proofErr w:type="spellEnd"/>
      <w:r w:rsidRPr="000A58C3">
        <w:rPr>
          <w:lang w:val="it-CH"/>
        </w:rPr>
        <w:t xml:space="preserve"> </w:t>
      </w:r>
      <w:r>
        <w:rPr>
          <w:lang w:val="it-CH"/>
        </w:rPr>
        <w:t xml:space="preserve">connessa con il </w:t>
      </w:r>
      <w:r w:rsidRPr="000A58C3">
        <w:rPr>
          <w:lang w:val="it-CH"/>
        </w:rPr>
        <w:t>fabbisogno di docenti di scuola elementare e risulta</w:t>
      </w:r>
      <w:r>
        <w:rPr>
          <w:lang w:val="it-CH"/>
        </w:rPr>
        <w:t xml:space="preserve"> </w:t>
      </w:r>
      <w:r w:rsidRPr="000A58C3">
        <w:rPr>
          <w:lang w:val="it-CH"/>
        </w:rPr>
        <w:t xml:space="preserve">dalla decisione di aumento delle matricole (progetto 100 matricole), </w:t>
      </w:r>
      <w:r>
        <w:rPr>
          <w:lang w:val="it-CH"/>
        </w:rPr>
        <w:t xml:space="preserve">passati da poco più di 160 a oltre 280 studenti in pochi anni. Il DFA pratica all’entrata il numero controllato, ovvero un esame di ammissione a classifica per accedere al </w:t>
      </w:r>
      <w:proofErr w:type="spellStart"/>
      <w:r>
        <w:rPr>
          <w:lang w:val="it-CH"/>
        </w:rPr>
        <w:t>bachelor</w:t>
      </w:r>
      <w:proofErr w:type="spellEnd"/>
      <w:r>
        <w:rPr>
          <w:lang w:val="it-CH"/>
        </w:rPr>
        <w:t xml:space="preserve">. Il tasso di ammissione per il </w:t>
      </w:r>
      <w:proofErr w:type="spellStart"/>
      <w:r>
        <w:rPr>
          <w:lang w:val="it-CH"/>
        </w:rPr>
        <w:t>bachelor</w:t>
      </w:r>
      <w:proofErr w:type="spellEnd"/>
      <w:r>
        <w:rPr>
          <w:lang w:val="it-CH"/>
        </w:rPr>
        <w:t xml:space="preserve"> è stabile da anni attorno a 40% (95 ammessi per 241 candidati per il 2017). </w:t>
      </w:r>
      <w:r>
        <w:rPr>
          <w:rFonts w:cs="Arial"/>
          <w:szCs w:val="24"/>
        </w:rPr>
        <w:t xml:space="preserve">La cifra di matricole per il 2017 è inferiore alle 100 matricole concordate con il DECS, poiché dopo l’inizio della formazione cinque studenti sono stati </w:t>
      </w:r>
      <w:r>
        <w:rPr>
          <w:szCs w:val="24"/>
        </w:rPr>
        <w:t>esclusi</w:t>
      </w:r>
      <w:r>
        <w:rPr>
          <w:rFonts w:cs="Arial"/>
          <w:szCs w:val="24"/>
        </w:rPr>
        <w:t xml:space="preserve"> d’ufficio dopo aver comunicato di non aver superato l’anno ‘passerella’ (anno di formazione per chi possiede una maturità professionale e desidera ottenere una maturità federale). Per il master il tasso di ammissione è inferiore, attestandosi al 26% per il 2017 (31 ammessi su 117 candidati). Da notare che la provenienza degli studenti è quasi esclusivamente locale: solo l’1% degli studenti </w:t>
      </w:r>
      <w:proofErr w:type="spellStart"/>
      <w:r>
        <w:rPr>
          <w:rFonts w:cs="Arial"/>
          <w:szCs w:val="24"/>
        </w:rPr>
        <w:t>bachelor</w:t>
      </w:r>
      <w:proofErr w:type="spellEnd"/>
      <w:r>
        <w:rPr>
          <w:rFonts w:cs="Arial"/>
          <w:szCs w:val="24"/>
        </w:rPr>
        <w:t xml:space="preserve"> del 2017 proveniva dall’Italia, mentre il 98% erano residenti in Ticino e l’1% (3 studenti) provenivano da altri Cantoni svizzeri).</w:t>
      </w:r>
    </w:p>
    <w:p w:rsidR="0024207A" w:rsidRPr="00D6413E" w:rsidRDefault="0024207A" w:rsidP="0024207A">
      <w:pPr>
        <w:rPr>
          <w:sz w:val="20"/>
        </w:rPr>
      </w:pPr>
    </w:p>
    <w:p w:rsidR="0024207A" w:rsidRPr="00C57FD4" w:rsidRDefault="0024207A" w:rsidP="0024207A">
      <w:r>
        <w:t xml:space="preserve">Un altro indicatore importante per il Contratto è il numero di diplomati, i futuri docenti che poi insegneranno nelle scuole ticinesi. </w:t>
      </w:r>
      <w:r w:rsidRPr="00C57FD4">
        <w:t xml:space="preserve">I </w:t>
      </w:r>
      <w:r>
        <w:t>70</w:t>
      </w:r>
      <w:r w:rsidRPr="00C57FD4">
        <w:t xml:space="preserve"> diplomati </w:t>
      </w:r>
      <w:proofErr w:type="spellStart"/>
      <w:r w:rsidRPr="00C57FD4">
        <w:t>bachelor</w:t>
      </w:r>
      <w:proofErr w:type="spellEnd"/>
      <w:r w:rsidRPr="00C57FD4">
        <w:t xml:space="preserve"> del 201</w:t>
      </w:r>
      <w:r>
        <w:t>7</w:t>
      </w:r>
      <w:r w:rsidRPr="00C57FD4">
        <w:t xml:space="preserve"> (</w:t>
      </w:r>
      <w:r>
        <w:t>40</w:t>
      </w:r>
      <w:r w:rsidRPr="00C57FD4">
        <w:t xml:space="preserve"> nel 201</w:t>
      </w:r>
      <w:r>
        <w:t>5</w:t>
      </w:r>
      <w:r w:rsidRPr="00C57FD4">
        <w:t xml:space="preserve">) non assicurano </w:t>
      </w:r>
      <w:r>
        <w:t>ancora il numero sufficiente</w:t>
      </w:r>
      <w:r w:rsidRPr="00C57FD4">
        <w:t xml:space="preserve"> di personale docente necessario al prevedibile ricambio nelle scuole comunali</w:t>
      </w:r>
      <w:r>
        <w:t xml:space="preserve">, ma l’aumento degli studenti determinato dalla decisione di accrescere a 100 le </w:t>
      </w:r>
      <w:r w:rsidRPr="00C57FD4">
        <w:t xml:space="preserve">matricole </w:t>
      </w:r>
      <w:r>
        <w:t>è promettente.</w:t>
      </w:r>
    </w:p>
    <w:p w:rsidR="0024207A" w:rsidRPr="00D6413E" w:rsidRDefault="0024207A" w:rsidP="0024207A">
      <w:pPr>
        <w:rPr>
          <w:sz w:val="20"/>
        </w:rPr>
      </w:pPr>
    </w:p>
    <w:p w:rsidR="0024207A" w:rsidRPr="000B36B6" w:rsidRDefault="0024207A" w:rsidP="0024207A">
      <w:pPr>
        <w:rPr>
          <w:rFonts w:cs="Arial"/>
          <w:szCs w:val="24"/>
        </w:rPr>
      </w:pPr>
      <w:r w:rsidRPr="00C57FD4">
        <w:t xml:space="preserve">Per </w:t>
      </w:r>
      <w:r w:rsidRPr="008145A1">
        <w:t>quanto riguarda la formazione per le scuole medie e medie superiori, la Divisione della scuola del DECS conferma che in generale sono state formate le persone necess</w:t>
      </w:r>
      <w:r>
        <w:t xml:space="preserve">arie a coprire il fabbisogno del territorio di docenti. Vista la problematica riscontrata da diversi anni quanto alla formazione dei docenti di matematica, </w:t>
      </w:r>
      <w:r>
        <w:rPr>
          <w:rFonts w:eastAsia="SUPSIFedraSerifBook" w:cs="Arial"/>
          <w:szCs w:val="24"/>
          <w:lang w:val="it-CH" w:eastAsia="it-CH"/>
        </w:rPr>
        <w:t>nel 2017</w:t>
      </w:r>
      <w:r w:rsidRPr="000B36B6">
        <w:rPr>
          <w:rFonts w:eastAsia="SUPSIFedraSerifBook" w:cs="Arial"/>
          <w:szCs w:val="24"/>
          <w:lang w:val="it-CH" w:eastAsia="it-CH"/>
        </w:rPr>
        <w:t xml:space="preserve"> la SUPSI ha </w:t>
      </w:r>
      <w:r>
        <w:rPr>
          <w:rFonts w:eastAsia="SUPSIFedraSerifBook" w:cs="Arial"/>
          <w:szCs w:val="24"/>
          <w:lang w:val="it-CH" w:eastAsia="it-CH"/>
        </w:rPr>
        <w:t>costituito</w:t>
      </w:r>
      <w:r w:rsidRPr="000B36B6">
        <w:rPr>
          <w:rFonts w:eastAsia="SUPSIFedraSerifBook" w:cs="Arial"/>
          <w:szCs w:val="24"/>
          <w:lang w:val="it-CH" w:eastAsia="it-CH"/>
        </w:rPr>
        <w:t xml:space="preserve"> </w:t>
      </w:r>
      <w:r>
        <w:rPr>
          <w:rFonts w:eastAsia="SUPSIFedraSerifBook" w:cs="Arial"/>
          <w:szCs w:val="24"/>
          <w:lang w:val="it-CH" w:eastAsia="it-CH"/>
        </w:rPr>
        <w:t>un</w:t>
      </w:r>
      <w:r w:rsidRPr="000B36B6">
        <w:rPr>
          <w:rFonts w:eastAsia="SUPSIFedraSerifBook" w:cs="Arial"/>
          <w:szCs w:val="24"/>
          <w:lang w:val="it-CH" w:eastAsia="it-CH"/>
        </w:rPr>
        <w:t xml:space="preserve"> Centro </w:t>
      </w:r>
      <w:r>
        <w:rPr>
          <w:rFonts w:eastAsia="SUPSIFedraSerifBook" w:cs="Arial"/>
          <w:szCs w:val="24"/>
          <w:lang w:val="it-CH" w:eastAsia="it-CH"/>
        </w:rPr>
        <w:t xml:space="preserve">di </w:t>
      </w:r>
      <w:r w:rsidRPr="000B36B6">
        <w:rPr>
          <w:rFonts w:eastAsia="SUPSIFedraSerifBook" w:cs="Arial"/>
          <w:szCs w:val="24"/>
          <w:lang w:val="it-CH" w:eastAsia="it-CH"/>
        </w:rPr>
        <w:t xml:space="preserve">competenze </w:t>
      </w:r>
      <w:r>
        <w:rPr>
          <w:rFonts w:eastAsia="SUPSIFedraSerifBook" w:cs="Arial"/>
          <w:szCs w:val="24"/>
          <w:lang w:val="it-CH" w:eastAsia="it-CH"/>
        </w:rPr>
        <w:t xml:space="preserve">nella </w:t>
      </w:r>
      <w:r w:rsidRPr="000B36B6">
        <w:rPr>
          <w:rFonts w:eastAsia="SUPSIFedraSerifBook" w:cs="Arial"/>
          <w:szCs w:val="24"/>
          <w:lang w:val="it-CH" w:eastAsia="it-CH"/>
        </w:rPr>
        <w:t xml:space="preserve">didattica della matematica </w:t>
      </w:r>
      <w:r>
        <w:rPr>
          <w:rFonts w:eastAsia="SUPSIFedraSerifBook" w:cs="Arial"/>
          <w:szCs w:val="24"/>
          <w:lang w:val="it-CH" w:eastAsia="it-CH"/>
        </w:rPr>
        <w:t>che</w:t>
      </w:r>
      <w:r w:rsidRPr="000B36B6">
        <w:rPr>
          <w:rFonts w:eastAsia="SUPSIFedraSerifBook" w:cs="Arial"/>
          <w:szCs w:val="24"/>
          <w:lang w:val="it-CH" w:eastAsia="it-CH"/>
        </w:rPr>
        <w:t xml:space="preserve"> si occupa della formazione iniziale e continua dei docenti</w:t>
      </w:r>
      <w:r>
        <w:rPr>
          <w:rFonts w:eastAsia="SUPSIFedraSerifBook" w:cs="Arial"/>
          <w:szCs w:val="24"/>
          <w:lang w:val="it-CH" w:eastAsia="it-CH"/>
        </w:rPr>
        <w:t xml:space="preserve">, ma anche della ricerca educativa </w:t>
      </w:r>
      <w:r w:rsidRPr="000B36B6">
        <w:rPr>
          <w:rFonts w:eastAsia="SUPSIFedraSerifBook" w:cs="Arial"/>
          <w:szCs w:val="24"/>
          <w:lang w:val="it-CH" w:eastAsia="it-CH"/>
        </w:rPr>
        <w:t>nell’ambito della matematica</w:t>
      </w:r>
      <w:r>
        <w:rPr>
          <w:rFonts w:eastAsia="SUPSIFedraSerifBook" w:cs="Arial"/>
          <w:szCs w:val="24"/>
          <w:lang w:val="it-CH" w:eastAsia="it-CH"/>
        </w:rPr>
        <w:t>.</w:t>
      </w:r>
    </w:p>
    <w:p w:rsidR="0024207A" w:rsidRPr="00D6413E" w:rsidRDefault="0024207A" w:rsidP="0024207A">
      <w:pPr>
        <w:rPr>
          <w:rFonts w:cs="Arial"/>
          <w:sz w:val="20"/>
          <w:lang w:val="it-CH"/>
        </w:rPr>
      </w:pPr>
    </w:p>
    <w:p w:rsidR="0024207A" w:rsidRDefault="0024207A" w:rsidP="0024207A">
      <w:pPr>
        <w:rPr>
          <w:rFonts w:cs="Arial"/>
          <w:szCs w:val="24"/>
        </w:rPr>
      </w:pPr>
      <w:r>
        <w:rPr>
          <w:rFonts w:cs="Arial"/>
          <w:szCs w:val="24"/>
          <w:lang w:val="it-CH"/>
        </w:rPr>
        <w:t>Per gli indicatori di qualità dell’insegnamento, il DFA ha fatto compilare agli studenti questionari di valutazione complessiva dei rispettivi corsi di laurea seguiti. In generale gli studenti, che si sono pronunciati su una ventina di affermazioni (per esempio “</w:t>
      </w:r>
      <w:r>
        <w:rPr>
          <w:szCs w:val="24"/>
        </w:rPr>
        <w:t>Mi sento preparato/a per l’inserimento nel mondo del lavoro”), hanno dato un feedback favorevole. Infatti, potendo esprimere per ciascuna affermazione un giudizio da 1 a 4 (dove 1 rappresenta il totale disaccordo e 4 il totale accordo), la maggior parte dei punteggi risulta superiori al 3, ovvero molto buoni</w:t>
      </w:r>
      <w:r w:rsidRPr="0033240D">
        <w:rPr>
          <w:rFonts w:cs="Arial"/>
          <w:szCs w:val="24"/>
        </w:rPr>
        <w:t>. Gli unici punti potenzialmente critici</w:t>
      </w:r>
      <w:r>
        <w:rPr>
          <w:rFonts w:cs="Arial"/>
          <w:szCs w:val="24"/>
        </w:rPr>
        <w:t xml:space="preserve"> </w:t>
      </w:r>
      <w:r w:rsidRPr="0033240D">
        <w:rPr>
          <w:rFonts w:cs="Arial"/>
          <w:szCs w:val="24"/>
        </w:rPr>
        <w:t xml:space="preserve">sono la comunicazione interna e, in misura minore, la conciliazione tra studi e vita privata. </w:t>
      </w:r>
    </w:p>
    <w:p w:rsidR="0024207A" w:rsidRPr="00D6413E" w:rsidRDefault="0024207A" w:rsidP="0024207A">
      <w:pPr>
        <w:rPr>
          <w:sz w:val="20"/>
          <w:lang w:val="it-CH"/>
        </w:rPr>
      </w:pPr>
    </w:p>
    <w:p w:rsidR="0024207A" w:rsidRPr="00C57FD4" w:rsidRDefault="0024207A" w:rsidP="0024207A">
      <w:pPr>
        <w:rPr>
          <w:lang w:val="it-CH"/>
        </w:rPr>
      </w:pPr>
      <w:r>
        <w:rPr>
          <w:lang w:val="it-CH"/>
        </w:rPr>
        <w:t xml:space="preserve">È già stata presentata la novità nel Contratto 2017-20 rispetto ai mandati di ricerca educativa e di formazione continua. </w:t>
      </w:r>
      <w:r w:rsidRPr="00C57FD4">
        <w:rPr>
          <w:lang w:val="it-CH"/>
        </w:rPr>
        <w:t xml:space="preserve">Per </w:t>
      </w:r>
      <w:r>
        <w:rPr>
          <w:lang w:val="it-CH"/>
        </w:rPr>
        <w:t>i</w:t>
      </w:r>
      <w:r w:rsidRPr="00C57FD4">
        <w:rPr>
          <w:lang w:val="it-CH"/>
        </w:rPr>
        <w:t>l settore della formazione continua</w:t>
      </w:r>
      <w:r w:rsidRPr="00C57FD4">
        <w:t xml:space="preserve"> </w:t>
      </w:r>
      <w:r>
        <w:t xml:space="preserve">del DFA </w:t>
      </w:r>
      <w:r w:rsidRPr="00C57FD4">
        <w:t xml:space="preserve">i dati sono in linea con gli scorsi anni. </w:t>
      </w:r>
      <w:r>
        <w:rPr>
          <w:szCs w:val="24"/>
        </w:rPr>
        <w:t xml:space="preserve">Nel rapporto </w:t>
      </w:r>
      <w:r>
        <w:t xml:space="preserve">2017 per la formazione continua e il perfezionamento del Gruppo di coordinamento sono descritte le attività e in particolare i corsi di formazione continua finanziati tramite i 900'000 franchi annui previsti dall’art. 20. Il gruppo reputa le prestazioni di formazione continua del DFA conformi a quanto pattuito, come d’altronde è confermato dai dati riguardanti gli obiettivi previsti all’art. 9 </w:t>
      </w:r>
      <w:proofErr w:type="spellStart"/>
      <w:r>
        <w:t>lett</w:t>
      </w:r>
      <w:proofErr w:type="spellEnd"/>
      <w:r>
        <w:t xml:space="preserve">. c) e all’art. 23 </w:t>
      </w:r>
      <w:proofErr w:type="spellStart"/>
      <w:r>
        <w:t>lett</w:t>
      </w:r>
      <w:proofErr w:type="spellEnd"/>
      <w:r>
        <w:t xml:space="preserve">. c) del </w:t>
      </w:r>
      <w:proofErr w:type="spellStart"/>
      <w:r>
        <w:t>Cdp</w:t>
      </w:r>
      <w:proofErr w:type="spellEnd"/>
      <w:r>
        <w:t xml:space="preserve">. Dal punto di vista finanziario, l’allegato conto economico datato 13 giugno 2018 riassume i costi e i ricavi relativi alla formazione continua del DFA. Secondo il cpv. 2 dell’art. 20 le prestazioni annuali di formazioni continua dovrebbero rimanere nella forchetta del +/- 10% dell’importo fisso previsto di 900'000 franchi. I dati per il 2017 riportano una maggior spesa, ovvero più prestazioni di quanto previsto, di </w:t>
      </w:r>
      <w:proofErr w:type="spellStart"/>
      <w:r>
        <w:t>fr</w:t>
      </w:r>
      <w:proofErr w:type="spellEnd"/>
      <w:r>
        <w:t xml:space="preserve">. 136'359.20. </w:t>
      </w:r>
    </w:p>
    <w:p w:rsidR="0024207A" w:rsidRPr="00D6413E" w:rsidRDefault="0024207A" w:rsidP="0024207A">
      <w:pPr>
        <w:rPr>
          <w:sz w:val="20"/>
          <w:lang w:val="it-CH"/>
        </w:rPr>
      </w:pPr>
    </w:p>
    <w:p w:rsidR="0024207A" w:rsidRDefault="0024207A" w:rsidP="0024207A">
      <w:r>
        <w:rPr>
          <w:lang w:val="it-CH"/>
        </w:rPr>
        <w:t>Anche</w:t>
      </w:r>
      <w:r w:rsidRPr="00C57FD4">
        <w:rPr>
          <w:lang w:val="it-CH"/>
        </w:rPr>
        <w:t xml:space="preserve"> </w:t>
      </w:r>
      <w:r>
        <w:rPr>
          <w:lang w:val="it-CH"/>
        </w:rPr>
        <w:t>per la ricerca educativa</w:t>
      </w:r>
      <w:r w:rsidRPr="00C57FD4">
        <w:rPr>
          <w:lang w:val="it-CH"/>
        </w:rPr>
        <w:t xml:space="preserve"> </w:t>
      </w:r>
      <w:r>
        <w:rPr>
          <w:szCs w:val="24"/>
        </w:rPr>
        <w:t xml:space="preserve">il Gruppo di coordinamento ha ratificato il rapporto </w:t>
      </w:r>
      <w:r>
        <w:t xml:space="preserve">2017 del 2 febbraio 2018, che riporta la descrizione delle attività e in particolare le schede dei </w:t>
      </w:r>
      <w:r>
        <w:lastRenderedPageBreak/>
        <w:t>progetti finanziati tramite gli 800'000 franchi annui previsti dall’art. 19. Il Gruppo di coordinamento reputa le prestazioni del DFA conformi a quanto concordato.</w:t>
      </w:r>
    </w:p>
    <w:p w:rsidR="0024207A" w:rsidRPr="00D6413E" w:rsidRDefault="0024207A" w:rsidP="0024207A">
      <w:pPr>
        <w:rPr>
          <w:sz w:val="20"/>
        </w:rPr>
      </w:pPr>
    </w:p>
    <w:p w:rsidR="0024207A" w:rsidRDefault="0024207A" w:rsidP="0024207A">
      <w:pPr>
        <w:rPr>
          <w:lang w:val="it-CH"/>
        </w:rPr>
      </w:pPr>
      <w:r>
        <w:t xml:space="preserve">Dal punto di vista finanziario l’avanzo di esercizio di </w:t>
      </w:r>
      <w:proofErr w:type="spellStart"/>
      <w:r>
        <w:t>fr</w:t>
      </w:r>
      <w:proofErr w:type="spellEnd"/>
      <w:r>
        <w:t xml:space="preserve">. 125'565.03 del 2017 sarà riportato al 2018. Per quanto riguarda tutto il settore della ricerca del DFA, e non solo il mandato cantonale di ricerca, nel 2017 c’è stata una crescita nel volume </w:t>
      </w:r>
      <w:r w:rsidRPr="000C2954">
        <w:rPr>
          <w:lang w:val="it-CH"/>
        </w:rPr>
        <w:t xml:space="preserve">di ricavi </w:t>
      </w:r>
      <w:r>
        <w:rPr>
          <w:lang w:val="it-CH"/>
        </w:rPr>
        <w:t>(da 1.42 milioni di franchi a 1.67 milioni di franchi) e del</w:t>
      </w:r>
      <w:r w:rsidRPr="000C2954">
        <w:rPr>
          <w:lang w:val="it-CH"/>
        </w:rPr>
        <w:t xml:space="preserve"> personale </w:t>
      </w:r>
      <w:r>
        <w:rPr>
          <w:lang w:val="it-CH"/>
        </w:rPr>
        <w:t>attivo sulla</w:t>
      </w:r>
      <w:r w:rsidRPr="000C2954">
        <w:rPr>
          <w:lang w:val="it-CH"/>
        </w:rPr>
        <w:t xml:space="preserve"> ricerca. Il numero di docenti-ricercatori, occupati almeno al 50%</w:t>
      </w:r>
      <w:r>
        <w:rPr>
          <w:lang w:val="it-CH"/>
        </w:rPr>
        <w:t>,</w:t>
      </w:r>
      <w:r w:rsidRPr="000C2954">
        <w:rPr>
          <w:lang w:val="it-CH"/>
        </w:rPr>
        <w:t xml:space="preserve"> di cui almeno il 20% impiegato per la ricerca, è </w:t>
      </w:r>
      <w:r>
        <w:rPr>
          <w:lang w:val="it-CH"/>
        </w:rPr>
        <w:t xml:space="preserve">cresciuto da 46 a 48 unità a tempo pieno. </w:t>
      </w:r>
      <w:r w:rsidRPr="000C2954">
        <w:rPr>
          <w:lang w:val="it-CH"/>
        </w:rPr>
        <w:t>Il corpo accademico del DFA al 31 dicembre 201</w:t>
      </w:r>
      <w:r>
        <w:rPr>
          <w:lang w:val="it-CH"/>
        </w:rPr>
        <w:t>7</w:t>
      </w:r>
      <w:r w:rsidRPr="000C2954">
        <w:rPr>
          <w:lang w:val="it-CH"/>
        </w:rPr>
        <w:t xml:space="preserve"> era di </w:t>
      </w:r>
      <w:r>
        <w:rPr>
          <w:lang w:val="it-CH"/>
        </w:rPr>
        <w:t>115</w:t>
      </w:r>
      <w:r w:rsidRPr="000C2954">
        <w:rPr>
          <w:lang w:val="it-CH"/>
        </w:rPr>
        <w:t xml:space="preserve"> persone, corrispondenti</w:t>
      </w:r>
      <w:r w:rsidRPr="00AC68A5">
        <w:rPr>
          <w:lang w:val="it-CH"/>
        </w:rPr>
        <w:t xml:space="preserve"> a </w:t>
      </w:r>
      <w:r>
        <w:rPr>
          <w:lang w:val="it-CH"/>
        </w:rPr>
        <w:t>77</w:t>
      </w:r>
      <w:r w:rsidRPr="00AC68A5">
        <w:rPr>
          <w:lang w:val="it-CH"/>
        </w:rPr>
        <w:t xml:space="preserve"> </w:t>
      </w:r>
      <w:r>
        <w:rPr>
          <w:lang w:val="it-CH"/>
        </w:rPr>
        <w:t>UTP in crescita rispetto al 2016 (95 persone e 66 UTP).</w:t>
      </w:r>
    </w:p>
    <w:p w:rsidR="0024207A" w:rsidRDefault="0024207A" w:rsidP="0024207A">
      <w:pPr>
        <w:rPr>
          <w:lang w:val="it-CH"/>
        </w:rPr>
      </w:pPr>
    </w:p>
    <w:p w:rsidR="0024207A" w:rsidRPr="00AC68A5" w:rsidRDefault="0024207A" w:rsidP="0024207A">
      <w:pPr>
        <w:rPr>
          <w:lang w:val="it-CH"/>
        </w:rPr>
      </w:pPr>
    </w:p>
    <w:p w:rsidR="0024207A" w:rsidRPr="00EB3DEC" w:rsidRDefault="0024207A" w:rsidP="0024207A">
      <w:pPr>
        <w:pStyle w:val="Titolo2"/>
      </w:pPr>
      <w:bookmarkStart w:id="68" w:name="_Toc303080089"/>
      <w:r>
        <w:t>4.</w:t>
      </w:r>
      <w:r w:rsidRPr="00EB3DEC">
        <w:t>2</w:t>
      </w:r>
      <w:r>
        <w:tab/>
      </w:r>
      <w:r w:rsidRPr="00EB3DEC">
        <w:t>Aspetti finanziari</w:t>
      </w:r>
      <w:bookmarkEnd w:id="68"/>
    </w:p>
    <w:p w:rsidR="0024207A" w:rsidRDefault="0024207A" w:rsidP="0024207A">
      <w:r>
        <w:t xml:space="preserve">Al punto 4.1 si accenna agli aspetti finanziari legati ai rapporti e alle prestazioni di formazione continua e ricerca educativa in base agli artt. 19 e 20 </w:t>
      </w:r>
      <w:proofErr w:type="spellStart"/>
      <w:r>
        <w:t>Cdp</w:t>
      </w:r>
      <w:proofErr w:type="spellEnd"/>
      <w:r>
        <w:t xml:space="preserve">. Per quanto riguarda il finanziamento del DFA il CCF, che è l’organo revisore della SUPSI e quindi anche del DFA, </w:t>
      </w:r>
      <w:r w:rsidRPr="008E30A3">
        <w:t xml:space="preserve">nel proprio Rapporto di revisione verifica alcuni aspetti finanziari </w:t>
      </w:r>
      <w:r>
        <w:t xml:space="preserve">tra cui </w:t>
      </w:r>
      <w:r w:rsidRPr="00692570">
        <w:t>il risultato d’esercizio del DFA e l’attribuzione alla rispettiva voce di bilancio della SUPSI secondo l’art. 2</w:t>
      </w:r>
      <w:r>
        <w:t>2</w:t>
      </w:r>
      <w:r w:rsidRPr="00692570">
        <w:t>. Per il 201</w:t>
      </w:r>
      <w:r>
        <w:t xml:space="preserve">7 l’utile </w:t>
      </w:r>
      <w:r w:rsidRPr="007A5CA4">
        <w:t xml:space="preserve">d’esercizio del </w:t>
      </w:r>
      <w:r>
        <w:t xml:space="preserve">DFA </w:t>
      </w:r>
      <w:r w:rsidRPr="007A5CA4">
        <w:t>di</w:t>
      </w:r>
      <w:r>
        <w:t xml:space="preserve"> </w:t>
      </w:r>
      <w:r w:rsidRPr="00B925AA">
        <w:t>154'268.52</w:t>
      </w:r>
      <w:r>
        <w:t xml:space="preserve"> franchi è stato correttamente </w:t>
      </w:r>
      <w:r w:rsidRPr="00E351D0">
        <w:t>riportat</w:t>
      </w:r>
      <w:r>
        <w:t>o</w:t>
      </w:r>
      <w:r w:rsidRPr="00E351D0">
        <w:t xml:space="preserve"> da</w:t>
      </w:r>
      <w:r>
        <w:t xml:space="preserve">lla </w:t>
      </w:r>
      <w:r w:rsidRPr="00E351D0">
        <w:t xml:space="preserve">SUPSI a capitale proprio </w:t>
      </w:r>
      <w:r>
        <w:t>in</w:t>
      </w:r>
      <w:r w:rsidRPr="00E351D0">
        <w:t xml:space="preserve"> </w:t>
      </w:r>
      <w:r>
        <w:t xml:space="preserve">una </w:t>
      </w:r>
      <w:r w:rsidRPr="00E351D0">
        <w:t>voce separata</w:t>
      </w:r>
      <w:r w:rsidRPr="00692570">
        <w:t xml:space="preserve"> </w:t>
      </w:r>
      <w:r>
        <w:t>“Utili/perdite riportate DFA”</w:t>
      </w:r>
      <w:r w:rsidRPr="00E90564">
        <w:t>.</w:t>
      </w:r>
    </w:p>
    <w:p w:rsidR="0024207A" w:rsidRDefault="0024207A" w:rsidP="0024207A"/>
    <w:p w:rsidR="0024207A" w:rsidRDefault="0024207A" w:rsidP="0024207A">
      <w:r w:rsidRPr="00EB3DEC">
        <w:t xml:space="preserve">La </w:t>
      </w:r>
      <w:r w:rsidRPr="000971CF">
        <w:t>Tabella 14</w:t>
      </w:r>
      <w:r w:rsidRPr="00EB3DEC">
        <w:t xml:space="preserve"> illustra l’evoluzione</w:t>
      </w:r>
      <w:r>
        <w:t xml:space="preserve"> dei ricavi e dei costi dal 2013</w:t>
      </w:r>
      <w:r w:rsidRPr="00EB3DEC">
        <w:t xml:space="preserve"> al 201</w:t>
      </w:r>
      <w:r>
        <w:t>7</w:t>
      </w:r>
      <w:r w:rsidRPr="00EB3DEC">
        <w:t>.</w:t>
      </w:r>
    </w:p>
    <w:p w:rsidR="0024207A" w:rsidRPr="00EB2BDA" w:rsidRDefault="0024207A" w:rsidP="0024207A">
      <w:pPr>
        <w:autoSpaceDE w:val="0"/>
        <w:autoSpaceDN w:val="0"/>
        <w:adjustRightInd w:val="0"/>
        <w:rPr>
          <w:lang w:val="it-CH"/>
        </w:rPr>
      </w:pPr>
    </w:p>
    <w:p w:rsidR="0024207A" w:rsidRPr="0024207A" w:rsidRDefault="0024207A" w:rsidP="0024207A">
      <w:pPr>
        <w:tabs>
          <w:tab w:val="left" w:pos="851"/>
        </w:tabs>
        <w:spacing w:after="120"/>
        <w:rPr>
          <w:rFonts w:cs="Arial"/>
          <w:sz w:val="22"/>
          <w:szCs w:val="22"/>
          <w:lang w:val="it-CH"/>
        </w:rPr>
      </w:pPr>
      <w:r w:rsidRPr="0024207A">
        <w:rPr>
          <w:rFonts w:cs="Arial"/>
          <w:b/>
          <w:sz w:val="22"/>
          <w:szCs w:val="22"/>
          <w:lang w:val="it-CH"/>
        </w:rPr>
        <w:t xml:space="preserve">Tabella 14 - Evoluzione 2013-2017 del conto economico DFA (in migliaia di </w:t>
      </w:r>
      <w:proofErr w:type="spellStart"/>
      <w:r w:rsidRPr="0024207A">
        <w:rPr>
          <w:rFonts w:cs="Arial"/>
          <w:b/>
          <w:sz w:val="22"/>
          <w:szCs w:val="22"/>
          <w:lang w:val="it-CH"/>
        </w:rPr>
        <w:t>fr</w:t>
      </w:r>
      <w:proofErr w:type="spellEnd"/>
      <w:r w:rsidRPr="0024207A">
        <w:rPr>
          <w:rFonts w:cs="Arial"/>
          <w:b/>
          <w:sz w:val="22"/>
          <w:szCs w:val="22"/>
          <w:lang w:val="it-CH"/>
        </w:rPr>
        <w:t>.)</w:t>
      </w:r>
    </w:p>
    <w:tbl>
      <w:tblPr>
        <w:tblW w:w="9654" w:type="dxa"/>
        <w:tblInd w:w="55" w:type="dxa"/>
        <w:tblBorders>
          <w:top w:val="single" w:sz="4" w:space="0" w:color="auto"/>
          <w:left w:val="single" w:sz="4" w:space="0" w:color="auto"/>
          <w:bottom w:val="single" w:sz="4" w:space="0" w:color="auto"/>
          <w:right w:val="single" w:sz="4" w:space="0" w:color="auto"/>
          <w:insideH w:val="single" w:sz="8" w:space="0" w:color="auto"/>
        </w:tblBorders>
        <w:tblCellMar>
          <w:left w:w="70" w:type="dxa"/>
          <w:right w:w="70" w:type="dxa"/>
        </w:tblCellMar>
        <w:tblLook w:val="0000" w:firstRow="0" w:lastRow="0" w:firstColumn="0" w:lastColumn="0" w:noHBand="0" w:noVBand="0"/>
      </w:tblPr>
      <w:tblGrid>
        <w:gridCol w:w="4410"/>
        <w:gridCol w:w="1134"/>
        <w:gridCol w:w="1134"/>
        <w:gridCol w:w="992"/>
        <w:gridCol w:w="976"/>
        <w:gridCol w:w="1008"/>
      </w:tblGrid>
      <w:tr w:rsidR="0024207A" w:rsidRPr="0018769F" w:rsidTr="0024207A">
        <w:trPr>
          <w:trHeight w:val="315"/>
        </w:trPr>
        <w:tc>
          <w:tcPr>
            <w:tcW w:w="4410" w:type="dxa"/>
            <w:shd w:val="clear" w:color="auto" w:fill="auto"/>
            <w:noWrap/>
            <w:vAlign w:val="center"/>
          </w:tcPr>
          <w:p w:rsidR="0024207A" w:rsidRPr="0018769F" w:rsidRDefault="0024207A" w:rsidP="0024207A">
            <w:pPr>
              <w:rPr>
                <w:rFonts w:cs="Arial"/>
                <w:b/>
                <w:bCs/>
                <w:color w:val="000000"/>
                <w:sz w:val="22"/>
                <w:szCs w:val="22"/>
              </w:rPr>
            </w:pPr>
            <w:r w:rsidRPr="0018769F">
              <w:rPr>
                <w:rFonts w:cs="Arial"/>
                <w:b/>
                <w:bCs/>
                <w:color w:val="000000"/>
                <w:sz w:val="22"/>
                <w:szCs w:val="22"/>
              </w:rPr>
              <w:t>Voce</w:t>
            </w:r>
          </w:p>
        </w:tc>
        <w:tc>
          <w:tcPr>
            <w:tcW w:w="1134" w:type="dxa"/>
            <w:shd w:val="clear" w:color="auto" w:fill="auto"/>
            <w:noWrap/>
            <w:vAlign w:val="center"/>
          </w:tcPr>
          <w:p w:rsidR="0024207A" w:rsidRPr="0018769F" w:rsidRDefault="0024207A" w:rsidP="0024207A">
            <w:pPr>
              <w:jc w:val="right"/>
              <w:rPr>
                <w:rFonts w:cs="Arial"/>
                <w:b/>
                <w:bCs/>
                <w:color w:val="000000"/>
                <w:sz w:val="22"/>
                <w:szCs w:val="22"/>
              </w:rPr>
            </w:pPr>
            <w:r w:rsidRPr="0018769F">
              <w:rPr>
                <w:rFonts w:cs="Arial"/>
                <w:b/>
                <w:bCs/>
                <w:color w:val="000000"/>
                <w:sz w:val="22"/>
                <w:szCs w:val="22"/>
              </w:rPr>
              <w:t>2013</w:t>
            </w:r>
          </w:p>
        </w:tc>
        <w:tc>
          <w:tcPr>
            <w:tcW w:w="1134" w:type="dxa"/>
            <w:shd w:val="clear" w:color="auto" w:fill="auto"/>
            <w:noWrap/>
            <w:vAlign w:val="center"/>
          </w:tcPr>
          <w:p w:rsidR="0024207A" w:rsidRPr="0018769F" w:rsidRDefault="0024207A" w:rsidP="0024207A">
            <w:pPr>
              <w:jc w:val="right"/>
              <w:rPr>
                <w:rFonts w:cs="Arial"/>
                <w:b/>
                <w:bCs/>
                <w:color w:val="000000"/>
                <w:sz w:val="22"/>
                <w:szCs w:val="22"/>
              </w:rPr>
            </w:pPr>
            <w:r w:rsidRPr="0018769F">
              <w:rPr>
                <w:rFonts w:cs="Arial"/>
                <w:b/>
                <w:bCs/>
                <w:color w:val="000000"/>
                <w:sz w:val="22"/>
                <w:szCs w:val="22"/>
              </w:rPr>
              <w:t>2014</w:t>
            </w:r>
          </w:p>
        </w:tc>
        <w:tc>
          <w:tcPr>
            <w:tcW w:w="992" w:type="dxa"/>
            <w:vAlign w:val="center"/>
          </w:tcPr>
          <w:p w:rsidR="0024207A" w:rsidRPr="0018769F" w:rsidRDefault="0024207A" w:rsidP="0024207A">
            <w:pPr>
              <w:jc w:val="right"/>
              <w:rPr>
                <w:rFonts w:cs="Arial"/>
                <w:b/>
                <w:bCs/>
                <w:color w:val="000000"/>
                <w:sz w:val="22"/>
                <w:szCs w:val="22"/>
              </w:rPr>
            </w:pPr>
            <w:r w:rsidRPr="0018769F">
              <w:rPr>
                <w:rFonts w:cs="Arial"/>
                <w:b/>
                <w:bCs/>
                <w:color w:val="000000"/>
                <w:sz w:val="22"/>
                <w:szCs w:val="22"/>
              </w:rPr>
              <w:t>201</w:t>
            </w:r>
            <w:r>
              <w:rPr>
                <w:rFonts w:cs="Arial"/>
                <w:b/>
                <w:bCs/>
                <w:color w:val="000000"/>
                <w:sz w:val="22"/>
                <w:szCs w:val="22"/>
              </w:rPr>
              <w:t>5</w:t>
            </w:r>
          </w:p>
        </w:tc>
        <w:tc>
          <w:tcPr>
            <w:tcW w:w="976" w:type="dxa"/>
            <w:vAlign w:val="center"/>
          </w:tcPr>
          <w:p w:rsidR="0024207A" w:rsidRPr="0018769F" w:rsidRDefault="0024207A" w:rsidP="0024207A">
            <w:pPr>
              <w:jc w:val="right"/>
              <w:rPr>
                <w:rFonts w:cs="Arial"/>
                <w:b/>
                <w:bCs/>
                <w:color w:val="000000"/>
                <w:sz w:val="22"/>
                <w:szCs w:val="22"/>
              </w:rPr>
            </w:pPr>
            <w:r w:rsidRPr="0018769F">
              <w:rPr>
                <w:rFonts w:cs="Arial"/>
                <w:b/>
                <w:bCs/>
                <w:color w:val="000000"/>
                <w:sz w:val="22"/>
                <w:szCs w:val="22"/>
              </w:rPr>
              <w:t>201</w:t>
            </w:r>
            <w:r>
              <w:rPr>
                <w:rFonts w:cs="Arial"/>
                <w:b/>
                <w:bCs/>
                <w:color w:val="000000"/>
                <w:sz w:val="22"/>
                <w:szCs w:val="22"/>
              </w:rPr>
              <w:t>6</w:t>
            </w:r>
          </w:p>
        </w:tc>
        <w:tc>
          <w:tcPr>
            <w:tcW w:w="1008" w:type="dxa"/>
            <w:shd w:val="clear" w:color="auto" w:fill="auto"/>
            <w:noWrap/>
            <w:vAlign w:val="center"/>
          </w:tcPr>
          <w:p w:rsidR="0024207A" w:rsidRPr="0018769F" w:rsidRDefault="0024207A" w:rsidP="0024207A">
            <w:pPr>
              <w:jc w:val="right"/>
              <w:rPr>
                <w:rFonts w:cs="Arial"/>
                <w:b/>
                <w:bCs/>
                <w:color w:val="000000"/>
                <w:sz w:val="22"/>
                <w:szCs w:val="22"/>
              </w:rPr>
            </w:pPr>
            <w:r w:rsidRPr="00B53820">
              <w:rPr>
                <w:rFonts w:cs="Arial"/>
                <w:b/>
                <w:bCs/>
                <w:color w:val="000000"/>
                <w:sz w:val="22"/>
                <w:szCs w:val="22"/>
              </w:rPr>
              <w:t>2017</w:t>
            </w:r>
          </w:p>
        </w:tc>
      </w:tr>
      <w:tr w:rsidR="0024207A" w:rsidRPr="0018769F" w:rsidTr="0024207A">
        <w:trPr>
          <w:trHeight w:val="315"/>
        </w:trPr>
        <w:tc>
          <w:tcPr>
            <w:tcW w:w="4410" w:type="dxa"/>
            <w:shd w:val="clear" w:color="auto" w:fill="auto"/>
            <w:noWrap/>
            <w:vAlign w:val="center"/>
          </w:tcPr>
          <w:p w:rsidR="0024207A" w:rsidRPr="0018769F" w:rsidRDefault="0024207A" w:rsidP="0024207A">
            <w:pPr>
              <w:rPr>
                <w:rFonts w:cs="Arial"/>
                <w:color w:val="000000"/>
                <w:sz w:val="22"/>
                <w:szCs w:val="22"/>
              </w:rPr>
            </w:pPr>
            <w:r w:rsidRPr="0018769F">
              <w:rPr>
                <w:rFonts w:cs="Arial"/>
                <w:color w:val="000000"/>
                <w:sz w:val="22"/>
                <w:szCs w:val="22"/>
              </w:rPr>
              <w:t>Contributo cantonale</w:t>
            </w:r>
            <w:r>
              <w:rPr>
                <w:rFonts w:cs="Arial"/>
                <w:color w:val="000000"/>
                <w:sz w:val="22"/>
                <w:szCs w:val="22"/>
              </w:rPr>
              <w:t xml:space="preserve"> -</w:t>
            </w:r>
            <w:r w:rsidRPr="0018769F">
              <w:rPr>
                <w:rFonts w:cs="Arial"/>
                <w:color w:val="000000"/>
                <w:sz w:val="22"/>
                <w:szCs w:val="22"/>
              </w:rPr>
              <w:t xml:space="preserve"> importo forfettario</w:t>
            </w:r>
          </w:p>
        </w:tc>
        <w:tc>
          <w:tcPr>
            <w:tcW w:w="1134" w:type="dxa"/>
            <w:shd w:val="clear" w:color="auto" w:fill="auto"/>
            <w:noWrap/>
            <w:vAlign w:val="center"/>
          </w:tcPr>
          <w:p w:rsidR="0024207A" w:rsidRPr="0018769F" w:rsidRDefault="0024207A" w:rsidP="0024207A">
            <w:pPr>
              <w:jc w:val="right"/>
              <w:rPr>
                <w:rFonts w:cs="Arial"/>
                <w:color w:val="000000"/>
                <w:sz w:val="22"/>
                <w:szCs w:val="22"/>
              </w:rPr>
            </w:pPr>
            <w:r w:rsidRPr="0018769F">
              <w:rPr>
                <w:rFonts w:cs="Arial"/>
                <w:color w:val="000000"/>
                <w:sz w:val="22"/>
                <w:szCs w:val="22"/>
              </w:rPr>
              <w:t>11'870</w:t>
            </w:r>
          </w:p>
        </w:tc>
        <w:tc>
          <w:tcPr>
            <w:tcW w:w="1134" w:type="dxa"/>
            <w:shd w:val="clear" w:color="auto" w:fill="auto"/>
            <w:noWrap/>
            <w:vAlign w:val="center"/>
          </w:tcPr>
          <w:p w:rsidR="0024207A" w:rsidRPr="0018769F" w:rsidRDefault="0024207A" w:rsidP="0024207A">
            <w:pPr>
              <w:jc w:val="right"/>
              <w:rPr>
                <w:rFonts w:cs="Arial"/>
                <w:color w:val="000000"/>
                <w:sz w:val="22"/>
                <w:szCs w:val="22"/>
              </w:rPr>
            </w:pPr>
            <w:r w:rsidRPr="0018769F">
              <w:rPr>
                <w:rFonts w:cs="Arial"/>
                <w:color w:val="000000"/>
                <w:sz w:val="22"/>
                <w:szCs w:val="22"/>
              </w:rPr>
              <w:t>12’187</w:t>
            </w:r>
          </w:p>
        </w:tc>
        <w:tc>
          <w:tcPr>
            <w:tcW w:w="992" w:type="dxa"/>
            <w:vAlign w:val="center"/>
          </w:tcPr>
          <w:p w:rsidR="0024207A" w:rsidRPr="0018769F" w:rsidRDefault="0024207A" w:rsidP="0024207A">
            <w:pPr>
              <w:jc w:val="right"/>
              <w:rPr>
                <w:rFonts w:cs="Arial"/>
                <w:color w:val="000000"/>
                <w:sz w:val="22"/>
                <w:szCs w:val="22"/>
              </w:rPr>
            </w:pPr>
            <w:r w:rsidRPr="0018769F">
              <w:rPr>
                <w:rFonts w:cs="Arial"/>
                <w:color w:val="000000"/>
                <w:sz w:val="22"/>
                <w:szCs w:val="22"/>
              </w:rPr>
              <w:t>12’</w:t>
            </w:r>
            <w:r>
              <w:rPr>
                <w:rFonts w:cs="Arial"/>
                <w:color w:val="000000"/>
                <w:sz w:val="22"/>
                <w:szCs w:val="22"/>
              </w:rPr>
              <w:t>593</w:t>
            </w:r>
          </w:p>
        </w:tc>
        <w:tc>
          <w:tcPr>
            <w:tcW w:w="976" w:type="dxa"/>
            <w:vAlign w:val="center"/>
          </w:tcPr>
          <w:p w:rsidR="0024207A" w:rsidRPr="00E231D8" w:rsidRDefault="0024207A" w:rsidP="0024207A">
            <w:pPr>
              <w:jc w:val="right"/>
              <w:rPr>
                <w:rFonts w:cs="Arial"/>
                <w:color w:val="000000"/>
                <w:sz w:val="22"/>
                <w:szCs w:val="22"/>
              </w:rPr>
            </w:pPr>
            <w:r w:rsidRPr="00E231D8">
              <w:rPr>
                <w:rFonts w:cs="Arial"/>
                <w:color w:val="000000"/>
                <w:sz w:val="22"/>
                <w:szCs w:val="22"/>
              </w:rPr>
              <w:t>13’014</w:t>
            </w:r>
          </w:p>
        </w:tc>
        <w:tc>
          <w:tcPr>
            <w:tcW w:w="1008" w:type="dxa"/>
            <w:shd w:val="clear" w:color="auto" w:fill="auto"/>
            <w:noWrap/>
            <w:vAlign w:val="center"/>
          </w:tcPr>
          <w:p w:rsidR="0024207A" w:rsidRPr="00E231D8" w:rsidRDefault="0024207A" w:rsidP="0024207A">
            <w:pPr>
              <w:jc w:val="right"/>
              <w:rPr>
                <w:rFonts w:cs="Arial"/>
                <w:color w:val="000000"/>
                <w:sz w:val="22"/>
                <w:szCs w:val="22"/>
              </w:rPr>
            </w:pPr>
            <w:r>
              <w:rPr>
                <w:rFonts w:cs="Arial"/>
                <w:color w:val="000000"/>
                <w:sz w:val="22"/>
                <w:szCs w:val="22"/>
              </w:rPr>
              <w:t>14’250</w:t>
            </w:r>
          </w:p>
        </w:tc>
      </w:tr>
      <w:tr w:rsidR="0024207A" w:rsidRPr="0018769F" w:rsidTr="0024207A">
        <w:trPr>
          <w:trHeight w:val="395"/>
        </w:trPr>
        <w:tc>
          <w:tcPr>
            <w:tcW w:w="4410" w:type="dxa"/>
            <w:shd w:val="clear" w:color="auto" w:fill="auto"/>
            <w:noWrap/>
            <w:vAlign w:val="center"/>
          </w:tcPr>
          <w:p w:rsidR="0024207A" w:rsidRPr="0018769F" w:rsidRDefault="0024207A" w:rsidP="0024207A">
            <w:pPr>
              <w:rPr>
                <w:rFonts w:cs="Arial"/>
                <w:color w:val="000000"/>
                <w:sz w:val="22"/>
                <w:szCs w:val="22"/>
              </w:rPr>
            </w:pPr>
            <w:r w:rsidRPr="0018769F">
              <w:rPr>
                <w:rFonts w:cs="Arial"/>
                <w:color w:val="000000"/>
                <w:sz w:val="22"/>
                <w:szCs w:val="22"/>
              </w:rPr>
              <w:t>Ricavi da terzi</w:t>
            </w:r>
          </w:p>
        </w:tc>
        <w:tc>
          <w:tcPr>
            <w:tcW w:w="1134" w:type="dxa"/>
            <w:shd w:val="clear" w:color="auto" w:fill="auto"/>
            <w:noWrap/>
            <w:vAlign w:val="center"/>
          </w:tcPr>
          <w:p w:rsidR="0024207A" w:rsidRPr="0018769F" w:rsidRDefault="0024207A" w:rsidP="0024207A">
            <w:pPr>
              <w:jc w:val="right"/>
              <w:rPr>
                <w:rFonts w:cs="Arial"/>
                <w:color w:val="000000"/>
                <w:sz w:val="22"/>
                <w:szCs w:val="22"/>
              </w:rPr>
            </w:pPr>
            <w:r w:rsidRPr="0018769F">
              <w:rPr>
                <w:rFonts w:cs="Arial"/>
                <w:color w:val="000000"/>
                <w:sz w:val="22"/>
                <w:szCs w:val="22"/>
              </w:rPr>
              <w:t>2'820</w:t>
            </w:r>
          </w:p>
        </w:tc>
        <w:tc>
          <w:tcPr>
            <w:tcW w:w="1134" w:type="dxa"/>
            <w:shd w:val="clear" w:color="auto" w:fill="auto"/>
            <w:noWrap/>
            <w:vAlign w:val="center"/>
          </w:tcPr>
          <w:p w:rsidR="0024207A" w:rsidRPr="0018769F" w:rsidRDefault="0024207A" w:rsidP="0024207A">
            <w:pPr>
              <w:jc w:val="right"/>
              <w:rPr>
                <w:rFonts w:cs="Arial"/>
                <w:color w:val="000000"/>
                <w:sz w:val="22"/>
                <w:szCs w:val="22"/>
              </w:rPr>
            </w:pPr>
            <w:r w:rsidRPr="0018769F">
              <w:rPr>
                <w:rFonts w:cs="Arial"/>
                <w:color w:val="000000"/>
                <w:sz w:val="22"/>
                <w:szCs w:val="22"/>
              </w:rPr>
              <w:t>2’939</w:t>
            </w:r>
          </w:p>
        </w:tc>
        <w:tc>
          <w:tcPr>
            <w:tcW w:w="992" w:type="dxa"/>
            <w:vAlign w:val="center"/>
          </w:tcPr>
          <w:p w:rsidR="0024207A" w:rsidRPr="0018769F" w:rsidRDefault="0024207A" w:rsidP="0024207A">
            <w:pPr>
              <w:jc w:val="right"/>
              <w:rPr>
                <w:rFonts w:cs="Arial"/>
                <w:color w:val="000000"/>
                <w:sz w:val="22"/>
                <w:szCs w:val="22"/>
              </w:rPr>
            </w:pPr>
            <w:r>
              <w:rPr>
                <w:rFonts w:cs="Arial"/>
                <w:color w:val="000000"/>
                <w:sz w:val="22"/>
                <w:szCs w:val="22"/>
              </w:rPr>
              <w:t>3’124</w:t>
            </w:r>
          </w:p>
        </w:tc>
        <w:tc>
          <w:tcPr>
            <w:tcW w:w="976" w:type="dxa"/>
            <w:vAlign w:val="center"/>
          </w:tcPr>
          <w:p w:rsidR="0024207A" w:rsidRPr="00E231D8" w:rsidRDefault="0024207A" w:rsidP="0024207A">
            <w:pPr>
              <w:jc w:val="right"/>
              <w:rPr>
                <w:rFonts w:cs="Arial"/>
                <w:color w:val="000000"/>
                <w:sz w:val="22"/>
                <w:szCs w:val="22"/>
              </w:rPr>
            </w:pPr>
            <w:r w:rsidRPr="00E231D8">
              <w:rPr>
                <w:rFonts w:cs="Arial"/>
                <w:color w:val="000000"/>
                <w:sz w:val="22"/>
                <w:szCs w:val="22"/>
              </w:rPr>
              <w:t>4’149</w:t>
            </w:r>
          </w:p>
        </w:tc>
        <w:tc>
          <w:tcPr>
            <w:tcW w:w="1008" w:type="dxa"/>
            <w:shd w:val="clear" w:color="auto" w:fill="auto"/>
            <w:noWrap/>
            <w:vAlign w:val="center"/>
          </w:tcPr>
          <w:p w:rsidR="0024207A" w:rsidRPr="00E231D8" w:rsidRDefault="0024207A" w:rsidP="0024207A">
            <w:pPr>
              <w:jc w:val="right"/>
              <w:rPr>
                <w:rFonts w:cs="Arial"/>
                <w:color w:val="000000"/>
                <w:sz w:val="22"/>
                <w:szCs w:val="22"/>
              </w:rPr>
            </w:pPr>
            <w:r>
              <w:rPr>
                <w:rFonts w:cs="Arial"/>
                <w:color w:val="000000"/>
                <w:sz w:val="22"/>
                <w:szCs w:val="22"/>
              </w:rPr>
              <w:t>3’609</w:t>
            </w:r>
          </w:p>
        </w:tc>
      </w:tr>
      <w:tr w:rsidR="0024207A" w:rsidRPr="00090665" w:rsidTr="0024207A">
        <w:trPr>
          <w:trHeight w:val="315"/>
        </w:trPr>
        <w:tc>
          <w:tcPr>
            <w:tcW w:w="4410" w:type="dxa"/>
            <w:shd w:val="clear" w:color="auto" w:fill="auto"/>
            <w:noWrap/>
            <w:vAlign w:val="center"/>
          </w:tcPr>
          <w:p w:rsidR="0024207A" w:rsidRPr="0018769F" w:rsidRDefault="0024207A" w:rsidP="0024207A">
            <w:pPr>
              <w:rPr>
                <w:rFonts w:cs="Arial"/>
                <w:i/>
                <w:iCs/>
                <w:color w:val="000000"/>
                <w:sz w:val="22"/>
                <w:szCs w:val="22"/>
              </w:rPr>
            </w:pPr>
            <w:r w:rsidRPr="0018769F">
              <w:rPr>
                <w:rFonts w:cs="Arial"/>
                <w:i/>
                <w:iCs/>
                <w:color w:val="000000"/>
                <w:sz w:val="22"/>
                <w:szCs w:val="22"/>
              </w:rPr>
              <w:t xml:space="preserve">Totale ricavi </w:t>
            </w:r>
          </w:p>
        </w:tc>
        <w:tc>
          <w:tcPr>
            <w:tcW w:w="1134" w:type="dxa"/>
            <w:shd w:val="clear" w:color="auto" w:fill="auto"/>
            <w:noWrap/>
            <w:vAlign w:val="center"/>
          </w:tcPr>
          <w:p w:rsidR="0024207A" w:rsidRPr="0018769F" w:rsidRDefault="0024207A" w:rsidP="0024207A">
            <w:pPr>
              <w:jc w:val="right"/>
              <w:rPr>
                <w:rFonts w:cs="Arial"/>
                <w:i/>
                <w:iCs/>
                <w:color w:val="000000"/>
                <w:sz w:val="22"/>
                <w:szCs w:val="22"/>
              </w:rPr>
            </w:pPr>
            <w:r w:rsidRPr="0018769F">
              <w:rPr>
                <w:rFonts w:cs="Arial"/>
                <w:i/>
                <w:iCs/>
                <w:color w:val="000000"/>
                <w:sz w:val="22"/>
                <w:szCs w:val="22"/>
              </w:rPr>
              <w:t>14'690</w:t>
            </w:r>
          </w:p>
        </w:tc>
        <w:tc>
          <w:tcPr>
            <w:tcW w:w="1134" w:type="dxa"/>
            <w:shd w:val="clear" w:color="auto" w:fill="auto"/>
            <w:noWrap/>
            <w:vAlign w:val="center"/>
          </w:tcPr>
          <w:p w:rsidR="0024207A" w:rsidRPr="0018769F" w:rsidRDefault="0024207A" w:rsidP="0024207A">
            <w:pPr>
              <w:jc w:val="right"/>
              <w:rPr>
                <w:rFonts w:cs="Arial"/>
                <w:i/>
                <w:iCs/>
                <w:color w:val="000000"/>
                <w:sz w:val="22"/>
                <w:szCs w:val="22"/>
              </w:rPr>
            </w:pPr>
            <w:r w:rsidRPr="0018769F">
              <w:rPr>
                <w:rFonts w:cs="Arial"/>
                <w:i/>
                <w:iCs/>
                <w:color w:val="000000"/>
                <w:sz w:val="22"/>
                <w:szCs w:val="22"/>
              </w:rPr>
              <w:t>15’126</w:t>
            </w:r>
          </w:p>
        </w:tc>
        <w:tc>
          <w:tcPr>
            <w:tcW w:w="992" w:type="dxa"/>
            <w:vAlign w:val="center"/>
          </w:tcPr>
          <w:p w:rsidR="0024207A" w:rsidRPr="0018769F" w:rsidRDefault="0024207A" w:rsidP="0024207A">
            <w:pPr>
              <w:jc w:val="right"/>
              <w:rPr>
                <w:rFonts w:cs="Arial"/>
                <w:i/>
                <w:iCs/>
                <w:color w:val="000000"/>
                <w:sz w:val="22"/>
                <w:szCs w:val="22"/>
              </w:rPr>
            </w:pPr>
            <w:r w:rsidRPr="0018769F">
              <w:rPr>
                <w:rFonts w:cs="Arial"/>
                <w:i/>
                <w:iCs/>
                <w:color w:val="000000"/>
                <w:sz w:val="22"/>
                <w:szCs w:val="22"/>
              </w:rPr>
              <w:t>15’</w:t>
            </w:r>
            <w:r>
              <w:rPr>
                <w:rFonts w:cs="Arial"/>
                <w:i/>
                <w:iCs/>
                <w:color w:val="000000"/>
                <w:sz w:val="22"/>
                <w:szCs w:val="22"/>
              </w:rPr>
              <w:t>717</w:t>
            </w:r>
          </w:p>
        </w:tc>
        <w:tc>
          <w:tcPr>
            <w:tcW w:w="976" w:type="dxa"/>
            <w:vAlign w:val="center"/>
          </w:tcPr>
          <w:p w:rsidR="0024207A" w:rsidRPr="00E231D8" w:rsidRDefault="0024207A" w:rsidP="0024207A">
            <w:pPr>
              <w:jc w:val="right"/>
              <w:rPr>
                <w:rFonts w:cs="Arial"/>
                <w:i/>
                <w:iCs/>
                <w:color w:val="000000"/>
                <w:sz w:val="22"/>
                <w:szCs w:val="22"/>
              </w:rPr>
            </w:pPr>
            <w:r w:rsidRPr="00E231D8">
              <w:rPr>
                <w:rFonts w:cs="Arial"/>
                <w:i/>
                <w:iCs/>
                <w:color w:val="000000"/>
                <w:sz w:val="22"/>
                <w:szCs w:val="22"/>
              </w:rPr>
              <w:t>17’163</w:t>
            </w:r>
          </w:p>
        </w:tc>
        <w:tc>
          <w:tcPr>
            <w:tcW w:w="1008" w:type="dxa"/>
            <w:tcBorders>
              <w:bottom w:val="single" w:sz="8" w:space="0" w:color="auto"/>
            </w:tcBorders>
            <w:shd w:val="clear" w:color="auto" w:fill="auto"/>
            <w:noWrap/>
            <w:vAlign w:val="center"/>
          </w:tcPr>
          <w:p w:rsidR="0024207A" w:rsidRPr="00E231D8" w:rsidRDefault="0024207A" w:rsidP="0024207A">
            <w:pPr>
              <w:jc w:val="right"/>
              <w:rPr>
                <w:rFonts w:cs="Arial"/>
                <w:i/>
                <w:iCs/>
                <w:color w:val="000000"/>
                <w:sz w:val="22"/>
                <w:szCs w:val="22"/>
              </w:rPr>
            </w:pPr>
            <w:r>
              <w:rPr>
                <w:rFonts w:cs="Arial"/>
                <w:i/>
                <w:iCs/>
                <w:color w:val="000000"/>
                <w:sz w:val="22"/>
                <w:szCs w:val="22"/>
              </w:rPr>
              <w:t>17’859</w:t>
            </w:r>
          </w:p>
        </w:tc>
      </w:tr>
      <w:tr w:rsidR="0024207A" w:rsidRPr="0018769F" w:rsidTr="0024207A">
        <w:trPr>
          <w:trHeight w:val="315"/>
        </w:trPr>
        <w:tc>
          <w:tcPr>
            <w:tcW w:w="4410" w:type="dxa"/>
            <w:shd w:val="clear" w:color="auto" w:fill="auto"/>
            <w:noWrap/>
            <w:vAlign w:val="center"/>
          </w:tcPr>
          <w:p w:rsidR="0024207A" w:rsidRPr="0018769F" w:rsidRDefault="0024207A" w:rsidP="0024207A">
            <w:pPr>
              <w:rPr>
                <w:rFonts w:cs="Arial"/>
                <w:color w:val="000000"/>
                <w:sz w:val="22"/>
                <w:szCs w:val="22"/>
              </w:rPr>
            </w:pPr>
            <w:r w:rsidRPr="0018769F">
              <w:rPr>
                <w:rFonts w:cs="Arial"/>
                <w:color w:val="000000"/>
                <w:sz w:val="22"/>
                <w:szCs w:val="22"/>
              </w:rPr>
              <w:t>Costi del personale</w:t>
            </w:r>
          </w:p>
        </w:tc>
        <w:tc>
          <w:tcPr>
            <w:tcW w:w="1134" w:type="dxa"/>
            <w:shd w:val="clear" w:color="auto" w:fill="auto"/>
            <w:noWrap/>
            <w:vAlign w:val="center"/>
          </w:tcPr>
          <w:p w:rsidR="0024207A" w:rsidRPr="0018769F" w:rsidRDefault="0024207A" w:rsidP="0024207A">
            <w:pPr>
              <w:jc w:val="right"/>
              <w:rPr>
                <w:rFonts w:eastAsia="Calibri" w:cs="Arial"/>
                <w:sz w:val="22"/>
                <w:szCs w:val="22"/>
              </w:rPr>
            </w:pPr>
            <w:r w:rsidRPr="0018769F">
              <w:rPr>
                <w:rFonts w:cs="Arial"/>
                <w:sz w:val="22"/>
                <w:szCs w:val="22"/>
              </w:rPr>
              <w:t>10’207</w:t>
            </w:r>
          </w:p>
        </w:tc>
        <w:tc>
          <w:tcPr>
            <w:tcW w:w="1134" w:type="dxa"/>
            <w:shd w:val="clear" w:color="auto" w:fill="auto"/>
            <w:noWrap/>
            <w:vAlign w:val="center"/>
          </w:tcPr>
          <w:p w:rsidR="0024207A" w:rsidRPr="0018769F" w:rsidRDefault="0024207A" w:rsidP="0024207A">
            <w:pPr>
              <w:jc w:val="right"/>
              <w:rPr>
                <w:rFonts w:eastAsia="Calibri" w:cs="Arial"/>
                <w:sz w:val="22"/>
                <w:szCs w:val="22"/>
              </w:rPr>
            </w:pPr>
            <w:r w:rsidRPr="0018769F">
              <w:rPr>
                <w:rFonts w:eastAsia="Calibri" w:cs="Arial"/>
                <w:sz w:val="22"/>
                <w:szCs w:val="22"/>
              </w:rPr>
              <w:t>10’119</w:t>
            </w:r>
          </w:p>
        </w:tc>
        <w:tc>
          <w:tcPr>
            <w:tcW w:w="992" w:type="dxa"/>
            <w:vAlign w:val="center"/>
          </w:tcPr>
          <w:p w:rsidR="0024207A" w:rsidRPr="000465A3" w:rsidRDefault="0024207A" w:rsidP="0024207A">
            <w:pPr>
              <w:jc w:val="right"/>
              <w:rPr>
                <w:rFonts w:eastAsia="Calibri" w:cs="Arial"/>
                <w:sz w:val="22"/>
                <w:szCs w:val="22"/>
              </w:rPr>
            </w:pPr>
            <w:r w:rsidRPr="000465A3">
              <w:rPr>
                <w:rFonts w:eastAsia="Calibri" w:cs="Arial"/>
                <w:sz w:val="22"/>
                <w:szCs w:val="22"/>
              </w:rPr>
              <w:t>1</w:t>
            </w:r>
            <w:r>
              <w:rPr>
                <w:rFonts w:eastAsia="Calibri" w:cs="Arial"/>
                <w:sz w:val="22"/>
                <w:szCs w:val="22"/>
              </w:rPr>
              <w:t>0</w:t>
            </w:r>
            <w:r w:rsidRPr="000465A3">
              <w:rPr>
                <w:rFonts w:eastAsia="Calibri" w:cs="Arial"/>
                <w:sz w:val="22"/>
                <w:szCs w:val="22"/>
              </w:rPr>
              <w:t>’</w:t>
            </w:r>
            <w:r>
              <w:rPr>
                <w:rFonts w:eastAsia="Calibri" w:cs="Arial"/>
                <w:sz w:val="22"/>
                <w:szCs w:val="22"/>
              </w:rPr>
              <w:t>586</w:t>
            </w:r>
          </w:p>
        </w:tc>
        <w:tc>
          <w:tcPr>
            <w:tcW w:w="976" w:type="dxa"/>
            <w:vAlign w:val="center"/>
          </w:tcPr>
          <w:p w:rsidR="0024207A" w:rsidRPr="00E231D8" w:rsidRDefault="0024207A" w:rsidP="0024207A">
            <w:pPr>
              <w:jc w:val="right"/>
              <w:rPr>
                <w:rFonts w:eastAsia="Calibri" w:cs="Arial"/>
                <w:sz w:val="22"/>
                <w:szCs w:val="22"/>
              </w:rPr>
            </w:pPr>
            <w:r w:rsidRPr="00E231D8">
              <w:rPr>
                <w:rFonts w:eastAsia="Calibri" w:cs="Arial"/>
                <w:sz w:val="22"/>
                <w:szCs w:val="22"/>
              </w:rPr>
              <w:t>10’769</w:t>
            </w:r>
          </w:p>
        </w:tc>
        <w:tc>
          <w:tcPr>
            <w:tcW w:w="1008" w:type="dxa"/>
            <w:tcBorders>
              <w:top w:val="single" w:sz="8" w:space="0" w:color="auto"/>
              <w:bottom w:val="single" w:sz="8" w:space="0" w:color="auto"/>
            </w:tcBorders>
            <w:shd w:val="clear" w:color="auto" w:fill="auto"/>
            <w:noWrap/>
            <w:vAlign w:val="center"/>
          </w:tcPr>
          <w:p w:rsidR="0024207A" w:rsidRPr="00E231D8" w:rsidRDefault="0024207A" w:rsidP="0024207A">
            <w:pPr>
              <w:jc w:val="right"/>
              <w:rPr>
                <w:rFonts w:eastAsia="Calibri" w:cs="Arial"/>
                <w:sz w:val="22"/>
                <w:szCs w:val="22"/>
              </w:rPr>
            </w:pPr>
            <w:r>
              <w:rPr>
                <w:rFonts w:eastAsia="Calibri" w:cs="Arial"/>
                <w:sz w:val="22"/>
                <w:szCs w:val="22"/>
              </w:rPr>
              <w:t>11’919</w:t>
            </w:r>
          </w:p>
        </w:tc>
      </w:tr>
      <w:tr w:rsidR="0024207A" w:rsidRPr="0018769F" w:rsidTr="0024207A">
        <w:trPr>
          <w:trHeight w:val="315"/>
        </w:trPr>
        <w:tc>
          <w:tcPr>
            <w:tcW w:w="4410" w:type="dxa"/>
            <w:shd w:val="clear" w:color="auto" w:fill="auto"/>
            <w:noWrap/>
            <w:vAlign w:val="center"/>
          </w:tcPr>
          <w:p w:rsidR="0024207A" w:rsidRPr="0018769F" w:rsidRDefault="0024207A" w:rsidP="0024207A">
            <w:pPr>
              <w:rPr>
                <w:rFonts w:cs="Arial"/>
                <w:color w:val="000000"/>
                <w:sz w:val="22"/>
                <w:szCs w:val="22"/>
              </w:rPr>
            </w:pPr>
            <w:r w:rsidRPr="0018769F">
              <w:rPr>
                <w:rFonts w:cs="Arial"/>
                <w:color w:val="000000"/>
                <w:sz w:val="22"/>
                <w:szCs w:val="22"/>
              </w:rPr>
              <w:t>Altri costi d'esercizio</w:t>
            </w:r>
          </w:p>
        </w:tc>
        <w:tc>
          <w:tcPr>
            <w:tcW w:w="1134" w:type="dxa"/>
            <w:shd w:val="clear" w:color="auto" w:fill="auto"/>
            <w:noWrap/>
            <w:vAlign w:val="center"/>
          </w:tcPr>
          <w:p w:rsidR="0024207A" w:rsidRPr="0018769F" w:rsidRDefault="0024207A" w:rsidP="0024207A">
            <w:pPr>
              <w:jc w:val="right"/>
              <w:rPr>
                <w:rFonts w:eastAsia="Calibri" w:cs="Arial"/>
                <w:sz w:val="22"/>
                <w:szCs w:val="22"/>
              </w:rPr>
            </w:pPr>
            <w:r w:rsidRPr="0018769F">
              <w:rPr>
                <w:rFonts w:cs="Arial"/>
                <w:sz w:val="22"/>
                <w:szCs w:val="22"/>
              </w:rPr>
              <w:t>4’713</w:t>
            </w:r>
          </w:p>
        </w:tc>
        <w:tc>
          <w:tcPr>
            <w:tcW w:w="1134" w:type="dxa"/>
            <w:shd w:val="clear" w:color="auto" w:fill="auto"/>
            <w:noWrap/>
            <w:vAlign w:val="center"/>
          </w:tcPr>
          <w:p w:rsidR="0024207A" w:rsidRPr="0018769F" w:rsidRDefault="0024207A" w:rsidP="0024207A">
            <w:pPr>
              <w:jc w:val="right"/>
              <w:rPr>
                <w:rFonts w:eastAsia="Calibri" w:cs="Arial"/>
                <w:sz w:val="22"/>
                <w:szCs w:val="22"/>
              </w:rPr>
            </w:pPr>
            <w:r w:rsidRPr="0018769F">
              <w:rPr>
                <w:rFonts w:eastAsia="Calibri" w:cs="Arial"/>
                <w:sz w:val="22"/>
                <w:szCs w:val="22"/>
              </w:rPr>
              <w:t>4’841</w:t>
            </w:r>
          </w:p>
        </w:tc>
        <w:tc>
          <w:tcPr>
            <w:tcW w:w="992" w:type="dxa"/>
            <w:vAlign w:val="center"/>
          </w:tcPr>
          <w:p w:rsidR="0024207A" w:rsidRPr="000465A3" w:rsidRDefault="0024207A" w:rsidP="0024207A">
            <w:pPr>
              <w:jc w:val="right"/>
              <w:rPr>
                <w:rFonts w:eastAsia="Calibri" w:cs="Arial"/>
                <w:sz w:val="22"/>
                <w:szCs w:val="22"/>
              </w:rPr>
            </w:pPr>
            <w:r>
              <w:rPr>
                <w:rFonts w:eastAsia="Calibri" w:cs="Arial"/>
                <w:sz w:val="22"/>
                <w:szCs w:val="22"/>
              </w:rPr>
              <w:t>4</w:t>
            </w:r>
            <w:r w:rsidRPr="000465A3">
              <w:rPr>
                <w:rFonts w:eastAsia="Calibri" w:cs="Arial"/>
                <w:sz w:val="22"/>
                <w:szCs w:val="22"/>
              </w:rPr>
              <w:t>’</w:t>
            </w:r>
            <w:r>
              <w:rPr>
                <w:rFonts w:eastAsia="Calibri" w:cs="Arial"/>
                <w:sz w:val="22"/>
                <w:szCs w:val="22"/>
              </w:rPr>
              <w:t>996</w:t>
            </w:r>
          </w:p>
        </w:tc>
        <w:tc>
          <w:tcPr>
            <w:tcW w:w="976" w:type="dxa"/>
            <w:vAlign w:val="center"/>
          </w:tcPr>
          <w:p w:rsidR="0024207A" w:rsidRPr="00E231D8" w:rsidRDefault="0024207A" w:rsidP="0024207A">
            <w:pPr>
              <w:jc w:val="right"/>
              <w:rPr>
                <w:rFonts w:eastAsia="Calibri" w:cs="Arial"/>
                <w:sz w:val="22"/>
                <w:szCs w:val="22"/>
              </w:rPr>
            </w:pPr>
            <w:r w:rsidRPr="00E231D8">
              <w:rPr>
                <w:rFonts w:eastAsia="Calibri" w:cs="Arial"/>
                <w:sz w:val="22"/>
                <w:szCs w:val="22"/>
              </w:rPr>
              <w:t>5’934</w:t>
            </w:r>
          </w:p>
        </w:tc>
        <w:tc>
          <w:tcPr>
            <w:tcW w:w="1008" w:type="dxa"/>
            <w:tcBorders>
              <w:top w:val="single" w:sz="8" w:space="0" w:color="auto"/>
              <w:bottom w:val="single" w:sz="8" w:space="0" w:color="auto"/>
            </w:tcBorders>
            <w:shd w:val="clear" w:color="auto" w:fill="auto"/>
            <w:noWrap/>
            <w:vAlign w:val="center"/>
          </w:tcPr>
          <w:p w:rsidR="0024207A" w:rsidRPr="00E231D8" w:rsidRDefault="0024207A" w:rsidP="0024207A">
            <w:pPr>
              <w:jc w:val="right"/>
              <w:rPr>
                <w:rFonts w:eastAsia="Calibri" w:cs="Arial"/>
                <w:sz w:val="22"/>
                <w:szCs w:val="22"/>
              </w:rPr>
            </w:pPr>
            <w:r>
              <w:rPr>
                <w:rFonts w:eastAsia="Calibri" w:cs="Arial"/>
                <w:sz w:val="22"/>
                <w:szCs w:val="22"/>
              </w:rPr>
              <w:t>5’786</w:t>
            </w:r>
          </w:p>
        </w:tc>
      </w:tr>
      <w:tr w:rsidR="0024207A" w:rsidRPr="00090665" w:rsidTr="0024207A">
        <w:trPr>
          <w:trHeight w:val="315"/>
        </w:trPr>
        <w:tc>
          <w:tcPr>
            <w:tcW w:w="4410" w:type="dxa"/>
            <w:shd w:val="clear" w:color="auto" w:fill="auto"/>
            <w:noWrap/>
            <w:vAlign w:val="center"/>
          </w:tcPr>
          <w:p w:rsidR="0024207A" w:rsidRPr="0018769F" w:rsidRDefault="0024207A" w:rsidP="0024207A">
            <w:pPr>
              <w:rPr>
                <w:rFonts w:cs="Arial"/>
                <w:i/>
                <w:iCs/>
                <w:color w:val="000000"/>
                <w:sz w:val="22"/>
                <w:szCs w:val="22"/>
              </w:rPr>
            </w:pPr>
            <w:r w:rsidRPr="0018769F">
              <w:rPr>
                <w:rFonts w:cs="Arial"/>
                <w:i/>
                <w:iCs/>
                <w:color w:val="000000"/>
                <w:sz w:val="22"/>
                <w:szCs w:val="22"/>
              </w:rPr>
              <w:t xml:space="preserve">Totale costi </w:t>
            </w:r>
          </w:p>
        </w:tc>
        <w:tc>
          <w:tcPr>
            <w:tcW w:w="1134" w:type="dxa"/>
            <w:shd w:val="clear" w:color="auto" w:fill="auto"/>
            <w:noWrap/>
            <w:vAlign w:val="center"/>
          </w:tcPr>
          <w:p w:rsidR="0024207A" w:rsidRPr="0018769F" w:rsidRDefault="0024207A" w:rsidP="0024207A">
            <w:pPr>
              <w:jc w:val="right"/>
              <w:rPr>
                <w:rFonts w:cs="Arial"/>
                <w:i/>
                <w:iCs/>
                <w:color w:val="000000"/>
                <w:sz w:val="22"/>
                <w:szCs w:val="22"/>
              </w:rPr>
            </w:pPr>
            <w:r w:rsidRPr="0018769F">
              <w:rPr>
                <w:rFonts w:cs="Arial"/>
                <w:i/>
                <w:iCs/>
                <w:color w:val="000000"/>
                <w:sz w:val="22"/>
                <w:szCs w:val="22"/>
              </w:rPr>
              <w:t>14'920</w:t>
            </w:r>
          </w:p>
        </w:tc>
        <w:tc>
          <w:tcPr>
            <w:tcW w:w="1134" w:type="dxa"/>
            <w:shd w:val="clear" w:color="auto" w:fill="auto"/>
            <w:noWrap/>
            <w:vAlign w:val="center"/>
          </w:tcPr>
          <w:p w:rsidR="0024207A" w:rsidRPr="0018769F" w:rsidRDefault="0024207A" w:rsidP="0024207A">
            <w:pPr>
              <w:jc w:val="right"/>
              <w:rPr>
                <w:rFonts w:cs="Arial"/>
                <w:i/>
                <w:iCs/>
                <w:color w:val="000000"/>
                <w:sz w:val="22"/>
                <w:szCs w:val="22"/>
              </w:rPr>
            </w:pPr>
            <w:r w:rsidRPr="0018769F">
              <w:rPr>
                <w:rFonts w:cs="Arial"/>
                <w:i/>
                <w:iCs/>
                <w:color w:val="000000"/>
                <w:sz w:val="22"/>
                <w:szCs w:val="22"/>
              </w:rPr>
              <w:t>14’960</w:t>
            </w:r>
          </w:p>
        </w:tc>
        <w:tc>
          <w:tcPr>
            <w:tcW w:w="992" w:type="dxa"/>
            <w:vAlign w:val="center"/>
          </w:tcPr>
          <w:p w:rsidR="0024207A" w:rsidRPr="0018769F" w:rsidRDefault="0024207A" w:rsidP="0024207A">
            <w:pPr>
              <w:jc w:val="right"/>
              <w:rPr>
                <w:rFonts w:cs="Arial"/>
                <w:i/>
                <w:iCs/>
                <w:color w:val="000000"/>
                <w:sz w:val="22"/>
                <w:szCs w:val="22"/>
              </w:rPr>
            </w:pPr>
            <w:r>
              <w:rPr>
                <w:rFonts w:cs="Arial"/>
                <w:i/>
                <w:iCs/>
                <w:color w:val="000000"/>
                <w:sz w:val="22"/>
                <w:szCs w:val="22"/>
              </w:rPr>
              <w:t>15’582</w:t>
            </w:r>
          </w:p>
        </w:tc>
        <w:tc>
          <w:tcPr>
            <w:tcW w:w="976" w:type="dxa"/>
            <w:vAlign w:val="center"/>
          </w:tcPr>
          <w:p w:rsidR="0024207A" w:rsidRPr="00E231D8" w:rsidRDefault="0024207A" w:rsidP="0024207A">
            <w:pPr>
              <w:jc w:val="right"/>
              <w:rPr>
                <w:rFonts w:cs="Arial"/>
                <w:i/>
                <w:iCs/>
                <w:color w:val="000000"/>
                <w:sz w:val="22"/>
                <w:szCs w:val="22"/>
              </w:rPr>
            </w:pPr>
            <w:r w:rsidRPr="00E231D8">
              <w:rPr>
                <w:rFonts w:cs="Arial"/>
                <w:i/>
                <w:iCs/>
                <w:color w:val="000000"/>
                <w:sz w:val="22"/>
                <w:szCs w:val="22"/>
              </w:rPr>
              <w:t>16’703</w:t>
            </w:r>
          </w:p>
        </w:tc>
        <w:tc>
          <w:tcPr>
            <w:tcW w:w="1008" w:type="dxa"/>
            <w:tcBorders>
              <w:top w:val="single" w:sz="8" w:space="0" w:color="auto"/>
            </w:tcBorders>
            <w:shd w:val="clear" w:color="auto" w:fill="auto"/>
            <w:noWrap/>
            <w:vAlign w:val="center"/>
          </w:tcPr>
          <w:p w:rsidR="0024207A" w:rsidRPr="00E231D8" w:rsidRDefault="0024207A" w:rsidP="0024207A">
            <w:pPr>
              <w:jc w:val="right"/>
              <w:rPr>
                <w:rFonts w:cs="Arial"/>
                <w:i/>
                <w:iCs/>
                <w:color w:val="000000"/>
                <w:sz w:val="22"/>
                <w:szCs w:val="22"/>
              </w:rPr>
            </w:pPr>
            <w:r>
              <w:rPr>
                <w:rFonts w:cs="Arial"/>
                <w:i/>
                <w:iCs/>
                <w:color w:val="000000"/>
                <w:sz w:val="22"/>
                <w:szCs w:val="22"/>
              </w:rPr>
              <w:t>17’705</w:t>
            </w:r>
          </w:p>
        </w:tc>
      </w:tr>
      <w:tr w:rsidR="0024207A" w:rsidRPr="0018769F" w:rsidTr="0024207A">
        <w:trPr>
          <w:trHeight w:val="315"/>
        </w:trPr>
        <w:tc>
          <w:tcPr>
            <w:tcW w:w="4410" w:type="dxa"/>
            <w:shd w:val="clear" w:color="auto" w:fill="auto"/>
            <w:noWrap/>
            <w:vAlign w:val="center"/>
          </w:tcPr>
          <w:p w:rsidR="0024207A" w:rsidRPr="0018769F" w:rsidRDefault="0024207A" w:rsidP="0024207A">
            <w:pPr>
              <w:rPr>
                <w:rFonts w:cs="Arial"/>
                <w:i/>
                <w:iCs/>
                <w:color w:val="000000"/>
                <w:sz w:val="22"/>
                <w:szCs w:val="22"/>
              </w:rPr>
            </w:pPr>
            <w:r w:rsidRPr="0018769F">
              <w:rPr>
                <w:rFonts w:cs="Arial"/>
                <w:i/>
                <w:iCs/>
                <w:color w:val="000000"/>
                <w:sz w:val="22"/>
                <w:szCs w:val="22"/>
              </w:rPr>
              <w:t>Risultato d'esercizio</w:t>
            </w:r>
          </w:p>
        </w:tc>
        <w:tc>
          <w:tcPr>
            <w:tcW w:w="1134" w:type="dxa"/>
            <w:shd w:val="clear" w:color="auto" w:fill="auto"/>
            <w:noWrap/>
            <w:vAlign w:val="center"/>
          </w:tcPr>
          <w:p w:rsidR="0024207A" w:rsidRPr="0018769F" w:rsidRDefault="0024207A" w:rsidP="0024207A">
            <w:pPr>
              <w:jc w:val="right"/>
              <w:rPr>
                <w:rFonts w:cs="Arial"/>
                <w:i/>
                <w:iCs/>
                <w:color w:val="000000"/>
                <w:sz w:val="22"/>
                <w:szCs w:val="22"/>
              </w:rPr>
            </w:pPr>
            <w:r w:rsidRPr="0018769F">
              <w:rPr>
                <w:rFonts w:cs="Arial"/>
                <w:i/>
                <w:iCs/>
                <w:color w:val="000000"/>
                <w:sz w:val="22"/>
                <w:szCs w:val="22"/>
              </w:rPr>
              <w:t>-230</w:t>
            </w:r>
          </w:p>
        </w:tc>
        <w:tc>
          <w:tcPr>
            <w:tcW w:w="1134" w:type="dxa"/>
            <w:shd w:val="clear" w:color="auto" w:fill="auto"/>
            <w:noWrap/>
            <w:vAlign w:val="center"/>
          </w:tcPr>
          <w:p w:rsidR="0024207A" w:rsidRPr="0018769F" w:rsidRDefault="0024207A" w:rsidP="0024207A">
            <w:pPr>
              <w:jc w:val="right"/>
              <w:rPr>
                <w:rFonts w:cs="Arial"/>
                <w:i/>
                <w:iCs/>
                <w:color w:val="000000"/>
                <w:sz w:val="22"/>
                <w:szCs w:val="22"/>
              </w:rPr>
            </w:pPr>
            <w:r w:rsidRPr="0018769F">
              <w:rPr>
                <w:rFonts w:cs="Arial"/>
                <w:i/>
                <w:iCs/>
                <w:color w:val="000000"/>
                <w:sz w:val="22"/>
                <w:szCs w:val="22"/>
              </w:rPr>
              <w:t>166</w:t>
            </w:r>
          </w:p>
        </w:tc>
        <w:tc>
          <w:tcPr>
            <w:tcW w:w="992" w:type="dxa"/>
            <w:vAlign w:val="center"/>
          </w:tcPr>
          <w:p w:rsidR="0024207A" w:rsidRPr="0018769F" w:rsidRDefault="0024207A" w:rsidP="0024207A">
            <w:pPr>
              <w:jc w:val="right"/>
              <w:rPr>
                <w:rFonts w:cs="Arial"/>
                <w:i/>
                <w:iCs/>
                <w:color w:val="000000"/>
                <w:sz w:val="22"/>
                <w:szCs w:val="22"/>
              </w:rPr>
            </w:pPr>
            <w:r>
              <w:rPr>
                <w:rFonts w:cs="Arial"/>
                <w:i/>
                <w:iCs/>
                <w:color w:val="000000"/>
                <w:sz w:val="22"/>
                <w:szCs w:val="22"/>
              </w:rPr>
              <w:t>135</w:t>
            </w:r>
          </w:p>
        </w:tc>
        <w:tc>
          <w:tcPr>
            <w:tcW w:w="976" w:type="dxa"/>
            <w:vAlign w:val="center"/>
          </w:tcPr>
          <w:p w:rsidR="0024207A" w:rsidRPr="00E231D8" w:rsidRDefault="0024207A" w:rsidP="0024207A">
            <w:pPr>
              <w:jc w:val="right"/>
              <w:rPr>
                <w:rFonts w:cs="Arial"/>
                <w:i/>
                <w:iCs/>
                <w:color w:val="000000"/>
                <w:sz w:val="22"/>
                <w:szCs w:val="22"/>
              </w:rPr>
            </w:pPr>
            <w:r w:rsidRPr="00E231D8">
              <w:rPr>
                <w:rFonts w:cs="Arial"/>
                <w:i/>
                <w:iCs/>
                <w:color w:val="000000"/>
                <w:sz w:val="22"/>
                <w:szCs w:val="22"/>
              </w:rPr>
              <w:t>460</w:t>
            </w:r>
          </w:p>
        </w:tc>
        <w:tc>
          <w:tcPr>
            <w:tcW w:w="1008" w:type="dxa"/>
            <w:shd w:val="clear" w:color="auto" w:fill="auto"/>
            <w:noWrap/>
            <w:vAlign w:val="center"/>
          </w:tcPr>
          <w:p w:rsidR="0024207A" w:rsidRPr="00E231D8" w:rsidRDefault="0024207A" w:rsidP="0024207A">
            <w:pPr>
              <w:jc w:val="right"/>
              <w:rPr>
                <w:rFonts w:cs="Arial"/>
                <w:i/>
                <w:iCs/>
                <w:color w:val="000000"/>
                <w:sz w:val="22"/>
                <w:szCs w:val="22"/>
              </w:rPr>
            </w:pPr>
            <w:r>
              <w:rPr>
                <w:rFonts w:cs="Arial"/>
                <w:i/>
                <w:iCs/>
                <w:color w:val="000000"/>
                <w:sz w:val="22"/>
                <w:szCs w:val="22"/>
              </w:rPr>
              <w:t>154</w:t>
            </w:r>
          </w:p>
        </w:tc>
      </w:tr>
    </w:tbl>
    <w:p w:rsidR="0024207A" w:rsidRPr="006F5E82" w:rsidRDefault="0024207A" w:rsidP="0024207A">
      <w:pPr>
        <w:rPr>
          <w:rFonts w:cs="Arial"/>
          <w:sz w:val="16"/>
          <w:szCs w:val="16"/>
        </w:rPr>
      </w:pPr>
    </w:p>
    <w:p w:rsidR="0024207A" w:rsidRPr="0022609F" w:rsidRDefault="0024207A" w:rsidP="0024207A">
      <w:pPr>
        <w:rPr>
          <w:rFonts w:cs="Arial"/>
          <w:i/>
          <w:szCs w:val="24"/>
        </w:rPr>
      </w:pPr>
      <w:r w:rsidRPr="0022609F">
        <w:rPr>
          <w:rFonts w:cs="Arial"/>
          <w:i/>
          <w:sz w:val="16"/>
          <w:szCs w:val="16"/>
        </w:rPr>
        <w:t>Fonte: SUPSI</w:t>
      </w:r>
      <w:r>
        <w:rPr>
          <w:rFonts w:cs="Arial"/>
          <w:i/>
          <w:sz w:val="16"/>
          <w:szCs w:val="16"/>
        </w:rPr>
        <w:t>, 2018</w:t>
      </w:r>
    </w:p>
    <w:p w:rsidR="0024207A" w:rsidRDefault="0024207A" w:rsidP="0024207A">
      <w:pPr>
        <w:autoSpaceDE w:val="0"/>
        <w:autoSpaceDN w:val="0"/>
        <w:adjustRightInd w:val="0"/>
        <w:rPr>
          <w:rFonts w:cs="Arial"/>
          <w:bCs/>
          <w:szCs w:val="24"/>
          <w:lang w:val="it-CH"/>
        </w:rPr>
      </w:pPr>
    </w:p>
    <w:p w:rsidR="0024207A" w:rsidRPr="000C2954" w:rsidRDefault="0024207A" w:rsidP="0024207A">
      <w:pPr>
        <w:rPr>
          <w:lang w:val="it-CH"/>
        </w:rPr>
      </w:pPr>
      <w:r>
        <w:rPr>
          <w:lang w:val="it-CH"/>
        </w:rPr>
        <w:t xml:space="preserve">Come si evince dalla Tabella 14, a </w:t>
      </w:r>
      <w:r w:rsidRPr="00E231D8">
        <w:rPr>
          <w:lang w:val="it-CH"/>
        </w:rPr>
        <w:t>differenza di USI e SUPSI, il DFA è finanziato quasi interamente dallo Stato</w:t>
      </w:r>
      <w:r>
        <w:rPr>
          <w:lang w:val="it-CH"/>
        </w:rPr>
        <w:t xml:space="preserve"> (80%)</w:t>
      </w:r>
      <w:r w:rsidRPr="00E231D8">
        <w:rPr>
          <w:lang w:val="it-CH"/>
        </w:rPr>
        <w:t xml:space="preserve">. </w:t>
      </w:r>
      <w:r>
        <w:rPr>
          <w:lang w:val="it-CH"/>
        </w:rPr>
        <w:t xml:space="preserve">L’aumento rispetto al 2016, riportato nella tabella, è dovuto al contributo forfettario del Cantone passato da 13.0 a 14.25 milioni di franchi grazie a un +1% e all’attribuzione al </w:t>
      </w:r>
      <w:proofErr w:type="spellStart"/>
      <w:r>
        <w:rPr>
          <w:lang w:val="it-CH"/>
        </w:rPr>
        <w:t>Cdp</w:t>
      </w:r>
      <w:proofErr w:type="spellEnd"/>
      <w:r>
        <w:rPr>
          <w:lang w:val="it-CH"/>
        </w:rPr>
        <w:t xml:space="preserve"> dei mandati di formazione continua e di ricerca educativa precedentemente conteggiati in modo separato. Infatti, come spiegato in precedenza, dal 2017 il montante di 0.8 milioni di franchi per il mandato di ricerca educativa è inserito </w:t>
      </w:r>
      <w:r w:rsidRPr="00257BB2">
        <w:rPr>
          <w:lang w:val="it-CH"/>
        </w:rPr>
        <w:t>nel contributo forfettario del Cantone</w:t>
      </w:r>
      <w:r>
        <w:rPr>
          <w:lang w:val="it-CH"/>
        </w:rPr>
        <w:t xml:space="preserve">, mentre in precedenza era registrato tra i ricavi da terzi. Analogamente, anche per la formazione continua i circa 0.3 milioni che in precedenza la Divisione della scuola finanziava direttamente quale mandato per corsi specifici è stato inglobato nel </w:t>
      </w:r>
      <w:proofErr w:type="spellStart"/>
      <w:r>
        <w:rPr>
          <w:lang w:val="it-CH"/>
        </w:rPr>
        <w:t>Cdp</w:t>
      </w:r>
      <w:proofErr w:type="spellEnd"/>
      <w:r>
        <w:rPr>
          <w:lang w:val="it-CH"/>
        </w:rPr>
        <w:t xml:space="preserve">. </w:t>
      </w:r>
      <w:r w:rsidRPr="003440D7">
        <w:rPr>
          <w:lang w:val="it-CH"/>
        </w:rPr>
        <w:t>L’aumento tra il 2016 e il 2017 della voce “</w:t>
      </w:r>
      <w:r w:rsidRPr="003440D7">
        <w:rPr>
          <w:color w:val="000000"/>
        </w:rPr>
        <w:t>Contributo cantonale - importo forfettario</w:t>
      </w:r>
      <w:r w:rsidRPr="003440D7">
        <w:rPr>
          <w:lang w:val="it-CH"/>
        </w:rPr>
        <w:t xml:space="preserve"> “</w:t>
      </w:r>
      <w:r>
        <w:rPr>
          <w:lang w:val="it-CH"/>
        </w:rPr>
        <w:t xml:space="preserve"> è stato quindi di 1.1 milioni di franchi. </w:t>
      </w:r>
      <w:r w:rsidRPr="00257BB2">
        <w:rPr>
          <w:lang w:val="it-CH"/>
        </w:rPr>
        <w:t>Si ricorda che la voce "ricavi da terzi" comprend</w:t>
      </w:r>
      <w:r>
        <w:rPr>
          <w:lang w:val="it-CH"/>
        </w:rPr>
        <w:t xml:space="preserve">e il </w:t>
      </w:r>
      <w:r w:rsidRPr="00972F7A">
        <w:rPr>
          <w:lang w:val="it-CH"/>
        </w:rPr>
        <w:t xml:space="preserve">contributo supplementare versato dal Cantone per la realizzazione del progetto “100 matricole” pari a </w:t>
      </w:r>
      <w:r>
        <w:rPr>
          <w:lang w:val="it-CH"/>
        </w:rPr>
        <w:t>1.1</w:t>
      </w:r>
      <w:r w:rsidRPr="00972F7A">
        <w:rPr>
          <w:lang w:val="it-CH"/>
        </w:rPr>
        <w:t xml:space="preserve"> milioni</w:t>
      </w:r>
      <w:r>
        <w:rPr>
          <w:lang w:val="it-CH"/>
        </w:rPr>
        <w:t xml:space="preserve"> di franchi per il 2017.</w:t>
      </w:r>
    </w:p>
    <w:p w:rsidR="0024207A" w:rsidRDefault="0024207A" w:rsidP="0024207A">
      <w:pPr>
        <w:rPr>
          <w:lang w:val="it-CH"/>
        </w:rPr>
      </w:pPr>
    </w:p>
    <w:p w:rsidR="0024207A" w:rsidRPr="00257BB2" w:rsidRDefault="0024207A" w:rsidP="0024207A">
      <w:pPr>
        <w:rPr>
          <w:lang w:val="it-CH"/>
        </w:rPr>
      </w:pPr>
      <w:r>
        <w:rPr>
          <w:lang w:val="it-CH"/>
        </w:rPr>
        <w:lastRenderedPageBreak/>
        <w:t xml:space="preserve">Per quanto riguarda i costi, </w:t>
      </w:r>
      <w:r w:rsidRPr="00257BB2">
        <w:rPr>
          <w:lang w:val="it-CH"/>
        </w:rPr>
        <w:t xml:space="preserve">la crescita dei costi del personale </w:t>
      </w:r>
      <w:r>
        <w:rPr>
          <w:lang w:val="it-CH"/>
        </w:rPr>
        <w:t>r</w:t>
      </w:r>
      <w:r w:rsidRPr="00257BB2">
        <w:rPr>
          <w:lang w:val="it-CH"/>
        </w:rPr>
        <w:t xml:space="preserve">ispetto al 2016 è data dal trasferimento, </w:t>
      </w:r>
      <w:r>
        <w:rPr>
          <w:lang w:val="it-CH"/>
        </w:rPr>
        <w:t>dal</w:t>
      </w:r>
      <w:r w:rsidRPr="00257BB2">
        <w:rPr>
          <w:lang w:val="it-CH"/>
        </w:rPr>
        <w:t xml:space="preserve"> 1</w:t>
      </w:r>
      <w:r>
        <w:rPr>
          <w:lang w:val="it-CH"/>
        </w:rPr>
        <w:t>°</w:t>
      </w:r>
      <w:r w:rsidRPr="00257BB2">
        <w:rPr>
          <w:lang w:val="it-CH"/>
        </w:rPr>
        <w:t xml:space="preserve"> gennaio 2017, del </w:t>
      </w:r>
      <w:r>
        <w:rPr>
          <w:lang w:val="it-CH"/>
        </w:rPr>
        <w:t>C</w:t>
      </w:r>
      <w:r w:rsidRPr="00257BB2">
        <w:rPr>
          <w:lang w:val="it-CH"/>
        </w:rPr>
        <w:t xml:space="preserve">entro competenze lingue </w:t>
      </w:r>
      <w:r>
        <w:rPr>
          <w:lang w:val="it-CH"/>
        </w:rPr>
        <w:t>proveniente da</w:t>
      </w:r>
      <w:r w:rsidRPr="00257BB2">
        <w:rPr>
          <w:lang w:val="it-CH"/>
        </w:rPr>
        <w:t xml:space="preserve">l DEASS della SUPSI. Tale trasferimento ha generato un aumento degli stipendi e oneri sociali pari a 1.4 </w:t>
      </w:r>
      <w:r>
        <w:rPr>
          <w:lang w:val="it-CH"/>
        </w:rPr>
        <w:t>milioni di franchi</w:t>
      </w:r>
      <w:r w:rsidRPr="00257BB2">
        <w:rPr>
          <w:lang w:val="it-CH"/>
        </w:rPr>
        <w:t>, corrispon</w:t>
      </w:r>
      <w:r>
        <w:rPr>
          <w:lang w:val="it-CH"/>
        </w:rPr>
        <w:t>denti a 10.8 unità a tempo pien</w:t>
      </w:r>
      <w:r w:rsidRPr="00257BB2">
        <w:rPr>
          <w:lang w:val="it-CH"/>
        </w:rPr>
        <w:t>o.</w:t>
      </w:r>
    </w:p>
    <w:p w:rsidR="0024207A" w:rsidRPr="00D6413E" w:rsidRDefault="0024207A" w:rsidP="0024207A">
      <w:pPr>
        <w:autoSpaceDE w:val="0"/>
        <w:autoSpaceDN w:val="0"/>
        <w:adjustRightInd w:val="0"/>
        <w:rPr>
          <w:rFonts w:cs="Arial"/>
          <w:bCs/>
          <w:sz w:val="20"/>
          <w:lang w:val="it-CH"/>
        </w:rPr>
      </w:pPr>
    </w:p>
    <w:p w:rsidR="0024207A" w:rsidRPr="00D6413E" w:rsidRDefault="0024207A" w:rsidP="0024207A">
      <w:pPr>
        <w:autoSpaceDE w:val="0"/>
        <w:autoSpaceDN w:val="0"/>
        <w:adjustRightInd w:val="0"/>
        <w:rPr>
          <w:rFonts w:cs="Arial"/>
          <w:bCs/>
          <w:sz w:val="20"/>
          <w:lang w:val="it-CH"/>
        </w:rPr>
      </w:pPr>
    </w:p>
    <w:p w:rsidR="0024207A" w:rsidRPr="00245751" w:rsidRDefault="0024207A" w:rsidP="0024207A">
      <w:pPr>
        <w:pStyle w:val="Titolo2"/>
      </w:pPr>
      <w:r w:rsidRPr="00245751">
        <w:t>4.3</w:t>
      </w:r>
      <w:r w:rsidRPr="00245751">
        <w:tab/>
      </w:r>
      <w:r>
        <w:t>Tabella di v</w:t>
      </w:r>
      <w:r w:rsidRPr="00245751">
        <w:t>erifica degli obiettivi 201</w:t>
      </w:r>
      <w:r>
        <w:t>7</w:t>
      </w:r>
      <w:r w:rsidRPr="00245751">
        <w:t xml:space="preserve"> del </w:t>
      </w:r>
      <w:proofErr w:type="spellStart"/>
      <w:r>
        <w:t>Cdp</w:t>
      </w:r>
      <w:proofErr w:type="spellEnd"/>
      <w:r>
        <w:t xml:space="preserve"> </w:t>
      </w:r>
      <w:r w:rsidRPr="00245751">
        <w:t>del DFA</w:t>
      </w:r>
    </w:p>
    <w:p w:rsidR="0024207A" w:rsidRDefault="0024207A" w:rsidP="0024207A">
      <w:pPr>
        <w:rPr>
          <w:rFonts w:cs="Arial"/>
          <w:szCs w:val="24"/>
        </w:rPr>
      </w:pPr>
      <w:proofErr w:type="spellStart"/>
      <w:r>
        <w:rPr>
          <w:rFonts w:cs="Arial"/>
          <w:szCs w:val="24"/>
        </w:rPr>
        <w:t>N</w:t>
      </w:r>
      <w:r w:rsidRPr="00245751">
        <w:rPr>
          <w:rFonts w:cs="Arial"/>
          <w:szCs w:val="24"/>
        </w:rPr>
        <w:t>al</w:t>
      </w:r>
      <w:proofErr w:type="spellEnd"/>
      <w:r w:rsidRPr="00245751">
        <w:rPr>
          <w:rFonts w:cs="Arial"/>
          <w:szCs w:val="24"/>
        </w:rPr>
        <w:t xml:space="preserve"> documento “DFA - </w:t>
      </w:r>
      <w:r w:rsidRPr="00984B69">
        <w:t>Rapporto sulla valutazione degli obiettivi per l’anno 201</w:t>
      </w:r>
      <w:r>
        <w:t>7</w:t>
      </w:r>
      <w:r w:rsidRPr="00245751">
        <w:t>”</w:t>
      </w:r>
      <w:r w:rsidRPr="00245751">
        <w:rPr>
          <w:rFonts w:cs="Arial"/>
          <w:szCs w:val="24"/>
        </w:rPr>
        <w:t xml:space="preserve"> redatto dal</w:t>
      </w:r>
      <w:r>
        <w:rPr>
          <w:rFonts w:cs="Arial"/>
          <w:szCs w:val="24"/>
        </w:rPr>
        <w:t xml:space="preserve">la DCSU </w:t>
      </w:r>
      <w:r w:rsidRPr="00245751">
        <w:rPr>
          <w:rFonts w:cs="Arial"/>
          <w:szCs w:val="24"/>
        </w:rPr>
        <w:t xml:space="preserve">all’attenzione del Consiglio di Stato, </w:t>
      </w:r>
      <w:r>
        <w:rPr>
          <w:rFonts w:cs="Arial"/>
          <w:szCs w:val="24"/>
        </w:rPr>
        <w:t>si trovano</w:t>
      </w:r>
      <w:r w:rsidRPr="00245751">
        <w:rPr>
          <w:rFonts w:cs="Arial"/>
          <w:szCs w:val="24"/>
        </w:rPr>
        <w:t xml:space="preserve"> i dati riassuntivi </w:t>
      </w:r>
      <w:r>
        <w:rPr>
          <w:rFonts w:cs="Arial"/>
          <w:szCs w:val="24"/>
        </w:rPr>
        <w:t>presentati n</w:t>
      </w:r>
      <w:r w:rsidRPr="00245751">
        <w:rPr>
          <w:rFonts w:cs="Arial"/>
          <w:szCs w:val="24"/>
        </w:rPr>
        <w:t xml:space="preserve">ella tabella </w:t>
      </w:r>
      <w:r w:rsidRPr="00182F46">
        <w:rPr>
          <w:rFonts w:cs="Arial"/>
          <w:szCs w:val="24"/>
        </w:rPr>
        <w:t>dell’</w:t>
      </w:r>
      <w:r w:rsidRPr="00A532AC">
        <w:rPr>
          <w:rFonts w:cs="Arial"/>
          <w:szCs w:val="24"/>
        </w:rPr>
        <w:t>Allegato 3</w:t>
      </w:r>
      <w:r w:rsidRPr="00182F46">
        <w:rPr>
          <w:rFonts w:cs="Arial"/>
          <w:szCs w:val="24"/>
        </w:rPr>
        <w:t>.</w:t>
      </w:r>
      <w:r w:rsidRPr="00245751">
        <w:rPr>
          <w:rFonts w:cs="Arial"/>
          <w:szCs w:val="24"/>
        </w:rPr>
        <w:t xml:space="preserve"> </w:t>
      </w:r>
      <w:r w:rsidRPr="00A06AFD">
        <w:rPr>
          <w:rFonts w:cs="Arial"/>
          <w:szCs w:val="24"/>
        </w:rPr>
        <w:t xml:space="preserve">Si </w:t>
      </w:r>
      <w:r>
        <w:rPr>
          <w:rFonts w:cs="Arial"/>
          <w:szCs w:val="24"/>
        </w:rPr>
        <w:t>conclude che il</w:t>
      </w:r>
      <w:r w:rsidRPr="00A06AFD">
        <w:rPr>
          <w:rFonts w:cs="Arial"/>
          <w:szCs w:val="24"/>
        </w:rPr>
        <w:t xml:space="preserve"> </w:t>
      </w:r>
      <w:r w:rsidRPr="00245751">
        <w:rPr>
          <w:rFonts w:cs="Arial"/>
          <w:szCs w:val="24"/>
        </w:rPr>
        <w:t xml:space="preserve">DFA </w:t>
      </w:r>
      <w:r w:rsidRPr="000C2954">
        <w:rPr>
          <w:rFonts w:cs="Arial"/>
          <w:szCs w:val="24"/>
        </w:rPr>
        <w:t xml:space="preserve">adempie globalmente le condizioni del </w:t>
      </w:r>
      <w:proofErr w:type="spellStart"/>
      <w:r>
        <w:rPr>
          <w:rFonts w:cs="Arial"/>
          <w:szCs w:val="24"/>
        </w:rPr>
        <w:t>C</w:t>
      </w:r>
      <w:r w:rsidRPr="000C2954">
        <w:rPr>
          <w:rFonts w:cs="Arial"/>
          <w:szCs w:val="24"/>
        </w:rPr>
        <w:t>dp</w:t>
      </w:r>
      <w:proofErr w:type="spellEnd"/>
      <w:r w:rsidRPr="000C2954">
        <w:rPr>
          <w:rFonts w:cs="Arial"/>
          <w:szCs w:val="24"/>
        </w:rPr>
        <w:t xml:space="preserve">, raggiungendo </w:t>
      </w:r>
      <w:r w:rsidRPr="00245751">
        <w:rPr>
          <w:rFonts w:cs="Arial"/>
          <w:szCs w:val="24"/>
        </w:rPr>
        <w:t>i principali obiettivi</w:t>
      </w:r>
      <w:r>
        <w:rPr>
          <w:rFonts w:cs="Arial"/>
          <w:szCs w:val="24"/>
        </w:rPr>
        <w:t xml:space="preserve"> </w:t>
      </w:r>
      <w:r w:rsidRPr="000C2954">
        <w:rPr>
          <w:rFonts w:cs="Arial"/>
          <w:szCs w:val="24"/>
        </w:rPr>
        <w:t>previsti</w:t>
      </w:r>
      <w:r w:rsidRPr="00A532AC">
        <w:rPr>
          <w:rFonts w:cs="Arial"/>
          <w:szCs w:val="24"/>
        </w:rPr>
        <w:t xml:space="preserve"> </w:t>
      </w:r>
      <w:r>
        <w:rPr>
          <w:rFonts w:cs="Arial"/>
          <w:szCs w:val="24"/>
        </w:rPr>
        <w:t xml:space="preserve">dagli </w:t>
      </w:r>
      <w:r w:rsidRPr="00245751">
        <w:rPr>
          <w:rFonts w:cs="Arial"/>
          <w:szCs w:val="24"/>
        </w:rPr>
        <w:t>indicatori</w:t>
      </w:r>
      <w:r w:rsidRPr="000C2954">
        <w:rPr>
          <w:rFonts w:cs="Arial"/>
          <w:szCs w:val="24"/>
        </w:rPr>
        <w:t>.</w:t>
      </w:r>
    </w:p>
    <w:p w:rsidR="0024207A" w:rsidRDefault="0024207A" w:rsidP="0024207A">
      <w:pPr>
        <w:rPr>
          <w:rFonts w:cs="Arial"/>
          <w:szCs w:val="24"/>
        </w:rPr>
      </w:pPr>
    </w:p>
    <w:p w:rsidR="0024207A" w:rsidRDefault="0024207A" w:rsidP="0024207A">
      <w:pPr>
        <w:rPr>
          <w:rFonts w:cs="Arial"/>
          <w:szCs w:val="24"/>
        </w:rPr>
      </w:pPr>
    </w:p>
    <w:p w:rsidR="0024207A" w:rsidRDefault="0024207A" w:rsidP="0024207A">
      <w:pPr>
        <w:rPr>
          <w:rFonts w:cs="Arial"/>
          <w:szCs w:val="24"/>
        </w:rPr>
      </w:pPr>
    </w:p>
    <w:p w:rsidR="0024207A" w:rsidRPr="00E351D0" w:rsidRDefault="0024207A" w:rsidP="0024207A">
      <w:pPr>
        <w:pStyle w:val="Titolo1"/>
      </w:pPr>
      <w:bookmarkStart w:id="69" w:name="_Toc268859955"/>
      <w:bookmarkStart w:id="70" w:name="_Toc303080090"/>
      <w:r>
        <w:t>5</w:t>
      </w:r>
      <w:r w:rsidRPr="00E351D0">
        <w:t>.</w:t>
      </w:r>
      <w:r w:rsidRPr="00E351D0">
        <w:tab/>
      </w:r>
      <w:bookmarkStart w:id="71" w:name="_Toc268859956"/>
      <w:bookmarkStart w:id="72" w:name="_Toc303080091"/>
      <w:bookmarkEnd w:id="69"/>
      <w:bookmarkEnd w:id="70"/>
      <w:r w:rsidRPr="00E231D8">
        <w:t>Campus universitari</w:t>
      </w:r>
      <w:r>
        <w:t xml:space="preserve"> </w:t>
      </w:r>
      <w:bookmarkEnd w:id="71"/>
      <w:bookmarkEnd w:id="72"/>
    </w:p>
    <w:p w:rsidR="0024207A" w:rsidRPr="0072102D" w:rsidRDefault="0024207A" w:rsidP="0024207A">
      <w:pPr>
        <w:rPr>
          <w:lang w:eastAsia="it-CH"/>
        </w:rPr>
      </w:pPr>
      <w:r w:rsidRPr="0072102D">
        <w:rPr>
          <w:lang w:eastAsia="it-CH"/>
        </w:rPr>
        <w:t>La cost</w:t>
      </w:r>
      <w:r>
        <w:rPr>
          <w:lang w:eastAsia="it-CH"/>
        </w:rPr>
        <w:t xml:space="preserve">ruzione dei campus universitari </w:t>
      </w:r>
      <w:r w:rsidRPr="0072102D">
        <w:rPr>
          <w:lang w:eastAsia="it-CH"/>
        </w:rPr>
        <w:t>è garantita dal finanziamento federale e da quello cantonale</w:t>
      </w:r>
      <w:r>
        <w:rPr>
          <w:lang w:eastAsia="it-CH"/>
        </w:rPr>
        <w:t>, quest’ultimo</w:t>
      </w:r>
      <w:r w:rsidRPr="0072102D">
        <w:rPr>
          <w:lang w:eastAsia="it-CH"/>
        </w:rPr>
        <w:t xml:space="preserve"> approvato da parte del Gran Consiglio nella seduta del 13 ottobre 2014 </w:t>
      </w:r>
      <w:r>
        <w:rPr>
          <w:lang w:eastAsia="it-CH"/>
        </w:rPr>
        <w:t>con il</w:t>
      </w:r>
      <w:r w:rsidRPr="0072102D">
        <w:rPr>
          <w:lang w:eastAsia="it-CH"/>
        </w:rPr>
        <w:t xml:space="preserve"> </w:t>
      </w:r>
      <w:r>
        <w:rPr>
          <w:lang w:eastAsia="it-CH"/>
        </w:rPr>
        <w:t>m</w:t>
      </w:r>
      <w:r w:rsidRPr="0072102D">
        <w:rPr>
          <w:lang w:eastAsia="it-CH"/>
        </w:rPr>
        <w:t xml:space="preserve">essaggio </w:t>
      </w:r>
      <w:r>
        <w:rPr>
          <w:lang w:eastAsia="it-CH"/>
        </w:rPr>
        <w:t xml:space="preserve">n. </w:t>
      </w:r>
      <w:r w:rsidRPr="0072102D">
        <w:rPr>
          <w:lang w:eastAsia="it-CH"/>
        </w:rPr>
        <w:t xml:space="preserve">6957 per la “Richiesta di un contributo massimo d’investimento di 53.2 milioni di franchi e lo stanziamento di un prestito cantonale per la costruzione dei Campus dell’Università della Svizzera italiana (USI) e della Scuola universitaria professionale della Svizzera italiana (SUPSI) e per l’acquisto del terreno necessario alla costruzione del Campus di Lugano FFS”. Ogni progetto ha un’organizzazione indipendente così come una gestione finanziaria autonoma volta a soddisfare le richieste di controllo e finanziarie di ogni ente finanziatore, sia federale sia cantonale. Per ogni progetto sono stati aperti conti bancari specifici sui quali vengono effettuati tutti i movimenti contabili che sono controllati accuratamente dall’organizzazione di progetto prima di essere inviati quale richiesta di acconti alla SEFRI (Confederazione) e al DECS (Cantone). </w:t>
      </w:r>
    </w:p>
    <w:p w:rsidR="0024207A" w:rsidRPr="00D6413E" w:rsidRDefault="0024207A" w:rsidP="0024207A">
      <w:pPr>
        <w:rPr>
          <w:sz w:val="20"/>
          <w:lang w:eastAsia="it-CH"/>
        </w:rPr>
      </w:pPr>
    </w:p>
    <w:p w:rsidR="0024207A" w:rsidRDefault="0024207A" w:rsidP="0024207A">
      <w:pPr>
        <w:rPr>
          <w:lang w:val="it-CH"/>
        </w:rPr>
      </w:pPr>
      <w:r w:rsidRPr="00B65A9D">
        <w:rPr>
          <w:lang w:eastAsia="it-CH"/>
        </w:rPr>
        <w:t xml:space="preserve">Per quanto attiene alla costruzione dell’immobile </w:t>
      </w:r>
      <w:r w:rsidRPr="00B65A9D">
        <w:rPr>
          <w:lang w:val="it-CH"/>
        </w:rPr>
        <w:t>previsto in zona</w:t>
      </w:r>
      <w:r>
        <w:rPr>
          <w:lang w:val="it-CH"/>
        </w:rPr>
        <w:t xml:space="preserve"> Campo militare a </w:t>
      </w:r>
      <w:r w:rsidRPr="00C4752D">
        <w:rPr>
          <w:lang w:val="it-CH"/>
        </w:rPr>
        <w:t>Bellinzona</w:t>
      </w:r>
      <w:r>
        <w:rPr>
          <w:lang w:val="it-CH"/>
        </w:rPr>
        <w:t>, destinato a</w:t>
      </w:r>
      <w:r w:rsidRPr="00C4752D">
        <w:rPr>
          <w:lang w:val="it-CH"/>
        </w:rPr>
        <w:t xml:space="preserve"> ospitare </w:t>
      </w:r>
      <w:r>
        <w:rPr>
          <w:lang w:val="it-CH"/>
        </w:rPr>
        <w:t>l’</w:t>
      </w:r>
      <w:r w:rsidRPr="00C4752D">
        <w:rPr>
          <w:lang w:val="it-CH"/>
        </w:rPr>
        <w:t xml:space="preserve">IRB, </w:t>
      </w:r>
      <w:r>
        <w:rPr>
          <w:lang w:val="it-CH"/>
        </w:rPr>
        <w:t xml:space="preserve">lo IOR </w:t>
      </w:r>
      <w:r w:rsidRPr="00C4752D">
        <w:rPr>
          <w:lang w:val="it-CH"/>
        </w:rPr>
        <w:t xml:space="preserve">e </w:t>
      </w:r>
      <w:r>
        <w:rPr>
          <w:lang w:val="it-CH"/>
        </w:rPr>
        <w:t xml:space="preserve">i laboratori di ricerca del </w:t>
      </w:r>
      <w:proofErr w:type="spellStart"/>
      <w:r w:rsidRPr="00C4752D">
        <w:rPr>
          <w:lang w:val="it-CH"/>
        </w:rPr>
        <w:t>Neurocentro</w:t>
      </w:r>
      <w:proofErr w:type="spellEnd"/>
      <w:r>
        <w:rPr>
          <w:lang w:val="it-CH"/>
        </w:rPr>
        <w:t xml:space="preserve"> della Svizzera italiana fa stato il messaggio n. 7233 del 12 ottobre 2016 che prevede un contributo cantonale di 10 milioni di franchi. </w:t>
      </w:r>
    </w:p>
    <w:p w:rsidR="0024207A" w:rsidRPr="00D6413E" w:rsidRDefault="0024207A" w:rsidP="0024207A">
      <w:pPr>
        <w:rPr>
          <w:sz w:val="20"/>
          <w:lang w:val="it-CH"/>
        </w:rPr>
      </w:pPr>
    </w:p>
    <w:p w:rsidR="0024207A" w:rsidRDefault="0024207A" w:rsidP="0024207A">
      <w:pPr>
        <w:rPr>
          <w:lang w:val="it-CH"/>
        </w:rPr>
      </w:pPr>
      <w:r>
        <w:rPr>
          <w:lang w:val="it-CH"/>
        </w:rPr>
        <w:t xml:space="preserve">Di seguito viene illustrato lo stato dei lavori anche di questo progetto di costruzione universitaria. </w:t>
      </w:r>
    </w:p>
    <w:p w:rsidR="0024207A" w:rsidRDefault="0024207A" w:rsidP="0024207A">
      <w:pPr>
        <w:rPr>
          <w:rFonts w:cs="Arial"/>
          <w:szCs w:val="24"/>
          <w:lang w:eastAsia="it-CH"/>
        </w:rPr>
      </w:pPr>
    </w:p>
    <w:p w:rsidR="0024207A" w:rsidRPr="0072102D" w:rsidRDefault="0024207A" w:rsidP="0024207A">
      <w:pPr>
        <w:rPr>
          <w:rFonts w:cs="Arial"/>
          <w:szCs w:val="24"/>
          <w:lang w:eastAsia="it-CH"/>
        </w:rPr>
      </w:pPr>
    </w:p>
    <w:p w:rsidR="0024207A" w:rsidRPr="00B55209" w:rsidRDefault="0024207A" w:rsidP="0024207A">
      <w:pPr>
        <w:spacing w:after="120"/>
        <w:rPr>
          <w:rFonts w:cs="Arial"/>
          <w:b/>
          <w:bCs/>
          <w:szCs w:val="24"/>
          <w:lang w:eastAsia="it-CH"/>
        </w:rPr>
      </w:pPr>
      <w:r>
        <w:rPr>
          <w:rFonts w:cs="Arial"/>
          <w:b/>
          <w:bCs/>
          <w:szCs w:val="24"/>
          <w:lang w:eastAsia="it-CH"/>
        </w:rPr>
        <w:t>5.1</w:t>
      </w:r>
      <w:r>
        <w:rPr>
          <w:rFonts w:cs="Arial"/>
          <w:b/>
          <w:bCs/>
          <w:szCs w:val="24"/>
          <w:lang w:eastAsia="it-CH"/>
        </w:rPr>
        <w:tab/>
      </w:r>
      <w:r w:rsidRPr="00B55209">
        <w:rPr>
          <w:rFonts w:cs="Arial"/>
          <w:b/>
          <w:bCs/>
          <w:szCs w:val="24"/>
          <w:lang w:eastAsia="it-CH"/>
        </w:rPr>
        <w:t xml:space="preserve">Campus universitario USI/SUPSI di Lugano </w:t>
      </w:r>
      <w:proofErr w:type="spellStart"/>
      <w:r w:rsidRPr="00B55209">
        <w:rPr>
          <w:rFonts w:cs="Arial"/>
          <w:b/>
          <w:bCs/>
          <w:szCs w:val="24"/>
          <w:lang w:eastAsia="it-CH"/>
        </w:rPr>
        <w:t>Viganello</w:t>
      </w:r>
      <w:proofErr w:type="spellEnd"/>
    </w:p>
    <w:p w:rsidR="0024207A" w:rsidRDefault="0024207A" w:rsidP="0024207A">
      <w:pPr>
        <w:rPr>
          <w:lang w:eastAsia="it-CH"/>
        </w:rPr>
      </w:pPr>
      <w:r>
        <w:rPr>
          <w:lang w:eastAsia="it-CH"/>
        </w:rPr>
        <w:t>Nell’</w:t>
      </w:r>
      <w:r w:rsidRPr="0072102D">
        <w:rPr>
          <w:lang w:eastAsia="it-CH"/>
        </w:rPr>
        <w:t xml:space="preserve">ottobre </w:t>
      </w:r>
      <w:r>
        <w:rPr>
          <w:lang w:eastAsia="it-CH"/>
        </w:rPr>
        <w:t xml:space="preserve">del </w:t>
      </w:r>
      <w:r w:rsidRPr="0072102D">
        <w:rPr>
          <w:lang w:eastAsia="it-CH"/>
        </w:rPr>
        <w:t xml:space="preserve">2017 è stata posata la prima pietra </w:t>
      </w:r>
      <w:r>
        <w:rPr>
          <w:lang w:eastAsia="it-CH"/>
        </w:rPr>
        <w:t>del</w:t>
      </w:r>
      <w:r w:rsidRPr="0072102D">
        <w:rPr>
          <w:lang w:eastAsia="it-CH"/>
        </w:rPr>
        <w:t xml:space="preserve"> Campus universitario USI/SUPSI di Lugano </w:t>
      </w:r>
      <w:proofErr w:type="spellStart"/>
      <w:r w:rsidRPr="0072102D">
        <w:rPr>
          <w:lang w:eastAsia="it-CH"/>
        </w:rPr>
        <w:t>Viganello</w:t>
      </w:r>
      <w:proofErr w:type="spellEnd"/>
      <w:r>
        <w:rPr>
          <w:lang w:eastAsia="it-CH"/>
        </w:rPr>
        <w:t>. Il</w:t>
      </w:r>
      <w:r w:rsidRPr="0072102D">
        <w:rPr>
          <w:lang w:eastAsia="it-CH"/>
        </w:rPr>
        <w:t xml:space="preserve"> progetto è entrato così nella fase di realizzazione con gli appalti per le opere principali </w:t>
      </w:r>
      <w:r>
        <w:rPr>
          <w:lang w:eastAsia="it-CH"/>
        </w:rPr>
        <w:t>e lo scavo generale, iniziata già nel corso dell’estate 2017</w:t>
      </w:r>
      <w:r w:rsidRPr="0072102D">
        <w:rPr>
          <w:lang w:eastAsia="it-CH"/>
        </w:rPr>
        <w:t xml:space="preserve">. La costruzione grezza è entrata nel vivo e basta una visita dall’esterno del cantiere per vedere l’effettivo avanzamento dei lavori. </w:t>
      </w:r>
      <w:r>
        <w:rPr>
          <w:lang w:eastAsia="it-CH"/>
        </w:rPr>
        <w:t xml:space="preserve">La figura 1, ovvero la foto del cantiere ad agosto 2018, lo testimonia. </w:t>
      </w:r>
      <w:r w:rsidRPr="0072102D">
        <w:rPr>
          <w:lang w:eastAsia="it-CH"/>
        </w:rPr>
        <w:t>La consegna dell'edificio è confermata entro il mese di luglio 2020 per permettere lo svolgimento dell’intero anno accademico 2020/</w:t>
      </w:r>
      <w:r>
        <w:rPr>
          <w:lang w:eastAsia="it-CH"/>
        </w:rPr>
        <w:t>20</w:t>
      </w:r>
      <w:r w:rsidRPr="0072102D">
        <w:rPr>
          <w:lang w:eastAsia="it-CH"/>
        </w:rPr>
        <w:t xml:space="preserve">21 nella nuova sede, contemporaneamente all’inizio dei corsi del </w:t>
      </w:r>
      <w:r>
        <w:rPr>
          <w:lang w:eastAsia="it-CH"/>
        </w:rPr>
        <w:t>m</w:t>
      </w:r>
      <w:r w:rsidRPr="0072102D">
        <w:rPr>
          <w:lang w:eastAsia="it-CH"/>
        </w:rPr>
        <w:t xml:space="preserve">aster in medicina. </w:t>
      </w:r>
    </w:p>
    <w:p w:rsidR="0024207A" w:rsidRPr="00D6413E" w:rsidRDefault="0024207A" w:rsidP="0024207A">
      <w:pPr>
        <w:rPr>
          <w:sz w:val="20"/>
          <w:lang w:eastAsia="it-CH"/>
        </w:rPr>
      </w:pPr>
    </w:p>
    <w:p w:rsidR="0024207A" w:rsidRPr="0072102D" w:rsidRDefault="0024207A" w:rsidP="0024207A">
      <w:pPr>
        <w:rPr>
          <w:lang w:eastAsia="it-CH"/>
        </w:rPr>
      </w:pPr>
      <w:r w:rsidRPr="0072102D">
        <w:rPr>
          <w:lang w:eastAsia="it-CH"/>
        </w:rPr>
        <w:t xml:space="preserve">Le previsioni aggiornate permettono di affermare che il progetto rispetta il tetto massimo di spesa previsto dal </w:t>
      </w:r>
      <w:r>
        <w:rPr>
          <w:lang w:eastAsia="it-CH"/>
        </w:rPr>
        <w:t>m</w:t>
      </w:r>
      <w:r w:rsidRPr="0072102D">
        <w:rPr>
          <w:lang w:eastAsia="it-CH"/>
        </w:rPr>
        <w:t xml:space="preserve">essaggio </w:t>
      </w:r>
      <w:r>
        <w:rPr>
          <w:lang w:eastAsia="it-CH"/>
        </w:rPr>
        <w:t xml:space="preserve">n. </w:t>
      </w:r>
      <w:r w:rsidRPr="0072102D">
        <w:rPr>
          <w:lang w:eastAsia="it-CH"/>
        </w:rPr>
        <w:t>6957, ovvero 124 milioni di franchi.</w:t>
      </w:r>
      <w:r>
        <w:rPr>
          <w:lang w:eastAsia="it-CH"/>
        </w:rPr>
        <w:t xml:space="preserve"> Allo stato attuale, estate 2018,</w:t>
      </w:r>
      <w:r w:rsidRPr="0072102D">
        <w:rPr>
          <w:lang w:eastAsia="it-CH"/>
        </w:rPr>
        <w:t xml:space="preserve"> sono stati assegnati, tramite concorsi liberi internazionali, circa il 70% dei </w:t>
      </w:r>
      <w:r w:rsidRPr="0072102D">
        <w:rPr>
          <w:lang w:eastAsia="it-CH"/>
        </w:rPr>
        <w:lastRenderedPageBreak/>
        <w:t>lavori di costruzione. I lavori sono stati assegnati tutti a ditte che risiedono in Ticino, ad eccezione di un solo mandato che è stato vinto da un concorrente estero.</w:t>
      </w:r>
    </w:p>
    <w:p w:rsidR="0024207A" w:rsidRDefault="0024207A" w:rsidP="0024207A">
      <w:pPr>
        <w:rPr>
          <w:b/>
          <w:lang w:eastAsia="it-CH"/>
        </w:rPr>
      </w:pPr>
    </w:p>
    <w:p w:rsidR="0024207A" w:rsidRPr="0024207A" w:rsidRDefault="0024207A" w:rsidP="0024207A">
      <w:pPr>
        <w:spacing w:before="120" w:after="100" w:afterAutospacing="1"/>
        <w:rPr>
          <w:rFonts w:cs="Arial"/>
          <w:b/>
          <w:sz w:val="22"/>
          <w:szCs w:val="22"/>
          <w:lang w:eastAsia="it-CH"/>
        </w:rPr>
      </w:pPr>
      <w:r w:rsidRPr="0024207A">
        <w:rPr>
          <w:rFonts w:cs="Arial"/>
          <w:b/>
          <w:sz w:val="22"/>
          <w:szCs w:val="22"/>
          <w:lang w:eastAsia="it-CH"/>
        </w:rPr>
        <w:t xml:space="preserve">Figura 1: lavori al campus di </w:t>
      </w:r>
      <w:proofErr w:type="spellStart"/>
      <w:r w:rsidRPr="0024207A">
        <w:rPr>
          <w:rFonts w:cs="Arial"/>
          <w:b/>
          <w:sz w:val="22"/>
          <w:szCs w:val="22"/>
          <w:lang w:eastAsia="it-CH"/>
        </w:rPr>
        <w:t>Viganello</w:t>
      </w:r>
      <w:proofErr w:type="spellEnd"/>
      <w:r w:rsidRPr="0024207A">
        <w:rPr>
          <w:rFonts w:cs="Arial"/>
          <w:b/>
          <w:sz w:val="22"/>
          <w:szCs w:val="22"/>
          <w:lang w:eastAsia="it-CH"/>
        </w:rPr>
        <w:t xml:space="preserve"> (foto agosto 2018)</w:t>
      </w:r>
    </w:p>
    <w:p w:rsidR="0024207A" w:rsidRPr="0072102D" w:rsidRDefault="0024207A" w:rsidP="0024207A">
      <w:pPr>
        <w:spacing w:before="100" w:beforeAutospacing="1" w:after="100" w:afterAutospacing="1"/>
        <w:rPr>
          <w:rFonts w:cs="Arial"/>
          <w:szCs w:val="24"/>
          <w:lang w:eastAsia="it-CH"/>
        </w:rPr>
      </w:pPr>
      <w:r>
        <w:rPr>
          <w:rFonts w:cs="Arial"/>
          <w:noProof/>
          <w:lang w:val="it-CH" w:eastAsia="it-CH"/>
        </w:rPr>
        <w:drawing>
          <wp:inline distT="0" distB="0" distL="0" distR="0" wp14:anchorId="44C44AC6" wp14:editId="39755496">
            <wp:extent cx="5780405" cy="4333240"/>
            <wp:effectExtent l="0" t="0" r="0" b="0"/>
            <wp:docPr id="3" name="Immagine 1" descr="https://www.arqivis.com/links/2c254d796ae7d7c5ff896697bc596cbf4b0c5e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https://www.arqivis.com/links/2c254d796ae7d7c5ff896697bc596cbf4b0c5e4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80405" cy="4333240"/>
                    </a:xfrm>
                    <a:prstGeom prst="rect">
                      <a:avLst/>
                    </a:prstGeom>
                    <a:noFill/>
                    <a:ln>
                      <a:noFill/>
                    </a:ln>
                  </pic:spPr>
                </pic:pic>
              </a:graphicData>
            </a:graphic>
          </wp:inline>
        </w:drawing>
      </w:r>
    </w:p>
    <w:p w:rsidR="0024207A" w:rsidRPr="0072102D" w:rsidRDefault="0024207A" w:rsidP="0024207A">
      <w:pPr>
        <w:rPr>
          <w:lang w:eastAsia="it-CH"/>
        </w:rPr>
      </w:pPr>
    </w:p>
    <w:p w:rsidR="0024207A" w:rsidRPr="00B55209" w:rsidRDefault="0024207A" w:rsidP="0024207A">
      <w:pPr>
        <w:spacing w:after="120"/>
        <w:outlineLvl w:val="1"/>
        <w:rPr>
          <w:rFonts w:cs="Arial"/>
          <w:b/>
          <w:bCs/>
          <w:szCs w:val="24"/>
          <w:lang w:eastAsia="it-CH"/>
        </w:rPr>
      </w:pPr>
      <w:r>
        <w:rPr>
          <w:rFonts w:cs="Arial"/>
          <w:b/>
          <w:bCs/>
          <w:szCs w:val="24"/>
          <w:lang w:eastAsia="it-CH"/>
        </w:rPr>
        <w:t>5.2</w:t>
      </w:r>
      <w:r>
        <w:rPr>
          <w:rFonts w:cs="Arial"/>
          <w:b/>
          <w:bCs/>
          <w:szCs w:val="24"/>
          <w:lang w:eastAsia="it-CH"/>
        </w:rPr>
        <w:tab/>
      </w:r>
      <w:r w:rsidRPr="00B55209">
        <w:rPr>
          <w:rFonts w:cs="Arial"/>
          <w:b/>
          <w:bCs/>
          <w:szCs w:val="24"/>
          <w:lang w:eastAsia="it-CH"/>
        </w:rPr>
        <w:t>Campus universitario SUPSI di Mendrisio Stazione</w:t>
      </w:r>
    </w:p>
    <w:p w:rsidR="0024207A" w:rsidRPr="00371B25" w:rsidRDefault="0024207A" w:rsidP="0024207A">
      <w:pPr>
        <w:rPr>
          <w:lang w:eastAsia="it-CH"/>
        </w:rPr>
      </w:pPr>
      <w:r w:rsidRPr="00371B25">
        <w:rPr>
          <w:lang w:eastAsia="it-CH"/>
        </w:rPr>
        <w:t>Per quanto riguarda lo sviluppo del progetto di costruzione del Campus SUPSI di Mendrisio Stazione (dove si trasferirà il D</w:t>
      </w:r>
      <w:r>
        <w:rPr>
          <w:lang w:eastAsia="it-CH"/>
        </w:rPr>
        <w:t xml:space="preserve">ipartimento dell’ambiente costruito e del design </w:t>
      </w:r>
      <w:r w:rsidRPr="00371B25">
        <w:rPr>
          <w:lang w:eastAsia="it-CH"/>
        </w:rPr>
        <w:t xml:space="preserve">attualmente </w:t>
      </w:r>
      <w:r>
        <w:rPr>
          <w:lang w:eastAsia="it-CH"/>
        </w:rPr>
        <w:t xml:space="preserve">situato </w:t>
      </w:r>
      <w:r w:rsidRPr="00371B25">
        <w:rPr>
          <w:lang w:eastAsia="it-CH"/>
        </w:rPr>
        <w:t>nella sede di Lugano-Trevano)</w:t>
      </w:r>
      <w:r>
        <w:rPr>
          <w:lang w:eastAsia="it-CH"/>
        </w:rPr>
        <w:t>,</w:t>
      </w:r>
      <w:r w:rsidRPr="00371B25">
        <w:rPr>
          <w:lang w:eastAsia="it-CH"/>
        </w:rPr>
        <w:t xml:space="preserve"> dura</w:t>
      </w:r>
      <w:r>
        <w:rPr>
          <w:lang w:eastAsia="it-CH"/>
        </w:rPr>
        <w:t>n</w:t>
      </w:r>
      <w:r w:rsidRPr="00371B25">
        <w:rPr>
          <w:lang w:eastAsia="it-CH"/>
        </w:rPr>
        <w:t>te il 2017 è proseguito a pieno regime il cantiere</w:t>
      </w:r>
      <w:r>
        <w:rPr>
          <w:lang w:eastAsia="it-CH"/>
        </w:rPr>
        <w:t>, con il completamento dello</w:t>
      </w:r>
      <w:r w:rsidRPr="00371B25">
        <w:rPr>
          <w:lang w:eastAsia="it-CH"/>
        </w:rPr>
        <w:t xml:space="preserve"> scavo generale, l’installazione degli impianti di cantiere dell’impresario costruttore e gli scavi parziali</w:t>
      </w:r>
      <w:r>
        <w:rPr>
          <w:lang w:eastAsia="it-CH"/>
        </w:rPr>
        <w:t xml:space="preserve">, </w:t>
      </w:r>
      <w:r w:rsidRPr="00371B25">
        <w:rPr>
          <w:lang w:eastAsia="it-CH"/>
        </w:rPr>
        <w:t>rispettivamente le fondazioni</w:t>
      </w:r>
      <w:r>
        <w:rPr>
          <w:lang w:eastAsia="it-CH"/>
        </w:rPr>
        <w:t xml:space="preserve"> e</w:t>
      </w:r>
      <w:r w:rsidRPr="00371B25">
        <w:rPr>
          <w:lang w:eastAsia="it-CH"/>
        </w:rPr>
        <w:t xml:space="preserve"> le opere grezze dei due piani interrati dal -2 al Piano terreno. Le ditte di prefabbricazione hanno proceduto con la progettazione esecutiva e la messa in opera dei casseri metallici, la produzione degli elementi prefabbricati delle parti interne (scale, travi, pilastri), delle solette bi-nervate e delle facciate sandwich. L’inizio della posa degli elementi del Piano terreno è </w:t>
      </w:r>
      <w:r>
        <w:rPr>
          <w:lang w:eastAsia="it-CH"/>
        </w:rPr>
        <w:t>iniziata</w:t>
      </w:r>
      <w:r w:rsidRPr="00371B25">
        <w:rPr>
          <w:lang w:eastAsia="it-CH"/>
        </w:rPr>
        <w:t xml:space="preserve"> a metà aprile 2018 e sarà completata entro il mese di febbraio 2019, data per la quale </w:t>
      </w:r>
      <w:r>
        <w:rPr>
          <w:lang w:eastAsia="it-CH"/>
        </w:rPr>
        <w:t xml:space="preserve">la </w:t>
      </w:r>
      <w:r w:rsidRPr="00371B25">
        <w:rPr>
          <w:lang w:eastAsia="it-CH"/>
        </w:rPr>
        <w:t xml:space="preserve">costruzione grezza </w:t>
      </w:r>
      <w:r>
        <w:rPr>
          <w:lang w:eastAsia="it-CH"/>
        </w:rPr>
        <w:t>del</w:t>
      </w:r>
      <w:r w:rsidRPr="00371B25">
        <w:rPr>
          <w:lang w:eastAsia="it-CH"/>
        </w:rPr>
        <w:t xml:space="preserve">l’edificio sarà </w:t>
      </w:r>
      <w:r>
        <w:rPr>
          <w:lang w:eastAsia="it-CH"/>
        </w:rPr>
        <w:t>terminata.</w:t>
      </w:r>
      <w:r w:rsidRPr="00371B25">
        <w:rPr>
          <w:lang w:eastAsia="it-CH"/>
        </w:rPr>
        <w:t xml:space="preserve"> </w:t>
      </w:r>
    </w:p>
    <w:p w:rsidR="0024207A" w:rsidRDefault="0024207A" w:rsidP="0024207A">
      <w:pPr>
        <w:rPr>
          <w:lang w:eastAsia="it-CH"/>
        </w:rPr>
      </w:pPr>
    </w:p>
    <w:p w:rsidR="0024207A" w:rsidRDefault="0024207A" w:rsidP="0024207A">
      <w:pPr>
        <w:rPr>
          <w:lang w:eastAsia="it-CH"/>
        </w:rPr>
      </w:pPr>
      <w:r w:rsidRPr="00371B25">
        <w:rPr>
          <w:lang w:eastAsia="it-CH"/>
        </w:rPr>
        <w:t xml:space="preserve">Attualmente </w:t>
      </w:r>
      <w:r>
        <w:rPr>
          <w:lang w:eastAsia="it-CH"/>
        </w:rPr>
        <w:t>la SUPSI</w:t>
      </w:r>
      <w:r w:rsidRPr="00371B25">
        <w:rPr>
          <w:lang w:eastAsia="it-CH"/>
        </w:rPr>
        <w:t xml:space="preserve"> riscontra un ritardo di alcuni mesi nell’avanzamento dei lavori di costruzione. Di conseguenza la consegna dell’edificio, prevista inizialmente nel luglio 2019, dovrà essere posticipata di qualche mese. </w:t>
      </w:r>
    </w:p>
    <w:p w:rsidR="0024207A" w:rsidRDefault="0024207A" w:rsidP="0024207A">
      <w:pPr>
        <w:rPr>
          <w:rFonts w:cs="Arial"/>
          <w:lang w:eastAsia="it-CH"/>
        </w:rPr>
      </w:pPr>
    </w:p>
    <w:p w:rsidR="0024207A" w:rsidRDefault="0024207A" w:rsidP="0024207A">
      <w:pPr>
        <w:rPr>
          <w:rFonts w:cs="Arial"/>
          <w:lang w:eastAsia="it-CH"/>
        </w:rPr>
      </w:pPr>
      <w:r w:rsidRPr="0072102D">
        <w:rPr>
          <w:rFonts w:cs="Arial"/>
          <w:lang w:eastAsia="it-CH"/>
        </w:rPr>
        <w:t xml:space="preserve">Come per il progetto di </w:t>
      </w:r>
      <w:proofErr w:type="spellStart"/>
      <w:r w:rsidRPr="0072102D">
        <w:rPr>
          <w:rFonts w:cs="Arial"/>
          <w:lang w:eastAsia="it-CH"/>
        </w:rPr>
        <w:t>Viganello</w:t>
      </w:r>
      <w:proofErr w:type="spellEnd"/>
      <w:r w:rsidRPr="0072102D">
        <w:rPr>
          <w:rFonts w:cs="Arial"/>
          <w:lang w:eastAsia="it-CH"/>
        </w:rPr>
        <w:t xml:space="preserve">, si confermano finora i costi di preventivo di 73 milioni di franchi </w:t>
      </w:r>
      <w:r>
        <w:rPr>
          <w:rFonts w:cs="Arial"/>
          <w:lang w:eastAsia="it-CH"/>
        </w:rPr>
        <w:t>come descritti nel</w:t>
      </w:r>
      <w:r w:rsidRPr="0072102D">
        <w:rPr>
          <w:rFonts w:cs="Arial"/>
          <w:lang w:eastAsia="it-CH"/>
        </w:rPr>
        <w:t xml:space="preserve"> </w:t>
      </w:r>
      <w:r>
        <w:rPr>
          <w:rFonts w:cs="Arial"/>
          <w:lang w:eastAsia="it-CH"/>
        </w:rPr>
        <w:t>m</w:t>
      </w:r>
      <w:r w:rsidRPr="0072102D">
        <w:rPr>
          <w:rFonts w:cs="Arial"/>
          <w:lang w:eastAsia="it-CH"/>
        </w:rPr>
        <w:t xml:space="preserve">essaggio </w:t>
      </w:r>
      <w:r>
        <w:rPr>
          <w:rFonts w:cs="Arial"/>
          <w:lang w:eastAsia="it-CH"/>
        </w:rPr>
        <w:t xml:space="preserve">n. </w:t>
      </w:r>
      <w:r w:rsidRPr="0072102D">
        <w:rPr>
          <w:rFonts w:cs="Arial"/>
          <w:lang w:eastAsia="it-CH"/>
        </w:rPr>
        <w:t xml:space="preserve">6957. I costi derivanti dal diritto di superficie per l’anno 2017 pari a franchi 221'664 e fatturati dalla città di Mendrisio alla SUPSI, sono stati </w:t>
      </w:r>
      <w:r w:rsidRPr="0072102D">
        <w:rPr>
          <w:rFonts w:cs="Arial"/>
          <w:lang w:eastAsia="it-CH"/>
        </w:rPr>
        <w:lastRenderedPageBreak/>
        <w:t>rimborsati dal Cantone</w:t>
      </w:r>
      <w:r>
        <w:rPr>
          <w:rFonts w:cs="Arial"/>
          <w:lang w:eastAsia="it-CH"/>
        </w:rPr>
        <w:t xml:space="preserve"> </w:t>
      </w:r>
      <w:r w:rsidRPr="0072102D">
        <w:rPr>
          <w:rFonts w:cs="Arial"/>
          <w:lang w:eastAsia="it-CH"/>
        </w:rPr>
        <w:t>tramite la Risoluzione governativa n. 1385 del 28 marzo 2018.</w:t>
      </w:r>
      <w:r>
        <w:rPr>
          <w:rFonts w:cs="Arial"/>
          <w:lang w:eastAsia="it-CH"/>
        </w:rPr>
        <w:t xml:space="preserve"> Allo stato attuale, estate 2018, </w:t>
      </w:r>
      <w:r w:rsidRPr="0072102D">
        <w:rPr>
          <w:rFonts w:cs="Arial"/>
          <w:lang w:eastAsia="it-CH"/>
        </w:rPr>
        <w:t xml:space="preserve">sono stati assegnati, tramite concorsi liberi internazionali, circa il 70% dei lavori di costruzione. I lavori sono stati </w:t>
      </w:r>
      <w:r>
        <w:rPr>
          <w:rFonts w:cs="Arial"/>
          <w:lang w:eastAsia="it-CH"/>
        </w:rPr>
        <w:t xml:space="preserve">tutti </w:t>
      </w:r>
      <w:r w:rsidRPr="0072102D">
        <w:rPr>
          <w:rFonts w:cs="Arial"/>
          <w:lang w:eastAsia="it-CH"/>
        </w:rPr>
        <w:t xml:space="preserve">assegnati a ditte </w:t>
      </w:r>
      <w:r>
        <w:rPr>
          <w:rFonts w:cs="Arial"/>
          <w:lang w:eastAsia="it-CH"/>
        </w:rPr>
        <w:t>ticinesi.</w:t>
      </w:r>
    </w:p>
    <w:p w:rsidR="0024207A" w:rsidRPr="0072102D" w:rsidRDefault="0024207A" w:rsidP="0024207A">
      <w:pPr>
        <w:rPr>
          <w:rFonts w:cs="Arial"/>
          <w:lang w:eastAsia="it-CH"/>
        </w:rPr>
      </w:pPr>
    </w:p>
    <w:p w:rsidR="0024207A" w:rsidRPr="0024207A" w:rsidRDefault="0024207A" w:rsidP="0024207A">
      <w:pPr>
        <w:spacing w:before="120" w:after="100" w:afterAutospacing="1"/>
        <w:rPr>
          <w:rFonts w:cs="Arial"/>
          <w:b/>
          <w:sz w:val="22"/>
          <w:szCs w:val="22"/>
          <w:lang w:eastAsia="it-CH"/>
        </w:rPr>
      </w:pPr>
      <w:r w:rsidRPr="0024207A">
        <w:rPr>
          <w:rFonts w:cs="Arial"/>
          <w:b/>
          <w:sz w:val="22"/>
          <w:szCs w:val="22"/>
          <w:lang w:eastAsia="it-CH"/>
        </w:rPr>
        <w:t>Figura 2: lavori al campus di Mendrisio stazione (foto agosto 2018)</w:t>
      </w:r>
    </w:p>
    <w:p w:rsidR="0024207A" w:rsidRPr="0072102D" w:rsidRDefault="0024207A" w:rsidP="0024207A">
      <w:pPr>
        <w:spacing w:before="120" w:after="100" w:afterAutospacing="1"/>
        <w:rPr>
          <w:rFonts w:cs="Arial"/>
          <w:szCs w:val="24"/>
          <w:lang w:eastAsia="it-CH"/>
        </w:rPr>
      </w:pPr>
      <w:r>
        <w:rPr>
          <w:rFonts w:cs="Arial"/>
          <w:noProof/>
          <w:lang w:val="it-CH" w:eastAsia="it-CH"/>
        </w:rPr>
        <w:drawing>
          <wp:inline distT="0" distB="0" distL="0" distR="0" wp14:anchorId="653AE358" wp14:editId="1F30938B">
            <wp:extent cx="6122670" cy="4587875"/>
            <wp:effectExtent l="0" t="0" r="0" b="3175"/>
            <wp:docPr id="4" name="Immagine 2" descr="https://www.arqivis.com/links/49eaf8324cdf42c471bcfda18396ba752bd85a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2" descr="https://www.arqivis.com/links/49eaf8324cdf42c471bcfda18396ba752bd85a5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2670" cy="4587875"/>
                    </a:xfrm>
                    <a:prstGeom prst="rect">
                      <a:avLst/>
                    </a:prstGeom>
                    <a:noFill/>
                    <a:ln>
                      <a:noFill/>
                    </a:ln>
                  </pic:spPr>
                </pic:pic>
              </a:graphicData>
            </a:graphic>
          </wp:inline>
        </w:drawing>
      </w:r>
    </w:p>
    <w:p w:rsidR="0024207A" w:rsidRDefault="0024207A" w:rsidP="0024207A">
      <w:pPr>
        <w:rPr>
          <w:rFonts w:cs="Arial"/>
          <w:szCs w:val="24"/>
          <w:lang w:eastAsia="it-CH"/>
        </w:rPr>
      </w:pPr>
    </w:p>
    <w:p w:rsidR="0024207A" w:rsidRPr="0072102D" w:rsidRDefault="0024207A" w:rsidP="0024207A">
      <w:pPr>
        <w:rPr>
          <w:rFonts w:cs="Arial"/>
          <w:szCs w:val="24"/>
          <w:lang w:eastAsia="it-CH"/>
        </w:rPr>
      </w:pPr>
    </w:p>
    <w:p w:rsidR="0024207A" w:rsidRPr="00B55209" w:rsidRDefault="0024207A" w:rsidP="0024207A">
      <w:pPr>
        <w:spacing w:after="120"/>
        <w:outlineLvl w:val="1"/>
        <w:rPr>
          <w:rFonts w:cs="Arial"/>
          <w:b/>
          <w:bCs/>
          <w:szCs w:val="24"/>
          <w:lang w:eastAsia="it-CH"/>
        </w:rPr>
      </w:pPr>
      <w:r>
        <w:rPr>
          <w:rFonts w:cs="Arial"/>
          <w:b/>
          <w:bCs/>
          <w:szCs w:val="24"/>
          <w:lang w:eastAsia="it-CH"/>
        </w:rPr>
        <w:t>5.3</w:t>
      </w:r>
      <w:r>
        <w:rPr>
          <w:rFonts w:cs="Arial"/>
          <w:b/>
          <w:bCs/>
          <w:szCs w:val="24"/>
          <w:lang w:eastAsia="it-CH"/>
        </w:rPr>
        <w:tab/>
      </w:r>
      <w:r w:rsidRPr="00B55209">
        <w:rPr>
          <w:rFonts w:cs="Arial"/>
          <w:b/>
          <w:bCs/>
          <w:szCs w:val="24"/>
          <w:lang w:eastAsia="it-CH"/>
        </w:rPr>
        <w:t>Campus universitario SUPSI di Lugano Stazione</w:t>
      </w:r>
    </w:p>
    <w:p w:rsidR="0024207A" w:rsidRPr="0072102D" w:rsidRDefault="0024207A" w:rsidP="0024207A">
      <w:pPr>
        <w:rPr>
          <w:lang w:eastAsia="it-CH"/>
        </w:rPr>
      </w:pPr>
      <w:r w:rsidRPr="0072102D">
        <w:rPr>
          <w:lang w:eastAsia="it-CH"/>
        </w:rPr>
        <w:t>Il progetto di costruzione d</w:t>
      </w:r>
      <w:r>
        <w:rPr>
          <w:lang w:eastAsia="it-CH"/>
        </w:rPr>
        <w:t>e</w:t>
      </w:r>
      <w:r w:rsidRPr="0072102D">
        <w:rPr>
          <w:lang w:eastAsia="it-CH"/>
        </w:rPr>
        <w:t xml:space="preserve">gli architetti Cruz y </w:t>
      </w:r>
      <w:proofErr w:type="spellStart"/>
      <w:r w:rsidRPr="0072102D">
        <w:rPr>
          <w:lang w:eastAsia="it-CH"/>
        </w:rPr>
        <w:t>Ortiz</w:t>
      </w:r>
      <w:proofErr w:type="spellEnd"/>
      <w:r w:rsidRPr="0072102D">
        <w:rPr>
          <w:lang w:eastAsia="it-CH"/>
        </w:rPr>
        <w:t xml:space="preserve"> e Giraudi </w:t>
      </w:r>
      <w:proofErr w:type="spellStart"/>
      <w:r w:rsidRPr="0072102D">
        <w:rPr>
          <w:lang w:eastAsia="it-CH"/>
        </w:rPr>
        <w:t>Radczuweit</w:t>
      </w:r>
      <w:proofErr w:type="spellEnd"/>
      <w:r w:rsidRPr="0072102D">
        <w:rPr>
          <w:lang w:eastAsia="it-CH"/>
        </w:rPr>
        <w:t>, scelto nel 2013 per il Campus di Lugano Stazione</w:t>
      </w:r>
      <w:r>
        <w:rPr>
          <w:lang w:eastAsia="it-CH"/>
        </w:rPr>
        <w:t xml:space="preserve"> e </w:t>
      </w:r>
      <w:r w:rsidRPr="0072102D">
        <w:rPr>
          <w:lang w:eastAsia="it-CH"/>
        </w:rPr>
        <w:t xml:space="preserve">dove si trasferirebbero il DEASS e la </w:t>
      </w:r>
      <w:r>
        <w:rPr>
          <w:lang w:eastAsia="it-CH"/>
        </w:rPr>
        <w:t>d</w:t>
      </w:r>
      <w:r w:rsidRPr="0072102D">
        <w:rPr>
          <w:lang w:eastAsia="it-CH"/>
        </w:rPr>
        <w:t xml:space="preserve">irezione generale della SUPSI, non è stato ulteriormente approfondito a causa di ritardi sulla modifica del </w:t>
      </w:r>
      <w:r>
        <w:rPr>
          <w:lang w:eastAsia="it-CH"/>
        </w:rPr>
        <w:t>p</w:t>
      </w:r>
      <w:r w:rsidRPr="0072102D">
        <w:rPr>
          <w:lang w:eastAsia="it-CH"/>
        </w:rPr>
        <w:t xml:space="preserve">iano </w:t>
      </w:r>
      <w:r>
        <w:rPr>
          <w:lang w:eastAsia="it-CH"/>
        </w:rPr>
        <w:t>r</w:t>
      </w:r>
      <w:r w:rsidRPr="0072102D">
        <w:rPr>
          <w:lang w:eastAsia="it-CH"/>
        </w:rPr>
        <w:t xml:space="preserve">egolatore che coinvolge i comuni di Massagno e </w:t>
      </w:r>
      <w:r>
        <w:rPr>
          <w:lang w:eastAsia="it-CH"/>
        </w:rPr>
        <w:t xml:space="preserve">di </w:t>
      </w:r>
      <w:r w:rsidRPr="0072102D">
        <w:rPr>
          <w:lang w:eastAsia="it-CH"/>
        </w:rPr>
        <w:t xml:space="preserve">Lugano. Viste le incertezze sui tempi della procedura </w:t>
      </w:r>
      <w:proofErr w:type="spellStart"/>
      <w:r w:rsidRPr="0072102D">
        <w:rPr>
          <w:lang w:eastAsia="it-CH"/>
        </w:rPr>
        <w:t>pianificatoria</w:t>
      </w:r>
      <w:proofErr w:type="spellEnd"/>
      <w:r w:rsidRPr="0072102D">
        <w:rPr>
          <w:lang w:eastAsia="it-CH"/>
        </w:rPr>
        <w:t xml:space="preserve"> in atto, allo stato attuale è difficile ipotizzare le date d’inizio e di fine dei lavori. Una volta terminata la procedura attualmente in corso per l’entrata in vigore della variante di </w:t>
      </w:r>
      <w:r>
        <w:rPr>
          <w:lang w:eastAsia="it-CH"/>
        </w:rPr>
        <w:t>p</w:t>
      </w:r>
      <w:r w:rsidRPr="0072102D">
        <w:rPr>
          <w:lang w:eastAsia="it-CH"/>
        </w:rPr>
        <w:t xml:space="preserve">iano </w:t>
      </w:r>
      <w:r>
        <w:rPr>
          <w:lang w:eastAsia="it-CH"/>
        </w:rPr>
        <w:t>r</w:t>
      </w:r>
      <w:r w:rsidRPr="0072102D">
        <w:rPr>
          <w:lang w:eastAsia="it-CH"/>
        </w:rPr>
        <w:t>egolatore, saranno necessari circa cinque anni di lavoro di cui tre di costruzione e due di progettazione e procedure di autorizzazione e appalti.</w:t>
      </w:r>
    </w:p>
    <w:p w:rsidR="0024207A" w:rsidRDefault="0024207A" w:rsidP="0024207A">
      <w:pPr>
        <w:rPr>
          <w:szCs w:val="24"/>
        </w:rPr>
      </w:pPr>
    </w:p>
    <w:p w:rsidR="0024207A" w:rsidRDefault="0024207A" w:rsidP="0024207A">
      <w:pPr>
        <w:rPr>
          <w:szCs w:val="24"/>
        </w:rPr>
      </w:pPr>
    </w:p>
    <w:p w:rsidR="0024207A" w:rsidRPr="00E231D8" w:rsidRDefault="0024207A" w:rsidP="0024207A">
      <w:pPr>
        <w:pStyle w:val="Titolo2"/>
      </w:pPr>
      <w:r>
        <w:t>5</w:t>
      </w:r>
      <w:r w:rsidRPr="00245751">
        <w:t>.</w:t>
      </w:r>
      <w:r>
        <w:t>4</w:t>
      </w:r>
      <w:r>
        <w:tab/>
      </w:r>
      <w:r>
        <w:rPr>
          <w:szCs w:val="24"/>
        </w:rPr>
        <w:t>Immobile</w:t>
      </w:r>
      <w:r w:rsidRPr="00E231D8">
        <w:rPr>
          <w:szCs w:val="24"/>
        </w:rPr>
        <w:t xml:space="preserve"> </w:t>
      </w:r>
      <w:r>
        <w:rPr>
          <w:szCs w:val="24"/>
        </w:rPr>
        <w:t>IRB a Bellinzona</w:t>
      </w:r>
    </w:p>
    <w:p w:rsidR="0024207A" w:rsidRDefault="0024207A" w:rsidP="0024207A">
      <w:r>
        <w:t xml:space="preserve">L’IRB di Bellinzona è un Istituto affiliato all’USI fondato nel 1999. Per l’edificazione della sua nuova sede, che ospiterà pure l’IOR e il </w:t>
      </w:r>
      <w:proofErr w:type="spellStart"/>
      <w:r>
        <w:t>Neurocentro</w:t>
      </w:r>
      <w:proofErr w:type="spellEnd"/>
      <w:r>
        <w:t xml:space="preserve"> della Svizzera Italiana, l’IRB investirà circa 45 milioni di franchi (nuovo arredo escluso) per realizzare 25 unità tipo di </w:t>
      </w:r>
      <w:r>
        <w:lastRenderedPageBreak/>
        <w:t xml:space="preserve">ricerca, infrastrutture di servizio e laboratori comuni, spazi di stabulazione, sale di riunioni, auditorio multiuso, ristoro e locali tecnici. Con messaggio </w:t>
      </w:r>
      <w:r>
        <w:rPr>
          <w:rFonts w:cs="Arial"/>
          <w:szCs w:val="24"/>
          <w:lang w:val="it-CH"/>
        </w:rPr>
        <w:t xml:space="preserve">n. 7233 del 12 ottobre 2016 il Parlamento ha stanziato per la costruzione un credito di 10 milioni di franchi; come illustrato nel predetto messaggio, il rimanente bisogno finanziario sarà coperto dalla Confederazione, dalla Città di Bellinzona, da fondazioni private e da un prestito ipotecario. </w:t>
      </w:r>
    </w:p>
    <w:p w:rsidR="0024207A" w:rsidRDefault="0024207A" w:rsidP="0024207A">
      <w:r>
        <w:t xml:space="preserve">La progettazione e la direzione dei lavori sono affidate al Consorzio </w:t>
      </w:r>
      <w:proofErr w:type="spellStart"/>
      <w:r>
        <w:t>Galfetti</w:t>
      </w:r>
      <w:proofErr w:type="spellEnd"/>
      <w:r>
        <w:t xml:space="preserve"> IRB di Lugano, guidato dall’arch. Aurelio </w:t>
      </w:r>
      <w:proofErr w:type="spellStart"/>
      <w:r>
        <w:t>Galfetti</w:t>
      </w:r>
      <w:proofErr w:type="spellEnd"/>
      <w:r>
        <w:t>, vincitore nel 2015 di un concorso pubblico internazionale di architettura.</w:t>
      </w:r>
    </w:p>
    <w:p w:rsidR="0024207A" w:rsidRDefault="0024207A" w:rsidP="0024207A"/>
    <w:p w:rsidR="0024207A" w:rsidRPr="0024207A" w:rsidRDefault="0024207A" w:rsidP="0024207A">
      <w:pPr>
        <w:spacing w:before="120" w:after="100" w:afterAutospacing="1"/>
        <w:rPr>
          <w:rFonts w:cs="Arial"/>
          <w:b/>
          <w:sz w:val="22"/>
          <w:szCs w:val="22"/>
          <w:lang w:eastAsia="it-CH"/>
        </w:rPr>
      </w:pPr>
      <w:r w:rsidRPr="0024207A">
        <w:rPr>
          <w:rFonts w:cs="Arial"/>
          <w:b/>
          <w:sz w:val="22"/>
          <w:szCs w:val="22"/>
          <w:lang w:eastAsia="it-CH"/>
        </w:rPr>
        <w:t xml:space="preserve">Figura 3: </w:t>
      </w:r>
      <w:r w:rsidR="00D6413E">
        <w:rPr>
          <w:rFonts w:cs="Arial"/>
          <w:b/>
          <w:sz w:val="22"/>
          <w:szCs w:val="22"/>
          <w:lang w:eastAsia="it-CH"/>
        </w:rPr>
        <w:t>l</w:t>
      </w:r>
      <w:r w:rsidRPr="0024207A">
        <w:rPr>
          <w:rFonts w:cs="Arial"/>
          <w:b/>
          <w:sz w:val="22"/>
          <w:szCs w:val="22"/>
          <w:lang w:eastAsia="it-CH"/>
        </w:rPr>
        <w:t>avori di costruzione dello stabile IRB a Bellinzona  (foto agosto 2018)</w:t>
      </w:r>
    </w:p>
    <w:p w:rsidR="0024207A" w:rsidRDefault="0024207A" w:rsidP="0024207A">
      <w:r>
        <w:rPr>
          <w:noProof/>
          <w:lang w:val="it-CH" w:eastAsia="it-CH"/>
        </w:rPr>
        <w:drawing>
          <wp:inline distT="0" distB="0" distL="0" distR="0" wp14:anchorId="2598F68B" wp14:editId="7836EB10">
            <wp:extent cx="6043295" cy="3919855"/>
            <wp:effectExtent l="0" t="0" r="0" b="4445"/>
            <wp:docPr id="5" name="Immagine 1" descr="R:\Management\IRB Nuovo istituto\PMO\2018 0821 foto cantie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R:\Management\IRB Nuovo istituto\PMO\2018 0821 foto cantiere.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43295" cy="3919855"/>
                    </a:xfrm>
                    <a:prstGeom prst="rect">
                      <a:avLst/>
                    </a:prstGeom>
                    <a:noFill/>
                    <a:ln>
                      <a:noFill/>
                    </a:ln>
                  </pic:spPr>
                </pic:pic>
              </a:graphicData>
            </a:graphic>
          </wp:inline>
        </w:drawing>
      </w:r>
    </w:p>
    <w:p w:rsidR="0024207A" w:rsidRDefault="0024207A" w:rsidP="0024207A"/>
    <w:p w:rsidR="0024207A" w:rsidRDefault="0024207A" w:rsidP="0024207A">
      <w:r>
        <w:t>Le opere vere e proprie sono iniziate nel novembre del 2017, con la realizzazione dello scavo generale, a cui hanno fatto seguito le opere da impresario costruttore, che si concluderanno nella primavera del 2019. Ad oggi sono stati appaltati poco più di 18 milioni di franchi di lavori (edilizia e impiantistica), nel rispetto sostanziale del preventivo dei costi autorizzato dal Consiglio di Fondazione dell’IRB.</w:t>
      </w:r>
      <w:r w:rsidRPr="00D20E57">
        <w:t xml:space="preserve"> </w:t>
      </w:r>
      <w:r>
        <w:t xml:space="preserve">La nuova struttura di ricerca entrerà in attività nella primavera del 2021 ed ospiterà circa 240 collaboratori, oggi suddivisi su più sedi. </w:t>
      </w:r>
    </w:p>
    <w:p w:rsidR="0024207A" w:rsidRDefault="0024207A" w:rsidP="0024207A">
      <w:pPr>
        <w:pStyle w:val="NormaleWeb"/>
        <w:shd w:val="clear" w:color="auto" w:fill="FFFFFF"/>
        <w:spacing w:before="0" w:beforeAutospacing="0" w:after="0" w:afterAutospacing="0"/>
        <w:jc w:val="both"/>
        <w:rPr>
          <w:rFonts w:ascii="Arial" w:hAnsi="Arial" w:cs="Arial"/>
          <w:lang w:val="it-IT"/>
        </w:rPr>
      </w:pPr>
    </w:p>
    <w:p w:rsidR="001F1B4B" w:rsidRPr="00BB7D28" w:rsidRDefault="001F1B4B" w:rsidP="0024207A">
      <w:pPr>
        <w:pStyle w:val="NormaleWeb"/>
        <w:shd w:val="clear" w:color="auto" w:fill="FFFFFF"/>
        <w:spacing w:before="0" w:beforeAutospacing="0" w:after="0" w:afterAutospacing="0"/>
        <w:jc w:val="both"/>
        <w:rPr>
          <w:rFonts w:ascii="Arial" w:hAnsi="Arial" w:cs="Arial"/>
          <w:lang w:val="it-IT"/>
        </w:rPr>
      </w:pPr>
    </w:p>
    <w:p w:rsidR="0024207A" w:rsidRDefault="0024207A" w:rsidP="0024207A">
      <w:pPr>
        <w:pStyle w:val="NormaleWeb"/>
        <w:shd w:val="clear" w:color="auto" w:fill="FFFFFF"/>
        <w:spacing w:before="0" w:beforeAutospacing="0" w:after="0" w:afterAutospacing="0"/>
        <w:jc w:val="both"/>
        <w:rPr>
          <w:rFonts w:ascii="Arial" w:hAnsi="Arial" w:cs="Arial"/>
        </w:rPr>
      </w:pPr>
    </w:p>
    <w:p w:rsidR="0024207A" w:rsidRPr="008E30A3" w:rsidRDefault="0024207A" w:rsidP="0024207A">
      <w:pPr>
        <w:pStyle w:val="Titolo1"/>
      </w:pPr>
      <w:bookmarkStart w:id="73" w:name="_Toc268859958"/>
      <w:bookmarkStart w:id="74" w:name="_Toc303080093"/>
      <w:r w:rsidRPr="008E30A3">
        <w:t>6.</w:t>
      </w:r>
      <w:r w:rsidRPr="008E30A3">
        <w:tab/>
        <w:t>Conclusion</w:t>
      </w:r>
      <w:bookmarkEnd w:id="73"/>
      <w:bookmarkEnd w:id="74"/>
      <w:r w:rsidRPr="008E30A3">
        <w:t>I</w:t>
      </w:r>
    </w:p>
    <w:p w:rsidR="0024207A" w:rsidRDefault="0024207A" w:rsidP="0024207A">
      <w:r w:rsidRPr="00E351D0">
        <w:t xml:space="preserve">In conclusione </w:t>
      </w:r>
      <w:r>
        <w:t xml:space="preserve">per l’anno 2017 </w:t>
      </w:r>
      <w:r w:rsidRPr="00E351D0">
        <w:t xml:space="preserve">sia l’USI </w:t>
      </w:r>
      <w:r>
        <w:t>sia</w:t>
      </w:r>
      <w:r w:rsidRPr="00E351D0">
        <w:t xml:space="preserve"> la SUPSI </w:t>
      </w:r>
      <w:r>
        <w:t>adempiono</w:t>
      </w:r>
      <w:r w:rsidRPr="00E351D0">
        <w:t xml:space="preserve"> globalmente i rispettiv</w:t>
      </w:r>
      <w:r>
        <w:t>i</w:t>
      </w:r>
      <w:r w:rsidRPr="00E351D0">
        <w:t xml:space="preserve"> </w:t>
      </w:r>
      <w:proofErr w:type="spellStart"/>
      <w:r>
        <w:t>Cdp</w:t>
      </w:r>
      <w:proofErr w:type="spellEnd"/>
      <w:r>
        <w:t>,</w:t>
      </w:r>
      <w:r w:rsidRPr="00E351D0">
        <w:t xml:space="preserve"> raggiungendo </w:t>
      </w:r>
      <w:r>
        <w:t>buona parte degli o</w:t>
      </w:r>
      <w:r w:rsidRPr="00E351D0">
        <w:t>biettivi previsti</w:t>
      </w:r>
      <w:r>
        <w:t xml:space="preserve"> dagli</w:t>
      </w:r>
      <w:r w:rsidRPr="00E351D0">
        <w:t xml:space="preserve"> indicatori. Anche per quanto riguarda il </w:t>
      </w:r>
      <w:proofErr w:type="spellStart"/>
      <w:r>
        <w:t>Cdp</w:t>
      </w:r>
      <w:proofErr w:type="spellEnd"/>
      <w:r>
        <w:t xml:space="preserve"> </w:t>
      </w:r>
      <w:r w:rsidRPr="00E351D0">
        <w:t>del DFA si può dire che gli obiettivi e l’utilizzo del</w:t>
      </w:r>
      <w:r>
        <w:t xml:space="preserve">l’importo </w:t>
      </w:r>
      <w:r w:rsidRPr="00E351D0">
        <w:t xml:space="preserve">forfettario </w:t>
      </w:r>
      <w:r>
        <w:t xml:space="preserve">sono </w:t>
      </w:r>
      <w:r w:rsidRPr="00E351D0">
        <w:t xml:space="preserve">conformi al </w:t>
      </w:r>
      <w:r>
        <w:t xml:space="preserve">contratto. </w:t>
      </w:r>
      <w:r w:rsidRPr="00E351D0">
        <w:t>Gli allegati 1, 2</w:t>
      </w:r>
      <w:r>
        <w:t xml:space="preserve"> e</w:t>
      </w:r>
      <w:r w:rsidRPr="00E351D0">
        <w:t xml:space="preserve"> </w:t>
      </w:r>
      <w:r>
        <w:t>3 riportano in forma tabellare gli indicatori e la loro misurazione.</w:t>
      </w:r>
    </w:p>
    <w:p w:rsidR="0024207A" w:rsidRDefault="0024207A" w:rsidP="0024207A"/>
    <w:p w:rsidR="0024207A" w:rsidRDefault="0024207A" w:rsidP="0024207A">
      <w:r>
        <w:lastRenderedPageBreak/>
        <w:t xml:space="preserve">Anche i lavori di costituzione effettiva della Facoltà di scienze biomediche e del rispettivo master, che inizierà nel 2020, sono proseguiti con risultati soddisfacenti, così come i lavori per i grandi progetti di costruzione dei campus universitari, come descritto nel presente messaggio. </w:t>
      </w:r>
    </w:p>
    <w:p w:rsidR="0024207A" w:rsidRDefault="0024207A" w:rsidP="0024207A"/>
    <w:p w:rsidR="0024207A" w:rsidRPr="000C2954" w:rsidRDefault="0024207A" w:rsidP="0024207A">
      <w:pPr>
        <w:rPr>
          <w:noProof/>
        </w:rPr>
      </w:pPr>
      <w:r w:rsidRPr="00E351D0">
        <w:t xml:space="preserve">La proposta di </w:t>
      </w:r>
      <w:r>
        <w:t>d</w:t>
      </w:r>
      <w:r w:rsidRPr="00E351D0">
        <w:t xml:space="preserve">ecreto </w:t>
      </w:r>
      <w:r w:rsidRPr="000C2954">
        <w:t xml:space="preserve">legislativo allegato, che il nostro Consiglio raccomanda di approvare senza riserve, ha come scopo la ratifica </w:t>
      </w:r>
      <w:r w:rsidRPr="000C2954">
        <w:rPr>
          <w:noProof/>
        </w:rPr>
        <w:t>dell’utilizzo dei contributi di gestione riferiti all'anno 201</w:t>
      </w:r>
      <w:r>
        <w:rPr>
          <w:noProof/>
        </w:rPr>
        <w:t>7</w:t>
      </w:r>
      <w:r w:rsidRPr="000C2954">
        <w:rPr>
          <w:noProof/>
        </w:rPr>
        <w:t xml:space="preserve"> in relazione ai </w:t>
      </w:r>
      <w:r>
        <w:rPr>
          <w:noProof/>
        </w:rPr>
        <w:t xml:space="preserve">Cdp </w:t>
      </w:r>
      <w:r w:rsidRPr="000C2954">
        <w:rPr>
          <w:noProof/>
        </w:rPr>
        <w:t>con l’USI, la SUPSI, rispettivamente il DFA.</w:t>
      </w:r>
    </w:p>
    <w:p w:rsidR="0024207A" w:rsidRDefault="0024207A" w:rsidP="0024207A"/>
    <w:p w:rsidR="0024207A" w:rsidRPr="005B3E0C" w:rsidRDefault="0024207A" w:rsidP="0024207A">
      <w:pPr>
        <w:tabs>
          <w:tab w:val="left" w:pos="284"/>
          <w:tab w:val="left" w:pos="426"/>
          <w:tab w:val="left" w:pos="4962"/>
        </w:tabs>
        <w:rPr>
          <w:szCs w:val="24"/>
        </w:rPr>
      </w:pPr>
    </w:p>
    <w:p w:rsidR="0024207A" w:rsidRPr="005B3E0C" w:rsidRDefault="0024207A" w:rsidP="0024207A">
      <w:pPr>
        <w:rPr>
          <w:szCs w:val="24"/>
        </w:rPr>
      </w:pPr>
      <w:r w:rsidRPr="005B3E0C">
        <w:rPr>
          <w:szCs w:val="24"/>
        </w:rPr>
        <w:t>Vogliate gradire, signor</w:t>
      </w:r>
      <w:r>
        <w:rPr>
          <w:szCs w:val="24"/>
        </w:rPr>
        <w:t>a</w:t>
      </w:r>
      <w:r w:rsidRPr="005B3E0C">
        <w:rPr>
          <w:szCs w:val="24"/>
        </w:rPr>
        <w:t xml:space="preserve"> Presidente, signore e signori deputati, l'espressione della nostra massima stima.</w:t>
      </w:r>
    </w:p>
    <w:p w:rsidR="0024207A" w:rsidRPr="005B3E0C" w:rsidRDefault="0024207A" w:rsidP="0024207A">
      <w:pPr>
        <w:rPr>
          <w:szCs w:val="24"/>
        </w:rPr>
      </w:pPr>
    </w:p>
    <w:p w:rsidR="0024207A" w:rsidRDefault="0024207A" w:rsidP="0024207A">
      <w:pPr>
        <w:rPr>
          <w:szCs w:val="24"/>
        </w:rPr>
      </w:pPr>
    </w:p>
    <w:p w:rsidR="0024207A" w:rsidRDefault="0024207A" w:rsidP="0024207A">
      <w:pPr>
        <w:rPr>
          <w:szCs w:val="24"/>
        </w:rPr>
      </w:pPr>
    </w:p>
    <w:p w:rsidR="0024207A" w:rsidRPr="005B3E0C" w:rsidRDefault="0024207A" w:rsidP="0024207A">
      <w:pPr>
        <w:spacing w:after="120"/>
        <w:rPr>
          <w:szCs w:val="24"/>
        </w:rPr>
      </w:pPr>
      <w:r w:rsidRPr="005B3E0C">
        <w:rPr>
          <w:szCs w:val="24"/>
        </w:rPr>
        <w:t>Per il Consiglio di Stato:</w:t>
      </w:r>
    </w:p>
    <w:p w:rsidR="0024207A" w:rsidRPr="005B3E0C" w:rsidRDefault="0024207A" w:rsidP="0024207A">
      <w:pPr>
        <w:rPr>
          <w:szCs w:val="24"/>
        </w:rPr>
      </w:pPr>
      <w:r w:rsidRPr="005B3E0C">
        <w:rPr>
          <w:szCs w:val="24"/>
        </w:rPr>
        <w:t xml:space="preserve">Il Presidente, </w:t>
      </w:r>
      <w:r>
        <w:rPr>
          <w:szCs w:val="24"/>
        </w:rPr>
        <w:t>Claudio Zali</w:t>
      </w:r>
    </w:p>
    <w:p w:rsidR="0024207A" w:rsidRDefault="0024207A" w:rsidP="0024207A">
      <w:pPr>
        <w:rPr>
          <w:szCs w:val="24"/>
        </w:rPr>
      </w:pPr>
      <w:r w:rsidRPr="005B3E0C">
        <w:rPr>
          <w:szCs w:val="24"/>
        </w:rPr>
        <w:t>Il Cancelliere, A</w:t>
      </w:r>
      <w:r>
        <w:rPr>
          <w:szCs w:val="24"/>
        </w:rPr>
        <w:t>rnoldo</w:t>
      </w:r>
      <w:r w:rsidRPr="005B3E0C">
        <w:rPr>
          <w:szCs w:val="24"/>
        </w:rPr>
        <w:t xml:space="preserve"> Coduri</w:t>
      </w:r>
    </w:p>
    <w:p w:rsidR="0024207A" w:rsidRPr="005B3E0C" w:rsidRDefault="0024207A" w:rsidP="0024207A">
      <w:pPr>
        <w:rPr>
          <w:szCs w:val="24"/>
        </w:rPr>
      </w:pPr>
    </w:p>
    <w:p w:rsidR="0024207A" w:rsidRPr="00575B41" w:rsidRDefault="0024207A" w:rsidP="0024207A"/>
    <w:p w:rsidR="0024207A" w:rsidRDefault="0024207A"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1F1B4B" w:rsidRDefault="001F1B4B" w:rsidP="0024207A">
      <w:pPr>
        <w:autoSpaceDE w:val="0"/>
        <w:autoSpaceDN w:val="0"/>
        <w:adjustRightInd w:val="0"/>
        <w:rPr>
          <w:rFonts w:cs="Arial"/>
          <w:bCs/>
          <w:szCs w:val="24"/>
        </w:rPr>
      </w:pPr>
    </w:p>
    <w:p w:rsidR="0024207A" w:rsidRDefault="0024207A" w:rsidP="0024207A"/>
    <w:p w:rsidR="0024207A" w:rsidRDefault="0024207A" w:rsidP="0024207A"/>
    <w:p w:rsidR="0024207A" w:rsidRDefault="0024207A" w:rsidP="0024207A"/>
    <w:p w:rsidR="0024207A" w:rsidRDefault="0024207A" w:rsidP="0024207A"/>
    <w:p w:rsidR="0024207A" w:rsidRPr="0024207A" w:rsidRDefault="0024207A" w:rsidP="0024207A">
      <w:pPr>
        <w:rPr>
          <w:sz w:val="22"/>
          <w:szCs w:val="22"/>
        </w:rPr>
      </w:pPr>
      <w:r w:rsidRPr="0024207A">
        <w:rPr>
          <w:sz w:val="22"/>
          <w:szCs w:val="22"/>
          <w:u w:val="single"/>
        </w:rPr>
        <w:t>Allegati</w:t>
      </w:r>
      <w:r w:rsidRPr="0024207A">
        <w:rPr>
          <w:sz w:val="22"/>
          <w:szCs w:val="22"/>
        </w:rPr>
        <w:t>:</w:t>
      </w:r>
    </w:p>
    <w:p w:rsidR="0024207A" w:rsidRPr="0024207A" w:rsidRDefault="0024207A" w:rsidP="0024207A">
      <w:pPr>
        <w:pStyle w:val="ListParagraph1"/>
        <w:numPr>
          <w:ilvl w:val="0"/>
          <w:numId w:val="31"/>
        </w:numPr>
        <w:tabs>
          <w:tab w:val="clear" w:pos="360"/>
          <w:tab w:val="num" w:pos="284"/>
        </w:tabs>
        <w:spacing w:before="80"/>
        <w:ind w:left="284" w:hanging="284"/>
        <w:rPr>
          <w:sz w:val="22"/>
          <w:szCs w:val="22"/>
          <w:lang w:val="it-CH"/>
        </w:rPr>
      </w:pPr>
      <w:r w:rsidRPr="0024207A">
        <w:rPr>
          <w:sz w:val="22"/>
          <w:szCs w:val="22"/>
          <w:lang w:val="it-CH"/>
        </w:rPr>
        <w:t xml:space="preserve">Riassunto degli obiettivi dell’USI contemplati dal </w:t>
      </w:r>
      <w:proofErr w:type="spellStart"/>
      <w:r w:rsidRPr="0024207A">
        <w:rPr>
          <w:sz w:val="22"/>
          <w:szCs w:val="22"/>
          <w:lang w:val="it-CH"/>
        </w:rPr>
        <w:t>Cdp</w:t>
      </w:r>
      <w:proofErr w:type="spellEnd"/>
      <w:r w:rsidRPr="0024207A">
        <w:rPr>
          <w:sz w:val="22"/>
          <w:szCs w:val="22"/>
          <w:lang w:val="it-CH"/>
        </w:rPr>
        <w:t xml:space="preserve"> per il 2017</w:t>
      </w:r>
    </w:p>
    <w:p w:rsidR="0024207A" w:rsidRPr="0024207A" w:rsidRDefault="0024207A" w:rsidP="0024207A">
      <w:pPr>
        <w:pStyle w:val="ListParagraph1"/>
        <w:numPr>
          <w:ilvl w:val="0"/>
          <w:numId w:val="31"/>
        </w:numPr>
        <w:tabs>
          <w:tab w:val="clear" w:pos="360"/>
          <w:tab w:val="num" w:pos="284"/>
        </w:tabs>
        <w:spacing w:before="120"/>
        <w:ind w:left="284" w:hanging="284"/>
        <w:rPr>
          <w:sz w:val="22"/>
          <w:szCs w:val="22"/>
          <w:lang w:val="it-CH"/>
        </w:rPr>
      </w:pPr>
      <w:r w:rsidRPr="0024207A">
        <w:rPr>
          <w:sz w:val="22"/>
          <w:szCs w:val="22"/>
          <w:lang w:val="it-CH"/>
        </w:rPr>
        <w:t xml:space="preserve">Riassunto degli obiettivi della SUPSI contemplati dal </w:t>
      </w:r>
      <w:proofErr w:type="spellStart"/>
      <w:r w:rsidRPr="0024207A">
        <w:rPr>
          <w:sz w:val="22"/>
          <w:szCs w:val="22"/>
          <w:lang w:val="it-CH"/>
        </w:rPr>
        <w:t>Cdp</w:t>
      </w:r>
      <w:proofErr w:type="spellEnd"/>
      <w:r w:rsidRPr="0024207A">
        <w:rPr>
          <w:sz w:val="22"/>
          <w:szCs w:val="22"/>
          <w:lang w:val="it-CH"/>
        </w:rPr>
        <w:t xml:space="preserve"> per il 2017</w:t>
      </w:r>
    </w:p>
    <w:p w:rsidR="0024207A" w:rsidRPr="0024207A" w:rsidRDefault="0024207A" w:rsidP="0024207A">
      <w:pPr>
        <w:pStyle w:val="ListParagraph1"/>
        <w:numPr>
          <w:ilvl w:val="0"/>
          <w:numId w:val="31"/>
        </w:numPr>
        <w:tabs>
          <w:tab w:val="clear" w:pos="360"/>
          <w:tab w:val="num" w:pos="284"/>
        </w:tabs>
        <w:spacing w:before="120"/>
        <w:ind w:left="284" w:hanging="284"/>
        <w:rPr>
          <w:sz w:val="22"/>
          <w:szCs w:val="22"/>
          <w:lang w:val="it-CH"/>
        </w:rPr>
      </w:pPr>
      <w:r w:rsidRPr="0024207A">
        <w:rPr>
          <w:sz w:val="22"/>
          <w:szCs w:val="22"/>
          <w:lang w:val="it-CH"/>
        </w:rPr>
        <w:t xml:space="preserve">Riassunto degli obiettivi del DFA contemplati dal </w:t>
      </w:r>
      <w:proofErr w:type="spellStart"/>
      <w:r w:rsidRPr="0024207A">
        <w:rPr>
          <w:sz w:val="22"/>
          <w:szCs w:val="22"/>
          <w:lang w:val="it-CH"/>
        </w:rPr>
        <w:t>Cdp</w:t>
      </w:r>
      <w:proofErr w:type="spellEnd"/>
      <w:r w:rsidRPr="0024207A">
        <w:rPr>
          <w:sz w:val="22"/>
          <w:szCs w:val="22"/>
          <w:lang w:val="it-CH"/>
        </w:rPr>
        <w:t xml:space="preserve"> per il 2017</w:t>
      </w:r>
    </w:p>
    <w:p w:rsidR="0024207A" w:rsidRPr="00E351D0" w:rsidRDefault="0024207A" w:rsidP="0024207A">
      <w:pPr>
        <w:pStyle w:val="ListParagraph1"/>
        <w:spacing w:before="120"/>
        <w:ind w:left="0"/>
        <w:rPr>
          <w:rFonts w:cs="Arial"/>
          <w:szCs w:val="24"/>
        </w:rPr>
      </w:pPr>
      <w:r>
        <w:rPr>
          <w:szCs w:val="24"/>
          <w:lang w:val="it-CH"/>
        </w:rPr>
        <w:br w:type="page"/>
      </w:r>
      <w:r w:rsidRPr="00E351D0">
        <w:rPr>
          <w:rFonts w:cs="Arial"/>
          <w:szCs w:val="24"/>
        </w:rPr>
        <w:lastRenderedPageBreak/>
        <w:t xml:space="preserve">Disegno di </w:t>
      </w:r>
    </w:p>
    <w:p w:rsidR="0024207A" w:rsidRPr="00E351D0" w:rsidRDefault="0024207A" w:rsidP="0024207A">
      <w:pPr>
        <w:pStyle w:val="Intestazione"/>
      </w:pPr>
    </w:p>
    <w:p w:rsidR="0024207A" w:rsidRPr="00E351D0" w:rsidRDefault="0024207A" w:rsidP="0024207A">
      <w:pPr>
        <w:pStyle w:val="Intestazione"/>
        <w:spacing w:before="120"/>
        <w:rPr>
          <w:b/>
        </w:rPr>
      </w:pPr>
      <w:r w:rsidRPr="0076732D">
        <w:rPr>
          <w:b/>
        </w:rPr>
        <w:t>D</w:t>
      </w:r>
      <w:r>
        <w:rPr>
          <w:b/>
        </w:rPr>
        <w:t>ECRETO LEGISLATIVO</w:t>
      </w:r>
    </w:p>
    <w:p w:rsidR="0024207A" w:rsidRPr="00997E42" w:rsidRDefault="0024207A" w:rsidP="0024207A">
      <w:pPr>
        <w:spacing w:before="120"/>
        <w:rPr>
          <w:rFonts w:cs="Arial"/>
          <w:b/>
          <w:szCs w:val="24"/>
        </w:rPr>
      </w:pPr>
      <w:r>
        <w:rPr>
          <w:b/>
          <w:szCs w:val="24"/>
        </w:rPr>
        <w:t xml:space="preserve">sul </w:t>
      </w:r>
      <w:r w:rsidRPr="00997E42">
        <w:rPr>
          <w:rFonts w:cs="Arial"/>
          <w:b/>
          <w:szCs w:val="24"/>
        </w:rPr>
        <w:t xml:space="preserve">resoconto </w:t>
      </w:r>
      <w:r>
        <w:rPr>
          <w:rFonts w:cs="Arial"/>
          <w:b/>
          <w:szCs w:val="24"/>
        </w:rPr>
        <w:t>su</w:t>
      </w:r>
      <w:r w:rsidRPr="00997E42">
        <w:rPr>
          <w:rFonts w:cs="Arial"/>
          <w:b/>
          <w:szCs w:val="24"/>
        </w:rPr>
        <w:t xml:space="preserve">i </w:t>
      </w:r>
      <w:r>
        <w:rPr>
          <w:rFonts w:cs="Arial"/>
          <w:b/>
          <w:szCs w:val="24"/>
        </w:rPr>
        <w:t>c</w:t>
      </w:r>
      <w:r w:rsidRPr="00997E42">
        <w:rPr>
          <w:rFonts w:cs="Arial"/>
          <w:b/>
          <w:szCs w:val="24"/>
        </w:rPr>
        <w:t>ontratti di prestazion</w:t>
      </w:r>
      <w:r>
        <w:rPr>
          <w:rFonts w:cs="Arial"/>
          <w:b/>
          <w:szCs w:val="24"/>
        </w:rPr>
        <w:t>i</w:t>
      </w:r>
      <w:r w:rsidRPr="00997E42">
        <w:rPr>
          <w:rFonts w:cs="Arial"/>
          <w:b/>
          <w:szCs w:val="24"/>
        </w:rPr>
        <w:t xml:space="preserve"> </w:t>
      </w:r>
      <w:r>
        <w:rPr>
          <w:rFonts w:cs="Arial"/>
          <w:b/>
          <w:szCs w:val="24"/>
        </w:rPr>
        <w:t xml:space="preserve">2017 </w:t>
      </w:r>
      <w:r w:rsidRPr="00997E42">
        <w:rPr>
          <w:rFonts w:cs="Arial"/>
          <w:b/>
          <w:szCs w:val="24"/>
        </w:rPr>
        <w:t>tra il Cantone Ticino e l’Università della Svizzera italiana</w:t>
      </w:r>
      <w:r>
        <w:rPr>
          <w:rFonts w:cs="Arial"/>
          <w:b/>
          <w:szCs w:val="24"/>
        </w:rPr>
        <w:t>,</w:t>
      </w:r>
      <w:r w:rsidRPr="00997E42">
        <w:rPr>
          <w:rFonts w:cs="Arial"/>
          <w:b/>
          <w:szCs w:val="24"/>
        </w:rPr>
        <w:t xml:space="preserve"> la Scuola universitaria profes</w:t>
      </w:r>
      <w:r>
        <w:rPr>
          <w:rFonts w:cs="Arial"/>
          <w:b/>
          <w:szCs w:val="24"/>
        </w:rPr>
        <w:t>sionale della Svizzera italiana (SUPSI)</w:t>
      </w:r>
      <w:r w:rsidRPr="00997E42">
        <w:rPr>
          <w:rFonts w:cs="Arial"/>
          <w:b/>
          <w:szCs w:val="24"/>
        </w:rPr>
        <w:t xml:space="preserve"> </w:t>
      </w:r>
      <w:r>
        <w:rPr>
          <w:rFonts w:cs="Arial"/>
          <w:b/>
          <w:szCs w:val="24"/>
        </w:rPr>
        <w:t>e</w:t>
      </w:r>
      <w:r w:rsidRPr="00997E42">
        <w:rPr>
          <w:rFonts w:cs="Arial"/>
          <w:b/>
          <w:szCs w:val="24"/>
        </w:rPr>
        <w:t xml:space="preserve"> il Dipartimento formazione e apprendimento della SUPSI</w:t>
      </w:r>
    </w:p>
    <w:p w:rsidR="0024207A" w:rsidRPr="00E351D0" w:rsidRDefault="0024207A" w:rsidP="0024207A"/>
    <w:p w:rsidR="0024207A" w:rsidRPr="00E351D0" w:rsidRDefault="0024207A" w:rsidP="0024207A"/>
    <w:p w:rsidR="0024207A" w:rsidRPr="00E351D0" w:rsidRDefault="0024207A" w:rsidP="0024207A">
      <w:pPr>
        <w:rPr>
          <w:caps/>
        </w:rPr>
      </w:pPr>
      <w:r w:rsidRPr="00E351D0">
        <w:t>I</w:t>
      </w:r>
      <w:r>
        <w:t>L GRAN CONSIGLIO</w:t>
      </w:r>
    </w:p>
    <w:p w:rsidR="0024207A" w:rsidRPr="00E351D0" w:rsidRDefault="0024207A" w:rsidP="0024207A">
      <w:pPr>
        <w:rPr>
          <w:caps/>
        </w:rPr>
      </w:pPr>
      <w:r>
        <w:t>DELLA REPUBBLICA E CANTONE TICINO</w:t>
      </w:r>
    </w:p>
    <w:p w:rsidR="0024207A" w:rsidRPr="00E351D0" w:rsidRDefault="0024207A" w:rsidP="0024207A"/>
    <w:p w:rsidR="0024207A" w:rsidRDefault="0024207A" w:rsidP="0024207A">
      <w:r w:rsidRPr="00E351D0">
        <w:t xml:space="preserve">visto il </w:t>
      </w:r>
      <w:r>
        <w:t>messaggio 3 ottobre 2018 n. 7585 del Consiglio di Stato,</w:t>
      </w:r>
      <w:r w:rsidRPr="00E351D0">
        <w:t xml:space="preserve"> </w:t>
      </w:r>
    </w:p>
    <w:p w:rsidR="0024207A" w:rsidRPr="00E351D0" w:rsidRDefault="0024207A" w:rsidP="0024207A"/>
    <w:p w:rsidR="0024207A" w:rsidRPr="00E351D0" w:rsidRDefault="0024207A" w:rsidP="0024207A"/>
    <w:p w:rsidR="0024207A" w:rsidRPr="00ED3F1A" w:rsidRDefault="0024207A" w:rsidP="0024207A">
      <w:pPr>
        <w:rPr>
          <w:rStyle w:val="Enfasicorsivo"/>
        </w:rPr>
      </w:pPr>
      <w:r w:rsidRPr="00ED3F1A">
        <w:rPr>
          <w:rStyle w:val="Enfasicorsivo"/>
        </w:rPr>
        <w:t>d</w:t>
      </w:r>
      <w:r>
        <w:rPr>
          <w:rStyle w:val="Enfasicorsivo"/>
        </w:rPr>
        <w:t xml:space="preserve"> </w:t>
      </w:r>
      <w:r w:rsidRPr="00ED3F1A">
        <w:rPr>
          <w:rStyle w:val="Enfasicorsivo"/>
        </w:rPr>
        <w:t>e</w:t>
      </w:r>
      <w:r>
        <w:rPr>
          <w:rStyle w:val="Enfasicorsivo"/>
        </w:rPr>
        <w:t xml:space="preserve"> </w:t>
      </w:r>
      <w:r w:rsidRPr="00ED3F1A">
        <w:rPr>
          <w:rStyle w:val="Enfasicorsivo"/>
        </w:rPr>
        <w:t>c</w:t>
      </w:r>
      <w:r>
        <w:rPr>
          <w:rStyle w:val="Enfasicorsivo"/>
        </w:rPr>
        <w:t xml:space="preserve"> </w:t>
      </w:r>
      <w:r w:rsidRPr="00ED3F1A">
        <w:rPr>
          <w:rStyle w:val="Enfasicorsivo"/>
        </w:rPr>
        <w:t>r</w:t>
      </w:r>
      <w:r>
        <w:rPr>
          <w:rStyle w:val="Enfasicorsivo"/>
        </w:rPr>
        <w:t xml:space="preserve"> </w:t>
      </w:r>
      <w:r w:rsidRPr="00ED3F1A">
        <w:rPr>
          <w:rStyle w:val="Enfasicorsivo"/>
        </w:rPr>
        <w:t>e</w:t>
      </w:r>
      <w:r>
        <w:rPr>
          <w:rStyle w:val="Enfasicorsivo"/>
        </w:rPr>
        <w:t xml:space="preserve"> </w:t>
      </w:r>
      <w:r w:rsidRPr="00ED3F1A">
        <w:rPr>
          <w:rStyle w:val="Enfasicorsivo"/>
        </w:rPr>
        <w:t>t</w:t>
      </w:r>
      <w:r>
        <w:rPr>
          <w:rStyle w:val="Enfasicorsivo"/>
        </w:rPr>
        <w:t xml:space="preserve"> </w:t>
      </w:r>
      <w:r w:rsidRPr="00ED3F1A">
        <w:rPr>
          <w:rStyle w:val="Enfasicorsivo"/>
        </w:rPr>
        <w:t>a</w:t>
      </w:r>
      <w:r>
        <w:rPr>
          <w:rStyle w:val="Enfasicorsivo"/>
        </w:rPr>
        <w:t xml:space="preserve"> </w:t>
      </w:r>
      <w:r w:rsidRPr="00ED3F1A">
        <w:rPr>
          <w:rStyle w:val="Enfasicorsivo"/>
        </w:rPr>
        <w:t>:</w:t>
      </w:r>
    </w:p>
    <w:p w:rsidR="0024207A" w:rsidRPr="00E351D0" w:rsidRDefault="0024207A" w:rsidP="0024207A"/>
    <w:p w:rsidR="0024207A" w:rsidRPr="00E351D0" w:rsidRDefault="0024207A" w:rsidP="0024207A"/>
    <w:p w:rsidR="0024207A" w:rsidRPr="0024207A" w:rsidRDefault="0024207A" w:rsidP="0024207A">
      <w:pPr>
        <w:tabs>
          <w:tab w:val="left" w:pos="1134"/>
        </w:tabs>
        <w:rPr>
          <w:b/>
          <w:u w:val="single"/>
        </w:rPr>
      </w:pPr>
      <w:r w:rsidRPr="0024207A">
        <w:rPr>
          <w:b/>
          <w:u w:val="single"/>
        </w:rPr>
        <w:t>Articolo 1</w:t>
      </w:r>
    </w:p>
    <w:p w:rsidR="0024207A" w:rsidRPr="00E351D0" w:rsidRDefault="0024207A" w:rsidP="0024207A">
      <w:pPr>
        <w:tabs>
          <w:tab w:val="left" w:pos="1134"/>
        </w:tabs>
        <w:spacing w:before="120"/>
      </w:pPr>
      <w:r w:rsidRPr="00E351D0">
        <w:t xml:space="preserve">L’utilizzo del </w:t>
      </w:r>
      <w:r>
        <w:t xml:space="preserve">contributo di gestione </w:t>
      </w:r>
      <w:r w:rsidRPr="00E351D0">
        <w:t>dell'</w:t>
      </w:r>
      <w:r w:rsidRPr="00160B94">
        <w:t xml:space="preserve">Università della Svizzera italiana </w:t>
      </w:r>
      <w:r>
        <w:t>(</w:t>
      </w:r>
      <w:r w:rsidRPr="00E351D0">
        <w:t>USI</w:t>
      </w:r>
      <w:r>
        <w:t>)</w:t>
      </w:r>
      <w:r w:rsidRPr="00E351D0">
        <w:t xml:space="preserve"> </w:t>
      </w:r>
      <w:r w:rsidRPr="00FA68EB">
        <w:t>di</w:t>
      </w:r>
      <w:r>
        <w:t xml:space="preserve"> 21</w:t>
      </w:r>
      <w:r w:rsidRPr="00FA68EB">
        <w:t>'</w:t>
      </w:r>
      <w:r>
        <w:t>000'</w:t>
      </w:r>
      <w:r w:rsidRPr="00FA68EB">
        <w:t>000</w:t>
      </w:r>
      <w:r>
        <w:t xml:space="preserve"> di franchi </w:t>
      </w:r>
      <w:r w:rsidRPr="00E351D0">
        <w:t>per l’anno 201</w:t>
      </w:r>
      <w:r>
        <w:t xml:space="preserve">7 </w:t>
      </w:r>
      <w:r w:rsidRPr="00E351D0">
        <w:t xml:space="preserve">è coerente con gli obiettivi concordati nel </w:t>
      </w:r>
      <w:r>
        <w:t>c</w:t>
      </w:r>
      <w:r w:rsidRPr="00E351D0">
        <w:t>ontratto di prestazion</w:t>
      </w:r>
      <w:r>
        <w:t>i</w:t>
      </w:r>
      <w:r w:rsidRPr="00E351D0">
        <w:t xml:space="preserve"> tra </w:t>
      </w:r>
      <w:r>
        <w:t>l’</w:t>
      </w:r>
      <w:r w:rsidRPr="00E351D0">
        <w:t xml:space="preserve">USI e </w:t>
      </w:r>
      <w:r>
        <w:t>il Cantone Ticino. La perdita d’esercizio</w:t>
      </w:r>
      <w:r w:rsidRPr="00E351D0">
        <w:t xml:space="preserve"> </w:t>
      </w:r>
      <w:r w:rsidRPr="00B97321">
        <w:rPr>
          <w:rFonts w:cs="Arial"/>
          <w:szCs w:val="24"/>
        </w:rPr>
        <w:t>di</w:t>
      </w:r>
      <w:r w:rsidRPr="00224C09">
        <w:rPr>
          <w:rFonts w:cs="Arial"/>
          <w:szCs w:val="24"/>
        </w:rPr>
        <w:t xml:space="preserve"> </w:t>
      </w:r>
      <w:r>
        <w:rPr>
          <w:rFonts w:cs="Arial"/>
          <w:szCs w:val="24"/>
        </w:rPr>
        <w:t>453</w:t>
      </w:r>
      <w:r w:rsidRPr="00224C09">
        <w:rPr>
          <w:rFonts w:cs="Arial"/>
          <w:szCs w:val="24"/>
        </w:rPr>
        <w:t>'</w:t>
      </w:r>
      <w:r>
        <w:rPr>
          <w:rFonts w:cs="Arial"/>
          <w:szCs w:val="24"/>
        </w:rPr>
        <w:t>272</w:t>
      </w:r>
      <w:r>
        <w:t xml:space="preserve"> franchi </w:t>
      </w:r>
      <w:r>
        <w:rPr>
          <w:rFonts w:cs="Arial"/>
          <w:szCs w:val="24"/>
        </w:rPr>
        <w:t>del 2017 è stata</w:t>
      </w:r>
      <w:r w:rsidRPr="00E351D0">
        <w:rPr>
          <w:rFonts w:cs="Arial"/>
          <w:szCs w:val="24"/>
        </w:rPr>
        <w:t xml:space="preserve"> riportat</w:t>
      </w:r>
      <w:r>
        <w:rPr>
          <w:rFonts w:cs="Arial"/>
          <w:szCs w:val="24"/>
        </w:rPr>
        <w:t>a</w:t>
      </w:r>
      <w:r w:rsidRPr="00E351D0">
        <w:rPr>
          <w:rFonts w:cs="Arial"/>
          <w:szCs w:val="24"/>
        </w:rPr>
        <w:t xml:space="preserve"> d</w:t>
      </w:r>
      <w:r>
        <w:rPr>
          <w:rFonts w:cs="Arial"/>
          <w:szCs w:val="24"/>
        </w:rPr>
        <w:t>all’</w:t>
      </w:r>
      <w:r w:rsidRPr="00E351D0">
        <w:rPr>
          <w:rFonts w:cs="Arial"/>
          <w:szCs w:val="24"/>
        </w:rPr>
        <w:t xml:space="preserve">USI a capitale proprio. </w:t>
      </w:r>
    </w:p>
    <w:p w:rsidR="0024207A" w:rsidRDefault="0024207A" w:rsidP="0024207A">
      <w:pPr>
        <w:tabs>
          <w:tab w:val="left" w:pos="1134"/>
        </w:tabs>
      </w:pPr>
    </w:p>
    <w:p w:rsidR="0024207A" w:rsidRPr="00E351D0" w:rsidRDefault="0024207A" w:rsidP="0024207A">
      <w:pPr>
        <w:tabs>
          <w:tab w:val="left" w:pos="1134"/>
        </w:tabs>
      </w:pPr>
    </w:p>
    <w:p w:rsidR="0024207A" w:rsidRPr="0024207A" w:rsidRDefault="0024207A" w:rsidP="0024207A">
      <w:pPr>
        <w:tabs>
          <w:tab w:val="left" w:pos="1134"/>
        </w:tabs>
        <w:rPr>
          <w:b/>
          <w:u w:val="single"/>
        </w:rPr>
      </w:pPr>
      <w:r w:rsidRPr="0024207A">
        <w:rPr>
          <w:b/>
          <w:u w:val="single"/>
        </w:rPr>
        <w:t>Articolo 2</w:t>
      </w:r>
    </w:p>
    <w:p w:rsidR="0024207A" w:rsidRPr="00E351D0" w:rsidRDefault="0024207A" w:rsidP="0024207A">
      <w:pPr>
        <w:tabs>
          <w:tab w:val="left" w:pos="1134"/>
        </w:tabs>
        <w:spacing w:before="120"/>
        <w:rPr>
          <w:rFonts w:cs="Arial"/>
          <w:szCs w:val="24"/>
        </w:rPr>
      </w:pPr>
      <w:r w:rsidRPr="00C57FD4">
        <w:t xml:space="preserve">L’utilizzo del contributo di gestione della </w:t>
      </w:r>
      <w:r w:rsidRPr="00160B94">
        <w:t xml:space="preserve">Scuola universitaria professionale della Svizzera italiana </w:t>
      </w:r>
      <w:r>
        <w:t>(</w:t>
      </w:r>
      <w:r w:rsidRPr="00C57FD4">
        <w:t>SUPSI</w:t>
      </w:r>
      <w:r>
        <w:t>)</w:t>
      </w:r>
      <w:r w:rsidRPr="00C57FD4">
        <w:t xml:space="preserve"> di </w:t>
      </w:r>
      <w:r>
        <w:t xml:space="preserve">24'190'000 franchi </w:t>
      </w:r>
      <w:r w:rsidRPr="00C57FD4">
        <w:t>per l’anno 201</w:t>
      </w:r>
      <w:r>
        <w:t>7</w:t>
      </w:r>
      <w:r w:rsidRPr="00C57FD4">
        <w:t xml:space="preserve"> è coerente con gli obiettivi concordati nel contratto di prestazioni tra la SUPSI e il Cantone Ticino. </w:t>
      </w:r>
      <w:r>
        <w:t xml:space="preserve">L’utile </w:t>
      </w:r>
      <w:r w:rsidRPr="00C57FD4">
        <w:t xml:space="preserve">d’esercizio </w:t>
      </w:r>
      <w:r w:rsidRPr="00C57FD4">
        <w:rPr>
          <w:rFonts w:cs="Arial"/>
          <w:szCs w:val="24"/>
        </w:rPr>
        <w:t xml:space="preserve">di </w:t>
      </w:r>
      <w:r>
        <w:rPr>
          <w:rFonts w:cs="Arial"/>
          <w:szCs w:val="24"/>
        </w:rPr>
        <w:t>1'972'821</w:t>
      </w:r>
      <w:r>
        <w:t xml:space="preserve"> franchi </w:t>
      </w:r>
      <w:r w:rsidRPr="00C57FD4">
        <w:rPr>
          <w:rFonts w:cs="Arial"/>
          <w:szCs w:val="24"/>
        </w:rPr>
        <w:t>del 201</w:t>
      </w:r>
      <w:r>
        <w:rPr>
          <w:rFonts w:cs="Arial"/>
          <w:szCs w:val="24"/>
        </w:rPr>
        <w:t>7</w:t>
      </w:r>
      <w:r w:rsidRPr="00C57FD4">
        <w:rPr>
          <w:rFonts w:cs="Arial"/>
          <w:szCs w:val="24"/>
        </w:rPr>
        <w:t xml:space="preserve"> è stat</w:t>
      </w:r>
      <w:r>
        <w:rPr>
          <w:rFonts w:cs="Arial"/>
          <w:szCs w:val="24"/>
        </w:rPr>
        <w:t>o</w:t>
      </w:r>
      <w:r w:rsidRPr="00C57FD4">
        <w:rPr>
          <w:rFonts w:cs="Arial"/>
          <w:szCs w:val="24"/>
        </w:rPr>
        <w:t xml:space="preserve"> riportat</w:t>
      </w:r>
      <w:r>
        <w:rPr>
          <w:rFonts w:cs="Arial"/>
          <w:szCs w:val="24"/>
        </w:rPr>
        <w:t>o</w:t>
      </w:r>
      <w:r w:rsidRPr="00C57FD4">
        <w:rPr>
          <w:rFonts w:cs="Arial"/>
          <w:szCs w:val="24"/>
        </w:rPr>
        <w:t xml:space="preserve"> dalla SUPSI a capitale proprio.</w:t>
      </w:r>
      <w:r w:rsidRPr="00E351D0">
        <w:rPr>
          <w:rFonts w:cs="Arial"/>
          <w:szCs w:val="24"/>
        </w:rPr>
        <w:t xml:space="preserve"> </w:t>
      </w:r>
    </w:p>
    <w:p w:rsidR="0024207A" w:rsidRDefault="0024207A" w:rsidP="0024207A">
      <w:pPr>
        <w:tabs>
          <w:tab w:val="left" w:pos="1134"/>
        </w:tabs>
        <w:rPr>
          <w:rFonts w:cs="Arial"/>
          <w:szCs w:val="24"/>
        </w:rPr>
      </w:pPr>
    </w:p>
    <w:p w:rsidR="0024207A" w:rsidRPr="00E351D0" w:rsidRDefault="0024207A" w:rsidP="0024207A">
      <w:pPr>
        <w:tabs>
          <w:tab w:val="left" w:pos="1134"/>
        </w:tabs>
        <w:rPr>
          <w:rFonts w:cs="Arial"/>
          <w:szCs w:val="24"/>
        </w:rPr>
      </w:pPr>
    </w:p>
    <w:p w:rsidR="0024207A" w:rsidRPr="0024207A" w:rsidRDefault="0024207A" w:rsidP="0024207A">
      <w:pPr>
        <w:tabs>
          <w:tab w:val="left" w:pos="1134"/>
        </w:tabs>
        <w:rPr>
          <w:b/>
          <w:u w:val="single"/>
        </w:rPr>
      </w:pPr>
      <w:r w:rsidRPr="0024207A">
        <w:rPr>
          <w:b/>
          <w:u w:val="single"/>
        </w:rPr>
        <w:t xml:space="preserve">Articolo 3 </w:t>
      </w:r>
    </w:p>
    <w:p w:rsidR="0024207A" w:rsidRPr="00E351D0" w:rsidRDefault="0024207A" w:rsidP="0024207A">
      <w:pPr>
        <w:tabs>
          <w:tab w:val="left" w:pos="1134"/>
        </w:tabs>
        <w:spacing w:before="120"/>
      </w:pPr>
      <w:r w:rsidRPr="00E351D0">
        <w:t>L’utilizzo del</w:t>
      </w:r>
      <w:r>
        <w:t xml:space="preserve">l’importo </w:t>
      </w:r>
      <w:r w:rsidRPr="00E351D0">
        <w:t>forfettario del D</w:t>
      </w:r>
      <w:r>
        <w:t>ipartimento formazione e apprendimento (D</w:t>
      </w:r>
      <w:r w:rsidRPr="00E351D0">
        <w:t>FA</w:t>
      </w:r>
      <w:r>
        <w:t>)</w:t>
      </w:r>
      <w:r w:rsidRPr="00E351D0">
        <w:t xml:space="preserve"> </w:t>
      </w:r>
      <w:r w:rsidRPr="007A5CA4">
        <w:t>di</w:t>
      </w:r>
      <w:r>
        <w:t xml:space="preserve"> 14</w:t>
      </w:r>
      <w:r w:rsidRPr="007A5CA4">
        <w:t>'</w:t>
      </w:r>
      <w:r>
        <w:t>250</w:t>
      </w:r>
      <w:r w:rsidRPr="007A5CA4">
        <w:t>'</w:t>
      </w:r>
      <w:r>
        <w:t>0</w:t>
      </w:r>
      <w:r w:rsidRPr="007A5CA4">
        <w:t>00</w:t>
      </w:r>
      <w:r>
        <w:t xml:space="preserve"> franchi </w:t>
      </w:r>
      <w:r w:rsidRPr="007A5CA4">
        <w:t>per l’anno 201</w:t>
      </w:r>
      <w:r>
        <w:t>7</w:t>
      </w:r>
      <w:r w:rsidRPr="007A5CA4">
        <w:t xml:space="preserve"> è coerente con gli obiettivi concordati nel </w:t>
      </w:r>
      <w:r>
        <w:t>contratto</w:t>
      </w:r>
      <w:r w:rsidRPr="007A5CA4">
        <w:t xml:space="preserve"> di prestazion</w:t>
      </w:r>
      <w:r>
        <w:t>i</w:t>
      </w:r>
      <w:r w:rsidRPr="007A5CA4">
        <w:t xml:space="preserve"> tra la SUPSI/DFA e il </w:t>
      </w:r>
      <w:r>
        <w:t xml:space="preserve">Cantone Ticino. L’utile </w:t>
      </w:r>
      <w:r w:rsidRPr="007A5CA4">
        <w:t>d’esercizio del 201</w:t>
      </w:r>
      <w:r>
        <w:t>7</w:t>
      </w:r>
      <w:r w:rsidRPr="007A5CA4">
        <w:t xml:space="preserve"> di</w:t>
      </w:r>
      <w:r>
        <w:t xml:space="preserve"> </w:t>
      </w:r>
      <w:r w:rsidRPr="00B925AA">
        <w:rPr>
          <w:rFonts w:cs="Arial"/>
          <w:szCs w:val="24"/>
        </w:rPr>
        <w:t>154'268.52</w:t>
      </w:r>
      <w:r>
        <w:t xml:space="preserve"> franchi </w:t>
      </w:r>
      <w:r>
        <w:rPr>
          <w:rFonts w:cs="Arial"/>
          <w:szCs w:val="24"/>
        </w:rPr>
        <w:t xml:space="preserve">è stato </w:t>
      </w:r>
      <w:r w:rsidRPr="00E351D0">
        <w:rPr>
          <w:rFonts w:cs="Arial"/>
          <w:szCs w:val="24"/>
        </w:rPr>
        <w:t>riportat</w:t>
      </w:r>
      <w:r>
        <w:rPr>
          <w:rFonts w:cs="Arial"/>
          <w:szCs w:val="24"/>
        </w:rPr>
        <w:t>o</w:t>
      </w:r>
      <w:r w:rsidRPr="00E351D0">
        <w:rPr>
          <w:rFonts w:cs="Arial"/>
          <w:szCs w:val="24"/>
        </w:rPr>
        <w:t xml:space="preserve"> da</w:t>
      </w:r>
      <w:r>
        <w:rPr>
          <w:rFonts w:cs="Arial"/>
          <w:szCs w:val="24"/>
        </w:rPr>
        <w:t xml:space="preserve">lla </w:t>
      </w:r>
      <w:r w:rsidRPr="00E351D0">
        <w:rPr>
          <w:rFonts w:cs="Arial"/>
          <w:szCs w:val="24"/>
        </w:rPr>
        <w:t xml:space="preserve">SUPSI a capitale proprio </w:t>
      </w:r>
      <w:r>
        <w:rPr>
          <w:rFonts w:cs="Arial"/>
          <w:szCs w:val="24"/>
        </w:rPr>
        <w:t>in</w:t>
      </w:r>
      <w:r w:rsidRPr="00E351D0">
        <w:rPr>
          <w:rFonts w:cs="Arial"/>
          <w:szCs w:val="24"/>
        </w:rPr>
        <w:t xml:space="preserve"> voce separata.</w:t>
      </w:r>
      <w:r>
        <w:rPr>
          <w:rFonts w:cs="Arial"/>
          <w:szCs w:val="24"/>
        </w:rPr>
        <w:t xml:space="preserve"> </w:t>
      </w:r>
    </w:p>
    <w:p w:rsidR="0024207A" w:rsidRDefault="0024207A" w:rsidP="0024207A">
      <w:pPr>
        <w:tabs>
          <w:tab w:val="left" w:pos="1134"/>
        </w:tabs>
      </w:pPr>
    </w:p>
    <w:p w:rsidR="0024207A" w:rsidRPr="00E351D0" w:rsidRDefault="0024207A" w:rsidP="0024207A">
      <w:pPr>
        <w:tabs>
          <w:tab w:val="left" w:pos="1134"/>
        </w:tabs>
      </w:pPr>
    </w:p>
    <w:p w:rsidR="0024207A" w:rsidRPr="0024207A" w:rsidRDefault="0024207A" w:rsidP="0024207A">
      <w:pPr>
        <w:tabs>
          <w:tab w:val="left" w:pos="284"/>
          <w:tab w:val="left" w:pos="426"/>
          <w:tab w:val="left" w:pos="4962"/>
        </w:tabs>
        <w:rPr>
          <w:b/>
          <w:u w:val="single"/>
        </w:rPr>
      </w:pPr>
      <w:r w:rsidRPr="0024207A">
        <w:rPr>
          <w:b/>
          <w:u w:val="single"/>
        </w:rPr>
        <w:t>Articolo 4</w:t>
      </w:r>
    </w:p>
    <w:p w:rsidR="0024207A" w:rsidRDefault="0024207A" w:rsidP="0024207A">
      <w:pPr>
        <w:tabs>
          <w:tab w:val="left" w:pos="284"/>
          <w:tab w:val="left" w:pos="426"/>
          <w:tab w:val="left" w:pos="4962"/>
          <w:tab w:val="left" w:pos="6663"/>
        </w:tabs>
        <w:spacing w:before="120"/>
      </w:pPr>
      <w:r w:rsidRPr="00E351D0">
        <w:t>Il presente decreto legislativo</w:t>
      </w:r>
      <w:r>
        <w:t xml:space="preserve"> </w:t>
      </w:r>
      <w:r w:rsidRPr="00E351D0">
        <w:t xml:space="preserve">è pubblicato nel Bollettino </w:t>
      </w:r>
      <w:r>
        <w:t xml:space="preserve">ufficiale </w:t>
      </w:r>
      <w:r w:rsidRPr="00E351D0">
        <w:t>delle leggi ed entra immediatamente in vigore.</w:t>
      </w:r>
    </w:p>
    <w:p w:rsidR="0024207A" w:rsidRPr="00E351D0" w:rsidRDefault="0024207A" w:rsidP="0024207A">
      <w:pPr>
        <w:tabs>
          <w:tab w:val="left" w:pos="284"/>
          <w:tab w:val="left" w:pos="426"/>
          <w:tab w:val="left" w:pos="4962"/>
        </w:tabs>
        <w:spacing w:before="120"/>
      </w:pPr>
    </w:p>
    <w:p w:rsidR="0024207A" w:rsidRPr="00E351D0" w:rsidRDefault="0024207A" w:rsidP="0024207A">
      <w:pPr>
        <w:tabs>
          <w:tab w:val="left" w:pos="284"/>
          <w:tab w:val="left" w:pos="426"/>
          <w:tab w:val="left" w:pos="4962"/>
        </w:tabs>
        <w:spacing w:before="120"/>
        <w:sectPr w:rsidR="0024207A" w:rsidRPr="00E351D0" w:rsidSect="00051D4C">
          <w:footerReference w:type="default" r:id="rId23"/>
          <w:pgSz w:w="11906" w:h="16838"/>
          <w:pgMar w:top="1134" w:right="1134" w:bottom="1021" w:left="1134" w:header="720" w:footer="567" w:gutter="0"/>
          <w:cols w:space="720"/>
        </w:sectPr>
      </w:pPr>
    </w:p>
    <w:p w:rsidR="0024207A" w:rsidRPr="00DF5883" w:rsidRDefault="0024207A" w:rsidP="0024207A">
      <w:pPr>
        <w:spacing w:before="120"/>
        <w:rPr>
          <w:rFonts w:cs="Arial"/>
          <w:b/>
          <w:sz w:val="23"/>
          <w:szCs w:val="23"/>
        </w:rPr>
      </w:pPr>
      <w:r w:rsidRPr="00DF5883">
        <w:rPr>
          <w:b/>
          <w:sz w:val="23"/>
          <w:szCs w:val="23"/>
        </w:rPr>
        <w:lastRenderedPageBreak/>
        <w:t>ALLEGATO 1</w:t>
      </w:r>
      <w:r w:rsidRPr="00DF5883">
        <w:rPr>
          <w:rFonts w:cs="Arial"/>
          <w:b/>
          <w:sz w:val="23"/>
          <w:szCs w:val="23"/>
        </w:rPr>
        <w:t xml:space="preserve"> - Riassunto degli obiettivi dell’USI contemplati dal contratto di prestazioni 2017</w:t>
      </w:r>
    </w:p>
    <w:p w:rsidR="0024207A" w:rsidRPr="00E351D0" w:rsidRDefault="0024207A" w:rsidP="0024207A">
      <w:pPr>
        <w:spacing w:before="120"/>
        <w:rPr>
          <w:rFonts w:cs="Arial"/>
          <w:b/>
          <w:szCs w:val="24"/>
        </w:rPr>
      </w:pP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5386"/>
        <w:gridCol w:w="1418"/>
        <w:gridCol w:w="1701"/>
      </w:tblGrid>
      <w:tr w:rsidR="0024207A" w:rsidRPr="00E351D0" w:rsidTr="0024207A">
        <w:tc>
          <w:tcPr>
            <w:tcW w:w="1488" w:type="dxa"/>
            <w:shd w:val="clear" w:color="auto" w:fill="auto"/>
            <w:vAlign w:val="center"/>
          </w:tcPr>
          <w:p w:rsidR="0024207A" w:rsidRPr="00E351D0" w:rsidRDefault="0024207A" w:rsidP="0024207A">
            <w:pPr>
              <w:spacing w:before="20" w:after="20"/>
              <w:rPr>
                <w:rFonts w:cs="Arial"/>
                <w:b/>
                <w:sz w:val="22"/>
                <w:szCs w:val="22"/>
              </w:rPr>
            </w:pPr>
            <w:r w:rsidRPr="00E351D0">
              <w:rPr>
                <w:rFonts w:cs="Arial"/>
                <w:b/>
                <w:sz w:val="22"/>
                <w:szCs w:val="22"/>
              </w:rPr>
              <w:t>Tipo obiettivo</w:t>
            </w:r>
          </w:p>
        </w:tc>
        <w:tc>
          <w:tcPr>
            <w:tcW w:w="5386" w:type="dxa"/>
            <w:shd w:val="clear" w:color="auto" w:fill="auto"/>
            <w:vAlign w:val="center"/>
          </w:tcPr>
          <w:p w:rsidR="0024207A" w:rsidRPr="00E351D0" w:rsidRDefault="0024207A" w:rsidP="0024207A">
            <w:pPr>
              <w:spacing w:before="20" w:after="20"/>
              <w:rPr>
                <w:rFonts w:cs="Arial"/>
                <w:b/>
                <w:sz w:val="22"/>
                <w:szCs w:val="22"/>
              </w:rPr>
            </w:pPr>
            <w:r w:rsidRPr="00E351D0">
              <w:rPr>
                <w:rFonts w:cs="Arial"/>
                <w:b/>
                <w:sz w:val="22"/>
                <w:szCs w:val="22"/>
              </w:rPr>
              <w:t>Descrizione</w:t>
            </w:r>
          </w:p>
        </w:tc>
        <w:tc>
          <w:tcPr>
            <w:tcW w:w="1418" w:type="dxa"/>
            <w:vAlign w:val="center"/>
          </w:tcPr>
          <w:p w:rsidR="0024207A" w:rsidRPr="00E351D0" w:rsidRDefault="0024207A" w:rsidP="0024207A">
            <w:pPr>
              <w:spacing w:before="20" w:after="20"/>
              <w:jc w:val="center"/>
              <w:rPr>
                <w:rFonts w:cs="Arial"/>
                <w:b/>
                <w:sz w:val="22"/>
                <w:szCs w:val="22"/>
              </w:rPr>
            </w:pPr>
            <w:r>
              <w:rPr>
                <w:rFonts w:cs="Arial"/>
                <w:b/>
                <w:sz w:val="22"/>
                <w:szCs w:val="22"/>
              </w:rPr>
              <w:t>2016</w:t>
            </w:r>
          </w:p>
        </w:tc>
        <w:tc>
          <w:tcPr>
            <w:tcW w:w="1701" w:type="dxa"/>
            <w:vAlign w:val="center"/>
          </w:tcPr>
          <w:p w:rsidR="0024207A" w:rsidRPr="00E351D0" w:rsidRDefault="0024207A" w:rsidP="0024207A">
            <w:pPr>
              <w:spacing w:before="20" w:after="20"/>
              <w:jc w:val="center"/>
              <w:rPr>
                <w:rFonts w:cs="Arial"/>
                <w:b/>
                <w:sz w:val="22"/>
                <w:szCs w:val="22"/>
              </w:rPr>
            </w:pPr>
            <w:r>
              <w:rPr>
                <w:rFonts w:cs="Arial"/>
                <w:b/>
                <w:sz w:val="22"/>
                <w:szCs w:val="22"/>
              </w:rPr>
              <w:t>2017</w:t>
            </w:r>
          </w:p>
        </w:tc>
      </w:tr>
      <w:tr w:rsidR="0024207A" w:rsidRPr="00E351D0" w:rsidTr="0024207A">
        <w:tc>
          <w:tcPr>
            <w:tcW w:w="1488" w:type="dxa"/>
            <w:vAlign w:val="center"/>
          </w:tcPr>
          <w:p w:rsidR="0024207A" w:rsidRPr="00E351D0" w:rsidRDefault="0024207A" w:rsidP="0024207A">
            <w:pPr>
              <w:spacing w:before="20" w:after="20"/>
              <w:rPr>
                <w:rFonts w:cs="Arial"/>
                <w:b/>
                <w:sz w:val="22"/>
                <w:szCs w:val="22"/>
              </w:rPr>
            </w:pPr>
            <w:r>
              <w:rPr>
                <w:rFonts w:cs="Arial"/>
                <w:b/>
                <w:sz w:val="22"/>
                <w:szCs w:val="22"/>
              </w:rPr>
              <w:t>Generali</w:t>
            </w:r>
          </w:p>
        </w:tc>
        <w:tc>
          <w:tcPr>
            <w:tcW w:w="5386" w:type="dxa"/>
          </w:tcPr>
          <w:p w:rsidR="0024207A" w:rsidRPr="00E351D0" w:rsidRDefault="0024207A" w:rsidP="0024207A">
            <w:pPr>
              <w:spacing w:before="20" w:after="20"/>
              <w:rPr>
                <w:rFonts w:cs="Arial"/>
                <w:sz w:val="22"/>
                <w:szCs w:val="22"/>
              </w:rPr>
            </w:pPr>
            <w:r>
              <w:rPr>
                <w:rFonts w:cs="Arial"/>
                <w:sz w:val="22"/>
                <w:szCs w:val="22"/>
              </w:rPr>
              <w:t xml:space="preserve">Almeno il 10% di studenti </w:t>
            </w:r>
            <w:proofErr w:type="spellStart"/>
            <w:r>
              <w:rPr>
                <w:rFonts w:cs="Arial"/>
                <w:sz w:val="22"/>
                <w:szCs w:val="22"/>
              </w:rPr>
              <w:t>bachelor</w:t>
            </w:r>
            <w:proofErr w:type="spellEnd"/>
            <w:r>
              <w:rPr>
                <w:rFonts w:cs="Arial"/>
                <w:sz w:val="22"/>
                <w:szCs w:val="22"/>
              </w:rPr>
              <w:t xml:space="preserve"> di provenienza da altri cantoni, almeno il 15% per i percorsi di master</w:t>
            </w:r>
            <w:r w:rsidRPr="00E351D0">
              <w:rPr>
                <w:rFonts w:cs="Arial"/>
                <w:sz w:val="22"/>
                <w:szCs w:val="22"/>
              </w:rPr>
              <w:t>.</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6% / 8%</w:t>
            </w:r>
          </w:p>
        </w:tc>
        <w:tc>
          <w:tcPr>
            <w:tcW w:w="1701" w:type="dxa"/>
            <w:vAlign w:val="center"/>
          </w:tcPr>
          <w:p w:rsidR="0024207A" w:rsidRPr="00E351D0" w:rsidRDefault="0024207A" w:rsidP="0024207A">
            <w:pPr>
              <w:spacing w:before="20" w:after="20"/>
              <w:jc w:val="center"/>
              <w:rPr>
                <w:rFonts w:cs="Arial"/>
                <w:sz w:val="22"/>
                <w:szCs w:val="22"/>
              </w:rPr>
            </w:pPr>
            <w:r>
              <w:rPr>
                <w:rFonts w:cs="Arial"/>
                <w:sz w:val="22"/>
                <w:szCs w:val="22"/>
              </w:rPr>
              <w:t>6% / 9%</w:t>
            </w:r>
          </w:p>
        </w:tc>
      </w:tr>
      <w:tr w:rsidR="0024207A" w:rsidRPr="00E351D0" w:rsidTr="0024207A">
        <w:tc>
          <w:tcPr>
            <w:tcW w:w="1488" w:type="dxa"/>
          </w:tcPr>
          <w:p w:rsidR="0024207A" w:rsidRPr="00E351D0" w:rsidRDefault="0024207A" w:rsidP="0024207A">
            <w:pPr>
              <w:spacing w:before="20" w:after="20"/>
              <w:rPr>
                <w:rFonts w:cs="Arial"/>
                <w:sz w:val="22"/>
                <w:szCs w:val="22"/>
              </w:rPr>
            </w:pPr>
          </w:p>
        </w:tc>
        <w:tc>
          <w:tcPr>
            <w:tcW w:w="5386" w:type="dxa"/>
          </w:tcPr>
          <w:p w:rsidR="0024207A" w:rsidRPr="00E351D0" w:rsidRDefault="0024207A" w:rsidP="0024207A">
            <w:pPr>
              <w:spacing w:before="20" w:after="20"/>
              <w:rPr>
                <w:rFonts w:cs="Arial"/>
                <w:sz w:val="22"/>
                <w:szCs w:val="22"/>
              </w:rPr>
            </w:pPr>
            <w:r>
              <w:rPr>
                <w:rFonts w:cs="Arial"/>
                <w:sz w:val="22"/>
                <w:szCs w:val="22"/>
              </w:rPr>
              <w:t xml:space="preserve">Un minimo del 20% ed un massimo del 50% di provenienza dall’estero </w:t>
            </w:r>
            <w:r w:rsidRPr="002620E1">
              <w:rPr>
                <w:rFonts w:cs="Arial"/>
                <w:b/>
                <w:sz w:val="22"/>
                <w:szCs w:val="22"/>
              </w:rPr>
              <w:t>(nuovo 2017)</w:t>
            </w:r>
          </w:p>
        </w:tc>
        <w:tc>
          <w:tcPr>
            <w:tcW w:w="1418" w:type="dxa"/>
            <w:vAlign w:val="center"/>
          </w:tcPr>
          <w:p w:rsidR="0024207A" w:rsidRPr="0086300B" w:rsidRDefault="0024207A" w:rsidP="0024207A">
            <w:pPr>
              <w:spacing w:before="20" w:after="20"/>
              <w:jc w:val="center"/>
              <w:rPr>
                <w:rFonts w:cs="Arial"/>
                <w:sz w:val="22"/>
                <w:szCs w:val="22"/>
                <w:lang w:val="it-CH"/>
              </w:rPr>
            </w:pPr>
            <w:r>
              <w:rPr>
                <w:rFonts w:cs="Arial"/>
                <w:sz w:val="22"/>
                <w:szCs w:val="22"/>
                <w:lang w:val="it-CH"/>
              </w:rPr>
              <w:t>-</w:t>
            </w:r>
          </w:p>
        </w:tc>
        <w:tc>
          <w:tcPr>
            <w:tcW w:w="1701" w:type="dxa"/>
            <w:vAlign w:val="center"/>
          </w:tcPr>
          <w:p w:rsidR="0024207A" w:rsidRPr="0086300B" w:rsidRDefault="0024207A" w:rsidP="0024207A">
            <w:pPr>
              <w:spacing w:before="20" w:after="20"/>
              <w:jc w:val="center"/>
              <w:rPr>
                <w:rFonts w:cs="Arial"/>
                <w:sz w:val="22"/>
                <w:szCs w:val="22"/>
                <w:lang w:val="it-CH"/>
              </w:rPr>
            </w:pPr>
            <w:r>
              <w:rPr>
                <w:rFonts w:cs="Arial"/>
                <w:sz w:val="22"/>
                <w:szCs w:val="22"/>
                <w:lang w:val="it-CH"/>
              </w:rPr>
              <w:t xml:space="preserve">56% </w:t>
            </w:r>
            <w:proofErr w:type="spellStart"/>
            <w:r>
              <w:rPr>
                <w:rFonts w:cs="Arial"/>
                <w:sz w:val="22"/>
                <w:szCs w:val="22"/>
                <w:lang w:val="it-CH"/>
              </w:rPr>
              <w:t>bachelor</w:t>
            </w:r>
            <w:proofErr w:type="spellEnd"/>
            <w:r>
              <w:rPr>
                <w:rFonts w:cs="Arial"/>
                <w:sz w:val="22"/>
                <w:szCs w:val="22"/>
                <w:lang w:val="it-CH"/>
              </w:rPr>
              <w:t>, 70% master</w:t>
            </w:r>
          </w:p>
        </w:tc>
      </w:tr>
      <w:tr w:rsidR="0024207A" w:rsidRPr="00E351D0" w:rsidTr="0024207A">
        <w:tc>
          <w:tcPr>
            <w:tcW w:w="1488" w:type="dxa"/>
          </w:tcPr>
          <w:p w:rsidR="0024207A" w:rsidRPr="00E351D0" w:rsidRDefault="0024207A" w:rsidP="0024207A">
            <w:pPr>
              <w:spacing w:before="20" w:after="20"/>
              <w:rPr>
                <w:rFonts w:cs="Arial"/>
                <w:sz w:val="22"/>
                <w:szCs w:val="22"/>
              </w:rPr>
            </w:pPr>
          </w:p>
        </w:tc>
        <w:tc>
          <w:tcPr>
            <w:tcW w:w="5386" w:type="dxa"/>
          </w:tcPr>
          <w:p w:rsidR="0024207A" w:rsidRPr="00E351D0" w:rsidRDefault="0024207A" w:rsidP="0024207A">
            <w:pPr>
              <w:spacing w:before="20" w:after="20"/>
              <w:rPr>
                <w:rFonts w:cs="Arial"/>
                <w:sz w:val="22"/>
                <w:szCs w:val="22"/>
              </w:rPr>
            </w:pPr>
            <w:r>
              <w:rPr>
                <w:rFonts w:cs="Arial"/>
                <w:sz w:val="22"/>
                <w:szCs w:val="22"/>
              </w:rPr>
              <w:t>Quota di ricavi da ricerca tendente al 15% dei ricavi d’esercizio, non compresi quelli degli enti affiliati (IRB e IOR)</w:t>
            </w:r>
          </w:p>
        </w:tc>
        <w:tc>
          <w:tcPr>
            <w:tcW w:w="1418" w:type="dxa"/>
            <w:vAlign w:val="center"/>
          </w:tcPr>
          <w:p w:rsidR="0024207A" w:rsidRPr="000C400B" w:rsidRDefault="0024207A" w:rsidP="0024207A">
            <w:pPr>
              <w:spacing w:before="20" w:after="20"/>
              <w:jc w:val="center"/>
              <w:rPr>
                <w:rFonts w:cs="Arial"/>
                <w:sz w:val="22"/>
                <w:szCs w:val="22"/>
                <w:lang w:val="it-CH"/>
              </w:rPr>
            </w:pPr>
            <w:r>
              <w:rPr>
                <w:rFonts w:cs="Arial"/>
                <w:sz w:val="22"/>
                <w:szCs w:val="22"/>
                <w:lang w:val="it-CH"/>
              </w:rPr>
              <w:t>13%</w:t>
            </w:r>
          </w:p>
        </w:tc>
        <w:tc>
          <w:tcPr>
            <w:tcW w:w="1701" w:type="dxa"/>
            <w:vAlign w:val="center"/>
          </w:tcPr>
          <w:p w:rsidR="0024207A" w:rsidRPr="000C400B" w:rsidRDefault="0024207A" w:rsidP="0024207A">
            <w:pPr>
              <w:spacing w:before="20" w:after="20"/>
              <w:jc w:val="center"/>
              <w:rPr>
                <w:rFonts w:cs="Arial"/>
                <w:sz w:val="22"/>
                <w:szCs w:val="22"/>
                <w:lang w:val="it-CH"/>
              </w:rPr>
            </w:pPr>
            <w:r>
              <w:rPr>
                <w:rFonts w:cs="Arial"/>
                <w:sz w:val="22"/>
                <w:szCs w:val="22"/>
                <w:lang w:val="it-CH"/>
              </w:rPr>
              <w:t>12%</w:t>
            </w:r>
          </w:p>
        </w:tc>
      </w:tr>
      <w:tr w:rsidR="0024207A" w:rsidRPr="00E351D0" w:rsidTr="0024207A">
        <w:tc>
          <w:tcPr>
            <w:tcW w:w="1488" w:type="dxa"/>
          </w:tcPr>
          <w:p w:rsidR="0024207A" w:rsidRPr="00E351D0" w:rsidRDefault="0024207A" w:rsidP="0024207A">
            <w:pPr>
              <w:spacing w:before="20" w:after="20"/>
              <w:rPr>
                <w:rFonts w:cs="Arial"/>
                <w:sz w:val="22"/>
                <w:szCs w:val="22"/>
              </w:rPr>
            </w:pPr>
          </w:p>
        </w:tc>
        <w:tc>
          <w:tcPr>
            <w:tcW w:w="5386" w:type="dxa"/>
            <w:vAlign w:val="center"/>
          </w:tcPr>
          <w:p w:rsidR="0024207A" w:rsidRPr="00E351D0" w:rsidRDefault="0024207A" w:rsidP="0024207A">
            <w:pPr>
              <w:spacing w:before="20" w:after="20"/>
              <w:jc w:val="left"/>
              <w:rPr>
                <w:rFonts w:cs="Arial"/>
                <w:sz w:val="22"/>
                <w:szCs w:val="22"/>
              </w:rPr>
            </w:pPr>
            <w:r>
              <w:rPr>
                <w:rFonts w:cs="Arial"/>
                <w:sz w:val="22"/>
                <w:szCs w:val="22"/>
              </w:rPr>
              <w:t>Numero di dottorandi rispetto al personale accademico per facoltà tendenzialmente in linea con la media svizzera nella disciplina di riferimento</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in linea con media CH</w:t>
            </w:r>
          </w:p>
        </w:tc>
        <w:tc>
          <w:tcPr>
            <w:tcW w:w="1701" w:type="dxa"/>
            <w:vAlign w:val="center"/>
          </w:tcPr>
          <w:p w:rsidR="0024207A" w:rsidRDefault="0024207A" w:rsidP="0024207A">
            <w:pPr>
              <w:spacing w:before="20" w:after="20"/>
              <w:jc w:val="center"/>
              <w:rPr>
                <w:rFonts w:cs="Arial"/>
                <w:sz w:val="22"/>
                <w:szCs w:val="22"/>
              </w:rPr>
            </w:pPr>
            <w:r>
              <w:rPr>
                <w:rFonts w:cs="Arial"/>
                <w:sz w:val="22"/>
                <w:szCs w:val="22"/>
              </w:rPr>
              <w:t xml:space="preserve">in linea con media CH, </w:t>
            </w:r>
          </w:p>
          <w:p w:rsidR="0024207A" w:rsidRPr="00E351D0" w:rsidRDefault="0024207A" w:rsidP="0024207A">
            <w:pPr>
              <w:spacing w:before="20" w:after="20"/>
              <w:jc w:val="center"/>
              <w:rPr>
                <w:rFonts w:cs="Arial"/>
                <w:sz w:val="22"/>
                <w:szCs w:val="22"/>
              </w:rPr>
            </w:pPr>
            <w:r>
              <w:rPr>
                <w:rFonts w:cs="Arial"/>
                <w:sz w:val="22"/>
                <w:szCs w:val="22"/>
              </w:rPr>
              <w:t xml:space="preserve">ad eccezione dell’Accademia di architettura </w:t>
            </w:r>
          </w:p>
        </w:tc>
      </w:tr>
      <w:tr w:rsidR="0024207A" w:rsidRPr="00E351D0" w:rsidTr="0024207A">
        <w:tc>
          <w:tcPr>
            <w:tcW w:w="1488" w:type="dxa"/>
          </w:tcPr>
          <w:p w:rsidR="0024207A" w:rsidRPr="00E351D0" w:rsidRDefault="0024207A" w:rsidP="0024207A">
            <w:pPr>
              <w:spacing w:before="20" w:after="20"/>
              <w:rPr>
                <w:rFonts w:cs="Arial"/>
                <w:sz w:val="22"/>
                <w:szCs w:val="22"/>
              </w:rPr>
            </w:pPr>
          </w:p>
        </w:tc>
        <w:tc>
          <w:tcPr>
            <w:tcW w:w="5386" w:type="dxa"/>
          </w:tcPr>
          <w:p w:rsidR="0024207A" w:rsidRPr="00E351D0" w:rsidRDefault="0024207A" w:rsidP="0024207A">
            <w:pPr>
              <w:spacing w:before="20" w:after="20"/>
              <w:rPr>
                <w:rFonts w:cs="Arial"/>
                <w:sz w:val="22"/>
                <w:szCs w:val="22"/>
              </w:rPr>
            </w:pPr>
            <w:r>
              <w:rPr>
                <w:rFonts w:cs="Arial"/>
                <w:sz w:val="22"/>
                <w:szCs w:val="22"/>
              </w:rPr>
              <w:t>Pari opportunità - una quota di personale femminile (espresso in equivalenti a tempo pieno, ETP, per categoria di personale, secondo le norme UST), non inferiore alla media delle altre università svizzere.</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in linea con media CH</w:t>
            </w:r>
          </w:p>
        </w:tc>
        <w:tc>
          <w:tcPr>
            <w:tcW w:w="1701" w:type="dxa"/>
            <w:vAlign w:val="center"/>
          </w:tcPr>
          <w:p w:rsidR="0024207A" w:rsidRPr="00E351D0" w:rsidRDefault="0024207A" w:rsidP="0024207A">
            <w:pPr>
              <w:spacing w:before="20" w:after="20"/>
              <w:jc w:val="center"/>
              <w:rPr>
                <w:rFonts w:cs="Arial"/>
                <w:sz w:val="22"/>
                <w:szCs w:val="22"/>
              </w:rPr>
            </w:pPr>
            <w:r>
              <w:rPr>
                <w:rFonts w:cs="Arial"/>
                <w:sz w:val="22"/>
                <w:szCs w:val="22"/>
              </w:rPr>
              <w:t>di poco inferiore alla media nazionale</w:t>
            </w:r>
          </w:p>
        </w:tc>
      </w:tr>
      <w:tr w:rsidR="0024207A" w:rsidRPr="00E351D0" w:rsidTr="0024207A">
        <w:tc>
          <w:tcPr>
            <w:tcW w:w="1488" w:type="dxa"/>
          </w:tcPr>
          <w:p w:rsidR="0024207A" w:rsidRPr="00E351D0" w:rsidRDefault="0024207A" w:rsidP="0024207A">
            <w:pPr>
              <w:spacing w:before="20" w:after="20"/>
              <w:rPr>
                <w:rFonts w:cs="Arial"/>
                <w:sz w:val="22"/>
                <w:szCs w:val="22"/>
              </w:rPr>
            </w:pPr>
          </w:p>
        </w:tc>
        <w:tc>
          <w:tcPr>
            <w:tcW w:w="5386" w:type="dxa"/>
          </w:tcPr>
          <w:p w:rsidR="0024207A" w:rsidRPr="00E351D0" w:rsidRDefault="0024207A" w:rsidP="0024207A">
            <w:pPr>
              <w:spacing w:before="20" w:after="20"/>
              <w:rPr>
                <w:rFonts w:cs="Arial"/>
                <w:sz w:val="22"/>
                <w:szCs w:val="22"/>
              </w:rPr>
            </w:pPr>
            <w:r>
              <w:rPr>
                <w:rFonts w:cs="Arial"/>
                <w:sz w:val="22"/>
                <w:szCs w:val="22"/>
              </w:rPr>
              <w:t>Creazione di una rete di accordi istituzionali con scuole universitarie svizzere ed estere</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Sì</w:t>
            </w:r>
          </w:p>
        </w:tc>
        <w:tc>
          <w:tcPr>
            <w:tcW w:w="1701" w:type="dxa"/>
            <w:vAlign w:val="center"/>
          </w:tcPr>
          <w:p w:rsidR="0024207A" w:rsidRPr="00E351D0" w:rsidRDefault="0024207A" w:rsidP="0024207A">
            <w:pPr>
              <w:spacing w:before="20" w:after="20"/>
              <w:jc w:val="center"/>
              <w:rPr>
                <w:rFonts w:cs="Arial"/>
                <w:sz w:val="22"/>
                <w:szCs w:val="22"/>
              </w:rPr>
            </w:pPr>
            <w:r>
              <w:rPr>
                <w:rFonts w:cs="Arial"/>
                <w:sz w:val="22"/>
                <w:szCs w:val="22"/>
              </w:rPr>
              <w:t>Sì</w:t>
            </w:r>
          </w:p>
        </w:tc>
      </w:tr>
      <w:tr w:rsidR="0024207A" w:rsidRPr="00E351D0" w:rsidTr="0024207A">
        <w:tc>
          <w:tcPr>
            <w:tcW w:w="1488" w:type="dxa"/>
            <w:vAlign w:val="center"/>
          </w:tcPr>
          <w:p w:rsidR="0024207A" w:rsidRPr="00E351D0" w:rsidRDefault="0024207A" w:rsidP="0024207A">
            <w:pPr>
              <w:spacing w:before="20" w:after="20"/>
              <w:rPr>
                <w:rFonts w:cs="Arial"/>
                <w:b/>
                <w:sz w:val="22"/>
                <w:szCs w:val="22"/>
              </w:rPr>
            </w:pPr>
            <w:r>
              <w:rPr>
                <w:rFonts w:cs="Arial"/>
                <w:b/>
                <w:sz w:val="22"/>
                <w:szCs w:val="22"/>
              </w:rPr>
              <w:t>Di efficacia</w:t>
            </w:r>
          </w:p>
        </w:tc>
        <w:tc>
          <w:tcPr>
            <w:tcW w:w="5386" w:type="dxa"/>
          </w:tcPr>
          <w:p w:rsidR="0024207A" w:rsidRPr="00E351D0" w:rsidRDefault="0024207A" w:rsidP="0024207A">
            <w:pPr>
              <w:spacing w:before="20" w:after="20"/>
              <w:rPr>
                <w:rFonts w:cs="Arial"/>
                <w:sz w:val="22"/>
                <w:szCs w:val="22"/>
              </w:rPr>
            </w:pPr>
            <w:r>
              <w:rPr>
                <w:rFonts w:cs="Arial"/>
                <w:sz w:val="22"/>
                <w:szCs w:val="22"/>
              </w:rPr>
              <w:t>Sbocco attrattivo di studio nel Cantone Ticino per i titolari della maturità liceale rilasciata dalle scuole del Cantone nei settori di formazione dell’USI</w:t>
            </w:r>
          </w:p>
        </w:tc>
        <w:tc>
          <w:tcPr>
            <w:tcW w:w="1418" w:type="dxa"/>
            <w:vAlign w:val="center"/>
          </w:tcPr>
          <w:p w:rsidR="0024207A" w:rsidRPr="00403FBA" w:rsidRDefault="0024207A" w:rsidP="0024207A">
            <w:pPr>
              <w:spacing w:before="20" w:after="20"/>
              <w:jc w:val="center"/>
              <w:rPr>
                <w:rFonts w:cs="Arial"/>
                <w:sz w:val="22"/>
                <w:szCs w:val="22"/>
              </w:rPr>
            </w:pPr>
            <w:r w:rsidRPr="00403FBA">
              <w:rPr>
                <w:rFonts w:cs="Arial"/>
                <w:sz w:val="22"/>
                <w:szCs w:val="22"/>
              </w:rPr>
              <w:t>15%</w:t>
            </w:r>
          </w:p>
        </w:tc>
        <w:tc>
          <w:tcPr>
            <w:tcW w:w="1701" w:type="dxa"/>
            <w:vAlign w:val="center"/>
          </w:tcPr>
          <w:p w:rsidR="0024207A" w:rsidRPr="00403FBA" w:rsidRDefault="0024207A" w:rsidP="0024207A">
            <w:pPr>
              <w:spacing w:before="20" w:after="20"/>
              <w:jc w:val="center"/>
              <w:rPr>
                <w:rFonts w:cs="Arial"/>
                <w:sz w:val="22"/>
                <w:szCs w:val="22"/>
              </w:rPr>
            </w:pPr>
            <w:r>
              <w:rPr>
                <w:rFonts w:cs="Arial"/>
                <w:sz w:val="22"/>
                <w:szCs w:val="22"/>
              </w:rPr>
              <w:t>15%</w:t>
            </w:r>
          </w:p>
        </w:tc>
      </w:tr>
      <w:tr w:rsidR="0024207A" w:rsidRPr="00E351D0" w:rsidTr="0024207A">
        <w:tc>
          <w:tcPr>
            <w:tcW w:w="1488" w:type="dxa"/>
            <w:vAlign w:val="center"/>
          </w:tcPr>
          <w:p w:rsidR="0024207A" w:rsidRPr="00E351D0" w:rsidRDefault="0024207A" w:rsidP="0024207A">
            <w:pPr>
              <w:spacing w:before="20" w:after="20"/>
              <w:rPr>
                <w:rFonts w:cs="Arial"/>
                <w:sz w:val="22"/>
                <w:szCs w:val="22"/>
              </w:rPr>
            </w:pPr>
          </w:p>
        </w:tc>
        <w:tc>
          <w:tcPr>
            <w:tcW w:w="5386" w:type="dxa"/>
          </w:tcPr>
          <w:p w:rsidR="0024207A" w:rsidRPr="00E351D0" w:rsidRDefault="0024207A" w:rsidP="0024207A">
            <w:pPr>
              <w:spacing w:before="20" w:after="20"/>
              <w:rPr>
                <w:rFonts w:cs="Arial"/>
                <w:sz w:val="22"/>
                <w:szCs w:val="22"/>
              </w:rPr>
            </w:pPr>
            <w:r>
              <w:rPr>
                <w:rFonts w:cs="Arial"/>
                <w:sz w:val="22"/>
                <w:szCs w:val="22"/>
              </w:rPr>
              <w:t>Quoziente di soddisfazione degli studenti e dei diplomati superiore al 75% della scala applicata, misurato regolarmente con metodologie oggettive e anonimizzate con un tasso di risposta attendibile</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non misurato</w:t>
            </w:r>
          </w:p>
        </w:tc>
        <w:tc>
          <w:tcPr>
            <w:tcW w:w="1701" w:type="dxa"/>
            <w:vAlign w:val="center"/>
          </w:tcPr>
          <w:p w:rsidR="0024207A" w:rsidRPr="00E351D0" w:rsidRDefault="0024207A" w:rsidP="0024207A">
            <w:pPr>
              <w:spacing w:before="20" w:after="20"/>
              <w:jc w:val="center"/>
              <w:rPr>
                <w:rFonts w:cs="Arial"/>
                <w:sz w:val="22"/>
                <w:szCs w:val="22"/>
              </w:rPr>
            </w:pPr>
            <w:r>
              <w:rPr>
                <w:rFonts w:cs="Arial"/>
                <w:sz w:val="22"/>
                <w:szCs w:val="22"/>
              </w:rPr>
              <w:t>95.1%</w:t>
            </w:r>
          </w:p>
        </w:tc>
      </w:tr>
      <w:tr w:rsidR="0024207A" w:rsidRPr="0076732D" w:rsidTr="0024207A">
        <w:tc>
          <w:tcPr>
            <w:tcW w:w="1488" w:type="dxa"/>
          </w:tcPr>
          <w:p w:rsidR="0024207A" w:rsidRPr="00E351D0" w:rsidRDefault="0024207A" w:rsidP="0024207A">
            <w:pPr>
              <w:spacing w:before="20" w:after="20"/>
              <w:rPr>
                <w:rFonts w:cs="Arial"/>
                <w:sz w:val="22"/>
                <w:szCs w:val="22"/>
              </w:rPr>
            </w:pPr>
          </w:p>
        </w:tc>
        <w:tc>
          <w:tcPr>
            <w:tcW w:w="5386" w:type="dxa"/>
          </w:tcPr>
          <w:p w:rsidR="0024207A" w:rsidRPr="00E351D0" w:rsidRDefault="0024207A" w:rsidP="0024207A">
            <w:pPr>
              <w:spacing w:before="20" w:after="20"/>
              <w:rPr>
                <w:rFonts w:cs="Arial"/>
                <w:sz w:val="22"/>
                <w:szCs w:val="22"/>
              </w:rPr>
            </w:pPr>
            <w:r>
              <w:rPr>
                <w:rFonts w:cs="Arial"/>
                <w:sz w:val="22"/>
                <w:szCs w:val="22"/>
              </w:rPr>
              <w:t>Tasso di entrata dei diplomati di formazione di base (per disciplina) nella vita professionale, nel settore economico affine agli studi, che sia, un anno dopo il conseguimento del diploma, in linea con i dati delle altre università svizzere, tenendo in considerazione le specificità del mercato del lavoro locale</w:t>
            </w:r>
          </w:p>
        </w:tc>
        <w:tc>
          <w:tcPr>
            <w:tcW w:w="1418" w:type="dxa"/>
            <w:vAlign w:val="center"/>
          </w:tcPr>
          <w:p w:rsidR="0024207A" w:rsidRPr="0076732D" w:rsidRDefault="0024207A" w:rsidP="0024207A">
            <w:pPr>
              <w:spacing w:before="20" w:after="20"/>
              <w:jc w:val="center"/>
              <w:rPr>
                <w:rFonts w:cs="Arial"/>
                <w:sz w:val="22"/>
                <w:szCs w:val="22"/>
                <w:lang w:val="it-CH"/>
              </w:rPr>
            </w:pPr>
            <w:r>
              <w:rPr>
                <w:rFonts w:cs="Arial"/>
                <w:sz w:val="22"/>
                <w:szCs w:val="22"/>
              </w:rPr>
              <w:t>in linea con media CH</w:t>
            </w:r>
          </w:p>
        </w:tc>
        <w:tc>
          <w:tcPr>
            <w:tcW w:w="1701" w:type="dxa"/>
            <w:vAlign w:val="center"/>
          </w:tcPr>
          <w:p w:rsidR="0024207A" w:rsidRPr="0076732D" w:rsidRDefault="0024207A" w:rsidP="0024207A">
            <w:pPr>
              <w:spacing w:before="20" w:after="20"/>
              <w:jc w:val="center"/>
              <w:rPr>
                <w:rFonts w:cs="Arial"/>
                <w:sz w:val="22"/>
                <w:szCs w:val="22"/>
                <w:lang w:val="it-CH"/>
              </w:rPr>
            </w:pPr>
            <w:r>
              <w:rPr>
                <w:rFonts w:cs="Arial"/>
                <w:sz w:val="22"/>
                <w:szCs w:val="22"/>
                <w:lang w:val="it-CH"/>
              </w:rPr>
              <w:t>68.2% in linea con media CH</w:t>
            </w:r>
          </w:p>
        </w:tc>
      </w:tr>
      <w:tr w:rsidR="0024207A" w:rsidRPr="00E351D0" w:rsidTr="0024207A">
        <w:tc>
          <w:tcPr>
            <w:tcW w:w="1488" w:type="dxa"/>
          </w:tcPr>
          <w:p w:rsidR="0024207A" w:rsidRPr="0076732D" w:rsidRDefault="0024207A" w:rsidP="0024207A">
            <w:pPr>
              <w:spacing w:before="20" w:after="20"/>
              <w:rPr>
                <w:rFonts w:cs="Arial"/>
                <w:sz w:val="22"/>
                <w:szCs w:val="22"/>
                <w:lang w:val="it-CH"/>
              </w:rPr>
            </w:pPr>
          </w:p>
        </w:tc>
        <w:tc>
          <w:tcPr>
            <w:tcW w:w="5386" w:type="dxa"/>
          </w:tcPr>
          <w:p w:rsidR="0024207A" w:rsidRPr="00E351D0" w:rsidRDefault="0024207A" w:rsidP="0024207A">
            <w:pPr>
              <w:spacing w:before="20" w:after="20"/>
              <w:rPr>
                <w:rFonts w:cs="Arial"/>
                <w:sz w:val="22"/>
                <w:szCs w:val="22"/>
                <w:lang w:val="it-CH"/>
              </w:rPr>
            </w:pPr>
            <w:r>
              <w:rPr>
                <w:rFonts w:cs="Arial"/>
                <w:sz w:val="22"/>
                <w:szCs w:val="22"/>
                <w:lang w:val="it-CH"/>
              </w:rPr>
              <w:t xml:space="preserve">Grado di adeguatezza delle competenze acquisite dai diplomati in campi di studio rilevanti, tramite inchieste oggettive anonimizzate presso i datori di lavoro del territorio. </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inferiore alla media CH</w:t>
            </w:r>
          </w:p>
        </w:tc>
        <w:tc>
          <w:tcPr>
            <w:tcW w:w="1701" w:type="dxa"/>
            <w:vAlign w:val="center"/>
          </w:tcPr>
          <w:p w:rsidR="0024207A" w:rsidRPr="00E351D0" w:rsidRDefault="0024207A" w:rsidP="0024207A">
            <w:pPr>
              <w:spacing w:before="20" w:after="20"/>
              <w:jc w:val="center"/>
              <w:rPr>
                <w:rFonts w:cs="Arial"/>
                <w:sz w:val="22"/>
                <w:szCs w:val="22"/>
              </w:rPr>
            </w:pPr>
            <w:r>
              <w:rPr>
                <w:rFonts w:cs="Arial"/>
                <w:sz w:val="22"/>
                <w:szCs w:val="22"/>
              </w:rPr>
              <w:t>inferiore alla media CH</w:t>
            </w:r>
          </w:p>
        </w:tc>
      </w:tr>
      <w:tr w:rsidR="0024207A" w:rsidRPr="00E351D0" w:rsidTr="0024207A">
        <w:tc>
          <w:tcPr>
            <w:tcW w:w="1488" w:type="dxa"/>
          </w:tcPr>
          <w:p w:rsidR="0024207A" w:rsidRPr="00E351D0" w:rsidRDefault="0024207A" w:rsidP="0024207A">
            <w:pPr>
              <w:spacing w:before="20" w:after="20"/>
              <w:rPr>
                <w:rFonts w:cs="Arial"/>
                <w:sz w:val="22"/>
                <w:szCs w:val="22"/>
              </w:rPr>
            </w:pPr>
          </w:p>
        </w:tc>
        <w:tc>
          <w:tcPr>
            <w:tcW w:w="5386" w:type="dxa"/>
          </w:tcPr>
          <w:p w:rsidR="0024207A" w:rsidRPr="00E351D0" w:rsidRDefault="0024207A" w:rsidP="0024207A">
            <w:pPr>
              <w:spacing w:before="20" w:after="20"/>
              <w:rPr>
                <w:rFonts w:cs="Arial"/>
                <w:sz w:val="22"/>
                <w:szCs w:val="22"/>
              </w:rPr>
            </w:pPr>
            <w:r>
              <w:rPr>
                <w:rFonts w:cs="Arial"/>
                <w:sz w:val="22"/>
                <w:szCs w:val="22"/>
              </w:rPr>
              <w:t xml:space="preserve">Numero e qualità delle pubblicazioni in linea con gli altri atenei svizzeri in termini di </w:t>
            </w:r>
            <w:proofErr w:type="spellStart"/>
            <w:r w:rsidRPr="000738AE">
              <w:rPr>
                <w:rFonts w:cs="Arial"/>
                <w:i/>
                <w:sz w:val="22"/>
                <w:szCs w:val="22"/>
              </w:rPr>
              <w:t>peer</w:t>
            </w:r>
            <w:proofErr w:type="spellEnd"/>
            <w:r w:rsidRPr="000738AE">
              <w:rPr>
                <w:rFonts w:cs="Arial"/>
                <w:i/>
                <w:sz w:val="22"/>
                <w:szCs w:val="22"/>
              </w:rPr>
              <w:t xml:space="preserve"> </w:t>
            </w:r>
            <w:proofErr w:type="spellStart"/>
            <w:r w:rsidRPr="000738AE">
              <w:rPr>
                <w:rFonts w:cs="Arial"/>
                <w:i/>
                <w:sz w:val="22"/>
                <w:szCs w:val="22"/>
              </w:rPr>
              <w:t>reviewing</w:t>
            </w:r>
            <w:proofErr w:type="spellEnd"/>
            <w:r>
              <w:rPr>
                <w:rFonts w:cs="Arial"/>
                <w:sz w:val="22"/>
                <w:szCs w:val="22"/>
              </w:rPr>
              <w:t xml:space="preserve"> e di </w:t>
            </w:r>
            <w:r w:rsidRPr="000738AE">
              <w:rPr>
                <w:rFonts w:cs="Arial"/>
                <w:i/>
                <w:sz w:val="22"/>
                <w:szCs w:val="22"/>
              </w:rPr>
              <w:t xml:space="preserve">impact </w:t>
            </w:r>
            <w:proofErr w:type="spellStart"/>
            <w:r w:rsidRPr="000738AE">
              <w:rPr>
                <w:rFonts w:cs="Arial"/>
                <w:i/>
                <w:sz w:val="22"/>
                <w:szCs w:val="22"/>
              </w:rPr>
              <w:t>factor</w:t>
            </w:r>
            <w:proofErr w:type="spellEnd"/>
            <w:r>
              <w:rPr>
                <w:rFonts w:cs="Arial"/>
                <w:sz w:val="22"/>
                <w:szCs w:val="22"/>
              </w:rPr>
              <w:t xml:space="preserve"> secondo i canoni dei vari campi disciplinari</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Web of Science: raggiunto</w:t>
            </w:r>
          </w:p>
        </w:tc>
        <w:tc>
          <w:tcPr>
            <w:tcW w:w="1701" w:type="dxa"/>
            <w:vAlign w:val="center"/>
          </w:tcPr>
          <w:p w:rsidR="0024207A" w:rsidRPr="00E351D0" w:rsidRDefault="0024207A" w:rsidP="0024207A">
            <w:pPr>
              <w:spacing w:before="20" w:after="20"/>
              <w:jc w:val="center"/>
              <w:rPr>
                <w:rFonts w:cs="Arial"/>
                <w:sz w:val="22"/>
                <w:szCs w:val="22"/>
              </w:rPr>
            </w:pPr>
            <w:r>
              <w:rPr>
                <w:rFonts w:cs="Arial"/>
                <w:sz w:val="22"/>
                <w:szCs w:val="22"/>
              </w:rPr>
              <w:t>dati aggiornati non disponibili</w:t>
            </w:r>
          </w:p>
        </w:tc>
      </w:tr>
      <w:tr w:rsidR="0024207A" w:rsidRPr="00E351D0" w:rsidTr="0024207A">
        <w:tc>
          <w:tcPr>
            <w:tcW w:w="1488" w:type="dxa"/>
          </w:tcPr>
          <w:p w:rsidR="0024207A" w:rsidRPr="00E351D0" w:rsidRDefault="0024207A" w:rsidP="0024207A">
            <w:pPr>
              <w:spacing w:before="20" w:after="20"/>
              <w:rPr>
                <w:rFonts w:cs="Arial"/>
                <w:sz w:val="22"/>
                <w:szCs w:val="22"/>
              </w:rPr>
            </w:pPr>
          </w:p>
        </w:tc>
        <w:tc>
          <w:tcPr>
            <w:tcW w:w="5386" w:type="dxa"/>
          </w:tcPr>
          <w:p w:rsidR="0024207A" w:rsidRPr="00E351D0" w:rsidRDefault="0024207A" w:rsidP="0024207A">
            <w:pPr>
              <w:spacing w:before="20" w:after="20"/>
              <w:rPr>
                <w:rFonts w:cs="Arial"/>
                <w:sz w:val="22"/>
                <w:szCs w:val="22"/>
              </w:rPr>
            </w:pPr>
            <w:r>
              <w:rPr>
                <w:rFonts w:cs="Arial"/>
                <w:sz w:val="22"/>
                <w:szCs w:val="22"/>
              </w:rPr>
              <w:t xml:space="preserve">Verifica dell’efficacia della ricerca, misurandone la percentuale di progetti accettati da enti di ricerca competitiva (FNRS, EU, </w:t>
            </w:r>
            <w:proofErr w:type="spellStart"/>
            <w:r>
              <w:rPr>
                <w:rFonts w:cs="Arial"/>
                <w:sz w:val="22"/>
                <w:szCs w:val="22"/>
              </w:rPr>
              <w:t>ev</w:t>
            </w:r>
            <w:proofErr w:type="spellEnd"/>
            <w:r>
              <w:rPr>
                <w:rFonts w:cs="Arial"/>
                <w:sz w:val="22"/>
                <w:szCs w:val="22"/>
              </w:rPr>
              <w:t>. CTI) in rapporto al totale dei progetti inoltrati. La percentuale non dovrebbe essere significativamente inferiore alla media per ente finanziatore</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pari e talvolta superiore alla media CH</w:t>
            </w:r>
          </w:p>
        </w:tc>
        <w:tc>
          <w:tcPr>
            <w:tcW w:w="1701" w:type="dxa"/>
            <w:vAlign w:val="center"/>
          </w:tcPr>
          <w:p w:rsidR="0024207A" w:rsidRPr="00E351D0" w:rsidRDefault="0024207A" w:rsidP="0024207A">
            <w:pPr>
              <w:spacing w:before="20" w:after="20"/>
              <w:jc w:val="center"/>
              <w:rPr>
                <w:rFonts w:cs="Arial"/>
                <w:sz w:val="22"/>
                <w:szCs w:val="22"/>
              </w:rPr>
            </w:pPr>
            <w:r>
              <w:rPr>
                <w:rFonts w:cs="Arial"/>
                <w:sz w:val="22"/>
                <w:szCs w:val="22"/>
              </w:rPr>
              <w:t>pari e talvolta superiore alla media CH</w:t>
            </w:r>
          </w:p>
        </w:tc>
      </w:tr>
    </w:tbl>
    <w:p w:rsidR="0024207A" w:rsidRDefault="0024207A" w:rsidP="0024207A"/>
    <w:p w:rsidR="0024207A" w:rsidRDefault="0024207A" w:rsidP="0024207A">
      <w:r>
        <w:br w:type="page"/>
      </w:r>
    </w:p>
    <w:tbl>
      <w:tblPr>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5386"/>
        <w:gridCol w:w="1418"/>
        <w:gridCol w:w="1701"/>
      </w:tblGrid>
      <w:tr w:rsidR="0024207A" w:rsidRPr="00E351D0" w:rsidTr="0024207A">
        <w:tc>
          <w:tcPr>
            <w:tcW w:w="1488" w:type="dxa"/>
            <w:vAlign w:val="center"/>
          </w:tcPr>
          <w:p w:rsidR="0024207A" w:rsidRPr="00E351D0" w:rsidRDefault="0024207A" w:rsidP="0024207A">
            <w:pPr>
              <w:spacing w:before="20" w:after="20"/>
              <w:rPr>
                <w:rFonts w:cs="Arial"/>
                <w:b/>
                <w:sz w:val="22"/>
                <w:szCs w:val="22"/>
              </w:rPr>
            </w:pPr>
            <w:r w:rsidRPr="00E351D0">
              <w:rPr>
                <w:rFonts w:cs="Arial"/>
                <w:b/>
                <w:sz w:val="22"/>
                <w:szCs w:val="22"/>
              </w:rPr>
              <w:lastRenderedPageBreak/>
              <w:t>Di efficienza</w:t>
            </w:r>
          </w:p>
        </w:tc>
        <w:tc>
          <w:tcPr>
            <w:tcW w:w="5386" w:type="dxa"/>
            <w:vAlign w:val="center"/>
          </w:tcPr>
          <w:p w:rsidR="0024207A" w:rsidRPr="00E351D0" w:rsidRDefault="0024207A" w:rsidP="0024207A">
            <w:pPr>
              <w:spacing w:before="20" w:after="20"/>
              <w:jc w:val="left"/>
              <w:rPr>
                <w:rFonts w:cs="Arial"/>
                <w:sz w:val="22"/>
                <w:szCs w:val="22"/>
              </w:rPr>
            </w:pPr>
            <w:r>
              <w:rPr>
                <w:rFonts w:cs="Arial"/>
                <w:sz w:val="22"/>
                <w:szCs w:val="22"/>
              </w:rPr>
              <w:t>Costo medio per studente II non superiore alla media svizzera paragonabile</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 xml:space="preserve">Superiore per informatica </w:t>
            </w:r>
          </w:p>
        </w:tc>
        <w:tc>
          <w:tcPr>
            <w:tcW w:w="1701" w:type="dxa"/>
            <w:vAlign w:val="center"/>
          </w:tcPr>
          <w:p w:rsidR="0024207A" w:rsidRPr="00E351D0" w:rsidRDefault="0024207A" w:rsidP="0024207A">
            <w:pPr>
              <w:spacing w:before="20" w:after="20"/>
              <w:jc w:val="center"/>
              <w:rPr>
                <w:rFonts w:cs="Arial"/>
                <w:sz w:val="22"/>
                <w:szCs w:val="22"/>
              </w:rPr>
            </w:pPr>
            <w:r>
              <w:rPr>
                <w:rFonts w:cs="Arial"/>
                <w:sz w:val="22"/>
                <w:szCs w:val="22"/>
              </w:rPr>
              <w:t xml:space="preserve">Superiore per Informatica, Economia e Comunicazione </w:t>
            </w:r>
          </w:p>
        </w:tc>
      </w:tr>
      <w:tr w:rsidR="0024207A" w:rsidRPr="00E351D0" w:rsidTr="0024207A">
        <w:tc>
          <w:tcPr>
            <w:tcW w:w="1488" w:type="dxa"/>
          </w:tcPr>
          <w:p w:rsidR="0024207A" w:rsidRPr="00E351D0" w:rsidRDefault="0024207A" w:rsidP="0024207A">
            <w:pPr>
              <w:spacing w:before="20" w:after="20"/>
              <w:rPr>
                <w:rFonts w:cs="Arial"/>
                <w:sz w:val="22"/>
                <w:szCs w:val="22"/>
              </w:rPr>
            </w:pPr>
          </w:p>
        </w:tc>
        <w:tc>
          <w:tcPr>
            <w:tcW w:w="5386" w:type="dxa"/>
          </w:tcPr>
          <w:p w:rsidR="0024207A" w:rsidRPr="00E351D0" w:rsidRDefault="0024207A" w:rsidP="0024207A">
            <w:pPr>
              <w:spacing w:before="20" w:after="20"/>
              <w:rPr>
                <w:rFonts w:cs="Arial"/>
                <w:sz w:val="22"/>
                <w:szCs w:val="22"/>
              </w:rPr>
            </w:pPr>
            <w:r>
              <w:rPr>
                <w:rFonts w:cs="Arial"/>
                <w:sz w:val="22"/>
                <w:szCs w:val="22"/>
              </w:rPr>
              <w:t>Tasso d’inquadramento per facoltà in linea con la media svizzera.</w:t>
            </w:r>
          </w:p>
        </w:tc>
        <w:tc>
          <w:tcPr>
            <w:tcW w:w="1418" w:type="dxa"/>
            <w:vAlign w:val="center"/>
          </w:tcPr>
          <w:p w:rsidR="0024207A" w:rsidRPr="00E351D0" w:rsidRDefault="0024207A" w:rsidP="0024207A">
            <w:pPr>
              <w:spacing w:before="20" w:after="20"/>
              <w:jc w:val="center"/>
              <w:rPr>
                <w:rFonts w:cs="Arial"/>
                <w:sz w:val="22"/>
                <w:szCs w:val="22"/>
              </w:rPr>
            </w:pPr>
            <w:r w:rsidRPr="001A4A6B">
              <w:rPr>
                <w:rFonts w:cs="Arial"/>
                <w:sz w:val="22"/>
                <w:szCs w:val="22"/>
              </w:rPr>
              <w:t>Inferiore a media CH</w:t>
            </w:r>
          </w:p>
        </w:tc>
        <w:tc>
          <w:tcPr>
            <w:tcW w:w="1701" w:type="dxa"/>
            <w:vAlign w:val="center"/>
          </w:tcPr>
          <w:p w:rsidR="0024207A" w:rsidRPr="00E351D0" w:rsidRDefault="0024207A" w:rsidP="0024207A">
            <w:pPr>
              <w:spacing w:before="20" w:after="20"/>
              <w:jc w:val="center"/>
              <w:rPr>
                <w:rFonts w:cs="Arial"/>
                <w:sz w:val="22"/>
                <w:szCs w:val="22"/>
              </w:rPr>
            </w:pPr>
            <w:r w:rsidRPr="001A4A6B">
              <w:rPr>
                <w:rFonts w:cs="Arial"/>
                <w:sz w:val="22"/>
                <w:szCs w:val="22"/>
              </w:rPr>
              <w:t>Inferiore a media CH</w:t>
            </w:r>
          </w:p>
        </w:tc>
      </w:tr>
      <w:tr w:rsidR="0024207A" w:rsidRPr="00E351D0" w:rsidTr="0024207A">
        <w:tc>
          <w:tcPr>
            <w:tcW w:w="1488" w:type="dxa"/>
          </w:tcPr>
          <w:p w:rsidR="0024207A" w:rsidRPr="00E351D0" w:rsidRDefault="0024207A" w:rsidP="0024207A">
            <w:pPr>
              <w:spacing w:before="20" w:after="20"/>
              <w:rPr>
                <w:rFonts w:cs="Arial"/>
                <w:sz w:val="22"/>
                <w:szCs w:val="22"/>
              </w:rPr>
            </w:pPr>
          </w:p>
        </w:tc>
        <w:tc>
          <w:tcPr>
            <w:tcW w:w="5386" w:type="dxa"/>
            <w:vAlign w:val="center"/>
          </w:tcPr>
          <w:p w:rsidR="0024207A" w:rsidRPr="00E351D0" w:rsidRDefault="0024207A" w:rsidP="0024207A">
            <w:pPr>
              <w:spacing w:before="20" w:after="20"/>
              <w:jc w:val="left"/>
              <w:rPr>
                <w:rFonts w:cs="Arial"/>
                <w:sz w:val="22"/>
                <w:szCs w:val="22"/>
              </w:rPr>
            </w:pPr>
            <w:r>
              <w:rPr>
                <w:rFonts w:cs="Arial"/>
                <w:sz w:val="22"/>
                <w:szCs w:val="22"/>
              </w:rPr>
              <w:t xml:space="preserve">Durata media degli studi di </w:t>
            </w:r>
            <w:proofErr w:type="spellStart"/>
            <w:r>
              <w:rPr>
                <w:rFonts w:cs="Arial"/>
                <w:sz w:val="22"/>
                <w:szCs w:val="22"/>
              </w:rPr>
              <w:t>bachelor</w:t>
            </w:r>
            <w:proofErr w:type="spellEnd"/>
            <w:r>
              <w:rPr>
                <w:rFonts w:cs="Arial"/>
                <w:sz w:val="22"/>
                <w:szCs w:val="22"/>
              </w:rPr>
              <w:t xml:space="preserve"> e master per facoltà non superiore alla media svizzera</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 xml:space="preserve">12% </w:t>
            </w:r>
            <w:proofErr w:type="spellStart"/>
            <w:r>
              <w:rPr>
                <w:rFonts w:cs="Arial"/>
                <w:sz w:val="22"/>
                <w:szCs w:val="22"/>
              </w:rPr>
              <w:t>bachelor</w:t>
            </w:r>
            <w:proofErr w:type="spellEnd"/>
            <w:r>
              <w:rPr>
                <w:rFonts w:cs="Arial"/>
                <w:sz w:val="22"/>
                <w:szCs w:val="22"/>
              </w:rPr>
              <w:t xml:space="preserve"> e 24% master di fuori corso</w:t>
            </w:r>
          </w:p>
        </w:tc>
        <w:tc>
          <w:tcPr>
            <w:tcW w:w="1701" w:type="dxa"/>
            <w:vAlign w:val="center"/>
          </w:tcPr>
          <w:p w:rsidR="0024207A" w:rsidRPr="00E351D0" w:rsidRDefault="0024207A" w:rsidP="0024207A">
            <w:pPr>
              <w:spacing w:before="20" w:after="20"/>
              <w:jc w:val="center"/>
              <w:rPr>
                <w:rFonts w:cs="Arial"/>
                <w:sz w:val="22"/>
                <w:szCs w:val="22"/>
              </w:rPr>
            </w:pPr>
            <w:r>
              <w:rPr>
                <w:rFonts w:cs="Arial"/>
                <w:sz w:val="22"/>
                <w:szCs w:val="22"/>
              </w:rPr>
              <w:t xml:space="preserve">12% </w:t>
            </w:r>
            <w:proofErr w:type="spellStart"/>
            <w:r>
              <w:rPr>
                <w:rFonts w:cs="Arial"/>
                <w:sz w:val="22"/>
                <w:szCs w:val="22"/>
              </w:rPr>
              <w:t>bachelor</w:t>
            </w:r>
            <w:proofErr w:type="spellEnd"/>
            <w:r>
              <w:rPr>
                <w:rFonts w:cs="Arial"/>
                <w:sz w:val="22"/>
                <w:szCs w:val="22"/>
              </w:rPr>
              <w:t xml:space="preserve"> e 21% master di fuori corso</w:t>
            </w:r>
          </w:p>
        </w:tc>
      </w:tr>
      <w:tr w:rsidR="0024207A" w:rsidRPr="00E351D0" w:rsidTr="0024207A">
        <w:tc>
          <w:tcPr>
            <w:tcW w:w="1488" w:type="dxa"/>
          </w:tcPr>
          <w:p w:rsidR="0024207A" w:rsidRPr="00E351D0" w:rsidRDefault="0024207A" w:rsidP="0024207A">
            <w:pPr>
              <w:spacing w:before="20" w:after="20"/>
              <w:rPr>
                <w:rFonts w:cs="Arial"/>
                <w:sz w:val="22"/>
                <w:szCs w:val="22"/>
              </w:rPr>
            </w:pPr>
          </w:p>
        </w:tc>
        <w:tc>
          <w:tcPr>
            <w:tcW w:w="5386" w:type="dxa"/>
          </w:tcPr>
          <w:p w:rsidR="0024207A" w:rsidRPr="00E351D0" w:rsidRDefault="0024207A" w:rsidP="0024207A">
            <w:pPr>
              <w:spacing w:before="20" w:after="20"/>
              <w:rPr>
                <w:rFonts w:cs="Arial"/>
                <w:sz w:val="22"/>
                <w:szCs w:val="22"/>
              </w:rPr>
            </w:pPr>
            <w:r>
              <w:rPr>
                <w:rFonts w:cs="Arial"/>
                <w:sz w:val="22"/>
                <w:szCs w:val="22"/>
              </w:rPr>
              <w:t>Verifica dell’efficacia dell’attività di ricerca attiva, misurando l’evoluzione del volume (espresso in franchi) di ricerca attivata per facoltà in rapporto all’evoluzione del numero di professori (espresso in ETP)</w:t>
            </w:r>
          </w:p>
        </w:tc>
        <w:tc>
          <w:tcPr>
            <w:tcW w:w="1418" w:type="dxa"/>
            <w:vAlign w:val="center"/>
          </w:tcPr>
          <w:p w:rsidR="0024207A" w:rsidRPr="00E351D0" w:rsidRDefault="0024207A" w:rsidP="0024207A">
            <w:pPr>
              <w:spacing w:before="20" w:after="20"/>
              <w:jc w:val="center"/>
              <w:rPr>
                <w:rFonts w:cs="Arial"/>
                <w:sz w:val="22"/>
                <w:szCs w:val="22"/>
              </w:rPr>
            </w:pPr>
            <w:r>
              <w:rPr>
                <w:rFonts w:cs="Arial"/>
                <w:sz w:val="22"/>
                <w:szCs w:val="22"/>
              </w:rPr>
              <w:t>Rapporto volume/prof stabile</w:t>
            </w:r>
          </w:p>
        </w:tc>
        <w:tc>
          <w:tcPr>
            <w:tcW w:w="1701" w:type="dxa"/>
            <w:vAlign w:val="center"/>
          </w:tcPr>
          <w:p w:rsidR="0024207A" w:rsidRPr="00E351D0" w:rsidRDefault="0024207A" w:rsidP="0024207A">
            <w:pPr>
              <w:spacing w:before="20" w:after="20"/>
              <w:jc w:val="center"/>
              <w:rPr>
                <w:rFonts w:cs="Arial"/>
                <w:sz w:val="22"/>
                <w:szCs w:val="22"/>
              </w:rPr>
            </w:pPr>
            <w:r>
              <w:rPr>
                <w:rFonts w:cs="Arial"/>
                <w:sz w:val="22"/>
                <w:szCs w:val="22"/>
              </w:rPr>
              <w:t>Rapporto volume/prof stabile</w:t>
            </w:r>
          </w:p>
        </w:tc>
      </w:tr>
    </w:tbl>
    <w:p w:rsidR="0024207A" w:rsidRPr="00E351D0" w:rsidRDefault="0024207A" w:rsidP="0024207A"/>
    <w:p w:rsidR="0024207A" w:rsidRDefault="0024207A" w:rsidP="0024207A">
      <w:pPr>
        <w:tabs>
          <w:tab w:val="left" w:pos="284"/>
          <w:tab w:val="left" w:pos="426"/>
          <w:tab w:val="left" w:pos="4962"/>
        </w:tabs>
        <w:spacing w:before="120"/>
        <w:rPr>
          <w:b/>
        </w:rPr>
      </w:pPr>
    </w:p>
    <w:p w:rsidR="0024207A" w:rsidRPr="00E351D0" w:rsidRDefault="0024207A" w:rsidP="0024207A">
      <w:pPr>
        <w:tabs>
          <w:tab w:val="left" w:pos="284"/>
          <w:tab w:val="left" w:pos="426"/>
          <w:tab w:val="left" w:pos="4962"/>
        </w:tabs>
        <w:spacing w:before="120"/>
        <w:rPr>
          <w:b/>
        </w:rPr>
        <w:sectPr w:rsidR="0024207A" w:rsidRPr="00E351D0" w:rsidSect="0024207A">
          <w:pgSz w:w="11906" w:h="16838"/>
          <w:pgMar w:top="1134" w:right="1134" w:bottom="1134" w:left="1134" w:header="720" w:footer="567" w:gutter="0"/>
          <w:cols w:space="720"/>
        </w:sectPr>
      </w:pPr>
    </w:p>
    <w:p w:rsidR="0024207A" w:rsidRPr="00DF5883" w:rsidRDefault="0024207A" w:rsidP="0024207A">
      <w:pPr>
        <w:spacing w:before="120"/>
        <w:rPr>
          <w:rFonts w:cs="Arial"/>
          <w:b/>
          <w:sz w:val="23"/>
          <w:szCs w:val="23"/>
        </w:rPr>
      </w:pPr>
      <w:r w:rsidRPr="00DF5883">
        <w:rPr>
          <w:b/>
          <w:sz w:val="23"/>
          <w:szCs w:val="23"/>
        </w:rPr>
        <w:lastRenderedPageBreak/>
        <w:t>ALLEGATO 2</w:t>
      </w:r>
      <w:r w:rsidRPr="00DF5883">
        <w:rPr>
          <w:rFonts w:cs="Arial"/>
          <w:b/>
          <w:sz w:val="23"/>
          <w:szCs w:val="23"/>
        </w:rPr>
        <w:t xml:space="preserve"> - Riassunto degli obiettivi della SUPSI contemplati dal contratto di prestazioni 2017</w:t>
      </w:r>
    </w:p>
    <w:p w:rsidR="0024207A" w:rsidRPr="00E351D0" w:rsidRDefault="0024207A" w:rsidP="0024207A">
      <w:pPr>
        <w:spacing w:before="120"/>
        <w:rPr>
          <w:rFonts w:cs="Arial"/>
          <w:b/>
          <w:szCs w:val="24"/>
        </w:rPr>
      </w:pP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5528"/>
        <w:gridCol w:w="1276"/>
        <w:gridCol w:w="1417"/>
      </w:tblGrid>
      <w:tr w:rsidR="0024207A" w:rsidRPr="00E351D0" w:rsidTr="00430A34">
        <w:tc>
          <w:tcPr>
            <w:tcW w:w="1488" w:type="dxa"/>
            <w:shd w:val="clear" w:color="auto" w:fill="auto"/>
            <w:vAlign w:val="center"/>
          </w:tcPr>
          <w:p w:rsidR="0024207A" w:rsidRPr="00E351D0" w:rsidRDefault="0024207A" w:rsidP="0024207A">
            <w:pPr>
              <w:spacing w:before="20" w:after="20"/>
              <w:rPr>
                <w:rFonts w:cs="Arial"/>
                <w:b/>
                <w:sz w:val="22"/>
                <w:szCs w:val="22"/>
              </w:rPr>
            </w:pPr>
            <w:r w:rsidRPr="00E351D0">
              <w:rPr>
                <w:rFonts w:cs="Arial"/>
                <w:b/>
                <w:sz w:val="22"/>
                <w:szCs w:val="22"/>
              </w:rPr>
              <w:t>Tipo obiettivo</w:t>
            </w:r>
          </w:p>
        </w:tc>
        <w:tc>
          <w:tcPr>
            <w:tcW w:w="5528" w:type="dxa"/>
            <w:shd w:val="clear" w:color="auto" w:fill="auto"/>
            <w:vAlign w:val="center"/>
          </w:tcPr>
          <w:p w:rsidR="0024207A" w:rsidRPr="00E351D0" w:rsidRDefault="0024207A" w:rsidP="0024207A">
            <w:pPr>
              <w:spacing w:before="20" w:after="20"/>
              <w:rPr>
                <w:rFonts w:cs="Arial"/>
                <w:b/>
                <w:sz w:val="22"/>
                <w:szCs w:val="22"/>
              </w:rPr>
            </w:pPr>
            <w:r w:rsidRPr="00E351D0">
              <w:rPr>
                <w:rFonts w:cs="Arial"/>
                <w:b/>
                <w:sz w:val="22"/>
                <w:szCs w:val="22"/>
              </w:rPr>
              <w:t>Descrizione</w:t>
            </w:r>
          </w:p>
        </w:tc>
        <w:tc>
          <w:tcPr>
            <w:tcW w:w="1276" w:type="dxa"/>
            <w:vAlign w:val="center"/>
          </w:tcPr>
          <w:p w:rsidR="0024207A" w:rsidRPr="00E351D0" w:rsidRDefault="0024207A" w:rsidP="0024207A">
            <w:pPr>
              <w:spacing w:before="20" w:after="20"/>
              <w:jc w:val="center"/>
              <w:rPr>
                <w:rFonts w:cs="Arial"/>
                <w:b/>
                <w:sz w:val="22"/>
                <w:szCs w:val="22"/>
              </w:rPr>
            </w:pPr>
            <w:r>
              <w:rPr>
                <w:rFonts w:cs="Arial"/>
                <w:b/>
                <w:sz w:val="22"/>
                <w:szCs w:val="22"/>
              </w:rPr>
              <w:t>2016</w:t>
            </w:r>
          </w:p>
        </w:tc>
        <w:tc>
          <w:tcPr>
            <w:tcW w:w="1417" w:type="dxa"/>
            <w:vAlign w:val="center"/>
          </w:tcPr>
          <w:p w:rsidR="0024207A" w:rsidRPr="00E351D0" w:rsidRDefault="0024207A" w:rsidP="0024207A">
            <w:pPr>
              <w:spacing w:before="20" w:after="20"/>
              <w:jc w:val="center"/>
              <w:rPr>
                <w:rFonts w:cs="Arial"/>
                <w:b/>
                <w:sz w:val="22"/>
                <w:szCs w:val="22"/>
              </w:rPr>
            </w:pPr>
            <w:r>
              <w:rPr>
                <w:rFonts w:cs="Arial"/>
                <w:b/>
                <w:sz w:val="22"/>
                <w:szCs w:val="22"/>
              </w:rPr>
              <w:t>2017</w:t>
            </w:r>
          </w:p>
        </w:tc>
      </w:tr>
      <w:tr w:rsidR="0024207A" w:rsidRPr="00E351D0" w:rsidTr="00430A34">
        <w:tc>
          <w:tcPr>
            <w:tcW w:w="1488" w:type="dxa"/>
            <w:vAlign w:val="center"/>
          </w:tcPr>
          <w:p w:rsidR="0024207A" w:rsidRPr="00E351D0" w:rsidRDefault="0024207A" w:rsidP="0024207A">
            <w:pPr>
              <w:spacing w:before="20" w:after="20"/>
              <w:rPr>
                <w:rFonts w:cs="Arial"/>
                <w:b/>
                <w:sz w:val="22"/>
                <w:szCs w:val="22"/>
              </w:rPr>
            </w:pPr>
            <w:r>
              <w:rPr>
                <w:rFonts w:cs="Arial"/>
                <w:b/>
                <w:sz w:val="22"/>
                <w:szCs w:val="22"/>
              </w:rPr>
              <w:t>Generali</w:t>
            </w:r>
          </w:p>
        </w:tc>
        <w:tc>
          <w:tcPr>
            <w:tcW w:w="5528" w:type="dxa"/>
          </w:tcPr>
          <w:p w:rsidR="0024207A" w:rsidRPr="00E351D0" w:rsidRDefault="0024207A" w:rsidP="0024207A">
            <w:pPr>
              <w:spacing w:before="20" w:after="20"/>
              <w:rPr>
                <w:rFonts w:cs="Arial"/>
                <w:sz w:val="22"/>
                <w:szCs w:val="22"/>
              </w:rPr>
            </w:pPr>
            <w:r>
              <w:rPr>
                <w:rFonts w:cs="Arial"/>
                <w:sz w:val="22"/>
                <w:szCs w:val="22"/>
              </w:rPr>
              <w:t>Almeno il 5% medio degli studenti (ETP) di provenienza da altri cantoni per settori di studio non artistici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2%</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2.9%</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Massimo 30% medio di provenienza dall’estero per settori di studio non artistici</w:t>
            </w:r>
          </w:p>
        </w:tc>
        <w:tc>
          <w:tcPr>
            <w:tcW w:w="1276" w:type="dxa"/>
            <w:vAlign w:val="center"/>
          </w:tcPr>
          <w:p w:rsidR="0024207A" w:rsidRPr="0095241E" w:rsidRDefault="0024207A" w:rsidP="0024207A">
            <w:pPr>
              <w:spacing w:before="20" w:after="20"/>
              <w:jc w:val="center"/>
              <w:rPr>
                <w:rFonts w:cs="Arial"/>
                <w:sz w:val="22"/>
                <w:szCs w:val="22"/>
              </w:rPr>
            </w:pPr>
            <w:r>
              <w:rPr>
                <w:rFonts w:cs="Arial"/>
                <w:sz w:val="22"/>
                <w:szCs w:val="22"/>
              </w:rPr>
              <w:t>37%</w:t>
            </w:r>
          </w:p>
        </w:tc>
        <w:tc>
          <w:tcPr>
            <w:tcW w:w="1417" w:type="dxa"/>
            <w:vAlign w:val="center"/>
          </w:tcPr>
          <w:p w:rsidR="0024207A" w:rsidRPr="0095241E" w:rsidRDefault="0024207A" w:rsidP="0024207A">
            <w:pPr>
              <w:spacing w:before="20" w:after="20"/>
              <w:jc w:val="center"/>
              <w:rPr>
                <w:rFonts w:cs="Arial"/>
                <w:sz w:val="22"/>
                <w:szCs w:val="22"/>
              </w:rPr>
            </w:pPr>
            <w:r>
              <w:rPr>
                <w:rFonts w:cs="Arial"/>
                <w:sz w:val="22"/>
                <w:szCs w:val="22"/>
              </w:rPr>
              <w:t>23.5%</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Default="0024207A" w:rsidP="0024207A">
            <w:pPr>
              <w:spacing w:before="20" w:after="20"/>
              <w:rPr>
                <w:rFonts w:cs="Arial"/>
                <w:sz w:val="22"/>
                <w:szCs w:val="22"/>
              </w:rPr>
            </w:pPr>
            <w:r>
              <w:rPr>
                <w:rFonts w:cs="Arial"/>
                <w:sz w:val="22"/>
                <w:szCs w:val="22"/>
              </w:rPr>
              <w:t xml:space="preserve">Massimo del 40% medio di studenti (ETP) di provenienza dall’estero per il Dipartimento tecnologie innovative </w:t>
            </w:r>
            <w:r w:rsidRPr="002620E1">
              <w:rPr>
                <w:rFonts w:cs="Arial"/>
                <w:b/>
                <w:sz w:val="22"/>
                <w:szCs w:val="22"/>
              </w:rPr>
              <w:t>(nuovo 2017)</w:t>
            </w:r>
          </w:p>
        </w:tc>
        <w:tc>
          <w:tcPr>
            <w:tcW w:w="1276" w:type="dxa"/>
            <w:vAlign w:val="center"/>
          </w:tcPr>
          <w:p w:rsidR="0024207A" w:rsidRDefault="0024207A" w:rsidP="0024207A">
            <w:pPr>
              <w:spacing w:before="20" w:after="20"/>
              <w:jc w:val="center"/>
              <w:rPr>
                <w:rFonts w:cs="Arial"/>
                <w:sz w:val="22"/>
                <w:szCs w:val="22"/>
              </w:rPr>
            </w:pPr>
            <w:r>
              <w:rPr>
                <w:rFonts w:cs="Arial"/>
                <w:sz w:val="22"/>
                <w:szCs w:val="22"/>
              </w:rPr>
              <w:t>-</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46%</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Default="0024207A" w:rsidP="0024207A">
            <w:pPr>
              <w:spacing w:before="20" w:after="20"/>
              <w:rPr>
                <w:rFonts w:cs="Arial"/>
                <w:sz w:val="22"/>
                <w:szCs w:val="22"/>
              </w:rPr>
            </w:pPr>
            <w:r>
              <w:rPr>
                <w:rFonts w:cs="Arial"/>
                <w:sz w:val="22"/>
                <w:szCs w:val="22"/>
              </w:rPr>
              <w:t xml:space="preserve">Minimo del 10% medio di studenti master (ETP) di provenienza da altri cantoni per settori di studio non artistici </w:t>
            </w:r>
            <w:r w:rsidRPr="002620E1">
              <w:rPr>
                <w:rFonts w:cs="Arial"/>
                <w:b/>
                <w:sz w:val="22"/>
                <w:szCs w:val="22"/>
              </w:rPr>
              <w:t>(nuovo 2017)</w:t>
            </w:r>
          </w:p>
        </w:tc>
        <w:tc>
          <w:tcPr>
            <w:tcW w:w="1276" w:type="dxa"/>
            <w:vAlign w:val="center"/>
          </w:tcPr>
          <w:p w:rsidR="0024207A" w:rsidRDefault="0024207A" w:rsidP="0024207A">
            <w:pPr>
              <w:spacing w:before="20" w:after="20"/>
              <w:jc w:val="center"/>
              <w:rPr>
                <w:rFonts w:cs="Arial"/>
                <w:sz w:val="22"/>
                <w:szCs w:val="22"/>
              </w:rPr>
            </w:pPr>
            <w:r>
              <w:rPr>
                <w:rFonts w:cs="Arial"/>
                <w:sz w:val="22"/>
                <w:szCs w:val="22"/>
              </w:rPr>
              <w:t>-</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2.2%</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Default="0024207A" w:rsidP="0024207A">
            <w:pPr>
              <w:spacing w:before="20" w:after="20"/>
              <w:rPr>
                <w:rFonts w:cs="Arial"/>
                <w:sz w:val="22"/>
                <w:szCs w:val="22"/>
              </w:rPr>
            </w:pPr>
            <w:r>
              <w:rPr>
                <w:rFonts w:cs="Arial"/>
                <w:sz w:val="22"/>
                <w:szCs w:val="22"/>
              </w:rPr>
              <w:t xml:space="preserve">Massimo del 40% medio di studenti master (ETP) di provenienza dall’estero per settori di studio non artistici </w:t>
            </w:r>
            <w:r w:rsidRPr="002620E1">
              <w:rPr>
                <w:rFonts w:cs="Arial"/>
                <w:b/>
                <w:sz w:val="22"/>
                <w:szCs w:val="22"/>
              </w:rPr>
              <w:t>(nuovo 2017)</w:t>
            </w:r>
          </w:p>
        </w:tc>
        <w:tc>
          <w:tcPr>
            <w:tcW w:w="1276" w:type="dxa"/>
            <w:vAlign w:val="center"/>
          </w:tcPr>
          <w:p w:rsidR="0024207A" w:rsidRDefault="0024207A" w:rsidP="0024207A">
            <w:pPr>
              <w:spacing w:before="20" w:after="20"/>
              <w:jc w:val="center"/>
              <w:rPr>
                <w:rFonts w:cs="Arial"/>
                <w:sz w:val="22"/>
                <w:szCs w:val="22"/>
              </w:rPr>
            </w:pPr>
            <w:r>
              <w:rPr>
                <w:rFonts w:cs="Arial"/>
                <w:sz w:val="22"/>
                <w:szCs w:val="22"/>
              </w:rPr>
              <w:t>-</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58.6%</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Formazione continua - l’attualizzazione costante e la crescita delle competenze del personale operante a livello di quadri medi e superiori nell’economia ticinese e nei servizi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2’206 studenti di formazione certificata</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1’988 studenti di formazione certificata</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Presenza in organico di una percentuale di docenti-ricercatori in linea con la media svizzera.</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17% contro il 10% CH</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17% contro il 10% CH</w:t>
            </w:r>
          </w:p>
        </w:tc>
      </w:tr>
      <w:tr w:rsidR="0024207A" w:rsidRPr="00E351D0" w:rsidTr="00430A34">
        <w:tc>
          <w:tcPr>
            <w:tcW w:w="1488" w:type="dxa"/>
            <w:vAlign w:val="center"/>
          </w:tcPr>
          <w:p w:rsidR="0024207A" w:rsidRPr="00E351D0" w:rsidRDefault="0024207A" w:rsidP="0024207A">
            <w:pPr>
              <w:spacing w:before="20" w:after="20"/>
              <w:rPr>
                <w:rFonts w:cs="Arial"/>
                <w:b/>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La quota parte corrispondente alla ricerca e ai servizi non deve superare il 50% dei ricavi totali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37%</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36.8%</w:t>
            </w:r>
          </w:p>
        </w:tc>
      </w:tr>
      <w:tr w:rsidR="0024207A" w:rsidRPr="00E351D0" w:rsidTr="00430A34">
        <w:tc>
          <w:tcPr>
            <w:tcW w:w="1488" w:type="dxa"/>
            <w:vAlign w:val="center"/>
          </w:tcPr>
          <w:p w:rsidR="0024207A" w:rsidRPr="00E351D0" w:rsidRDefault="0024207A" w:rsidP="0024207A">
            <w:pPr>
              <w:spacing w:before="20" w:after="20"/>
              <w:rPr>
                <w:rFonts w:cs="Arial"/>
                <w:b/>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Pari opportunità - una quota di personale femminile (ETP e per testa) per categoria di personale, secondo le categorie dell’Ufficio federale di statistica (UST), in linea con la media delle altre SUP svizzere</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36% contro     42% CH</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35.4% contro 40% CH</w:t>
            </w:r>
          </w:p>
        </w:tc>
      </w:tr>
      <w:tr w:rsidR="0024207A" w:rsidRPr="00E351D0" w:rsidTr="00430A34">
        <w:tc>
          <w:tcPr>
            <w:tcW w:w="1488" w:type="dxa"/>
            <w:vAlign w:val="center"/>
          </w:tcPr>
          <w:p w:rsidR="0024207A" w:rsidRPr="00E351D0" w:rsidRDefault="0024207A" w:rsidP="0024207A">
            <w:pPr>
              <w:spacing w:before="20" w:after="20"/>
              <w:rPr>
                <w:rFonts w:cs="Arial"/>
                <w:b/>
                <w:sz w:val="22"/>
                <w:szCs w:val="22"/>
              </w:rPr>
            </w:pPr>
            <w:r>
              <w:rPr>
                <w:rFonts w:cs="Arial"/>
                <w:b/>
                <w:sz w:val="22"/>
                <w:szCs w:val="22"/>
              </w:rPr>
              <w:t>Di efficacia</w:t>
            </w:r>
          </w:p>
        </w:tc>
        <w:tc>
          <w:tcPr>
            <w:tcW w:w="5528" w:type="dxa"/>
          </w:tcPr>
          <w:p w:rsidR="0024207A" w:rsidRPr="00E351D0" w:rsidRDefault="0024207A" w:rsidP="0024207A">
            <w:pPr>
              <w:spacing w:before="20" w:after="20"/>
              <w:rPr>
                <w:rFonts w:cs="Arial"/>
                <w:sz w:val="22"/>
                <w:szCs w:val="22"/>
              </w:rPr>
            </w:pPr>
            <w:r>
              <w:rPr>
                <w:rFonts w:cs="Arial"/>
                <w:sz w:val="22"/>
                <w:szCs w:val="22"/>
              </w:rPr>
              <w:t xml:space="preserve">Sbocco di studio nel Cantone Ticino per titolari della maturità professionale rilasciata nelle scuole professionali del Cantone, ovvero il tasso di passaggio calcolato fino a 5 anni dopo l’ottenimento della MP </w:t>
            </w:r>
          </w:p>
        </w:tc>
        <w:tc>
          <w:tcPr>
            <w:tcW w:w="1276" w:type="dxa"/>
            <w:vAlign w:val="center"/>
          </w:tcPr>
          <w:p w:rsidR="0024207A" w:rsidRPr="00ED3293" w:rsidRDefault="0024207A" w:rsidP="0024207A">
            <w:pPr>
              <w:spacing w:before="20" w:after="20"/>
              <w:jc w:val="center"/>
              <w:rPr>
                <w:rFonts w:cs="Arial"/>
                <w:sz w:val="22"/>
                <w:szCs w:val="22"/>
              </w:rPr>
            </w:pPr>
            <w:r>
              <w:rPr>
                <w:rFonts w:cs="Arial"/>
                <w:sz w:val="22"/>
                <w:szCs w:val="22"/>
              </w:rPr>
              <w:t>36</w:t>
            </w:r>
            <w:r w:rsidRPr="00ED3293">
              <w:rPr>
                <w:rFonts w:cs="Arial"/>
                <w:sz w:val="22"/>
                <w:szCs w:val="22"/>
              </w:rPr>
              <w:t>%</w:t>
            </w:r>
          </w:p>
        </w:tc>
        <w:tc>
          <w:tcPr>
            <w:tcW w:w="1417" w:type="dxa"/>
            <w:vAlign w:val="center"/>
          </w:tcPr>
          <w:p w:rsidR="0024207A" w:rsidRPr="00ED3293" w:rsidRDefault="0024207A" w:rsidP="0024207A">
            <w:pPr>
              <w:spacing w:before="20" w:after="20"/>
              <w:jc w:val="center"/>
              <w:rPr>
                <w:rFonts w:cs="Arial"/>
                <w:sz w:val="22"/>
                <w:szCs w:val="22"/>
              </w:rPr>
            </w:pPr>
            <w:r>
              <w:rPr>
                <w:rFonts w:cs="Arial"/>
                <w:sz w:val="22"/>
                <w:szCs w:val="22"/>
              </w:rPr>
              <w:t>28.5%</w:t>
            </w:r>
          </w:p>
        </w:tc>
      </w:tr>
      <w:tr w:rsidR="0024207A" w:rsidRPr="00E351D0" w:rsidTr="00430A34">
        <w:tc>
          <w:tcPr>
            <w:tcW w:w="1488" w:type="dxa"/>
            <w:vAlign w:val="center"/>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Tasso di entrata nella vita professionale nei settori di riferimento ad un anno dal conseguimento del diploma in linea con le altre SUP</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87%</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78%</w:t>
            </w:r>
          </w:p>
        </w:tc>
      </w:tr>
      <w:tr w:rsidR="0024207A" w:rsidRPr="008767A7"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Grado di adeguatezza delle competenze acquisite dai diplomati per campo di studio, misurato tramite inchieste presso le differenti categorie di datori di lavoro del territorio</w:t>
            </w:r>
          </w:p>
        </w:tc>
        <w:tc>
          <w:tcPr>
            <w:tcW w:w="1276" w:type="dxa"/>
            <w:vAlign w:val="center"/>
          </w:tcPr>
          <w:p w:rsidR="0024207A" w:rsidRPr="008767A7" w:rsidRDefault="0024207A" w:rsidP="0024207A">
            <w:pPr>
              <w:spacing w:before="20" w:after="20"/>
              <w:jc w:val="center"/>
              <w:rPr>
                <w:rFonts w:cs="Arial"/>
                <w:sz w:val="22"/>
                <w:szCs w:val="22"/>
                <w:lang w:val="it-CH"/>
              </w:rPr>
            </w:pPr>
            <w:r>
              <w:rPr>
                <w:rFonts w:cs="Arial"/>
                <w:sz w:val="22"/>
                <w:szCs w:val="22"/>
                <w:lang w:val="it-CH"/>
              </w:rPr>
              <w:t>b</w:t>
            </w:r>
            <w:r w:rsidRPr="008767A7">
              <w:rPr>
                <w:rFonts w:cs="Arial"/>
                <w:sz w:val="22"/>
                <w:szCs w:val="22"/>
                <w:lang w:val="it-CH"/>
              </w:rPr>
              <w:t>uono (8 scala 1-10)</w:t>
            </w:r>
          </w:p>
        </w:tc>
        <w:tc>
          <w:tcPr>
            <w:tcW w:w="1417" w:type="dxa"/>
            <w:vAlign w:val="center"/>
          </w:tcPr>
          <w:p w:rsidR="0024207A" w:rsidRPr="008767A7" w:rsidRDefault="0024207A" w:rsidP="0024207A">
            <w:pPr>
              <w:spacing w:before="20" w:after="20"/>
              <w:jc w:val="center"/>
              <w:rPr>
                <w:rFonts w:cs="Arial"/>
                <w:sz w:val="22"/>
                <w:szCs w:val="22"/>
                <w:lang w:val="it-CH"/>
              </w:rPr>
            </w:pPr>
            <w:r>
              <w:rPr>
                <w:rFonts w:cs="Arial"/>
                <w:sz w:val="22"/>
                <w:szCs w:val="22"/>
                <w:lang w:val="it-CH"/>
              </w:rPr>
              <w:t>b</w:t>
            </w:r>
            <w:r w:rsidRPr="008767A7">
              <w:rPr>
                <w:rFonts w:cs="Arial"/>
                <w:sz w:val="22"/>
                <w:szCs w:val="22"/>
                <w:lang w:val="it-CH"/>
              </w:rPr>
              <w:t>uono (</w:t>
            </w:r>
            <w:r>
              <w:rPr>
                <w:rFonts w:cs="Arial"/>
                <w:sz w:val="22"/>
                <w:szCs w:val="22"/>
                <w:lang w:val="it-CH"/>
              </w:rPr>
              <w:t xml:space="preserve">circa </w:t>
            </w:r>
            <w:r w:rsidRPr="008767A7">
              <w:rPr>
                <w:rFonts w:cs="Arial"/>
                <w:sz w:val="22"/>
                <w:szCs w:val="22"/>
                <w:lang w:val="it-CH"/>
              </w:rPr>
              <w:t>8 scala 1-10)</w:t>
            </w:r>
          </w:p>
        </w:tc>
      </w:tr>
      <w:tr w:rsidR="0024207A" w:rsidRPr="00E351D0" w:rsidTr="00430A34">
        <w:tc>
          <w:tcPr>
            <w:tcW w:w="1488" w:type="dxa"/>
          </w:tcPr>
          <w:p w:rsidR="0024207A" w:rsidRPr="008767A7" w:rsidRDefault="0024207A" w:rsidP="0024207A">
            <w:pPr>
              <w:spacing w:before="20" w:after="20"/>
              <w:rPr>
                <w:rFonts w:cs="Arial"/>
                <w:sz w:val="22"/>
                <w:szCs w:val="22"/>
                <w:lang w:val="it-CH"/>
              </w:rPr>
            </w:pPr>
          </w:p>
        </w:tc>
        <w:tc>
          <w:tcPr>
            <w:tcW w:w="5528" w:type="dxa"/>
          </w:tcPr>
          <w:p w:rsidR="0024207A" w:rsidRPr="00E351D0" w:rsidRDefault="0024207A" w:rsidP="0024207A">
            <w:pPr>
              <w:spacing w:before="20" w:after="20"/>
              <w:rPr>
                <w:rFonts w:cs="Arial"/>
                <w:sz w:val="22"/>
                <w:szCs w:val="22"/>
              </w:rPr>
            </w:pPr>
            <w:r>
              <w:rPr>
                <w:rFonts w:cs="Arial"/>
                <w:sz w:val="22"/>
                <w:szCs w:val="22"/>
              </w:rPr>
              <w:t>Esame dell’adeguatezza delle formazioni proposte in funzione dell’evoluzione del mercato del lavoro, misurato tramite il rapporto tra il numero di diplomati per settore di studio e il numero totale di diplomati.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19% di laureati nel settore tecnica</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 xml:space="preserve">15% di laureati nel settore tecnica </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Grado di soddisfazione degli studenti e dei diplomati superiore al 75% della scala applicata</w:t>
            </w:r>
          </w:p>
        </w:tc>
        <w:tc>
          <w:tcPr>
            <w:tcW w:w="1276" w:type="dxa"/>
            <w:vAlign w:val="center"/>
          </w:tcPr>
          <w:p w:rsidR="0024207A" w:rsidRPr="00E351D0" w:rsidRDefault="0024207A" w:rsidP="0024207A">
            <w:pPr>
              <w:spacing w:before="20" w:after="20"/>
              <w:jc w:val="center"/>
              <w:rPr>
                <w:rFonts w:cs="Arial"/>
                <w:sz w:val="22"/>
                <w:szCs w:val="22"/>
              </w:rPr>
            </w:pPr>
            <w:proofErr w:type="spellStart"/>
            <w:r>
              <w:rPr>
                <w:rFonts w:cs="Arial"/>
                <w:sz w:val="22"/>
                <w:szCs w:val="22"/>
              </w:rPr>
              <w:t>nd</w:t>
            </w:r>
            <w:proofErr w:type="spellEnd"/>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 xml:space="preserve">3.1 su 4 </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Formazione continua - verifica regolare della frazione di diplomati di percorsi MAS che hanno conosciuto un avanzamento di carriera a distanza di un anno dal diploma.</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52%</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72%</w:t>
            </w:r>
          </w:p>
        </w:tc>
      </w:tr>
    </w:tbl>
    <w:p w:rsidR="00D6413E" w:rsidRDefault="00D6413E">
      <w:r>
        <w:br w:type="page"/>
      </w:r>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8"/>
        <w:gridCol w:w="5528"/>
        <w:gridCol w:w="1276"/>
        <w:gridCol w:w="1417"/>
      </w:tblGrid>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Tasso di soddisfazione dei datori di lavoro superiore al 75% della scala applicata e misurato tramite inchieste specifiche presso diverse categorie di datori di lavoro</w:t>
            </w:r>
          </w:p>
        </w:tc>
        <w:tc>
          <w:tcPr>
            <w:tcW w:w="1276" w:type="dxa"/>
            <w:vAlign w:val="center"/>
          </w:tcPr>
          <w:p w:rsidR="0024207A" w:rsidRPr="00E351D0" w:rsidRDefault="0024207A" w:rsidP="0024207A">
            <w:pPr>
              <w:spacing w:before="20" w:after="20"/>
              <w:jc w:val="center"/>
              <w:rPr>
                <w:rFonts w:cs="Arial"/>
                <w:sz w:val="22"/>
                <w:szCs w:val="22"/>
              </w:rPr>
            </w:pPr>
            <w:proofErr w:type="spellStart"/>
            <w:r>
              <w:rPr>
                <w:rFonts w:cs="Arial"/>
                <w:sz w:val="22"/>
                <w:szCs w:val="22"/>
                <w:lang w:val="it-CH"/>
              </w:rPr>
              <w:t>nd</w:t>
            </w:r>
            <w:proofErr w:type="spellEnd"/>
            <w:r w:rsidRPr="006C69BA">
              <w:rPr>
                <w:rFonts w:cs="Arial"/>
                <w:sz w:val="22"/>
                <w:szCs w:val="22"/>
                <w:lang w:val="it-CH"/>
              </w:rPr>
              <w:t xml:space="preserve"> </w:t>
            </w:r>
          </w:p>
        </w:tc>
        <w:tc>
          <w:tcPr>
            <w:tcW w:w="1417" w:type="dxa"/>
            <w:vAlign w:val="center"/>
          </w:tcPr>
          <w:p w:rsidR="0024207A" w:rsidRPr="00E351D0" w:rsidRDefault="0024207A" w:rsidP="0024207A">
            <w:pPr>
              <w:spacing w:before="20" w:after="20"/>
              <w:jc w:val="center"/>
              <w:rPr>
                <w:rFonts w:cs="Arial"/>
                <w:sz w:val="22"/>
                <w:szCs w:val="22"/>
              </w:rPr>
            </w:pPr>
            <w:proofErr w:type="spellStart"/>
            <w:r>
              <w:rPr>
                <w:rFonts w:cs="Arial"/>
                <w:sz w:val="22"/>
                <w:szCs w:val="22"/>
                <w:lang w:val="it-CH"/>
              </w:rPr>
              <w:t>nd</w:t>
            </w:r>
            <w:proofErr w:type="spellEnd"/>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Verifica dell’efficacia della ricerca misurando la percentuale di progetti di ricerca accettati in rapporto al totale dei progetti inoltrati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77% contro 50% CH</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77% contro 50% CH</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 xml:space="preserve">Grado di soddisfazione (in termini di miglioramento di performance e di risultati di esercizio) da parte di imprese coinvolte nei progetti di ricerca </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7.8 su scala da 1 a10</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7.6 su scala da 1 a10</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Aumento progressivo delle collaborazioni istituzionali (o di accordi istituzionalizzati) per progetti di ricerca con partner locali sia nazionali sia internazionali</w:t>
            </w:r>
          </w:p>
        </w:tc>
        <w:tc>
          <w:tcPr>
            <w:tcW w:w="1276" w:type="dxa"/>
            <w:vAlign w:val="center"/>
          </w:tcPr>
          <w:p w:rsidR="0024207A" w:rsidRDefault="0024207A" w:rsidP="0024207A">
            <w:pPr>
              <w:spacing w:before="20" w:after="20"/>
              <w:jc w:val="center"/>
              <w:rPr>
                <w:rFonts w:cs="Arial"/>
                <w:sz w:val="22"/>
                <w:szCs w:val="22"/>
              </w:rPr>
            </w:pPr>
            <w:r>
              <w:rPr>
                <w:rFonts w:cs="Arial"/>
                <w:sz w:val="22"/>
                <w:szCs w:val="22"/>
              </w:rPr>
              <w:t xml:space="preserve">45 </w:t>
            </w:r>
          </w:p>
          <w:p w:rsidR="0024207A" w:rsidRPr="00E351D0" w:rsidRDefault="0024207A" w:rsidP="0024207A">
            <w:pPr>
              <w:spacing w:before="20" w:after="20"/>
              <w:jc w:val="center"/>
              <w:rPr>
                <w:rFonts w:cs="Arial"/>
                <w:sz w:val="22"/>
                <w:szCs w:val="22"/>
              </w:rPr>
            </w:pPr>
            <w:proofErr w:type="spellStart"/>
            <w:r>
              <w:rPr>
                <w:rFonts w:cs="Arial"/>
                <w:sz w:val="22"/>
                <w:szCs w:val="22"/>
              </w:rPr>
              <w:t>internaz</w:t>
            </w:r>
            <w:proofErr w:type="spellEnd"/>
            <w:r>
              <w:rPr>
                <w:rFonts w:cs="Arial"/>
                <w:sz w:val="22"/>
                <w:szCs w:val="22"/>
              </w:rPr>
              <w:t xml:space="preserve">. </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78 accordi e convenzioni nazionali e internazionali</w:t>
            </w:r>
          </w:p>
        </w:tc>
      </w:tr>
      <w:tr w:rsidR="0024207A" w:rsidRPr="00E351D0" w:rsidTr="00430A34">
        <w:tc>
          <w:tcPr>
            <w:tcW w:w="1488" w:type="dxa"/>
            <w:vAlign w:val="center"/>
          </w:tcPr>
          <w:p w:rsidR="0024207A" w:rsidRPr="00E351D0" w:rsidRDefault="0024207A" w:rsidP="0024207A">
            <w:pPr>
              <w:spacing w:before="20" w:after="20"/>
              <w:rPr>
                <w:rFonts w:cs="Arial"/>
                <w:b/>
                <w:sz w:val="22"/>
                <w:szCs w:val="22"/>
              </w:rPr>
            </w:pPr>
            <w:r w:rsidRPr="00E351D0">
              <w:rPr>
                <w:rFonts w:cs="Arial"/>
                <w:b/>
                <w:sz w:val="22"/>
                <w:szCs w:val="22"/>
              </w:rPr>
              <w:t>Di efficienza</w:t>
            </w:r>
          </w:p>
        </w:tc>
        <w:tc>
          <w:tcPr>
            <w:tcW w:w="5528" w:type="dxa"/>
          </w:tcPr>
          <w:p w:rsidR="0024207A" w:rsidRDefault="0024207A" w:rsidP="0024207A">
            <w:pPr>
              <w:spacing w:before="20" w:after="20"/>
              <w:rPr>
                <w:rFonts w:cs="Arial"/>
                <w:sz w:val="22"/>
                <w:szCs w:val="22"/>
              </w:rPr>
            </w:pPr>
          </w:p>
          <w:p w:rsidR="0024207A" w:rsidRPr="00E351D0" w:rsidRDefault="0024207A" w:rsidP="0024207A">
            <w:pPr>
              <w:spacing w:before="20" w:after="20"/>
              <w:rPr>
                <w:rFonts w:cs="Arial"/>
                <w:sz w:val="22"/>
                <w:szCs w:val="22"/>
              </w:rPr>
            </w:pPr>
            <w:r>
              <w:rPr>
                <w:rFonts w:cs="Arial"/>
                <w:sz w:val="22"/>
                <w:szCs w:val="22"/>
              </w:rPr>
              <w:t xml:space="preserve">Costo medio per studente per settore di studio non superiore alla media svizzera </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inferiore media CH</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inferiore media CH a parte il settore lavoro sociale</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Tasso di inquadramento per campo di studio in linea con la media svizzera.</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in linea o migliore</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in linea o migliore</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Per ogni settore di studio, la percentuale di ECTS acquisiti rispetto a quelli iscritti.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media 86% buono</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da 70% a 100% in base al settore di studio</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Formazione continua certificata: la copertura tramite tasse di partecipazione dei costi diretti (rapporto ricavi diretti – costi diretti)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131%</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96%</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 xml:space="preserve">Copertura completa dei costi diretti per i progetti di ricerca finanziati da enti competitivi </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118%</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110%</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 xml:space="preserve">Copertura dei costi completi (autofinanziamento analitico del 100%) dei mandati diretti di servizio e di ricerca </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97%</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95%</w:t>
            </w:r>
          </w:p>
        </w:tc>
      </w:tr>
      <w:tr w:rsidR="0024207A" w:rsidRPr="00E351D0" w:rsidTr="00430A34">
        <w:tc>
          <w:tcPr>
            <w:tcW w:w="1488" w:type="dxa"/>
          </w:tcPr>
          <w:p w:rsidR="0024207A" w:rsidRPr="00E351D0" w:rsidRDefault="0024207A" w:rsidP="0024207A">
            <w:pPr>
              <w:spacing w:before="20" w:after="20"/>
              <w:rPr>
                <w:rFonts w:cs="Arial"/>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Evoluzione del volume di ricavi (espresso in franchi) di ricerca attivata per settore in rapporto all’evoluzione (numero espresso in ETP) di professori, docenti ricercatori e collaboratori scientifici.</w:t>
            </w:r>
          </w:p>
        </w:tc>
        <w:tc>
          <w:tcPr>
            <w:tcW w:w="1276" w:type="dxa"/>
            <w:vAlign w:val="center"/>
          </w:tcPr>
          <w:p w:rsidR="0024207A" w:rsidRPr="00E351D0" w:rsidRDefault="0024207A" w:rsidP="0024207A">
            <w:pPr>
              <w:spacing w:before="20" w:after="20"/>
              <w:jc w:val="center"/>
              <w:rPr>
                <w:rFonts w:cs="Arial"/>
                <w:sz w:val="22"/>
                <w:szCs w:val="22"/>
                <w:lang w:val="it-CH"/>
              </w:rPr>
            </w:pPr>
            <w:r>
              <w:rPr>
                <w:rFonts w:cs="Arial"/>
                <w:sz w:val="22"/>
                <w:szCs w:val="22"/>
                <w:lang w:val="it-CH"/>
              </w:rPr>
              <w:t>in diminuzione</w:t>
            </w:r>
          </w:p>
        </w:tc>
        <w:tc>
          <w:tcPr>
            <w:tcW w:w="1417" w:type="dxa"/>
            <w:vAlign w:val="center"/>
          </w:tcPr>
          <w:p w:rsidR="0024207A" w:rsidRPr="00E351D0" w:rsidRDefault="0024207A" w:rsidP="0024207A">
            <w:pPr>
              <w:spacing w:before="20" w:after="20"/>
              <w:jc w:val="center"/>
              <w:rPr>
                <w:rFonts w:cs="Arial"/>
                <w:sz w:val="22"/>
                <w:szCs w:val="22"/>
                <w:lang w:val="it-CH"/>
              </w:rPr>
            </w:pPr>
            <w:r>
              <w:rPr>
                <w:rFonts w:cs="Arial"/>
                <w:sz w:val="22"/>
                <w:szCs w:val="22"/>
                <w:lang w:val="it-CH"/>
              </w:rPr>
              <w:t>Stabile</w:t>
            </w:r>
          </w:p>
        </w:tc>
      </w:tr>
      <w:tr w:rsidR="0024207A" w:rsidRPr="00E351D0" w:rsidTr="00430A34">
        <w:tc>
          <w:tcPr>
            <w:tcW w:w="1488" w:type="dxa"/>
            <w:vAlign w:val="center"/>
          </w:tcPr>
          <w:p w:rsidR="0024207A" w:rsidRPr="00E351D0" w:rsidRDefault="0024207A" w:rsidP="0024207A">
            <w:pPr>
              <w:spacing w:before="20" w:after="20"/>
              <w:rPr>
                <w:rFonts w:cs="Arial"/>
                <w:b/>
                <w:sz w:val="22"/>
                <w:szCs w:val="22"/>
              </w:rPr>
            </w:pPr>
          </w:p>
        </w:tc>
        <w:tc>
          <w:tcPr>
            <w:tcW w:w="5528" w:type="dxa"/>
          </w:tcPr>
          <w:p w:rsidR="0024207A" w:rsidRPr="00E351D0" w:rsidRDefault="0024207A" w:rsidP="0024207A">
            <w:pPr>
              <w:spacing w:before="20" w:after="20"/>
              <w:rPr>
                <w:rFonts w:cs="Arial"/>
                <w:sz w:val="22"/>
                <w:szCs w:val="22"/>
              </w:rPr>
            </w:pPr>
            <w:r>
              <w:rPr>
                <w:rFonts w:cs="Arial"/>
                <w:sz w:val="22"/>
                <w:szCs w:val="22"/>
              </w:rPr>
              <w:t>Percentuale dei costi amministrativi non superiore alla media svizzera (quota di personale amministrativo sul totale)</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22.6% contro 30.6% CH</w:t>
            </w:r>
          </w:p>
        </w:tc>
        <w:tc>
          <w:tcPr>
            <w:tcW w:w="1417" w:type="dxa"/>
            <w:vAlign w:val="center"/>
          </w:tcPr>
          <w:p w:rsidR="0024207A" w:rsidRPr="00E351D0" w:rsidRDefault="0024207A" w:rsidP="0024207A">
            <w:pPr>
              <w:spacing w:before="20" w:after="20"/>
              <w:jc w:val="center"/>
              <w:rPr>
                <w:rFonts w:cs="Arial"/>
                <w:sz w:val="22"/>
                <w:szCs w:val="22"/>
              </w:rPr>
            </w:pPr>
            <w:r>
              <w:rPr>
                <w:rFonts w:cs="Arial"/>
                <w:sz w:val="22"/>
                <w:szCs w:val="22"/>
              </w:rPr>
              <w:t>25.2% contro 30.6% CH</w:t>
            </w:r>
          </w:p>
        </w:tc>
      </w:tr>
    </w:tbl>
    <w:p w:rsidR="0024207A" w:rsidRDefault="0024207A" w:rsidP="0024207A">
      <w:pPr>
        <w:spacing w:before="120"/>
      </w:pPr>
    </w:p>
    <w:p w:rsidR="0024207A" w:rsidRPr="00DF5883" w:rsidRDefault="0024207A" w:rsidP="0024207A">
      <w:pPr>
        <w:spacing w:before="120"/>
        <w:rPr>
          <w:rFonts w:cs="Arial"/>
          <w:b/>
          <w:sz w:val="23"/>
          <w:szCs w:val="23"/>
        </w:rPr>
      </w:pPr>
      <w:r w:rsidRPr="00E351D0">
        <w:br w:type="page"/>
      </w:r>
      <w:r w:rsidRPr="00DF5883">
        <w:rPr>
          <w:b/>
          <w:sz w:val="23"/>
          <w:szCs w:val="23"/>
        </w:rPr>
        <w:lastRenderedPageBreak/>
        <w:t>ALLEGATO 3</w:t>
      </w:r>
      <w:r w:rsidRPr="00DF5883">
        <w:rPr>
          <w:rFonts w:cs="Arial"/>
          <w:b/>
          <w:sz w:val="23"/>
          <w:szCs w:val="23"/>
        </w:rPr>
        <w:t xml:space="preserve"> - Riassunto degli obiettivi del DFA contemplati dal contratto di prestazioni per il 2017</w:t>
      </w:r>
    </w:p>
    <w:p w:rsidR="0024207A" w:rsidRPr="00E351D0" w:rsidRDefault="0024207A" w:rsidP="0024207A">
      <w:pPr>
        <w:spacing w:before="120"/>
        <w:rPr>
          <w:rFonts w:cs="Arial"/>
          <w:b/>
          <w:szCs w:val="24"/>
        </w:rPr>
      </w:pPr>
    </w:p>
    <w:tbl>
      <w:tblPr>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5670"/>
        <w:gridCol w:w="1276"/>
        <w:gridCol w:w="1276"/>
      </w:tblGrid>
      <w:tr w:rsidR="0024207A" w:rsidRPr="00E351D0" w:rsidTr="0024207A">
        <w:tc>
          <w:tcPr>
            <w:tcW w:w="1630" w:type="dxa"/>
            <w:shd w:val="clear" w:color="auto" w:fill="auto"/>
            <w:vAlign w:val="center"/>
          </w:tcPr>
          <w:p w:rsidR="0024207A" w:rsidRPr="00E351D0" w:rsidRDefault="0024207A" w:rsidP="0024207A">
            <w:pPr>
              <w:spacing w:before="20" w:after="20"/>
              <w:rPr>
                <w:rFonts w:cs="Arial"/>
                <w:b/>
                <w:sz w:val="22"/>
                <w:szCs w:val="22"/>
              </w:rPr>
            </w:pPr>
            <w:r>
              <w:rPr>
                <w:rFonts w:cs="Arial"/>
                <w:b/>
                <w:sz w:val="22"/>
                <w:szCs w:val="22"/>
              </w:rPr>
              <w:t>Art. 22</w:t>
            </w:r>
          </w:p>
        </w:tc>
        <w:tc>
          <w:tcPr>
            <w:tcW w:w="5670" w:type="dxa"/>
            <w:shd w:val="clear" w:color="auto" w:fill="auto"/>
            <w:vAlign w:val="center"/>
          </w:tcPr>
          <w:p w:rsidR="0024207A" w:rsidRPr="00E351D0" w:rsidRDefault="0024207A" w:rsidP="0024207A">
            <w:pPr>
              <w:spacing w:before="20" w:after="20"/>
              <w:rPr>
                <w:rFonts w:cs="Arial"/>
                <w:b/>
                <w:sz w:val="22"/>
                <w:szCs w:val="22"/>
              </w:rPr>
            </w:pPr>
            <w:r w:rsidRPr="00E351D0">
              <w:rPr>
                <w:rFonts w:cs="Arial"/>
                <w:b/>
                <w:sz w:val="22"/>
                <w:szCs w:val="22"/>
              </w:rPr>
              <w:t>Descrizione</w:t>
            </w:r>
          </w:p>
        </w:tc>
        <w:tc>
          <w:tcPr>
            <w:tcW w:w="1276" w:type="dxa"/>
            <w:vAlign w:val="center"/>
          </w:tcPr>
          <w:p w:rsidR="0024207A" w:rsidRPr="00E351D0" w:rsidRDefault="0024207A" w:rsidP="0024207A">
            <w:pPr>
              <w:spacing w:before="20" w:after="20"/>
              <w:jc w:val="center"/>
              <w:rPr>
                <w:rFonts w:cs="Arial"/>
                <w:b/>
                <w:sz w:val="22"/>
                <w:szCs w:val="22"/>
              </w:rPr>
            </w:pPr>
            <w:r>
              <w:rPr>
                <w:rFonts w:cs="Arial"/>
                <w:b/>
                <w:sz w:val="22"/>
                <w:szCs w:val="22"/>
              </w:rPr>
              <w:t>2016</w:t>
            </w:r>
          </w:p>
        </w:tc>
        <w:tc>
          <w:tcPr>
            <w:tcW w:w="1276" w:type="dxa"/>
            <w:vAlign w:val="center"/>
          </w:tcPr>
          <w:p w:rsidR="0024207A" w:rsidRPr="00E351D0" w:rsidRDefault="0024207A" w:rsidP="0024207A">
            <w:pPr>
              <w:spacing w:before="20" w:after="20"/>
              <w:jc w:val="center"/>
              <w:rPr>
                <w:rFonts w:cs="Arial"/>
                <w:b/>
                <w:sz w:val="22"/>
                <w:szCs w:val="22"/>
              </w:rPr>
            </w:pPr>
            <w:r>
              <w:rPr>
                <w:rFonts w:cs="Arial"/>
                <w:b/>
                <w:sz w:val="22"/>
                <w:szCs w:val="22"/>
              </w:rPr>
              <w:t>2017</w:t>
            </w:r>
          </w:p>
        </w:tc>
      </w:tr>
      <w:tr w:rsidR="0024207A" w:rsidRPr="00E351D0" w:rsidTr="0024207A">
        <w:tc>
          <w:tcPr>
            <w:tcW w:w="1630" w:type="dxa"/>
            <w:vAlign w:val="center"/>
          </w:tcPr>
          <w:p w:rsidR="0024207A" w:rsidRPr="00E351D0" w:rsidRDefault="0024207A" w:rsidP="0024207A">
            <w:pPr>
              <w:spacing w:before="20" w:after="20"/>
              <w:rPr>
                <w:rFonts w:cs="Arial"/>
                <w:b/>
                <w:sz w:val="22"/>
                <w:szCs w:val="22"/>
              </w:rPr>
            </w:pPr>
            <w:r>
              <w:rPr>
                <w:rFonts w:cs="Arial"/>
                <w:b/>
                <w:sz w:val="22"/>
                <w:szCs w:val="22"/>
              </w:rPr>
              <w:t xml:space="preserve">Formazione </w:t>
            </w:r>
            <w:proofErr w:type="spellStart"/>
            <w:r>
              <w:rPr>
                <w:rFonts w:cs="Arial"/>
                <w:b/>
                <w:sz w:val="22"/>
                <w:szCs w:val="22"/>
              </w:rPr>
              <w:t>bachelor</w:t>
            </w:r>
            <w:proofErr w:type="spellEnd"/>
          </w:p>
        </w:tc>
        <w:tc>
          <w:tcPr>
            <w:tcW w:w="5670" w:type="dxa"/>
            <w:vAlign w:val="center"/>
          </w:tcPr>
          <w:p w:rsidR="0024207A" w:rsidRPr="00E351D0" w:rsidRDefault="0024207A" w:rsidP="0024207A">
            <w:pPr>
              <w:spacing w:before="20" w:after="20"/>
              <w:rPr>
                <w:rFonts w:cs="Arial"/>
                <w:sz w:val="22"/>
                <w:szCs w:val="22"/>
              </w:rPr>
            </w:pPr>
            <w:r w:rsidRPr="00E351D0">
              <w:rPr>
                <w:rFonts w:cs="Arial"/>
                <w:sz w:val="22"/>
                <w:szCs w:val="22"/>
              </w:rPr>
              <w:t xml:space="preserve">Minimo di 160 massimo di 200 studenti </w:t>
            </w:r>
            <w:proofErr w:type="spellStart"/>
            <w:r w:rsidRPr="00E351D0">
              <w:rPr>
                <w:rFonts w:cs="Arial"/>
                <w:sz w:val="22"/>
                <w:szCs w:val="22"/>
              </w:rPr>
              <w:t>bachelor</w:t>
            </w:r>
            <w:proofErr w:type="spellEnd"/>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246.8 UTP</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271.2 ETP</w:t>
            </w:r>
          </w:p>
        </w:tc>
      </w:tr>
      <w:tr w:rsidR="0024207A" w:rsidRPr="00E351D0" w:rsidTr="0024207A">
        <w:tc>
          <w:tcPr>
            <w:tcW w:w="1630" w:type="dxa"/>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Numero diplomati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40 diplomati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70 diplomati</w:t>
            </w:r>
          </w:p>
        </w:tc>
      </w:tr>
      <w:tr w:rsidR="0024207A" w:rsidRPr="00E351D0" w:rsidTr="0024207A">
        <w:tc>
          <w:tcPr>
            <w:tcW w:w="1630" w:type="dxa"/>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Tasso di ammissione</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43.4%</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39.4%</w:t>
            </w:r>
          </w:p>
        </w:tc>
      </w:tr>
      <w:tr w:rsidR="0024207A" w:rsidRPr="00E351D0" w:rsidTr="0024207A">
        <w:tc>
          <w:tcPr>
            <w:tcW w:w="1630" w:type="dxa"/>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 xml:space="preserve">Tasso di soddisfazione degli studenti </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2.9 su 4</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2.9 su 4</w:t>
            </w:r>
          </w:p>
        </w:tc>
      </w:tr>
      <w:tr w:rsidR="0024207A" w:rsidRPr="00E351D0" w:rsidTr="0024207A">
        <w:tc>
          <w:tcPr>
            <w:tcW w:w="1630" w:type="dxa"/>
            <w:vAlign w:val="center"/>
          </w:tcPr>
          <w:p w:rsidR="0024207A" w:rsidRPr="00E351D0" w:rsidRDefault="0024207A" w:rsidP="0024207A">
            <w:pPr>
              <w:spacing w:before="20" w:after="20"/>
              <w:rPr>
                <w:rFonts w:cs="Arial"/>
                <w:b/>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Costo medio per studente ETP paragonato alla media svizzera</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 xml:space="preserve">in linea con media CH </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in linea con media CH</w:t>
            </w:r>
          </w:p>
        </w:tc>
      </w:tr>
      <w:tr w:rsidR="0024207A" w:rsidRPr="00E351D0" w:rsidTr="0024207A">
        <w:tc>
          <w:tcPr>
            <w:tcW w:w="1630" w:type="dxa"/>
            <w:vAlign w:val="center"/>
          </w:tcPr>
          <w:p w:rsidR="0024207A" w:rsidRPr="00E351D0" w:rsidRDefault="0024207A" w:rsidP="0024207A">
            <w:pPr>
              <w:spacing w:before="20" w:after="20"/>
              <w:jc w:val="left"/>
              <w:rPr>
                <w:rFonts w:cs="Arial"/>
                <w:b/>
                <w:sz w:val="22"/>
                <w:szCs w:val="22"/>
              </w:rPr>
            </w:pPr>
            <w:r>
              <w:rPr>
                <w:rFonts w:cs="Arial"/>
                <w:b/>
                <w:sz w:val="22"/>
                <w:szCs w:val="22"/>
              </w:rPr>
              <w:t xml:space="preserve">Formazione master </w:t>
            </w:r>
          </w:p>
        </w:tc>
        <w:tc>
          <w:tcPr>
            <w:tcW w:w="5670" w:type="dxa"/>
            <w:vAlign w:val="center"/>
          </w:tcPr>
          <w:p w:rsidR="0024207A" w:rsidRPr="00E351D0" w:rsidRDefault="0024207A" w:rsidP="0024207A">
            <w:pPr>
              <w:spacing w:before="20" w:after="20"/>
              <w:rPr>
                <w:rFonts w:cs="Arial"/>
                <w:sz w:val="22"/>
                <w:szCs w:val="22"/>
              </w:rPr>
            </w:pPr>
            <w:r w:rsidRPr="00E351D0">
              <w:rPr>
                <w:rFonts w:cs="Arial"/>
                <w:sz w:val="22"/>
                <w:szCs w:val="22"/>
              </w:rPr>
              <w:t>Minimo di 1</w:t>
            </w:r>
            <w:r>
              <w:rPr>
                <w:rFonts w:cs="Arial"/>
                <w:sz w:val="22"/>
                <w:szCs w:val="22"/>
              </w:rPr>
              <w:t>2</w:t>
            </w:r>
            <w:r w:rsidRPr="00E351D0">
              <w:rPr>
                <w:rFonts w:cs="Arial"/>
                <w:sz w:val="22"/>
                <w:szCs w:val="22"/>
              </w:rPr>
              <w:t xml:space="preserve">0 massimo di </w:t>
            </w:r>
            <w:r>
              <w:rPr>
                <w:rFonts w:cs="Arial"/>
                <w:sz w:val="22"/>
                <w:szCs w:val="22"/>
              </w:rPr>
              <w:t>17</w:t>
            </w:r>
            <w:r w:rsidRPr="00E351D0">
              <w:rPr>
                <w:rFonts w:cs="Arial"/>
                <w:sz w:val="22"/>
                <w:szCs w:val="22"/>
              </w:rPr>
              <w:t xml:space="preserve">0 studenti </w:t>
            </w:r>
            <w:r>
              <w:rPr>
                <w:rFonts w:cs="Arial"/>
                <w:sz w:val="22"/>
                <w:szCs w:val="22"/>
              </w:rPr>
              <w:t>master.</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155.7 UTP</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155.2 ETP</w:t>
            </w:r>
          </w:p>
        </w:tc>
      </w:tr>
      <w:tr w:rsidR="0024207A" w:rsidRPr="00E351D0" w:rsidTr="0024207A">
        <w:tc>
          <w:tcPr>
            <w:tcW w:w="1630" w:type="dxa"/>
            <w:vAlign w:val="center"/>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 xml:space="preserve">Numero diplomati </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115 diplomati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92 diplomati</w:t>
            </w:r>
          </w:p>
        </w:tc>
      </w:tr>
      <w:tr w:rsidR="0024207A" w:rsidRPr="00E351D0" w:rsidTr="0024207A">
        <w:tc>
          <w:tcPr>
            <w:tcW w:w="1630" w:type="dxa"/>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jc w:val="left"/>
              <w:rPr>
                <w:rFonts w:cs="Arial"/>
                <w:sz w:val="22"/>
                <w:szCs w:val="22"/>
              </w:rPr>
            </w:pPr>
            <w:r>
              <w:rPr>
                <w:rFonts w:cs="Arial"/>
                <w:sz w:val="22"/>
                <w:szCs w:val="22"/>
              </w:rPr>
              <w:t>Tasso di ammissione per il secondario I</w:t>
            </w:r>
            <w:r>
              <w:rPr>
                <w:rFonts w:cs="Arial"/>
                <w:sz w:val="22"/>
                <w:szCs w:val="22"/>
              </w:rPr>
              <w:br/>
              <w:t xml:space="preserve">Tasso di ammissione per il secondario II </w:t>
            </w:r>
          </w:p>
        </w:tc>
        <w:tc>
          <w:tcPr>
            <w:tcW w:w="1276" w:type="dxa"/>
            <w:vAlign w:val="center"/>
          </w:tcPr>
          <w:p w:rsidR="0024207A" w:rsidRDefault="0024207A" w:rsidP="0024207A">
            <w:pPr>
              <w:spacing w:before="20" w:after="20"/>
              <w:jc w:val="center"/>
              <w:rPr>
                <w:rFonts w:cs="Arial"/>
                <w:sz w:val="22"/>
                <w:szCs w:val="22"/>
              </w:rPr>
            </w:pPr>
            <w:r>
              <w:rPr>
                <w:rFonts w:cs="Arial"/>
                <w:sz w:val="22"/>
                <w:szCs w:val="22"/>
              </w:rPr>
              <w:t>35.6%</w:t>
            </w:r>
          </w:p>
          <w:p w:rsidR="0024207A" w:rsidRPr="00E351D0" w:rsidRDefault="0024207A" w:rsidP="0024207A">
            <w:pPr>
              <w:spacing w:before="20" w:after="20"/>
              <w:jc w:val="center"/>
              <w:rPr>
                <w:rFonts w:cs="Arial"/>
                <w:sz w:val="22"/>
                <w:szCs w:val="22"/>
              </w:rPr>
            </w:pPr>
            <w:r>
              <w:rPr>
                <w:rFonts w:cs="Arial"/>
                <w:sz w:val="22"/>
                <w:szCs w:val="22"/>
              </w:rPr>
              <w:t>11%</w:t>
            </w:r>
          </w:p>
        </w:tc>
        <w:tc>
          <w:tcPr>
            <w:tcW w:w="1276" w:type="dxa"/>
            <w:vAlign w:val="center"/>
          </w:tcPr>
          <w:p w:rsidR="0024207A" w:rsidRDefault="0024207A" w:rsidP="0024207A">
            <w:pPr>
              <w:spacing w:before="20" w:after="20"/>
              <w:jc w:val="center"/>
              <w:rPr>
                <w:rFonts w:cs="Arial"/>
                <w:sz w:val="22"/>
                <w:szCs w:val="22"/>
              </w:rPr>
            </w:pPr>
            <w:r>
              <w:rPr>
                <w:rFonts w:cs="Arial"/>
                <w:sz w:val="22"/>
                <w:szCs w:val="22"/>
              </w:rPr>
              <w:t>28.5%</w:t>
            </w:r>
          </w:p>
          <w:p w:rsidR="0024207A" w:rsidRPr="00E351D0" w:rsidRDefault="0024207A" w:rsidP="0024207A">
            <w:pPr>
              <w:spacing w:before="20" w:after="20"/>
              <w:jc w:val="center"/>
              <w:rPr>
                <w:rFonts w:cs="Arial"/>
                <w:sz w:val="22"/>
                <w:szCs w:val="22"/>
              </w:rPr>
            </w:pPr>
            <w:r>
              <w:rPr>
                <w:rFonts w:cs="Arial"/>
                <w:sz w:val="22"/>
                <w:szCs w:val="22"/>
              </w:rPr>
              <w:t>26.4%</w:t>
            </w:r>
          </w:p>
        </w:tc>
      </w:tr>
      <w:tr w:rsidR="0024207A" w:rsidRPr="00E351D0" w:rsidTr="0024207A">
        <w:tc>
          <w:tcPr>
            <w:tcW w:w="1630" w:type="dxa"/>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Tasso di soddisfazione dei diplomati secondario I e II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buono</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buono</w:t>
            </w:r>
          </w:p>
        </w:tc>
      </w:tr>
      <w:tr w:rsidR="0024207A" w:rsidRPr="00E351D0" w:rsidTr="0024207A">
        <w:tc>
          <w:tcPr>
            <w:tcW w:w="1630" w:type="dxa"/>
          </w:tcPr>
          <w:p w:rsidR="0024207A" w:rsidRPr="00E351D0" w:rsidRDefault="0024207A" w:rsidP="0024207A">
            <w:pPr>
              <w:spacing w:before="20" w:after="20"/>
              <w:rPr>
                <w:rFonts w:cs="Arial"/>
                <w:b/>
                <w:sz w:val="22"/>
                <w:szCs w:val="22"/>
              </w:rPr>
            </w:pPr>
            <w:r>
              <w:rPr>
                <w:rFonts w:cs="Arial"/>
                <w:b/>
                <w:sz w:val="22"/>
                <w:szCs w:val="22"/>
              </w:rPr>
              <w:t>Per FC</w:t>
            </w: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Totale numero partecipanti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1’706</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2’713</w:t>
            </w:r>
          </w:p>
        </w:tc>
      </w:tr>
      <w:tr w:rsidR="0024207A" w:rsidRPr="00E351D0" w:rsidTr="0024207A">
        <w:tc>
          <w:tcPr>
            <w:tcW w:w="1630" w:type="dxa"/>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Numero corsi offerti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93</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126</w:t>
            </w:r>
          </w:p>
        </w:tc>
      </w:tr>
      <w:tr w:rsidR="0024207A" w:rsidRPr="00E351D0" w:rsidTr="0024207A">
        <w:tc>
          <w:tcPr>
            <w:tcW w:w="1630" w:type="dxa"/>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Numero totale di</w:t>
            </w:r>
            <w:r w:rsidRPr="00E351D0">
              <w:rPr>
                <w:rFonts w:cs="Arial"/>
                <w:sz w:val="22"/>
                <w:szCs w:val="22"/>
              </w:rPr>
              <w:t xml:space="preserve"> ore </w:t>
            </w:r>
            <w:r>
              <w:rPr>
                <w:rFonts w:cs="Arial"/>
                <w:sz w:val="22"/>
                <w:szCs w:val="22"/>
              </w:rPr>
              <w:t xml:space="preserve">lezione offerte per partecipante o </w:t>
            </w:r>
            <w:r w:rsidRPr="00E351D0">
              <w:rPr>
                <w:rFonts w:cs="Arial"/>
                <w:sz w:val="22"/>
                <w:szCs w:val="22"/>
              </w:rPr>
              <w:t xml:space="preserve"> crediti </w:t>
            </w:r>
            <w:r>
              <w:rPr>
                <w:rFonts w:cs="Arial"/>
                <w:sz w:val="22"/>
                <w:szCs w:val="22"/>
              </w:rPr>
              <w:t>formativi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lang w:val="fr-FR"/>
              </w:rPr>
              <w:t>7’965 ECTS</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8'437 ECTS</w:t>
            </w:r>
          </w:p>
        </w:tc>
      </w:tr>
      <w:tr w:rsidR="0024207A" w:rsidRPr="00E351D0" w:rsidTr="0024207A">
        <w:tc>
          <w:tcPr>
            <w:tcW w:w="1630" w:type="dxa"/>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Tasso di soddisfazione dei partecipanti.</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da 3.5 punti a 3.8</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3.31</w:t>
            </w:r>
          </w:p>
        </w:tc>
      </w:tr>
      <w:tr w:rsidR="0024207A" w:rsidRPr="00E351D0" w:rsidTr="0024207A">
        <w:tc>
          <w:tcPr>
            <w:tcW w:w="1630" w:type="dxa"/>
            <w:vAlign w:val="center"/>
          </w:tcPr>
          <w:p w:rsidR="0024207A" w:rsidRPr="00E351D0" w:rsidRDefault="0024207A" w:rsidP="0024207A">
            <w:pPr>
              <w:spacing w:before="20" w:after="20"/>
              <w:jc w:val="left"/>
              <w:rPr>
                <w:rFonts w:cs="Arial"/>
                <w:b/>
                <w:sz w:val="22"/>
                <w:szCs w:val="22"/>
              </w:rPr>
            </w:pPr>
            <w:r>
              <w:rPr>
                <w:rFonts w:cs="Arial"/>
                <w:b/>
                <w:sz w:val="22"/>
                <w:szCs w:val="22"/>
              </w:rPr>
              <w:t>Per la ricerca ed i servizi</w:t>
            </w: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 xml:space="preserve">Lista dei progetti </w:t>
            </w:r>
            <w:r w:rsidRPr="007A5145">
              <w:rPr>
                <w:rFonts w:cs="Arial"/>
                <w:b/>
                <w:sz w:val="22"/>
                <w:szCs w:val="22"/>
              </w:rPr>
              <w:t>(nuovo 2017)</w:t>
            </w:r>
          </w:p>
        </w:tc>
        <w:tc>
          <w:tcPr>
            <w:tcW w:w="1276" w:type="dxa"/>
            <w:vAlign w:val="center"/>
          </w:tcPr>
          <w:p w:rsidR="0024207A" w:rsidRPr="00E351D0" w:rsidRDefault="0024207A" w:rsidP="0024207A">
            <w:pPr>
              <w:spacing w:before="20" w:after="20"/>
              <w:jc w:val="center"/>
              <w:rPr>
                <w:rFonts w:cs="Arial"/>
                <w:sz w:val="22"/>
                <w:szCs w:val="22"/>
              </w:rPr>
            </w:pPr>
            <w:proofErr w:type="spellStart"/>
            <w:r>
              <w:rPr>
                <w:rFonts w:cs="Arial"/>
                <w:sz w:val="22"/>
                <w:szCs w:val="22"/>
              </w:rPr>
              <w:t>nd</w:t>
            </w:r>
            <w:proofErr w:type="spellEnd"/>
          </w:p>
        </w:tc>
        <w:tc>
          <w:tcPr>
            <w:tcW w:w="1276" w:type="dxa"/>
            <w:vAlign w:val="center"/>
          </w:tcPr>
          <w:p w:rsidR="0024207A" w:rsidRDefault="0024207A" w:rsidP="0024207A">
            <w:pPr>
              <w:spacing w:before="20" w:after="20"/>
              <w:jc w:val="center"/>
              <w:rPr>
                <w:rFonts w:cs="Arial"/>
                <w:sz w:val="22"/>
                <w:szCs w:val="22"/>
              </w:rPr>
            </w:pPr>
            <w:r>
              <w:rPr>
                <w:rFonts w:cs="Arial"/>
                <w:sz w:val="22"/>
                <w:szCs w:val="22"/>
              </w:rPr>
              <w:t>67 attivi,</w:t>
            </w:r>
          </w:p>
          <w:p w:rsidR="0024207A" w:rsidRPr="00E351D0" w:rsidRDefault="0024207A" w:rsidP="0024207A">
            <w:pPr>
              <w:spacing w:before="20" w:after="20"/>
              <w:jc w:val="center"/>
              <w:rPr>
                <w:rFonts w:cs="Arial"/>
                <w:sz w:val="22"/>
                <w:szCs w:val="22"/>
              </w:rPr>
            </w:pPr>
            <w:r>
              <w:rPr>
                <w:rFonts w:cs="Arial"/>
                <w:sz w:val="22"/>
                <w:szCs w:val="22"/>
              </w:rPr>
              <w:t xml:space="preserve">11 acquisiti </w:t>
            </w:r>
          </w:p>
        </w:tc>
      </w:tr>
      <w:tr w:rsidR="0024207A" w:rsidRPr="00E351D0" w:rsidTr="0024207A">
        <w:tc>
          <w:tcPr>
            <w:tcW w:w="1630" w:type="dxa"/>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 xml:space="preserve">Ricavi della ricerca e dei servizi </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1.4 mio</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1.7 mio</w:t>
            </w:r>
          </w:p>
        </w:tc>
      </w:tr>
      <w:tr w:rsidR="0024207A" w:rsidRPr="00E351D0" w:rsidTr="0024207A">
        <w:tc>
          <w:tcPr>
            <w:tcW w:w="1630" w:type="dxa"/>
          </w:tcPr>
          <w:p w:rsidR="0024207A" w:rsidRPr="00E351D0" w:rsidRDefault="0024207A" w:rsidP="0024207A">
            <w:pPr>
              <w:spacing w:before="20" w:after="20"/>
              <w:rPr>
                <w:rFonts w:cs="Arial"/>
                <w:sz w:val="22"/>
                <w:szCs w:val="22"/>
              </w:rPr>
            </w:pPr>
          </w:p>
        </w:tc>
        <w:tc>
          <w:tcPr>
            <w:tcW w:w="5670" w:type="dxa"/>
            <w:vAlign w:val="center"/>
          </w:tcPr>
          <w:p w:rsidR="0024207A" w:rsidRPr="00E351D0" w:rsidRDefault="0024207A" w:rsidP="0024207A">
            <w:pPr>
              <w:spacing w:before="20" w:after="20"/>
              <w:rPr>
                <w:rFonts w:cs="Arial"/>
                <w:sz w:val="22"/>
                <w:szCs w:val="22"/>
              </w:rPr>
            </w:pPr>
            <w:r>
              <w:rPr>
                <w:rFonts w:cs="Arial"/>
                <w:sz w:val="22"/>
                <w:szCs w:val="22"/>
              </w:rPr>
              <w:t xml:space="preserve">Numero equivalente a tempo pieno di personale attivo nella ricerca </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13.4 UTP</w:t>
            </w:r>
          </w:p>
        </w:tc>
        <w:tc>
          <w:tcPr>
            <w:tcW w:w="1276" w:type="dxa"/>
            <w:vAlign w:val="center"/>
          </w:tcPr>
          <w:p w:rsidR="0024207A" w:rsidRPr="00E351D0" w:rsidRDefault="0024207A" w:rsidP="0024207A">
            <w:pPr>
              <w:spacing w:before="20" w:after="20"/>
              <w:jc w:val="center"/>
              <w:rPr>
                <w:rFonts w:cs="Arial"/>
                <w:sz w:val="22"/>
                <w:szCs w:val="22"/>
              </w:rPr>
            </w:pPr>
            <w:r>
              <w:rPr>
                <w:rFonts w:cs="Arial"/>
                <w:sz w:val="22"/>
                <w:szCs w:val="22"/>
              </w:rPr>
              <w:t>14.89 UTP</w:t>
            </w:r>
          </w:p>
        </w:tc>
      </w:tr>
    </w:tbl>
    <w:p w:rsidR="003453D1" w:rsidRDefault="003453D1" w:rsidP="00B01474">
      <w:pPr>
        <w:tabs>
          <w:tab w:val="left" w:pos="284"/>
          <w:tab w:val="left" w:pos="426"/>
          <w:tab w:val="left" w:pos="4962"/>
        </w:tabs>
        <w:rPr>
          <w:szCs w:val="24"/>
        </w:rPr>
      </w:pPr>
    </w:p>
    <w:sectPr w:rsidR="003453D1" w:rsidSect="00DF434B">
      <w:footerReference w:type="default" r:id="rId24"/>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2AC2" w:rsidRDefault="00082AC2">
      <w:r>
        <w:separator/>
      </w:r>
    </w:p>
  </w:endnote>
  <w:endnote w:type="continuationSeparator" w:id="0">
    <w:p w:rsidR="00082AC2" w:rsidRDefault="00082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utigerLTStd-Light">
    <w:altName w:val="Arial Unicode MS"/>
    <w:panose1 w:val="00000000000000000000"/>
    <w:charset w:val="00"/>
    <w:family w:val="auto"/>
    <w:notTrueType/>
    <w:pitch w:val="default"/>
    <w:sig w:usb0="00000003" w:usb1="08070000" w:usb2="00000010" w:usb3="00000000" w:csb0="0002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Frutiger LT Std 45 Light">
    <w:altName w:val="Gill Sans Light"/>
    <w:panose1 w:val="00000000000000000000"/>
    <w:charset w:val="00"/>
    <w:family w:val="swiss"/>
    <w:notTrueType/>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Helvetica">
    <w:panose1 w:val="020B0604020202020204"/>
    <w:charset w:val="00"/>
    <w:family w:val="swiss"/>
    <w:pitch w:val="variable"/>
    <w:sig w:usb0="E0002AFF" w:usb1="C0007843" w:usb2="00000009" w:usb3="00000000" w:csb0="000001FF" w:csb1="00000000"/>
  </w:font>
  <w:font w:name="SUPSIFedra Sans Light">
    <w:panose1 w:val="00000000000000000000"/>
    <w:charset w:val="00"/>
    <w:family w:val="modern"/>
    <w:notTrueType/>
    <w:pitch w:val="variable"/>
    <w:sig w:usb0="E00002FF" w:usb1="5001E4FB" w:usb2="00000000" w:usb3="00000000" w:csb0="0000019F" w:csb1="00000000"/>
  </w:font>
  <w:font w:name="SUPSIFedraSerifBook">
    <w:altName w:val="MS Mincho"/>
    <w:panose1 w:val="00000000000000000000"/>
    <w:charset w:val="80"/>
    <w:family w:val="roman"/>
    <w:notTrueType/>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B4B" w:rsidRPr="00051D4C" w:rsidRDefault="001F1B4B" w:rsidP="0024207A">
    <w:pPr>
      <w:pStyle w:val="Pidipagina"/>
      <w:jc w:val="center"/>
      <w:rPr>
        <w:sz w:val="20"/>
      </w:rPr>
    </w:pPr>
    <w:r w:rsidRPr="00051D4C">
      <w:rPr>
        <w:rStyle w:val="Numeropagina"/>
        <w:sz w:val="20"/>
      </w:rPr>
      <w:fldChar w:fldCharType="begin"/>
    </w:r>
    <w:r w:rsidRPr="00051D4C">
      <w:rPr>
        <w:rStyle w:val="Numeropagina"/>
        <w:sz w:val="20"/>
      </w:rPr>
      <w:instrText xml:space="preserve"> PAGE </w:instrText>
    </w:r>
    <w:r w:rsidRPr="00051D4C">
      <w:rPr>
        <w:rStyle w:val="Numeropagina"/>
        <w:sz w:val="20"/>
      </w:rPr>
      <w:fldChar w:fldCharType="separate"/>
    </w:r>
    <w:r w:rsidR="00430A34">
      <w:rPr>
        <w:rStyle w:val="Numeropagina"/>
        <w:noProof/>
        <w:sz w:val="20"/>
      </w:rPr>
      <w:t>1</w:t>
    </w:r>
    <w:r w:rsidRPr="00051D4C">
      <w:rPr>
        <w:rStyle w:val="Numeropagina"/>
        <w:sz w:val="20"/>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B4B" w:rsidRDefault="001F1B4B">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430A34">
      <w:rPr>
        <w:rStyle w:val="Numeropagina"/>
        <w:noProof/>
        <w:sz w:val="20"/>
      </w:rPr>
      <w:t>38</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2AC2" w:rsidRDefault="00082AC2">
      <w:r>
        <w:separator/>
      </w:r>
    </w:p>
  </w:footnote>
  <w:footnote w:type="continuationSeparator" w:id="0">
    <w:p w:rsidR="00082AC2" w:rsidRDefault="00082A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7FF2EF46"/>
    <w:lvl w:ilvl="0">
      <w:start w:val="1"/>
      <w:numFmt w:val="bullet"/>
      <w:lvlText w:val=""/>
      <w:lvlJc w:val="left"/>
      <w:pPr>
        <w:tabs>
          <w:tab w:val="num" w:pos="360"/>
        </w:tabs>
        <w:ind w:left="360" w:hanging="360"/>
      </w:pPr>
      <w:rPr>
        <w:rFonts w:ascii="Symbol" w:hAnsi="Symbol" w:hint="default"/>
      </w:rPr>
    </w:lvl>
  </w:abstractNum>
  <w:abstractNum w:abstractNumId="1">
    <w:nsid w:val="00B5589C"/>
    <w:multiLevelType w:val="hybridMultilevel"/>
    <w:tmpl w:val="21E6C3D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02576B51"/>
    <w:multiLevelType w:val="hybridMultilevel"/>
    <w:tmpl w:val="B27CAC9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04B84049"/>
    <w:multiLevelType w:val="hybridMultilevel"/>
    <w:tmpl w:val="DC02B752"/>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4105E09"/>
    <w:multiLevelType w:val="hybridMultilevel"/>
    <w:tmpl w:val="7A907A78"/>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18C50056"/>
    <w:multiLevelType w:val="hybridMultilevel"/>
    <w:tmpl w:val="30AA6496"/>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nsid w:val="1B733483"/>
    <w:multiLevelType w:val="hybridMultilevel"/>
    <w:tmpl w:val="31D041D8"/>
    <w:lvl w:ilvl="0" w:tplc="771CDD44">
      <w:start w:val="1"/>
      <w:numFmt w:val="lowerRoman"/>
      <w:lvlText w:val="%1)"/>
      <w:lvlJc w:val="left"/>
      <w:pPr>
        <w:ind w:left="1146" w:hanging="720"/>
      </w:pPr>
      <w:rPr>
        <w:rFonts w:hint="default"/>
      </w:rPr>
    </w:lvl>
    <w:lvl w:ilvl="1" w:tplc="08100019" w:tentative="1">
      <w:start w:val="1"/>
      <w:numFmt w:val="lowerLetter"/>
      <w:lvlText w:val="%2."/>
      <w:lvlJc w:val="left"/>
      <w:pPr>
        <w:ind w:left="1506" w:hanging="360"/>
      </w:pPr>
    </w:lvl>
    <w:lvl w:ilvl="2" w:tplc="0810001B" w:tentative="1">
      <w:start w:val="1"/>
      <w:numFmt w:val="lowerRoman"/>
      <w:lvlText w:val="%3."/>
      <w:lvlJc w:val="right"/>
      <w:pPr>
        <w:ind w:left="2226" w:hanging="180"/>
      </w:pPr>
    </w:lvl>
    <w:lvl w:ilvl="3" w:tplc="0810000F" w:tentative="1">
      <w:start w:val="1"/>
      <w:numFmt w:val="decimal"/>
      <w:lvlText w:val="%4."/>
      <w:lvlJc w:val="left"/>
      <w:pPr>
        <w:ind w:left="2946" w:hanging="360"/>
      </w:pPr>
    </w:lvl>
    <w:lvl w:ilvl="4" w:tplc="08100019" w:tentative="1">
      <w:start w:val="1"/>
      <w:numFmt w:val="lowerLetter"/>
      <w:lvlText w:val="%5."/>
      <w:lvlJc w:val="left"/>
      <w:pPr>
        <w:ind w:left="3666" w:hanging="360"/>
      </w:pPr>
    </w:lvl>
    <w:lvl w:ilvl="5" w:tplc="0810001B" w:tentative="1">
      <w:start w:val="1"/>
      <w:numFmt w:val="lowerRoman"/>
      <w:lvlText w:val="%6."/>
      <w:lvlJc w:val="right"/>
      <w:pPr>
        <w:ind w:left="4386" w:hanging="180"/>
      </w:pPr>
    </w:lvl>
    <w:lvl w:ilvl="6" w:tplc="0810000F" w:tentative="1">
      <w:start w:val="1"/>
      <w:numFmt w:val="decimal"/>
      <w:lvlText w:val="%7."/>
      <w:lvlJc w:val="left"/>
      <w:pPr>
        <w:ind w:left="5106" w:hanging="360"/>
      </w:pPr>
    </w:lvl>
    <w:lvl w:ilvl="7" w:tplc="08100019" w:tentative="1">
      <w:start w:val="1"/>
      <w:numFmt w:val="lowerLetter"/>
      <w:lvlText w:val="%8."/>
      <w:lvlJc w:val="left"/>
      <w:pPr>
        <w:ind w:left="5826" w:hanging="360"/>
      </w:pPr>
    </w:lvl>
    <w:lvl w:ilvl="8" w:tplc="0810001B" w:tentative="1">
      <w:start w:val="1"/>
      <w:numFmt w:val="lowerRoman"/>
      <w:lvlText w:val="%9."/>
      <w:lvlJc w:val="right"/>
      <w:pPr>
        <w:ind w:left="6546" w:hanging="180"/>
      </w:pPr>
    </w:lvl>
  </w:abstractNum>
  <w:abstractNum w:abstractNumId="7">
    <w:nsid w:val="1CF93CF3"/>
    <w:multiLevelType w:val="hybridMultilevel"/>
    <w:tmpl w:val="72F8185A"/>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8">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9">
    <w:nsid w:val="21822AFF"/>
    <w:multiLevelType w:val="hybridMultilevel"/>
    <w:tmpl w:val="3C9817DA"/>
    <w:lvl w:ilvl="0" w:tplc="7E62DEE0">
      <w:start w:val="3"/>
      <w:numFmt w:val="upperRoman"/>
      <w:lvlText w:val="%1."/>
      <w:lvlJc w:val="left"/>
      <w:pPr>
        <w:tabs>
          <w:tab w:val="num" w:pos="1080"/>
        </w:tabs>
        <w:ind w:left="1080" w:hanging="720"/>
      </w:pPr>
      <w:rPr>
        <w:rFonts w:hint="default"/>
      </w:rPr>
    </w:lvl>
    <w:lvl w:ilvl="1" w:tplc="CFEE56E0">
      <w:start w:val="1"/>
      <w:numFmt w:val="lowerLetter"/>
      <w:lvlText w:val="%2."/>
      <w:lvlJc w:val="left"/>
      <w:pPr>
        <w:tabs>
          <w:tab w:val="num" w:pos="1440"/>
        </w:tabs>
        <w:ind w:left="1440" w:hanging="360"/>
      </w:pPr>
      <w:rPr>
        <w:rFonts w:ascii="Arial" w:hAnsi="Arial" w:cs="Arial" w:hint="default"/>
        <w:sz w:val="24"/>
        <w:szCs w:val="24"/>
      </w:rPr>
    </w:lvl>
    <w:lvl w:ilvl="2" w:tplc="0410000F">
      <w:start w:val="1"/>
      <w:numFmt w:val="decimal"/>
      <w:lvlText w:val="%3."/>
      <w:lvlJc w:val="left"/>
      <w:pPr>
        <w:tabs>
          <w:tab w:val="num" w:pos="2340"/>
        </w:tabs>
        <w:ind w:left="2340" w:hanging="360"/>
      </w:pPr>
      <w:rPr>
        <w:rFonts w:hint="default"/>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0">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2">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2B5B7475"/>
    <w:multiLevelType w:val="hybridMultilevel"/>
    <w:tmpl w:val="1B90A72A"/>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4">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5">
    <w:nsid w:val="39010D48"/>
    <w:multiLevelType w:val="hybridMultilevel"/>
    <w:tmpl w:val="96C8F290"/>
    <w:lvl w:ilvl="0" w:tplc="DC763248">
      <w:start w:val="1"/>
      <w:numFmt w:val="decimal"/>
      <w:lvlText w:val="%1."/>
      <w:lvlJc w:val="left"/>
      <w:pPr>
        <w:tabs>
          <w:tab w:val="num" w:pos="360"/>
        </w:tabs>
        <w:ind w:left="360" w:hanging="360"/>
      </w:pPr>
      <w:rPr>
        <w:rFonts w:hint="default"/>
        <w:b/>
        <w:i w:val="0"/>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3A03478F"/>
    <w:multiLevelType w:val="hybridMultilevel"/>
    <w:tmpl w:val="07407164"/>
    <w:lvl w:ilvl="0" w:tplc="04100001">
      <w:start w:val="1"/>
      <w:numFmt w:val="bullet"/>
      <w:lvlText w:val=""/>
      <w:lvlJc w:val="left"/>
      <w:pPr>
        <w:tabs>
          <w:tab w:val="num" w:pos="780"/>
        </w:tabs>
        <w:ind w:left="780" w:hanging="360"/>
      </w:pPr>
      <w:rPr>
        <w:rFonts w:ascii="Symbol" w:hAnsi="Symbol" w:hint="default"/>
      </w:rPr>
    </w:lvl>
    <w:lvl w:ilvl="1" w:tplc="04100003" w:tentative="1">
      <w:start w:val="1"/>
      <w:numFmt w:val="bullet"/>
      <w:lvlText w:val="o"/>
      <w:lvlJc w:val="left"/>
      <w:pPr>
        <w:tabs>
          <w:tab w:val="num" w:pos="1500"/>
        </w:tabs>
        <w:ind w:left="1500" w:hanging="360"/>
      </w:pPr>
      <w:rPr>
        <w:rFonts w:ascii="Courier New" w:hAnsi="Courier New" w:cs="Courier New" w:hint="default"/>
      </w:rPr>
    </w:lvl>
    <w:lvl w:ilvl="2" w:tplc="04100005" w:tentative="1">
      <w:start w:val="1"/>
      <w:numFmt w:val="bullet"/>
      <w:lvlText w:val=""/>
      <w:lvlJc w:val="left"/>
      <w:pPr>
        <w:tabs>
          <w:tab w:val="num" w:pos="2220"/>
        </w:tabs>
        <w:ind w:left="2220" w:hanging="360"/>
      </w:pPr>
      <w:rPr>
        <w:rFonts w:ascii="Wingdings" w:hAnsi="Wingdings" w:hint="default"/>
      </w:rPr>
    </w:lvl>
    <w:lvl w:ilvl="3" w:tplc="04100001" w:tentative="1">
      <w:start w:val="1"/>
      <w:numFmt w:val="bullet"/>
      <w:lvlText w:val=""/>
      <w:lvlJc w:val="left"/>
      <w:pPr>
        <w:tabs>
          <w:tab w:val="num" w:pos="2940"/>
        </w:tabs>
        <w:ind w:left="2940" w:hanging="360"/>
      </w:pPr>
      <w:rPr>
        <w:rFonts w:ascii="Symbol" w:hAnsi="Symbol" w:hint="default"/>
      </w:rPr>
    </w:lvl>
    <w:lvl w:ilvl="4" w:tplc="04100003" w:tentative="1">
      <w:start w:val="1"/>
      <w:numFmt w:val="bullet"/>
      <w:lvlText w:val="o"/>
      <w:lvlJc w:val="left"/>
      <w:pPr>
        <w:tabs>
          <w:tab w:val="num" w:pos="3660"/>
        </w:tabs>
        <w:ind w:left="3660" w:hanging="360"/>
      </w:pPr>
      <w:rPr>
        <w:rFonts w:ascii="Courier New" w:hAnsi="Courier New" w:cs="Courier New" w:hint="default"/>
      </w:rPr>
    </w:lvl>
    <w:lvl w:ilvl="5" w:tplc="04100005" w:tentative="1">
      <w:start w:val="1"/>
      <w:numFmt w:val="bullet"/>
      <w:lvlText w:val=""/>
      <w:lvlJc w:val="left"/>
      <w:pPr>
        <w:tabs>
          <w:tab w:val="num" w:pos="4380"/>
        </w:tabs>
        <w:ind w:left="4380" w:hanging="360"/>
      </w:pPr>
      <w:rPr>
        <w:rFonts w:ascii="Wingdings" w:hAnsi="Wingdings" w:hint="default"/>
      </w:rPr>
    </w:lvl>
    <w:lvl w:ilvl="6" w:tplc="04100001" w:tentative="1">
      <w:start w:val="1"/>
      <w:numFmt w:val="bullet"/>
      <w:lvlText w:val=""/>
      <w:lvlJc w:val="left"/>
      <w:pPr>
        <w:tabs>
          <w:tab w:val="num" w:pos="5100"/>
        </w:tabs>
        <w:ind w:left="5100" w:hanging="360"/>
      </w:pPr>
      <w:rPr>
        <w:rFonts w:ascii="Symbol" w:hAnsi="Symbol" w:hint="default"/>
      </w:rPr>
    </w:lvl>
    <w:lvl w:ilvl="7" w:tplc="04100003" w:tentative="1">
      <w:start w:val="1"/>
      <w:numFmt w:val="bullet"/>
      <w:lvlText w:val="o"/>
      <w:lvlJc w:val="left"/>
      <w:pPr>
        <w:tabs>
          <w:tab w:val="num" w:pos="5820"/>
        </w:tabs>
        <w:ind w:left="5820" w:hanging="360"/>
      </w:pPr>
      <w:rPr>
        <w:rFonts w:ascii="Courier New" w:hAnsi="Courier New" w:cs="Courier New" w:hint="default"/>
      </w:rPr>
    </w:lvl>
    <w:lvl w:ilvl="8" w:tplc="04100005" w:tentative="1">
      <w:start w:val="1"/>
      <w:numFmt w:val="bullet"/>
      <w:lvlText w:val=""/>
      <w:lvlJc w:val="left"/>
      <w:pPr>
        <w:tabs>
          <w:tab w:val="num" w:pos="6540"/>
        </w:tabs>
        <w:ind w:left="6540" w:hanging="360"/>
      </w:pPr>
      <w:rPr>
        <w:rFonts w:ascii="Wingdings" w:hAnsi="Wingdings" w:hint="default"/>
      </w:rPr>
    </w:lvl>
  </w:abstractNum>
  <w:abstractNum w:abstractNumId="17">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8">
    <w:nsid w:val="46882255"/>
    <w:multiLevelType w:val="hybridMultilevel"/>
    <w:tmpl w:val="F0269862"/>
    <w:lvl w:ilvl="0" w:tplc="D6E80DD6">
      <w:start w:val="1"/>
      <w:numFmt w:val="decimal"/>
      <w:lvlText w:val="%1."/>
      <w:lvlJc w:val="left"/>
      <w:pPr>
        <w:tabs>
          <w:tab w:val="num" w:pos="360"/>
        </w:tabs>
        <w:ind w:left="360" w:hanging="360"/>
      </w:pPr>
      <w:rPr>
        <w:rFonts w:ascii="Arial" w:hAnsi="Arial" w:hint="default"/>
        <w:b/>
        <w:i w:val="0"/>
      </w:rPr>
    </w:lvl>
    <w:lvl w:ilvl="1" w:tplc="04100019" w:tentative="1">
      <w:start w:val="1"/>
      <w:numFmt w:val="lowerLetter"/>
      <w:lvlText w:val="%2."/>
      <w:lvlJc w:val="left"/>
      <w:pPr>
        <w:tabs>
          <w:tab w:val="num" w:pos="796"/>
        </w:tabs>
        <w:ind w:left="796" w:hanging="360"/>
      </w:pPr>
    </w:lvl>
    <w:lvl w:ilvl="2" w:tplc="0410001B" w:tentative="1">
      <w:start w:val="1"/>
      <w:numFmt w:val="lowerRoman"/>
      <w:lvlText w:val="%3."/>
      <w:lvlJc w:val="right"/>
      <w:pPr>
        <w:tabs>
          <w:tab w:val="num" w:pos="1516"/>
        </w:tabs>
        <w:ind w:left="1516" w:hanging="180"/>
      </w:pPr>
    </w:lvl>
    <w:lvl w:ilvl="3" w:tplc="0410000F" w:tentative="1">
      <w:start w:val="1"/>
      <w:numFmt w:val="decimal"/>
      <w:lvlText w:val="%4."/>
      <w:lvlJc w:val="left"/>
      <w:pPr>
        <w:tabs>
          <w:tab w:val="num" w:pos="2236"/>
        </w:tabs>
        <w:ind w:left="2236" w:hanging="360"/>
      </w:pPr>
    </w:lvl>
    <w:lvl w:ilvl="4" w:tplc="04100019" w:tentative="1">
      <w:start w:val="1"/>
      <w:numFmt w:val="lowerLetter"/>
      <w:lvlText w:val="%5."/>
      <w:lvlJc w:val="left"/>
      <w:pPr>
        <w:tabs>
          <w:tab w:val="num" w:pos="2956"/>
        </w:tabs>
        <w:ind w:left="2956" w:hanging="360"/>
      </w:pPr>
    </w:lvl>
    <w:lvl w:ilvl="5" w:tplc="0410001B" w:tentative="1">
      <w:start w:val="1"/>
      <w:numFmt w:val="lowerRoman"/>
      <w:lvlText w:val="%6."/>
      <w:lvlJc w:val="right"/>
      <w:pPr>
        <w:tabs>
          <w:tab w:val="num" w:pos="3676"/>
        </w:tabs>
        <w:ind w:left="3676" w:hanging="180"/>
      </w:pPr>
    </w:lvl>
    <w:lvl w:ilvl="6" w:tplc="0410000F" w:tentative="1">
      <w:start w:val="1"/>
      <w:numFmt w:val="decimal"/>
      <w:lvlText w:val="%7."/>
      <w:lvlJc w:val="left"/>
      <w:pPr>
        <w:tabs>
          <w:tab w:val="num" w:pos="4396"/>
        </w:tabs>
        <w:ind w:left="4396" w:hanging="360"/>
      </w:pPr>
    </w:lvl>
    <w:lvl w:ilvl="7" w:tplc="04100019" w:tentative="1">
      <w:start w:val="1"/>
      <w:numFmt w:val="lowerLetter"/>
      <w:lvlText w:val="%8."/>
      <w:lvlJc w:val="left"/>
      <w:pPr>
        <w:tabs>
          <w:tab w:val="num" w:pos="5116"/>
        </w:tabs>
        <w:ind w:left="5116" w:hanging="360"/>
      </w:pPr>
    </w:lvl>
    <w:lvl w:ilvl="8" w:tplc="0410001B" w:tentative="1">
      <w:start w:val="1"/>
      <w:numFmt w:val="lowerRoman"/>
      <w:lvlText w:val="%9."/>
      <w:lvlJc w:val="right"/>
      <w:pPr>
        <w:tabs>
          <w:tab w:val="num" w:pos="5836"/>
        </w:tabs>
        <w:ind w:left="5836" w:hanging="180"/>
      </w:pPr>
    </w:lvl>
  </w:abstractNum>
  <w:abstractNum w:abstractNumId="19">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0">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4AFA2D29"/>
    <w:multiLevelType w:val="hybridMultilevel"/>
    <w:tmpl w:val="7B68C87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2">
    <w:nsid w:val="53424509"/>
    <w:multiLevelType w:val="hybridMultilevel"/>
    <w:tmpl w:val="7B0E67D4"/>
    <w:lvl w:ilvl="0" w:tplc="08100011">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3">
    <w:nsid w:val="554167F4"/>
    <w:multiLevelType w:val="hybridMultilevel"/>
    <w:tmpl w:val="3EBAEDE4"/>
    <w:lvl w:ilvl="0" w:tplc="04100019">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4">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5">
    <w:nsid w:val="560A15A1"/>
    <w:multiLevelType w:val="hybridMultilevel"/>
    <w:tmpl w:val="29B8FF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56177354"/>
    <w:multiLevelType w:val="hybridMultilevel"/>
    <w:tmpl w:val="08506900"/>
    <w:lvl w:ilvl="0" w:tplc="04100005">
      <w:start w:val="1"/>
      <w:numFmt w:val="bullet"/>
      <w:lvlText w:val=""/>
      <w:lvlJc w:val="left"/>
      <w:pPr>
        <w:tabs>
          <w:tab w:val="num" w:pos="360"/>
        </w:tabs>
        <w:ind w:left="360" w:hanging="360"/>
      </w:pPr>
      <w:rPr>
        <w:rFonts w:ascii="Wingdings" w:hAnsi="Wingdings" w:hint="default"/>
      </w:rPr>
    </w:lvl>
    <w:lvl w:ilvl="1" w:tplc="8D6E2F4A">
      <w:start w:val="2008"/>
      <w:numFmt w:val="bullet"/>
      <w:lvlText w:val="–"/>
      <w:lvlJc w:val="left"/>
      <w:pPr>
        <w:tabs>
          <w:tab w:val="num" w:pos="1080"/>
        </w:tabs>
        <w:ind w:left="1080" w:hanging="360"/>
      </w:pPr>
      <w:rPr>
        <w:rFonts w:ascii="FrutigerLTStd-Light" w:eastAsia="Times New Roman" w:hAnsi="FrutigerLTStd-Light" w:cs="FrutigerLTStd-Light"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27">
    <w:nsid w:val="5F120A2F"/>
    <w:multiLevelType w:val="hybridMultilevel"/>
    <w:tmpl w:val="7AEAD7B6"/>
    <w:lvl w:ilvl="0" w:tplc="055CD9F8">
      <w:start w:val="3"/>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nsid w:val="61AC48DF"/>
    <w:multiLevelType w:val="singleLevel"/>
    <w:tmpl w:val="9EEE8B6E"/>
    <w:lvl w:ilvl="0">
      <w:numFmt w:val="bullet"/>
      <w:lvlText w:val="-"/>
      <w:lvlJc w:val="left"/>
      <w:pPr>
        <w:tabs>
          <w:tab w:val="num" w:pos="360"/>
        </w:tabs>
        <w:ind w:left="360" w:hanging="360"/>
      </w:pPr>
      <w:rPr>
        <w:rFonts w:ascii="Times New Roman" w:hAnsi="Times New Roman" w:hint="default"/>
      </w:rPr>
    </w:lvl>
  </w:abstractNum>
  <w:abstractNum w:abstractNumId="30">
    <w:nsid w:val="6B957FD0"/>
    <w:multiLevelType w:val="multilevel"/>
    <w:tmpl w:val="604A589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32">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4">
    <w:nsid w:val="751571BA"/>
    <w:multiLevelType w:val="hybridMultilevel"/>
    <w:tmpl w:val="885A809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nsid w:val="76806D73"/>
    <w:multiLevelType w:val="hybridMultilevel"/>
    <w:tmpl w:val="2D92B112"/>
    <w:lvl w:ilvl="0" w:tplc="6B60C326">
      <w:start w:val="2"/>
      <w:numFmt w:val="upperRoman"/>
      <w:lvlText w:val="%1."/>
      <w:lvlJc w:val="left"/>
      <w:pPr>
        <w:tabs>
          <w:tab w:val="num" w:pos="1080"/>
        </w:tabs>
        <w:ind w:left="1080" w:hanging="72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nsid w:val="770E2A89"/>
    <w:multiLevelType w:val="hybridMultilevel"/>
    <w:tmpl w:val="7A64EF7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nsid w:val="781B681F"/>
    <w:multiLevelType w:val="hybridMultilevel"/>
    <w:tmpl w:val="D570B10C"/>
    <w:lvl w:ilvl="0" w:tplc="77F6AE44">
      <w:numFmt w:val="bullet"/>
      <w:lvlText w:val="-"/>
      <w:lvlJc w:val="left"/>
      <w:pPr>
        <w:ind w:left="720" w:hanging="360"/>
      </w:pPr>
      <w:rPr>
        <w:rFonts w:ascii="Calibri" w:eastAsia="Calibri" w:hAnsi="Calibri" w:cs="Times New Roman"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38">
    <w:nsid w:val="7B2215F7"/>
    <w:multiLevelType w:val="multilevel"/>
    <w:tmpl w:val="B48E30E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7CA4642F"/>
    <w:multiLevelType w:val="hybridMultilevel"/>
    <w:tmpl w:val="51E423BC"/>
    <w:lvl w:ilvl="0" w:tplc="04100005">
      <w:start w:val="1"/>
      <w:numFmt w:val="bullet"/>
      <w:lvlText w:val=""/>
      <w:lvlJc w:val="left"/>
      <w:pPr>
        <w:tabs>
          <w:tab w:val="num" w:pos="360"/>
        </w:tabs>
        <w:ind w:left="360" w:hanging="360"/>
      </w:pPr>
      <w:rPr>
        <w:rFonts w:ascii="Wingdings" w:hAnsi="Wingdings"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num w:numId="1">
    <w:abstractNumId w:val="14"/>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20"/>
  </w:num>
  <w:num w:numId="5">
    <w:abstractNumId w:val="12"/>
  </w:num>
  <w:num w:numId="6">
    <w:abstractNumId w:val="8"/>
  </w:num>
  <w:num w:numId="7">
    <w:abstractNumId w:val="28"/>
  </w:num>
  <w:num w:numId="8">
    <w:abstractNumId w:val="32"/>
  </w:num>
  <w:num w:numId="9">
    <w:abstractNumId w:val="24"/>
  </w:num>
  <w:num w:numId="1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num>
  <w:num w:numId="12">
    <w:abstractNumId w:val="31"/>
  </w:num>
  <w:num w:numId="13">
    <w:abstractNumId w:val="17"/>
  </w:num>
  <w:num w:numId="14">
    <w:abstractNumId w:val="11"/>
  </w:num>
  <w:num w:numId="15">
    <w:abstractNumId w:val="26"/>
  </w:num>
  <w:num w:numId="16">
    <w:abstractNumId w:val="39"/>
  </w:num>
  <w:num w:numId="17">
    <w:abstractNumId w:val="34"/>
  </w:num>
  <w:num w:numId="18">
    <w:abstractNumId w:val="9"/>
  </w:num>
  <w:num w:numId="19">
    <w:abstractNumId w:val="38"/>
  </w:num>
  <w:num w:numId="20">
    <w:abstractNumId w:val="35"/>
  </w:num>
  <w:num w:numId="21">
    <w:abstractNumId w:val="2"/>
  </w:num>
  <w:num w:numId="22">
    <w:abstractNumId w:val="25"/>
  </w:num>
  <w:num w:numId="23">
    <w:abstractNumId w:val="36"/>
  </w:num>
  <w:num w:numId="24">
    <w:abstractNumId w:val="1"/>
  </w:num>
  <w:num w:numId="25">
    <w:abstractNumId w:val="21"/>
  </w:num>
  <w:num w:numId="26">
    <w:abstractNumId w:val="18"/>
  </w:num>
  <w:num w:numId="27">
    <w:abstractNumId w:val="23"/>
  </w:num>
  <w:num w:numId="28">
    <w:abstractNumId w:val="15"/>
  </w:num>
  <w:num w:numId="29">
    <w:abstractNumId w:val="0"/>
  </w:num>
  <w:num w:numId="30">
    <w:abstractNumId w:val="4"/>
  </w:num>
  <w:num w:numId="31">
    <w:abstractNumId w:val="29"/>
  </w:num>
  <w:num w:numId="32">
    <w:abstractNumId w:val="27"/>
  </w:num>
  <w:num w:numId="33">
    <w:abstractNumId w:val="22"/>
  </w:num>
  <w:num w:numId="34">
    <w:abstractNumId w:val="6"/>
  </w:num>
  <w:num w:numId="35">
    <w:abstractNumId w:val="16"/>
  </w:num>
  <w:num w:numId="36">
    <w:abstractNumId w:val="7"/>
  </w:num>
  <w:num w:numId="37">
    <w:abstractNumId w:val="13"/>
  </w:num>
  <w:num w:numId="38">
    <w:abstractNumId w:val="37"/>
  </w:num>
  <w:num w:numId="39">
    <w:abstractNumId w:val="3"/>
  </w:num>
  <w:num w:numId="40">
    <w:abstractNumId w:val="5"/>
  </w:num>
  <w:num w:numId="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1D4C"/>
    <w:rsid w:val="00056425"/>
    <w:rsid w:val="00082AC2"/>
    <w:rsid w:val="0009445D"/>
    <w:rsid w:val="000D6EDD"/>
    <w:rsid w:val="00107C86"/>
    <w:rsid w:val="0017133E"/>
    <w:rsid w:val="00180F3B"/>
    <w:rsid w:val="001F1B4B"/>
    <w:rsid w:val="0024207A"/>
    <w:rsid w:val="00294551"/>
    <w:rsid w:val="00296F84"/>
    <w:rsid w:val="002B3873"/>
    <w:rsid w:val="002B698B"/>
    <w:rsid w:val="002C0D3F"/>
    <w:rsid w:val="003079EA"/>
    <w:rsid w:val="0032692E"/>
    <w:rsid w:val="003362B4"/>
    <w:rsid w:val="00341CED"/>
    <w:rsid w:val="003453D1"/>
    <w:rsid w:val="00381A93"/>
    <w:rsid w:val="0039601B"/>
    <w:rsid w:val="003C16EA"/>
    <w:rsid w:val="00430A34"/>
    <w:rsid w:val="00435BA3"/>
    <w:rsid w:val="00452A7E"/>
    <w:rsid w:val="00483B1C"/>
    <w:rsid w:val="004B6B6F"/>
    <w:rsid w:val="00522EC0"/>
    <w:rsid w:val="0053660F"/>
    <w:rsid w:val="0059602E"/>
    <w:rsid w:val="005B03BF"/>
    <w:rsid w:val="006470C0"/>
    <w:rsid w:val="006E1E7D"/>
    <w:rsid w:val="0073572C"/>
    <w:rsid w:val="00747C39"/>
    <w:rsid w:val="0082115E"/>
    <w:rsid w:val="00843F3A"/>
    <w:rsid w:val="008B2EE9"/>
    <w:rsid w:val="00942AAE"/>
    <w:rsid w:val="009832AD"/>
    <w:rsid w:val="00995265"/>
    <w:rsid w:val="00A05B99"/>
    <w:rsid w:val="00A133CF"/>
    <w:rsid w:val="00A8611B"/>
    <w:rsid w:val="00A9424E"/>
    <w:rsid w:val="00AA68D5"/>
    <w:rsid w:val="00AE6F3D"/>
    <w:rsid w:val="00AF5992"/>
    <w:rsid w:val="00B01474"/>
    <w:rsid w:val="00B364FB"/>
    <w:rsid w:val="00B378FB"/>
    <w:rsid w:val="00B56C78"/>
    <w:rsid w:val="00B93BA2"/>
    <w:rsid w:val="00BA2BB8"/>
    <w:rsid w:val="00BF3FC3"/>
    <w:rsid w:val="00C92A1A"/>
    <w:rsid w:val="00C946E4"/>
    <w:rsid w:val="00CE008E"/>
    <w:rsid w:val="00D54A9E"/>
    <w:rsid w:val="00D6413E"/>
    <w:rsid w:val="00D76075"/>
    <w:rsid w:val="00DF434B"/>
    <w:rsid w:val="00DF5883"/>
    <w:rsid w:val="00E15EE0"/>
    <w:rsid w:val="00E2192F"/>
    <w:rsid w:val="00E762E7"/>
    <w:rsid w:val="00EA22D9"/>
    <w:rsid w:val="00F22EEA"/>
    <w:rsid w:val="00F421A3"/>
    <w:rsid w:val="00F679BF"/>
    <w:rsid w:val="00FD5A47"/>
    <w:rsid w:val="00FF1D5F"/>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eAtto">
    <w:name w:val="Nome Atto"/>
    <w:basedOn w:val="Normale"/>
    <w:next w:val="Normale"/>
    <w:rsid w:val="00F421A3"/>
    <w:pPr>
      <w:tabs>
        <w:tab w:val="left" w:pos="1701"/>
      </w:tabs>
      <w:ind w:left="720" w:right="187"/>
      <w:jc w:val="center"/>
    </w:pPr>
    <w:rPr>
      <w:b/>
      <w:noProof/>
    </w:rPr>
  </w:style>
  <w:style w:type="paragraph" w:styleId="Corpodeltesto3">
    <w:name w:val="Body Text 3"/>
    <w:basedOn w:val="Normale"/>
    <w:link w:val="Corpodeltesto3Carattere"/>
    <w:rsid w:val="00F421A3"/>
    <w:pPr>
      <w:spacing w:after="120"/>
      <w:jc w:val="left"/>
    </w:pPr>
    <w:rPr>
      <w:rFonts w:ascii="Times New Roman" w:hAnsi="Times New Roman"/>
      <w:sz w:val="16"/>
      <w:szCs w:val="16"/>
      <w:lang w:val="it-CH" w:eastAsia="it-CH"/>
    </w:rPr>
  </w:style>
  <w:style w:type="character" w:customStyle="1" w:styleId="Corpodeltesto3Carattere">
    <w:name w:val="Corpo del testo 3 Carattere"/>
    <w:basedOn w:val="Carpredefinitoparagrafo"/>
    <w:link w:val="Corpodeltesto3"/>
    <w:rsid w:val="00F421A3"/>
    <w:rPr>
      <w:sz w:val="16"/>
      <w:szCs w:val="16"/>
    </w:rPr>
  </w:style>
  <w:style w:type="character" w:customStyle="1" w:styleId="TestonormaleCarattere1">
    <w:name w:val="Testo normale Carattere1"/>
    <w:basedOn w:val="Carpredefinitoparagrafo"/>
    <w:uiPriority w:val="99"/>
    <w:semiHidden/>
    <w:rsid w:val="00F421A3"/>
    <w:rPr>
      <w:rFonts w:ascii="Consolas" w:hAnsi="Consolas" w:cs="Consolas"/>
      <w:sz w:val="21"/>
      <w:szCs w:val="21"/>
      <w:lang w:val="it-IT" w:eastAsia="it-IT"/>
    </w:rPr>
  </w:style>
  <w:style w:type="paragraph" w:styleId="Mappadocumento">
    <w:name w:val="Document Map"/>
    <w:basedOn w:val="Normale"/>
    <w:link w:val="MappadocumentoCarattere"/>
    <w:rsid w:val="00F421A3"/>
    <w:pPr>
      <w:shd w:val="clear" w:color="auto" w:fill="000080"/>
    </w:pPr>
    <w:rPr>
      <w:rFonts w:ascii="Tahoma" w:hAnsi="Tahoma" w:cs="Tahoma"/>
      <w:sz w:val="20"/>
    </w:rPr>
  </w:style>
  <w:style w:type="character" w:customStyle="1" w:styleId="MappadocumentoCarattere">
    <w:name w:val="Mappa documento Carattere"/>
    <w:basedOn w:val="Carpredefinitoparagrafo"/>
    <w:link w:val="Mappadocumento"/>
    <w:rsid w:val="00F421A3"/>
    <w:rPr>
      <w:rFonts w:ascii="Tahoma" w:hAnsi="Tahoma" w:cs="Tahoma"/>
      <w:shd w:val="clear" w:color="auto" w:fill="000080"/>
      <w:lang w:val="it-IT" w:eastAsia="it-IT"/>
    </w:rPr>
  </w:style>
  <w:style w:type="character" w:customStyle="1" w:styleId="Normale1">
    <w:name w:val="Normale1"/>
    <w:rsid w:val="00F421A3"/>
    <w:rPr>
      <w:rFonts w:ascii="Frutiger LT Std 45 Light" w:hAnsi="Frutiger LT Std 45 Light"/>
      <w:color w:val="000000"/>
      <w:spacing w:val="0"/>
      <w:w w:val="100"/>
      <w:position w:val="0"/>
      <w:sz w:val="20"/>
      <w:u w:val="none"/>
      <w:vertAlign w:val="baseline"/>
      <w:em w:val="none"/>
      <w:lang w:val="it-IT" w:eastAsia="x-none"/>
    </w:rPr>
  </w:style>
  <w:style w:type="paragraph" w:customStyle="1" w:styleId="indice">
    <w:name w:val="indice"/>
    <w:basedOn w:val="Normale"/>
    <w:rsid w:val="00F421A3"/>
    <w:pPr>
      <w:autoSpaceDE w:val="0"/>
      <w:autoSpaceDN w:val="0"/>
      <w:adjustRightInd w:val="0"/>
      <w:spacing w:line="248" w:lineRule="atLeast"/>
      <w:ind w:left="283" w:hanging="283"/>
      <w:textAlignment w:val="center"/>
    </w:pPr>
    <w:rPr>
      <w:rFonts w:ascii="Frutiger LT Std 45 Light" w:hAnsi="Frutiger LT Std 45 Light" w:cs="Frutiger LT Std 45 Light"/>
      <w:color w:val="000000"/>
      <w:sz w:val="20"/>
      <w:lang w:eastAsia="en-US"/>
    </w:rPr>
  </w:style>
  <w:style w:type="character" w:customStyle="1" w:styleId="bold">
    <w:name w:val="bold"/>
    <w:rsid w:val="00F421A3"/>
    <w:rPr>
      <w:rFonts w:ascii="Frutiger LT Std 45 Light" w:hAnsi="Frutiger LT Std 45 Light" w:cs="Frutiger LT Std 45 Light"/>
      <w:b/>
      <w:bCs/>
      <w:color w:val="000000"/>
      <w:spacing w:val="0"/>
      <w:w w:val="100"/>
      <w:position w:val="0"/>
      <w:sz w:val="20"/>
      <w:szCs w:val="20"/>
      <w:u w:val="none"/>
      <w:vertAlign w:val="baseline"/>
      <w:em w:val="none"/>
      <w:lang w:val="it-IT" w:eastAsia="x-none"/>
    </w:rPr>
  </w:style>
  <w:style w:type="paragraph" w:customStyle="1" w:styleId="tabelle">
    <w:name w:val="tabelle"/>
    <w:basedOn w:val="Normale"/>
    <w:rsid w:val="00F421A3"/>
    <w:pPr>
      <w:autoSpaceDE w:val="0"/>
      <w:autoSpaceDN w:val="0"/>
      <w:adjustRightInd w:val="0"/>
      <w:spacing w:line="248" w:lineRule="atLeast"/>
      <w:jc w:val="left"/>
      <w:textAlignment w:val="center"/>
    </w:pPr>
    <w:rPr>
      <w:rFonts w:ascii="Frutiger LT Std 45 Light" w:hAnsi="Frutiger LT Std 45 Light" w:cs="Frutiger LT Std 45 Light"/>
      <w:color w:val="000000"/>
      <w:sz w:val="16"/>
      <w:szCs w:val="16"/>
      <w:lang w:eastAsia="en-US"/>
    </w:rPr>
  </w:style>
  <w:style w:type="character" w:customStyle="1" w:styleId="tabellanormale0">
    <w:name w:val="tabella normale"/>
    <w:rsid w:val="00F421A3"/>
    <w:rPr>
      <w:rFonts w:ascii="Frutiger LT Std 45 Light" w:hAnsi="Frutiger LT Std 45 Light"/>
      <w:color w:val="000000"/>
      <w:spacing w:val="0"/>
      <w:sz w:val="16"/>
      <w:u w:val="none"/>
      <w:vertAlign w:val="baseline"/>
    </w:rPr>
  </w:style>
  <w:style w:type="character" w:styleId="Enfasicorsivo">
    <w:name w:val="Emphasis"/>
    <w:qFormat/>
    <w:rsid w:val="00F421A3"/>
    <w:rPr>
      <w:rFonts w:cs="Times New Roman"/>
      <w:b/>
      <w:bCs/>
    </w:rPr>
  </w:style>
  <w:style w:type="character" w:customStyle="1" w:styleId="bold1">
    <w:name w:val="bold1"/>
    <w:rsid w:val="00F421A3"/>
    <w:rPr>
      <w:b/>
      <w:bCs/>
      <w:color w:val="3B3C48"/>
    </w:rPr>
  </w:style>
  <w:style w:type="paragraph" w:customStyle="1" w:styleId="ListParagraph1">
    <w:name w:val="List Paragraph1"/>
    <w:basedOn w:val="Normale"/>
    <w:rsid w:val="00F421A3"/>
    <w:pPr>
      <w:ind w:left="720"/>
      <w:contextualSpacing/>
    </w:pPr>
    <w:rPr>
      <w:rFonts w:eastAsia="Calibri"/>
    </w:rPr>
  </w:style>
  <w:style w:type="paragraph" w:customStyle="1" w:styleId="Normale3">
    <w:name w:val="Normale3"/>
    <w:basedOn w:val="Normale"/>
    <w:rsid w:val="00F421A3"/>
    <w:pPr>
      <w:autoSpaceDE w:val="0"/>
      <w:autoSpaceDN w:val="0"/>
      <w:adjustRightInd w:val="0"/>
      <w:spacing w:line="248" w:lineRule="atLeast"/>
      <w:textAlignment w:val="center"/>
    </w:pPr>
    <w:rPr>
      <w:rFonts w:ascii="Frutiger LT Std 45 Light" w:eastAsia="Calibri" w:hAnsi="Frutiger LT Std 45 Light" w:cs="Frutiger LT Std 45 Light"/>
      <w:color w:val="000000"/>
      <w:sz w:val="20"/>
      <w:lang w:eastAsia="en-US"/>
    </w:rPr>
  </w:style>
  <w:style w:type="paragraph" w:styleId="NormaleWeb">
    <w:name w:val="Normal (Web)"/>
    <w:basedOn w:val="Normale"/>
    <w:uiPriority w:val="99"/>
    <w:unhideWhenUsed/>
    <w:rsid w:val="00F421A3"/>
    <w:pPr>
      <w:spacing w:before="100" w:beforeAutospacing="1" w:after="100" w:afterAutospacing="1"/>
      <w:jc w:val="left"/>
    </w:pPr>
    <w:rPr>
      <w:rFonts w:ascii="Times New Roman" w:hAnsi="Times New Roman"/>
      <w:szCs w:val="24"/>
      <w:lang w:val="it-CH" w:eastAsia="it-CH"/>
    </w:rPr>
  </w:style>
  <w:style w:type="character" w:styleId="Enfasigrassetto">
    <w:name w:val="Strong"/>
    <w:uiPriority w:val="22"/>
    <w:qFormat/>
    <w:rsid w:val="00F421A3"/>
    <w:rPr>
      <w:b/>
      <w:bCs/>
    </w:rPr>
  </w:style>
  <w:style w:type="paragraph" w:customStyle="1" w:styleId="TXT01Normale">
    <w:name w:val="TXT 01 Normale"/>
    <w:basedOn w:val="Normale"/>
    <w:rsid w:val="00F421A3"/>
    <w:pPr>
      <w:widowControl w:val="0"/>
      <w:tabs>
        <w:tab w:val="left" w:pos="567"/>
      </w:tabs>
      <w:autoSpaceDE w:val="0"/>
      <w:autoSpaceDN w:val="0"/>
      <w:adjustRightInd w:val="0"/>
      <w:spacing w:after="120"/>
      <w:ind w:left="851"/>
      <w:jc w:val="left"/>
    </w:pPr>
    <w:rPr>
      <w:rFonts w:cs="Arial"/>
      <w:sz w:val="23"/>
      <w:szCs w:val="23"/>
      <w:lang w:val="it-CH"/>
    </w:rPr>
  </w:style>
  <w:style w:type="character" w:customStyle="1" w:styleId="normale10">
    <w:name w:val="normale1"/>
    <w:rsid w:val="00F421A3"/>
    <w:rPr>
      <w:rFonts w:ascii="Arial" w:hAnsi="Arial" w:cs="Arial" w:hint="default"/>
      <w:sz w:val="18"/>
      <w:szCs w:val="18"/>
    </w:rPr>
  </w:style>
  <w:style w:type="character" w:styleId="Rimandocommento">
    <w:name w:val="annotation reference"/>
    <w:rsid w:val="00F421A3"/>
    <w:rPr>
      <w:sz w:val="16"/>
      <w:szCs w:val="16"/>
    </w:rPr>
  </w:style>
  <w:style w:type="paragraph" w:styleId="Testocommento">
    <w:name w:val="annotation text"/>
    <w:basedOn w:val="Normale"/>
    <w:link w:val="TestocommentoCarattere"/>
    <w:rsid w:val="00F421A3"/>
    <w:rPr>
      <w:sz w:val="20"/>
    </w:rPr>
  </w:style>
  <w:style w:type="character" w:customStyle="1" w:styleId="TestocommentoCarattere">
    <w:name w:val="Testo commento Carattere"/>
    <w:basedOn w:val="Carpredefinitoparagrafo"/>
    <w:link w:val="Testocommento"/>
    <w:rsid w:val="00F421A3"/>
    <w:rPr>
      <w:rFonts w:ascii="Arial" w:hAnsi="Arial"/>
      <w:lang w:val="it-IT" w:eastAsia="it-IT"/>
    </w:rPr>
  </w:style>
  <w:style w:type="paragraph" w:styleId="Soggettocommento">
    <w:name w:val="annotation subject"/>
    <w:basedOn w:val="Testocommento"/>
    <w:next w:val="Testocommento"/>
    <w:link w:val="SoggettocommentoCarattere"/>
    <w:rsid w:val="00F421A3"/>
    <w:rPr>
      <w:b/>
      <w:bCs/>
    </w:rPr>
  </w:style>
  <w:style w:type="character" w:customStyle="1" w:styleId="SoggettocommentoCarattere">
    <w:name w:val="Soggetto commento Carattere"/>
    <w:basedOn w:val="TestocommentoCarattere"/>
    <w:link w:val="Soggettocommento"/>
    <w:rsid w:val="00F421A3"/>
    <w:rPr>
      <w:rFonts w:ascii="Arial" w:hAnsi="Arial"/>
      <w:b/>
      <w:bCs/>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uiPriority w:val="99"/>
    <w:rsid w:val="00B01474"/>
    <w:rPr>
      <w:vertAlign w:val="superscript"/>
    </w:rPr>
  </w:style>
  <w:style w:type="character" w:styleId="Collegamentoipertestuale">
    <w:name w:val="Hyperlink"/>
    <w:uiPriority w:val="99"/>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meAtto">
    <w:name w:val="Nome Atto"/>
    <w:basedOn w:val="Normale"/>
    <w:next w:val="Normale"/>
    <w:rsid w:val="00F421A3"/>
    <w:pPr>
      <w:tabs>
        <w:tab w:val="left" w:pos="1701"/>
      </w:tabs>
      <w:ind w:left="720" w:right="187"/>
      <w:jc w:val="center"/>
    </w:pPr>
    <w:rPr>
      <w:b/>
      <w:noProof/>
    </w:rPr>
  </w:style>
  <w:style w:type="paragraph" w:styleId="Corpodeltesto3">
    <w:name w:val="Body Text 3"/>
    <w:basedOn w:val="Normale"/>
    <w:link w:val="Corpodeltesto3Carattere"/>
    <w:rsid w:val="00F421A3"/>
    <w:pPr>
      <w:spacing w:after="120"/>
      <w:jc w:val="left"/>
    </w:pPr>
    <w:rPr>
      <w:rFonts w:ascii="Times New Roman" w:hAnsi="Times New Roman"/>
      <w:sz w:val="16"/>
      <w:szCs w:val="16"/>
      <w:lang w:val="it-CH" w:eastAsia="it-CH"/>
    </w:rPr>
  </w:style>
  <w:style w:type="character" w:customStyle="1" w:styleId="Corpodeltesto3Carattere">
    <w:name w:val="Corpo del testo 3 Carattere"/>
    <w:basedOn w:val="Carpredefinitoparagrafo"/>
    <w:link w:val="Corpodeltesto3"/>
    <w:rsid w:val="00F421A3"/>
    <w:rPr>
      <w:sz w:val="16"/>
      <w:szCs w:val="16"/>
    </w:rPr>
  </w:style>
  <w:style w:type="character" w:customStyle="1" w:styleId="TestonormaleCarattere1">
    <w:name w:val="Testo normale Carattere1"/>
    <w:basedOn w:val="Carpredefinitoparagrafo"/>
    <w:uiPriority w:val="99"/>
    <w:semiHidden/>
    <w:rsid w:val="00F421A3"/>
    <w:rPr>
      <w:rFonts w:ascii="Consolas" w:hAnsi="Consolas" w:cs="Consolas"/>
      <w:sz w:val="21"/>
      <w:szCs w:val="21"/>
      <w:lang w:val="it-IT" w:eastAsia="it-IT"/>
    </w:rPr>
  </w:style>
  <w:style w:type="paragraph" w:styleId="Mappadocumento">
    <w:name w:val="Document Map"/>
    <w:basedOn w:val="Normale"/>
    <w:link w:val="MappadocumentoCarattere"/>
    <w:rsid w:val="00F421A3"/>
    <w:pPr>
      <w:shd w:val="clear" w:color="auto" w:fill="000080"/>
    </w:pPr>
    <w:rPr>
      <w:rFonts w:ascii="Tahoma" w:hAnsi="Tahoma" w:cs="Tahoma"/>
      <w:sz w:val="20"/>
    </w:rPr>
  </w:style>
  <w:style w:type="character" w:customStyle="1" w:styleId="MappadocumentoCarattere">
    <w:name w:val="Mappa documento Carattere"/>
    <w:basedOn w:val="Carpredefinitoparagrafo"/>
    <w:link w:val="Mappadocumento"/>
    <w:rsid w:val="00F421A3"/>
    <w:rPr>
      <w:rFonts w:ascii="Tahoma" w:hAnsi="Tahoma" w:cs="Tahoma"/>
      <w:shd w:val="clear" w:color="auto" w:fill="000080"/>
      <w:lang w:val="it-IT" w:eastAsia="it-IT"/>
    </w:rPr>
  </w:style>
  <w:style w:type="character" w:customStyle="1" w:styleId="Normale1">
    <w:name w:val="Normale1"/>
    <w:rsid w:val="00F421A3"/>
    <w:rPr>
      <w:rFonts w:ascii="Frutiger LT Std 45 Light" w:hAnsi="Frutiger LT Std 45 Light"/>
      <w:color w:val="000000"/>
      <w:spacing w:val="0"/>
      <w:w w:val="100"/>
      <w:position w:val="0"/>
      <w:sz w:val="20"/>
      <w:u w:val="none"/>
      <w:vertAlign w:val="baseline"/>
      <w:em w:val="none"/>
      <w:lang w:val="it-IT" w:eastAsia="x-none"/>
    </w:rPr>
  </w:style>
  <w:style w:type="paragraph" w:customStyle="1" w:styleId="indice">
    <w:name w:val="indice"/>
    <w:basedOn w:val="Normale"/>
    <w:rsid w:val="00F421A3"/>
    <w:pPr>
      <w:autoSpaceDE w:val="0"/>
      <w:autoSpaceDN w:val="0"/>
      <w:adjustRightInd w:val="0"/>
      <w:spacing w:line="248" w:lineRule="atLeast"/>
      <w:ind w:left="283" w:hanging="283"/>
      <w:textAlignment w:val="center"/>
    </w:pPr>
    <w:rPr>
      <w:rFonts w:ascii="Frutiger LT Std 45 Light" w:hAnsi="Frutiger LT Std 45 Light" w:cs="Frutiger LT Std 45 Light"/>
      <w:color w:val="000000"/>
      <w:sz w:val="20"/>
      <w:lang w:eastAsia="en-US"/>
    </w:rPr>
  </w:style>
  <w:style w:type="character" w:customStyle="1" w:styleId="bold">
    <w:name w:val="bold"/>
    <w:rsid w:val="00F421A3"/>
    <w:rPr>
      <w:rFonts w:ascii="Frutiger LT Std 45 Light" w:hAnsi="Frutiger LT Std 45 Light" w:cs="Frutiger LT Std 45 Light"/>
      <w:b/>
      <w:bCs/>
      <w:color w:val="000000"/>
      <w:spacing w:val="0"/>
      <w:w w:val="100"/>
      <w:position w:val="0"/>
      <w:sz w:val="20"/>
      <w:szCs w:val="20"/>
      <w:u w:val="none"/>
      <w:vertAlign w:val="baseline"/>
      <w:em w:val="none"/>
      <w:lang w:val="it-IT" w:eastAsia="x-none"/>
    </w:rPr>
  </w:style>
  <w:style w:type="paragraph" w:customStyle="1" w:styleId="tabelle">
    <w:name w:val="tabelle"/>
    <w:basedOn w:val="Normale"/>
    <w:rsid w:val="00F421A3"/>
    <w:pPr>
      <w:autoSpaceDE w:val="0"/>
      <w:autoSpaceDN w:val="0"/>
      <w:adjustRightInd w:val="0"/>
      <w:spacing w:line="248" w:lineRule="atLeast"/>
      <w:jc w:val="left"/>
      <w:textAlignment w:val="center"/>
    </w:pPr>
    <w:rPr>
      <w:rFonts w:ascii="Frutiger LT Std 45 Light" w:hAnsi="Frutiger LT Std 45 Light" w:cs="Frutiger LT Std 45 Light"/>
      <w:color w:val="000000"/>
      <w:sz w:val="16"/>
      <w:szCs w:val="16"/>
      <w:lang w:eastAsia="en-US"/>
    </w:rPr>
  </w:style>
  <w:style w:type="character" w:customStyle="1" w:styleId="tabellanormale0">
    <w:name w:val="tabella normale"/>
    <w:rsid w:val="00F421A3"/>
    <w:rPr>
      <w:rFonts w:ascii="Frutiger LT Std 45 Light" w:hAnsi="Frutiger LT Std 45 Light"/>
      <w:color w:val="000000"/>
      <w:spacing w:val="0"/>
      <w:sz w:val="16"/>
      <w:u w:val="none"/>
      <w:vertAlign w:val="baseline"/>
    </w:rPr>
  </w:style>
  <w:style w:type="character" w:styleId="Enfasicorsivo">
    <w:name w:val="Emphasis"/>
    <w:qFormat/>
    <w:rsid w:val="00F421A3"/>
    <w:rPr>
      <w:rFonts w:cs="Times New Roman"/>
      <w:b/>
      <w:bCs/>
    </w:rPr>
  </w:style>
  <w:style w:type="character" w:customStyle="1" w:styleId="bold1">
    <w:name w:val="bold1"/>
    <w:rsid w:val="00F421A3"/>
    <w:rPr>
      <w:b/>
      <w:bCs/>
      <w:color w:val="3B3C48"/>
    </w:rPr>
  </w:style>
  <w:style w:type="paragraph" w:customStyle="1" w:styleId="ListParagraph1">
    <w:name w:val="List Paragraph1"/>
    <w:basedOn w:val="Normale"/>
    <w:rsid w:val="00F421A3"/>
    <w:pPr>
      <w:ind w:left="720"/>
      <w:contextualSpacing/>
    </w:pPr>
    <w:rPr>
      <w:rFonts w:eastAsia="Calibri"/>
    </w:rPr>
  </w:style>
  <w:style w:type="paragraph" w:customStyle="1" w:styleId="Normale3">
    <w:name w:val="Normale3"/>
    <w:basedOn w:val="Normale"/>
    <w:rsid w:val="00F421A3"/>
    <w:pPr>
      <w:autoSpaceDE w:val="0"/>
      <w:autoSpaceDN w:val="0"/>
      <w:adjustRightInd w:val="0"/>
      <w:spacing w:line="248" w:lineRule="atLeast"/>
      <w:textAlignment w:val="center"/>
    </w:pPr>
    <w:rPr>
      <w:rFonts w:ascii="Frutiger LT Std 45 Light" w:eastAsia="Calibri" w:hAnsi="Frutiger LT Std 45 Light" w:cs="Frutiger LT Std 45 Light"/>
      <w:color w:val="000000"/>
      <w:sz w:val="20"/>
      <w:lang w:eastAsia="en-US"/>
    </w:rPr>
  </w:style>
  <w:style w:type="paragraph" w:styleId="NormaleWeb">
    <w:name w:val="Normal (Web)"/>
    <w:basedOn w:val="Normale"/>
    <w:uiPriority w:val="99"/>
    <w:unhideWhenUsed/>
    <w:rsid w:val="00F421A3"/>
    <w:pPr>
      <w:spacing w:before="100" w:beforeAutospacing="1" w:after="100" w:afterAutospacing="1"/>
      <w:jc w:val="left"/>
    </w:pPr>
    <w:rPr>
      <w:rFonts w:ascii="Times New Roman" w:hAnsi="Times New Roman"/>
      <w:szCs w:val="24"/>
      <w:lang w:val="it-CH" w:eastAsia="it-CH"/>
    </w:rPr>
  </w:style>
  <w:style w:type="character" w:styleId="Enfasigrassetto">
    <w:name w:val="Strong"/>
    <w:uiPriority w:val="22"/>
    <w:qFormat/>
    <w:rsid w:val="00F421A3"/>
    <w:rPr>
      <w:b/>
      <w:bCs/>
    </w:rPr>
  </w:style>
  <w:style w:type="paragraph" w:customStyle="1" w:styleId="TXT01Normale">
    <w:name w:val="TXT 01 Normale"/>
    <w:basedOn w:val="Normale"/>
    <w:rsid w:val="00F421A3"/>
    <w:pPr>
      <w:widowControl w:val="0"/>
      <w:tabs>
        <w:tab w:val="left" w:pos="567"/>
      </w:tabs>
      <w:autoSpaceDE w:val="0"/>
      <w:autoSpaceDN w:val="0"/>
      <w:adjustRightInd w:val="0"/>
      <w:spacing w:after="120"/>
      <w:ind w:left="851"/>
      <w:jc w:val="left"/>
    </w:pPr>
    <w:rPr>
      <w:rFonts w:cs="Arial"/>
      <w:sz w:val="23"/>
      <w:szCs w:val="23"/>
      <w:lang w:val="it-CH"/>
    </w:rPr>
  </w:style>
  <w:style w:type="character" w:customStyle="1" w:styleId="normale10">
    <w:name w:val="normale1"/>
    <w:rsid w:val="00F421A3"/>
    <w:rPr>
      <w:rFonts w:ascii="Arial" w:hAnsi="Arial" w:cs="Arial" w:hint="default"/>
      <w:sz w:val="18"/>
      <w:szCs w:val="18"/>
    </w:rPr>
  </w:style>
  <w:style w:type="character" w:styleId="Rimandocommento">
    <w:name w:val="annotation reference"/>
    <w:rsid w:val="00F421A3"/>
    <w:rPr>
      <w:sz w:val="16"/>
      <w:szCs w:val="16"/>
    </w:rPr>
  </w:style>
  <w:style w:type="paragraph" w:styleId="Testocommento">
    <w:name w:val="annotation text"/>
    <w:basedOn w:val="Normale"/>
    <w:link w:val="TestocommentoCarattere"/>
    <w:rsid w:val="00F421A3"/>
    <w:rPr>
      <w:sz w:val="20"/>
    </w:rPr>
  </w:style>
  <w:style w:type="character" w:customStyle="1" w:styleId="TestocommentoCarattere">
    <w:name w:val="Testo commento Carattere"/>
    <w:basedOn w:val="Carpredefinitoparagrafo"/>
    <w:link w:val="Testocommento"/>
    <w:rsid w:val="00F421A3"/>
    <w:rPr>
      <w:rFonts w:ascii="Arial" w:hAnsi="Arial"/>
      <w:lang w:val="it-IT" w:eastAsia="it-IT"/>
    </w:rPr>
  </w:style>
  <w:style w:type="paragraph" w:styleId="Soggettocommento">
    <w:name w:val="annotation subject"/>
    <w:basedOn w:val="Testocommento"/>
    <w:next w:val="Testocommento"/>
    <w:link w:val="SoggettocommentoCarattere"/>
    <w:rsid w:val="00F421A3"/>
    <w:rPr>
      <w:b/>
      <w:bCs/>
    </w:rPr>
  </w:style>
  <w:style w:type="character" w:customStyle="1" w:styleId="SoggettocommentoCarattere">
    <w:name w:val="Soggetto commento Carattere"/>
    <w:basedOn w:val="TestocommentoCarattere"/>
    <w:link w:val="Soggettocommento"/>
    <w:rsid w:val="00F421A3"/>
    <w:rPr>
      <w:rFonts w:ascii="Arial" w:hAnsi="Arial"/>
      <w:b/>
      <w:bCs/>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www.biomed.usi.ch/it/panoramica-case-biomed" TargetMode="External"/><Relationship Id="rId18" Type="http://schemas.openxmlformats.org/officeDocument/2006/relationships/hyperlink" Target="http://www.csbancari.ch/pbwm/index.asp"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image" Target="media/image2.jpeg"/><Relationship Id="rId7" Type="http://schemas.openxmlformats.org/officeDocument/2006/relationships/endnotes" Target="endnotes.xml"/><Relationship Id="rId12" Type="http://schemas.openxmlformats.org/officeDocument/2006/relationships/hyperlink" Target="http://www.net-megs.usi.ch/" TargetMode="External"/><Relationship Id="rId17" Type="http://schemas.openxmlformats.org/officeDocument/2006/relationships/hyperlink" Target="http://www.csbancari.ch/r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mic.usi.ch/" TargetMode="External"/><Relationship Id="rId20" Type="http://schemas.openxmlformats.org/officeDocument/2006/relationships/image" Target="media/image1.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mscom.usi.ch/"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mashlm.usi.ch/" TargetMode="External"/><Relationship Id="rId23" Type="http://schemas.openxmlformats.org/officeDocument/2006/relationships/footer" Target="footer1.xml"/><Relationship Id="rId10" Type="http://schemas.openxmlformats.org/officeDocument/2006/relationships/hyperlink" Target="http://www.emba.usi.ch/" TargetMode="External"/><Relationship Id="rId19" Type="http://schemas.openxmlformats.org/officeDocument/2006/relationships/hyperlink" Target="http://www.supsi.ch/mas-counselling"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gefo.usi.ch/" TargetMode="External"/><Relationship Id="rId22" Type="http://schemas.openxmlformats.org/officeDocument/2006/relationships/image" Target="media/image3.jpeg"/></Relationships>
</file>

<file path=word/charts/_rels/chart1.xml.rels><?xml version="1.0" encoding="UTF-8" standalone="yes"?>
<Relationships xmlns="http://schemas.openxmlformats.org/package/2006/relationships"><Relationship Id="rId2" Type="http://schemas.openxmlformats.org/officeDocument/2006/relationships/oleObject" Target="file:///\\usi\dfs\Progetti\Gestione%20finanziaria\CONS%202017\USI_CP_Sintesi%20obiettivi.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usi\dfs\Progetti\Gestione%20finanziaria\CONS%202017\USI_CP_Sintesi%20obiettivi.xlsx" TargetMode="External"/><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it-CH"/>
              <a:t>Tassi di successo FNS</a:t>
            </a:r>
          </a:p>
        </c:rich>
      </c:tx>
      <c:overlay val="0"/>
      <c:spPr>
        <a:noFill/>
        <a:ln>
          <a:noFill/>
        </a:ln>
        <a:effectLst/>
      </c:spPr>
    </c:title>
    <c:autoTitleDeleted val="0"/>
    <c:plotArea>
      <c:layout/>
      <c:barChart>
        <c:barDir val="col"/>
        <c:grouping val="clustered"/>
        <c:varyColors val="0"/>
        <c:ser>
          <c:idx val="0"/>
          <c:order val="0"/>
          <c:tx>
            <c:strRef>
              <c:f>FNS!$C$1</c:f>
              <c:strCache>
                <c:ptCount val="1"/>
                <c:pt idx="0">
                  <c:v>CH</c:v>
                </c:pt>
              </c:strCache>
            </c:strRef>
          </c:tx>
          <c:spPr>
            <a:solidFill>
              <a:schemeClr val="accent1"/>
            </a:solidFill>
            <a:ln>
              <a:noFill/>
            </a:ln>
            <a:effectLst/>
          </c:spPr>
          <c:invertIfNegative val="0"/>
          <c:cat>
            <c:multiLvlStrRef>
              <c:f>FNS!$A$2:$B$23</c:f>
              <c:multiLvlStrCache>
                <c:ptCount val="22"/>
                <c:lvl>
                  <c:pt idx="0">
                    <c:v>Marzo</c:v>
                  </c:pt>
                  <c:pt idx="1">
                    <c:v>Ottobre</c:v>
                  </c:pt>
                  <c:pt idx="2">
                    <c:v>Marzo</c:v>
                  </c:pt>
                  <c:pt idx="3">
                    <c:v>Ottobre</c:v>
                  </c:pt>
                  <c:pt idx="4">
                    <c:v>Marzo</c:v>
                  </c:pt>
                  <c:pt idx="5">
                    <c:v>Ottobre</c:v>
                  </c:pt>
                  <c:pt idx="6">
                    <c:v>Marzo</c:v>
                  </c:pt>
                  <c:pt idx="7">
                    <c:v>Ottobre</c:v>
                  </c:pt>
                  <c:pt idx="8">
                    <c:v>Marzo</c:v>
                  </c:pt>
                  <c:pt idx="9">
                    <c:v>Ottobre</c:v>
                  </c:pt>
                  <c:pt idx="10">
                    <c:v>Aprile</c:v>
                  </c:pt>
                  <c:pt idx="11">
                    <c:v>Ottobre</c:v>
                  </c:pt>
                  <c:pt idx="12">
                    <c:v>Aprile</c:v>
                  </c:pt>
                  <c:pt idx="13">
                    <c:v>Ottobre</c:v>
                  </c:pt>
                  <c:pt idx="14">
                    <c:v>Aprile</c:v>
                  </c:pt>
                  <c:pt idx="15">
                    <c:v>Ottobre</c:v>
                  </c:pt>
                  <c:pt idx="16">
                    <c:v>Aprile</c:v>
                  </c:pt>
                  <c:pt idx="17">
                    <c:v>Ottobre</c:v>
                  </c:pt>
                  <c:pt idx="18">
                    <c:v>Aprile</c:v>
                  </c:pt>
                  <c:pt idx="19">
                    <c:v>Ottobre</c:v>
                  </c:pt>
                  <c:pt idx="20">
                    <c:v>Aprile</c:v>
                  </c:pt>
                  <c:pt idx="21">
                    <c:v>Ottobre</c:v>
                  </c:pt>
                </c:lvl>
                <c:lvl>
                  <c:pt idx="0">
                    <c:v>2007</c:v>
                  </c:pt>
                  <c:pt idx="2">
                    <c:v>2008</c:v>
                  </c:pt>
                  <c:pt idx="4">
                    <c:v>2009</c:v>
                  </c:pt>
                  <c:pt idx="6">
                    <c:v>2010</c:v>
                  </c:pt>
                  <c:pt idx="8">
                    <c:v>2011</c:v>
                  </c:pt>
                  <c:pt idx="10">
                    <c:v>2012</c:v>
                  </c:pt>
                  <c:pt idx="12">
                    <c:v>2013</c:v>
                  </c:pt>
                  <c:pt idx="14">
                    <c:v>2014</c:v>
                  </c:pt>
                  <c:pt idx="16">
                    <c:v>2015</c:v>
                  </c:pt>
                  <c:pt idx="18">
                    <c:v>2016</c:v>
                  </c:pt>
                  <c:pt idx="20">
                    <c:v>2017</c:v>
                  </c:pt>
                </c:lvl>
              </c:multiLvlStrCache>
            </c:multiLvlStrRef>
          </c:cat>
          <c:val>
            <c:numRef>
              <c:f>FNS!$C$2:$C$23</c:f>
              <c:numCache>
                <c:formatCode>General</c:formatCode>
                <c:ptCount val="22"/>
                <c:pt idx="0">
                  <c:v>68</c:v>
                </c:pt>
                <c:pt idx="1">
                  <c:v>66</c:v>
                </c:pt>
                <c:pt idx="2">
                  <c:v>68</c:v>
                </c:pt>
                <c:pt idx="3">
                  <c:v>58</c:v>
                </c:pt>
                <c:pt idx="4">
                  <c:v>56</c:v>
                </c:pt>
                <c:pt idx="5">
                  <c:v>52</c:v>
                </c:pt>
                <c:pt idx="6">
                  <c:v>49</c:v>
                </c:pt>
                <c:pt idx="7">
                  <c:v>50</c:v>
                </c:pt>
                <c:pt idx="8">
                  <c:v>54</c:v>
                </c:pt>
                <c:pt idx="9">
                  <c:v>55</c:v>
                </c:pt>
                <c:pt idx="10">
                  <c:v>54</c:v>
                </c:pt>
                <c:pt idx="11">
                  <c:v>54</c:v>
                </c:pt>
                <c:pt idx="12">
                  <c:v>54</c:v>
                </c:pt>
                <c:pt idx="13">
                  <c:v>54</c:v>
                </c:pt>
                <c:pt idx="14">
                  <c:v>50</c:v>
                </c:pt>
                <c:pt idx="15">
                  <c:v>50</c:v>
                </c:pt>
                <c:pt idx="16">
                  <c:v>45</c:v>
                </c:pt>
                <c:pt idx="17">
                  <c:v>45</c:v>
                </c:pt>
                <c:pt idx="18">
                  <c:v>42</c:v>
                </c:pt>
                <c:pt idx="19">
                  <c:v>42</c:v>
                </c:pt>
                <c:pt idx="20">
                  <c:v>45</c:v>
                </c:pt>
                <c:pt idx="21">
                  <c:v>50</c:v>
                </c:pt>
              </c:numCache>
            </c:numRef>
          </c:val>
          <c:extLst xmlns:c16r2="http://schemas.microsoft.com/office/drawing/2015/06/chart">
            <c:ext xmlns:c16="http://schemas.microsoft.com/office/drawing/2014/chart" uri="{C3380CC4-5D6E-409C-BE32-E72D297353CC}">
              <c16:uniqueId val="{00000000-2B89-4042-A4F8-19DBBE4B7A23}"/>
            </c:ext>
          </c:extLst>
        </c:ser>
        <c:ser>
          <c:idx val="1"/>
          <c:order val="1"/>
          <c:tx>
            <c:strRef>
              <c:f>FNS!$D$1</c:f>
              <c:strCache>
                <c:ptCount val="1"/>
                <c:pt idx="0">
                  <c:v>USI</c:v>
                </c:pt>
              </c:strCache>
            </c:strRef>
          </c:tx>
          <c:spPr>
            <a:solidFill>
              <a:schemeClr val="accent2"/>
            </a:solidFill>
            <a:ln>
              <a:noFill/>
            </a:ln>
            <a:effectLst/>
          </c:spPr>
          <c:invertIfNegative val="0"/>
          <c:cat>
            <c:multiLvlStrRef>
              <c:f>FNS!$A$2:$B$23</c:f>
              <c:multiLvlStrCache>
                <c:ptCount val="22"/>
                <c:lvl>
                  <c:pt idx="0">
                    <c:v>Marzo</c:v>
                  </c:pt>
                  <c:pt idx="1">
                    <c:v>Ottobre</c:v>
                  </c:pt>
                  <c:pt idx="2">
                    <c:v>Marzo</c:v>
                  </c:pt>
                  <c:pt idx="3">
                    <c:v>Ottobre</c:v>
                  </c:pt>
                  <c:pt idx="4">
                    <c:v>Marzo</c:v>
                  </c:pt>
                  <c:pt idx="5">
                    <c:v>Ottobre</c:v>
                  </c:pt>
                  <c:pt idx="6">
                    <c:v>Marzo</c:v>
                  </c:pt>
                  <c:pt idx="7">
                    <c:v>Ottobre</c:v>
                  </c:pt>
                  <c:pt idx="8">
                    <c:v>Marzo</c:v>
                  </c:pt>
                  <c:pt idx="9">
                    <c:v>Ottobre</c:v>
                  </c:pt>
                  <c:pt idx="10">
                    <c:v>Aprile</c:v>
                  </c:pt>
                  <c:pt idx="11">
                    <c:v>Ottobre</c:v>
                  </c:pt>
                  <c:pt idx="12">
                    <c:v>Aprile</c:v>
                  </c:pt>
                  <c:pt idx="13">
                    <c:v>Ottobre</c:v>
                  </c:pt>
                  <c:pt idx="14">
                    <c:v>Aprile</c:v>
                  </c:pt>
                  <c:pt idx="15">
                    <c:v>Ottobre</c:v>
                  </c:pt>
                  <c:pt idx="16">
                    <c:v>Aprile</c:v>
                  </c:pt>
                  <c:pt idx="17">
                    <c:v>Ottobre</c:v>
                  </c:pt>
                  <c:pt idx="18">
                    <c:v>Aprile</c:v>
                  </c:pt>
                  <c:pt idx="19">
                    <c:v>Ottobre</c:v>
                  </c:pt>
                  <c:pt idx="20">
                    <c:v>Aprile</c:v>
                  </c:pt>
                  <c:pt idx="21">
                    <c:v>Ottobre</c:v>
                  </c:pt>
                </c:lvl>
                <c:lvl>
                  <c:pt idx="0">
                    <c:v>2007</c:v>
                  </c:pt>
                  <c:pt idx="2">
                    <c:v>2008</c:v>
                  </c:pt>
                  <c:pt idx="4">
                    <c:v>2009</c:v>
                  </c:pt>
                  <c:pt idx="6">
                    <c:v>2010</c:v>
                  </c:pt>
                  <c:pt idx="8">
                    <c:v>2011</c:v>
                  </c:pt>
                  <c:pt idx="10">
                    <c:v>2012</c:v>
                  </c:pt>
                  <c:pt idx="12">
                    <c:v>2013</c:v>
                  </c:pt>
                  <c:pt idx="14">
                    <c:v>2014</c:v>
                  </c:pt>
                  <c:pt idx="16">
                    <c:v>2015</c:v>
                  </c:pt>
                  <c:pt idx="18">
                    <c:v>2016</c:v>
                  </c:pt>
                  <c:pt idx="20">
                    <c:v>2017</c:v>
                  </c:pt>
                </c:lvl>
              </c:multiLvlStrCache>
            </c:multiLvlStrRef>
          </c:cat>
          <c:val>
            <c:numRef>
              <c:f>FNS!$D$2:$D$23</c:f>
              <c:numCache>
                <c:formatCode>General</c:formatCode>
                <c:ptCount val="22"/>
                <c:pt idx="0">
                  <c:v>39</c:v>
                </c:pt>
                <c:pt idx="1">
                  <c:v>50</c:v>
                </c:pt>
                <c:pt idx="2">
                  <c:v>50</c:v>
                </c:pt>
                <c:pt idx="3">
                  <c:v>61</c:v>
                </c:pt>
                <c:pt idx="4">
                  <c:v>32</c:v>
                </c:pt>
                <c:pt idx="5">
                  <c:v>53</c:v>
                </c:pt>
                <c:pt idx="6">
                  <c:v>58</c:v>
                </c:pt>
                <c:pt idx="7">
                  <c:v>55</c:v>
                </c:pt>
                <c:pt idx="8">
                  <c:v>63</c:v>
                </c:pt>
                <c:pt idx="9">
                  <c:v>61</c:v>
                </c:pt>
                <c:pt idx="10">
                  <c:v>21</c:v>
                </c:pt>
                <c:pt idx="11">
                  <c:v>74</c:v>
                </c:pt>
                <c:pt idx="12">
                  <c:v>50</c:v>
                </c:pt>
                <c:pt idx="13">
                  <c:v>50</c:v>
                </c:pt>
                <c:pt idx="14">
                  <c:v>42</c:v>
                </c:pt>
                <c:pt idx="15">
                  <c:v>55</c:v>
                </c:pt>
                <c:pt idx="16">
                  <c:v>65</c:v>
                </c:pt>
                <c:pt idx="17">
                  <c:v>52</c:v>
                </c:pt>
                <c:pt idx="18" formatCode="0">
                  <c:v>38</c:v>
                </c:pt>
                <c:pt idx="19" formatCode="0">
                  <c:v>58</c:v>
                </c:pt>
                <c:pt idx="20">
                  <c:v>48</c:v>
                </c:pt>
                <c:pt idx="21">
                  <c:v>21</c:v>
                </c:pt>
              </c:numCache>
            </c:numRef>
          </c:val>
          <c:extLst xmlns:c16r2="http://schemas.microsoft.com/office/drawing/2015/06/chart">
            <c:ext xmlns:c16="http://schemas.microsoft.com/office/drawing/2014/chart" uri="{C3380CC4-5D6E-409C-BE32-E72D297353CC}">
              <c16:uniqueId val="{00000001-2B89-4042-A4F8-19DBBE4B7A23}"/>
            </c:ext>
          </c:extLst>
        </c:ser>
        <c:dLbls>
          <c:showLegendKey val="0"/>
          <c:showVal val="0"/>
          <c:showCatName val="0"/>
          <c:showSerName val="0"/>
          <c:showPercent val="0"/>
          <c:showBubbleSize val="0"/>
        </c:dLbls>
        <c:gapWidth val="219"/>
        <c:overlap val="-27"/>
        <c:axId val="152013824"/>
        <c:axId val="172364544"/>
      </c:barChart>
      <c:catAx>
        <c:axId val="152013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172364544"/>
        <c:crosses val="autoZero"/>
        <c:auto val="1"/>
        <c:lblAlgn val="ctr"/>
        <c:lblOffset val="100"/>
        <c:noMultiLvlLbl val="0"/>
      </c:catAx>
      <c:valAx>
        <c:axId val="1723645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152013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t-CH"/>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lineChart>
        <c:grouping val="standard"/>
        <c:varyColors val="0"/>
        <c:ser>
          <c:idx val="0"/>
          <c:order val="0"/>
          <c:tx>
            <c:strRef>
              <c:f>Ricerca2!$A$16</c:f>
              <c:strCache>
                <c:ptCount val="1"/>
                <c:pt idx="0">
                  <c:v>ARC</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Ricerca2!$B$15:$I$15</c:f>
              <c:strCache>
                <c:ptCount val="8"/>
                <c:pt idx="0">
                  <c:v>2011-12</c:v>
                </c:pt>
                <c:pt idx="1">
                  <c:v>2012-13</c:v>
                </c:pt>
                <c:pt idx="2">
                  <c:v>2013-14</c:v>
                </c:pt>
                <c:pt idx="3">
                  <c:v>2014-15</c:v>
                </c:pt>
                <c:pt idx="4">
                  <c:v>2015-16</c:v>
                </c:pt>
                <c:pt idx="5">
                  <c:v>2016-17</c:v>
                </c:pt>
                <c:pt idx="6">
                  <c:v>2017-18</c:v>
                </c:pt>
                <c:pt idx="7">
                  <c:v>Media</c:v>
                </c:pt>
              </c:strCache>
            </c:strRef>
          </c:cat>
          <c:val>
            <c:numRef>
              <c:f>Ricerca2!$B$16:$I$16</c:f>
              <c:numCache>
                <c:formatCode>General</c:formatCode>
                <c:ptCount val="8"/>
                <c:pt idx="0">
                  <c:v>84.236106194690265</c:v>
                </c:pt>
                <c:pt idx="1">
                  <c:v>77.604159292035391</c:v>
                </c:pt>
                <c:pt idx="2">
                  <c:v>61.421914893617021</c:v>
                </c:pt>
                <c:pt idx="3">
                  <c:v>40.113714285714281</c:v>
                </c:pt>
                <c:pt idx="4">
                  <c:v>29.910925925925927</c:v>
                </c:pt>
                <c:pt idx="5">
                  <c:v>43.158312500000001</c:v>
                </c:pt>
                <c:pt idx="6">
                  <c:v>65.250393670886083</c:v>
                </c:pt>
                <c:pt idx="7" formatCode="#,##0">
                  <c:v>57.38507525183843</c:v>
                </c:pt>
              </c:numCache>
            </c:numRef>
          </c:val>
          <c:smooth val="0"/>
        </c:ser>
        <c:ser>
          <c:idx val="1"/>
          <c:order val="1"/>
          <c:tx>
            <c:strRef>
              <c:f>Ricerca2!$A$17</c:f>
              <c:strCache>
                <c:ptCount val="1"/>
                <c:pt idx="0">
                  <c:v>ECO</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Ricerca2!$B$15:$I$15</c:f>
              <c:strCache>
                <c:ptCount val="8"/>
                <c:pt idx="0">
                  <c:v>2011-12</c:v>
                </c:pt>
                <c:pt idx="1">
                  <c:v>2012-13</c:v>
                </c:pt>
                <c:pt idx="2">
                  <c:v>2013-14</c:v>
                </c:pt>
                <c:pt idx="3">
                  <c:v>2014-15</c:v>
                </c:pt>
                <c:pt idx="4">
                  <c:v>2015-16</c:v>
                </c:pt>
                <c:pt idx="5">
                  <c:v>2016-17</c:v>
                </c:pt>
                <c:pt idx="6">
                  <c:v>2017-18</c:v>
                </c:pt>
                <c:pt idx="7">
                  <c:v>Media</c:v>
                </c:pt>
              </c:strCache>
            </c:strRef>
          </c:cat>
          <c:val>
            <c:numRef>
              <c:f>Ricerca2!$B$17:$I$17</c:f>
              <c:numCache>
                <c:formatCode>General</c:formatCode>
                <c:ptCount val="8"/>
                <c:pt idx="0">
                  <c:v>44.662536764705884</c:v>
                </c:pt>
                <c:pt idx="1">
                  <c:v>48.192517241379313</c:v>
                </c:pt>
                <c:pt idx="2">
                  <c:v>39.352790697674422</c:v>
                </c:pt>
                <c:pt idx="3">
                  <c:v>48.1353488372093</c:v>
                </c:pt>
                <c:pt idx="4">
                  <c:v>58.92470383275262</c:v>
                </c:pt>
                <c:pt idx="5">
                  <c:v>69.866351351351355</c:v>
                </c:pt>
                <c:pt idx="6">
                  <c:v>48.846166666666662</c:v>
                </c:pt>
                <c:pt idx="7" formatCode="#,##0">
                  <c:v>51.14005934167708</c:v>
                </c:pt>
              </c:numCache>
            </c:numRef>
          </c:val>
          <c:smooth val="0"/>
        </c:ser>
        <c:ser>
          <c:idx val="2"/>
          <c:order val="2"/>
          <c:tx>
            <c:strRef>
              <c:f>Ricerca2!$A$18</c:f>
              <c:strCache>
                <c:ptCount val="1"/>
                <c:pt idx="0">
                  <c:v>COM</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Ricerca2!$B$15:$I$15</c:f>
              <c:strCache>
                <c:ptCount val="8"/>
                <c:pt idx="0">
                  <c:v>2011-12</c:v>
                </c:pt>
                <c:pt idx="1">
                  <c:v>2012-13</c:v>
                </c:pt>
                <c:pt idx="2">
                  <c:v>2013-14</c:v>
                </c:pt>
                <c:pt idx="3">
                  <c:v>2014-15</c:v>
                </c:pt>
                <c:pt idx="4">
                  <c:v>2015-16</c:v>
                </c:pt>
                <c:pt idx="5">
                  <c:v>2016-17</c:v>
                </c:pt>
                <c:pt idx="6">
                  <c:v>2017-18</c:v>
                </c:pt>
                <c:pt idx="7">
                  <c:v>Media</c:v>
                </c:pt>
              </c:strCache>
            </c:strRef>
          </c:cat>
          <c:val>
            <c:numRef>
              <c:f>Ricerca2!$B$18:$I$18</c:f>
              <c:numCache>
                <c:formatCode>General</c:formatCode>
                <c:ptCount val="8"/>
                <c:pt idx="0">
                  <c:v>74.627945945945953</c:v>
                </c:pt>
                <c:pt idx="1">
                  <c:v>87.772169312169325</c:v>
                </c:pt>
                <c:pt idx="2">
                  <c:v>75.953842364532008</c:v>
                </c:pt>
                <c:pt idx="3">
                  <c:v>67.982392344497612</c:v>
                </c:pt>
                <c:pt idx="4">
                  <c:v>56.980636363636357</c:v>
                </c:pt>
                <c:pt idx="5">
                  <c:v>54.901688311688311</c:v>
                </c:pt>
                <c:pt idx="6">
                  <c:v>56.159046428571443</c:v>
                </c:pt>
                <c:pt idx="7" formatCode="#,##0">
                  <c:v>67.768245867291569</c:v>
                </c:pt>
              </c:numCache>
            </c:numRef>
          </c:val>
          <c:smooth val="0"/>
        </c:ser>
        <c:ser>
          <c:idx val="3"/>
          <c:order val="3"/>
          <c:tx>
            <c:strRef>
              <c:f>Ricerca2!$A$19</c:f>
              <c:strCache>
                <c:ptCount val="1"/>
                <c:pt idx="0">
                  <c:v>INF</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Ricerca2!$B$15:$I$15</c:f>
              <c:strCache>
                <c:ptCount val="8"/>
                <c:pt idx="0">
                  <c:v>2011-12</c:v>
                </c:pt>
                <c:pt idx="1">
                  <c:v>2012-13</c:v>
                </c:pt>
                <c:pt idx="2">
                  <c:v>2013-14</c:v>
                </c:pt>
                <c:pt idx="3">
                  <c:v>2014-15</c:v>
                </c:pt>
                <c:pt idx="4">
                  <c:v>2015-16</c:v>
                </c:pt>
                <c:pt idx="5">
                  <c:v>2016-17</c:v>
                </c:pt>
                <c:pt idx="6">
                  <c:v>2017-18</c:v>
                </c:pt>
                <c:pt idx="7">
                  <c:v>Media</c:v>
                </c:pt>
              </c:strCache>
            </c:strRef>
          </c:cat>
          <c:val>
            <c:numRef>
              <c:f>Ricerca2!$B$19:$I$19</c:f>
              <c:numCache>
                <c:formatCode>General</c:formatCode>
                <c:ptCount val="8"/>
                <c:pt idx="0">
                  <c:v>117.83899122807017</c:v>
                </c:pt>
                <c:pt idx="1">
                  <c:v>174.16252293577983</c:v>
                </c:pt>
                <c:pt idx="2">
                  <c:v>172.57277310924368</c:v>
                </c:pt>
                <c:pt idx="3">
                  <c:v>186.76915322580646</c:v>
                </c:pt>
                <c:pt idx="4">
                  <c:v>197.69024193548387</c:v>
                </c:pt>
                <c:pt idx="5">
                  <c:v>179.86183823529413</c:v>
                </c:pt>
                <c:pt idx="6">
                  <c:v>164.14878426966291</c:v>
                </c:pt>
                <c:pt idx="7" formatCode="#,##0">
                  <c:v>170.43490070562012</c:v>
                </c:pt>
              </c:numCache>
            </c:numRef>
          </c:val>
          <c:smooth val="0"/>
        </c:ser>
        <c:ser>
          <c:idx val="4"/>
          <c:order val="4"/>
          <c:tx>
            <c:strRef>
              <c:f>Ricerca2!$A$20</c:f>
              <c:strCache>
                <c:ptCount val="1"/>
                <c:pt idx="0">
                  <c:v>USI</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Ricerca2!$B$15:$I$15</c:f>
              <c:strCache>
                <c:ptCount val="8"/>
                <c:pt idx="0">
                  <c:v>2011-12</c:v>
                </c:pt>
                <c:pt idx="1">
                  <c:v>2012-13</c:v>
                </c:pt>
                <c:pt idx="2">
                  <c:v>2013-14</c:v>
                </c:pt>
                <c:pt idx="3">
                  <c:v>2014-15</c:v>
                </c:pt>
                <c:pt idx="4">
                  <c:v>2015-16</c:v>
                </c:pt>
                <c:pt idx="5">
                  <c:v>2016-17</c:v>
                </c:pt>
                <c:pt idx="6">
                  <c:v>2017-18</c:v>
                </c:pt>
                <c:pt idx="7">
                  <c:v>Media</c:v>
                </c:pt>
              </c:strCache>
            </c:strRef>
          </c:cat>
          <c:val>
            <c:numRef>
              <c:f>Ricerca2!$B$20:$I$20</c:f>
              <c:numCache>
                <c:formatCode>General</c:formatCode>
                <c:ptCount val="8"/>
                <c:pt idx="0">
                  <c:v>87.338408521303265</c:v>
                </c:pt>
                <c:pt idx="1">
                  <c:v>104.09098765432098</c:v>
                </c:pt>
                <c:pt idx="2">
                  <c:v>93.708640996602497</c:v>
                </c:pt>
                <c:pt idx="3">
                  <c:v>95.486596916299561</c:v>
                </c:pt>
                <c:pt idx="4">
                  <c:v>96.261908396946552</c:v>
                </c:pt>
                <c:pt idx="5">
                  <c:v>101.55042937853108</c:v>
                </c:pt>
                <c:pt idx="6">
                  <c:v>91.246849183895549</c:v>
                </c:pt>
                <c:pt idx="7" formatCode="#,##0">
                  <c:v>95.669117292557061</c:v>
                </c:pt>
              </c:numCache>
            </c:numRef>
          </c:val>
          <c:smooth val="0"/>
        </c:ser>
        <c:dLbls>
          <c:showLegendKey val="0"/>
          <c:showVal val="0"/>
          <c:showCatName val="0"/>
          <c:showSerName val="0"/>
          <c:showPercent val="0"/>
          <c:showBubbleSize val="0"/>
        </c:dLbls>
        <c:marker val="1"/>
        <c:smooth val="0"/>
        <c:axId val="172391040"/>
        <c:axId val="172397312"/>
      </c:lineChart>
      <c:catAx>
        <c:axId val="172391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172397312"/>
        <c:crosses val="autoZero"/>
        <c:auto val="1"/>
        <c:lblAlgn val="ctr"/>
        <c:lblOffset val="100"/>
        <c:noMultiLvlLbl val="0"/>
      </c:catAx>
      <c:valAx>
        <c:axId val="17239731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crossAx val="172391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CH"/>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CH"/>
    </a:p>
  </c:txPr>
  <c:externalData r:id="rId2">
    <c:autoUpdate val="0"/>
  </c:externalData>
</c:chartSpace>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Normal.dotm</Template>
  <TotalTime>0</TotalTime>
  <Pages>40</Pages>
  <Words>16918</Words>
  <Characters>96438</Characters>
  <Application>Microsoft Office Word</Application>
  <DocSecurity>0</DocSecurity>
  <Lines>803</Lines>
  <Paragraphs>226</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113130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2</cp:revision>
  <cp:lastPrinted>2018-10-08T09:53:00Z</cp:lastPrinted>
  <dcterms:created xsi:type="dcterms:W3CDTF">2018-10-25T13:09:00Z</dcterms:created>
  <dcterms:modified xsi:type="dcterms:W3CDTF">2018-10-25T13:09:00Z</dcterms:modified>
</cp:coreProperties>
</file>