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B29" w:rsidRPr="009A7998" w:rsidRDefault="00591B29" w:rsidP="00591B29">
      <w:pPr>
        <w:spacing w:after="120"/>
        <w:rPr>
          <w:rFonts w:ascii="Arial" w:hAnsi="Arial" w:cs="Arial"/>
          <w:b/>
          <w:bCs/>
          <w:iCs/>
          <w:sz w:val="23"/>
          <w:szCs w:val="23"/>
        </w:rPr>
      </w:pPr>
      <w:r w:rsidRPr="009A7998">
        <w:rPr>
          <w:rFonts w:ascii="Arial" w:hAnsi="Arial" w:cs="Arial"/>
          <w:b/>
          <w:bCs/>
          <w:iCs/>
          <w:sz w:val="23"/>
          <w:szCs w:val="23"/>
        </w:rPr>
        <w:t>INIZIATIVA PARLAMENTARE</w:t>
      </w:r>
    </w:p>
    <w:p w:rsidR="00591B29" w:rsidRDefault="00591B29" w:rsidP="00591B29">
      <w:pPr>
        <w:rPr>
          <w:rFonts w:ascii="Arial" w:hAnsi="Arial" w:cs="Arial"/>
          <w:bCs/>
          <w:iCs/>
          <w:sz w:val="23"/>
          <w:szCs w:val="23"/>
        </w:rPr>
      </w:pPr>
    </w:p>
    <w:p w:rsidR="00591B29" w:rsidRPr="009A7998" w:rsidRDefault="00591B29" w:rsidP="00591B29">
      <w:pPr>
        <w:spacing w:after="120"/>
        <w:jc w:val="both"/>
        <w:rPr>
          <w:rFonts w:ascii="Arial" w:hAnsi="Arial" w:cs="Arial"/>
          <w:b/>
          <w:bCs/>
          <w:sz w:val="23"/>
          <w:szCs w:val="23"/>
          <w:u w:val="single"/>
        </w:rPr>
      </w:pPr>
      <w:r w:rsidRPr="009A7998">
        <w:rPr>
          <w:rFonts w:ascii="Arial" w:hAnsi="Arial" w:cs="Arial"/>
          <w:b/>
          <w:bCs/>
          <w:iCs/>
          <w:sz w:val="23"/>
          <w:szCs w:val="23"/>
          <w:u w:val="single"/>
        </w:rPr>
        <w:t xml:space="preserve">presentata nella forma elaborata da Matteo Quadranti e cofirmatari per la modifica dell’art. 27 della Legge sul Gran Consiglio e sui rapporti con Consiglio di Stato (LGC) - </w:t>
      </w:r>
      <w:r w:rsidRPr="009A7998">
        <w:rPr>
          <w:rFonts w:ascii="Arial" w:hAnsi="Arial" w:cs="Arial"/>
          <w:b/>
          <w:sz w:val="23"/>
          <w:szCs w:val="23"/>
          <w:u w:val="single"/>
        </w:rPr>
        <w:t>Estendere le competenze della Commissione di sorveglianza sulle condizioni di detenzione</w:t>
      </w:r>
    </w:p>
    <w:p w:rsidR="00591B29" w:rsidRPr="009A7998" w:rsidRDefault="00591B29" w:rsidP="00591B29">
      <w:pPr>
        <w:rPr>
          <w:rFonts w:ascii="Arial" w:hAnsi="Arial" w:cs="Arial"/>
          <w:sz w:val="23"/>
          <w:szCs w:val="23"/>
        </w:rPr>
      </w:pPr>
    </w:p>
    <w:p w:rsidR="00591B29" w:rsidRDefault="00591B29" w:rsidP="00591B29">
      <w:pPr>
        <w:rPr>
          <w:rFonts w:ascii="Arial" w:hAnsi="Arial" w:cs="Arial"/>
          <w:sz w:val="23"/>
          <w:szCs w:val="23"/>
        </w:rPr>
      </w:pPr>
      <w:r>
        <w:rPr>
          <w:rFonts w:ascii="Arial" w:hAnsi="Arial" w:cs="Arial"/>
          <w:sz w:val="23"/>
          <w:szCs w:val="23"/>
        </w:rPr>
        <w:t>del 16 settembre 2019</w:t>
      </w:r>
    </w:p>
    <w:p w:rsidR="00591B29" w:rsidRDefault="00591B29" w:rsidP="00591B29">
      <w:pPr>
        <w:rPr>
          <w:rFonts w:ascii="Arial" w:hAnsi="Arial" w:cs="Arial"/>
          <w:sz w:val="23"/>
          <w:szCs w:val="23"/>
        </w:rPr>
      </w:pPr>
    </w:p>
    <w:p w:rsidR="00591B29" w:rsidRDefault="00591B29" w:rsidP="00591B29">
      <w:pPr>
        <w:rPr>
          <w:rFonts w:ascii="Arial" w:hAnsi="Arial" w:cs="Arial"/>
          <w:sz w:val="23"/>
          <w:szCs w:val="23"/>
        </w:rPr>
      </w:pPr>
    </w:p>
    <w:p w:rsidR="00591B29" w:rsidRPr="009A7998" w:rsidRDefault="00591B29" w:rsidP="00591B29">
      <w:pPr>
        <w:spacing w:after="120"/>
        <w:rPr>
          <w:rFonts w:ascii="Arial" w:hAnsi="Arial" w:cs="Arial"/>
          <w:sz w:val="23"/>
          <w:szCs w:val="23"/>
        </w:rPr>
      </w:pPr>
      <w:r w:rsidRPr="009A7998">
        <w:rPr>
          <w:rFonts w:ascii="Arial" w:hAnsi="Arial" w:cs="Arial"/>
          <w:sz w:val="23"/>
          <w:szCs w:val="23"/>
        </w:rPr>
        <w:t>L’attuale art. 27 della Legge sul Gran Consiglio prevede che:</w:t>
      </w:r>
    </w:p>
    <w:p w:rsidR="00591B29" w:rsidRPr="009A7998" w:rsidRDefault="00591B29" w:rsidP="00591B29">
      <w:pPr>
        <w:spacing w:after="160"/>
        <w:rPr>
          <w:rFonts w:ascii="Arial" w:hAnsi="Arial" w:cs="Arial"/>
          <w:i/>
          <w:iCs/>
          <w:sz w:val="23"/>
          <w:szCs w:val="23"/>
        </w:rPr>
      </w:pPr>
      <w:r w:rsidRPr="009A7998">
        <w:rPr>
          <w:rFonts w:ascii="Arial" w:hAnsi="Arial" w:cs="Arial"/>
          <w:i/>
          <w:iCs/>
          <w:sz w:val="23"/>
          <w:szCs w:val="23"/>
          <w:vertAlign w:val="superscript"/>
        </w:rPr>
        <w:t>1</w:t>
      </w:r>
      <w:r w:rsidRPr="009A7998">
        <w:rPr>
          <w:rFonts w:ascii="Arial" w:hAnsi="Arial" w:cs="Arial"/>
          <w:i/>
          <w:iCs/>
          <w:sz w:val="23"/>
          <w:szCs w:val="23"/>
        </w:rPr>
        <w:t>La sorveglianza delle condizioni di detenzione nelle strutture carcerarie cantonali è affidata a una Commissione di controllo di 7 membri.</w:t>
      </w:r>
    </w:p>
    <w:p w:rsidR="00591B29" w:rsidRPr="009A7998" w:rsidRDefault="00591B29" w:rsidP="00591B29">
      <w:pPr>
        <w:spacing w:after="40"/>
        <w:rPr>
          <w:rFonts w:ascii="Arial" w:hAnsi="Arial" w:cs="Arial"/>
          <w:i/>
          <w:iCs/>
          <w:sz w:val="23"/>
          <w:szCs w:val="23"/>
        </w:rPr>
      </w:pPr>
      <w:r w:rsidRPr="009A7998">
        <w:rPr>
          <w:rFonts w:ascii="Arial" w:hAnsi="Arial" w:cs="Arial"/>
          <w:i/>
          <w:iCs/>
          <w:sz w:val="23"/>
          <w:szCs w:val="23"/>
          <w:vertAlign w:val="superscript"/>
        </w:rPr>
        <w:t>2</w:t>
      </w:r>
      <w:r w:rsidRPr="009A7998">
        <w:rPr>
          <w:rFonts w:ascii="Arial" w:hAnsi="Arial" w:cs="Arial"/>
          <w:i/>
          <w:iCs/>
          <w:sz w:val="23"/>
          <w:szCs w:val="23"/>
        </w:rPr>
        <w:t>Essa esercita la sorveglianza segnatamente attraverso:</w:t>
      </w:r>
    </w:p>
    <w:p w:rsidR="00591B29" w:rsidRPr="009A7998" w:rsidRDefault="00591B29" w:rsidP="00591B29">
      <w:pPr>
        <w:spacing w:after="40"/>
        <w:rPr>
          <w:rFonts w:ascii="Arial" w:hAnsi="Arial" w:cs="Arial"/>
          <w:i/>
          <w:iCs/>
          <w:sz w:val="23"/>
          <w:szCs w:val="23"/>
        </w:rPr>
      </w:pPr>
      <w:r w:rsidRPr="009A7998">
        <w:rPr>
          <w:rFonts w:ascii="Arial" w:hAnsi="Arial" w:cs="Arial"/>
          <w:i/>
          <w:iCs/>
          <w:sz w:val="23"/>
          <w:szCs w:val="23"/>
        </w:rPr>
        <w:t>a) visite regolari ai luoghi di detenzione;</w:t>
      </w:r>
    </w:p>
    <w:p w:rsidR="00591B29" w:rsidRPr="009A7998" w:rsidRDefault="00591B29" w:rsidP="00591B29">
      <w:pPr>
        <w:spacing w:after="40"/>
        <w:rPr>
          <w:rFonts w:ascii="Arial" w:hAnsi="Arial" w:cs="Arial"/>
          <w:i/>
          <w:iCs/>
          <w:sz w:val="23"/>
          <w:szCs w:val="23"/>
        </w:rPr>
      </w:pPr>
      <w:r w:rsidRPr="009A7998">
        <w:rPr>
          <w:rFonts w:ascii="Arial" w:hAnsi="Arial" w:cs="Arial"/>
          <w:i/>
          <w:iCs/>
          <w:sz w:val="23"/>
          <w:szCs w:val="23"/>
        </w:rPr>
        <w:t>b) audizione di persone detenute senza la presenza di testimoni;</w:t>
      </w:r>
    </w:p>
    <w:p w:rsidR="00591B29" w:rsidRPr="009A7998" w:rsidRDefault="00591B29" w:rsidP="00591B29">
      <w:pPr>
        <w:spacing w:after="40"/>
        <w:rPr>
          <w:rFonts w:ascii="Arial" w:hAnsi="Arial" w:cs="Arial"/>
          <w:i/>
          <w:iCs/>
          <w:sz w:val="23"/>
          <w:szCs w:val="23"/>
        </w:rPr>
      </w:pPr>
      <w:r w:rsidRPr="009A7998">
        <w:rPr>
          <w:rFonts w:ascii="Arial" w:hAnsi="Arial" w:cs="Arial"/>
          <w:i/>
          <w:iCs/>
          <w:sz w:val="23"/>
          <w:szCs w:val="23"/>
        </w:rPr>
        <w:t>c) audizione dei funzionari incaricati di attività presso le strutture carcerarie;</w:t>
      </w:r>
    </w:p>
    <w:p w:rsidR="00591B29" w:rsidRPr="009A7998" w:rsidRDefault="00591B29" w:rsidP="00591B29">
      <w:pPr>
        <w:spacing w:after="160"/>
        <w:rPr>
          <w:rFonts w:ascii="Arial" w:hAnsi="Arial" w:cs="Arial"/>
          <w:i/>
          <w:iCs/>
          <w:sz w:val="23"/>
          <w:szCs w:val="23"/>
        </w:rPr>
      </w:pPr>
      <w:r w:rsidRPr="009A7998">
        <w:rPr>
          <w:rFonts w:ascii="Arial" w:hAnsi="Arial" w:cs="Arial"/>
          <w:i/>
          <w:iCs/>
          <w:sz w:val="23"/>
          <w:szCs w:val="23"/>
        </w:rPr>
        <w:t>d) esame dei reclami presentati dalle persone detenute.</w:t>
      </w:r>
    </w:p>
    <w:p w:rsidR="00591B29" w:rsidRPr="009A7998" w:rsidRDefault="00591B29" w:rsidP="00591B29">
      <w:pPr>
        <w:rPr>
          <w:rFonts w:ascii="Arial" w:hAnsi="Arial" w:cs="Arial"/>
          <w:i/>
          <w:iCs/>
          <w:sz w:val="23"/>
          <w:szCs w:val="23"/>
        </w:rPr>
      </w:pPr>
      <w:r w:rsidRPr="009A7998">
        <w:rPr>
          <w:rFonts w:ascii="Arial" w:hAnsi="Arial" w:cs="Arial"/>
          <w:i/>
          <w:iCs/>
          <w:sz w:val="23"/>
          <w:szCs w:val="23"/>
          <w:vertAlign w:val="superscript"/>
        </w:rPr>
        <w:t>3</w:t>
      </w:r>
      <w:r w:rsidRPr="009A7998">
        <w:rPr>
          <w:rFonts w:ascii="Arial" w:hAnsi="Arial" w:cs="Arial"/>
          <w:i/>
          <w:iCs/>
          <w:sz w:val="23"/>
          <w:szCs w:val="23"/>
        </w:rPr>
        <w:t>Presenta annualmente un rapporto al Gran Consiglio e al Consiglio di Stato sulla sua attività, con le raccomandazioni e le osservazioni che ritiene giustificate e informa tempestivamente il direttore del Dipartimento competente su eventuali irregolarità constatate.</w:t>
      </w:r>
    </w:p>
    <w:p w:rsidR="00591B29" w:rsidRDefault="00591B29" w:rsidP="00591B29">
      <w:pPr>
        <w:jc w:val="both"/>
        <w:rPr>
          <w:rFonts w:ascii="Arial" w:hAnsi="Arial" w:cs="Arial"/>
          <w:sz w:val="23"/>
          <w:szCs w:val="23"/>
        </w:rPr>
      </w:pPr>
    </w:p>
    <w:p w:rsidR="00591B29" w:rsidRDefault="00591B29" w:rsidP="00591B29">
      <w:pPr>
        <w:jc w:val="both"/>
        <w:rPr>
          <w:rFonts w:ascii="Arial" w:hAnsi="Arial" w:cs="Arial"/>
          <w:sz w:val="23"/>
          <w:szCs w:val="23"/>
        </w:rPr>
      </w:pPr>
      <w:r w:rsidRPr="009A7998">
        <w:rPr>
          <w:rFonts w:ascii="Arial" w:hAnsi="Arial" w:cs="Arial"/>
          <w:sz w:val="23"/>
          <w:szCs w:val="23"/>
        </w:rPr>
        <w:t xml:space="preserve">Da anni ormai sono numerose le persone che - in virtù della legislazione federale sul diritto di asilo attuata anche tramite i Cantoni - vengono trattenute in carcerazione amministrativa come pure in altri locali sottoposti ad importanti restrizioni della libertà di movimento. Si pensi per esempio a Rancate o in altri alloggi sotterranei della Protezione civile o anche, per quei casi comunque di pertinenza ticinese, il carcere di Realta a Cazis (Canton Grigioni). Gran parte di questi alloggi sono sottoposti alla vigilanza quotidiana di enti privati (Agenzie di sicurezza), che però non dispongono delle competenze professionali e/o comunque di un’organizzazione o formazione parificata a quella del personale di custodia delle strutture carcerarie cantonali. Di conseguenza sono già state constatate, e note pubblicamente, numerose condizioni di abuso. Ci si riferisce fra l’altro agli abusi emersi nell’esecuzione del mandato da parte della società Argo1, al procedimento penale pendente contro agenti di polizia per contenzione abusiva nei confronti di un minorenne e alle condizioni di pericolo per la salute nei bunker sotterranei denunciate da oltre cento medici del Canton Ticino nel gennaio del 2019. Non consta nemmeno che al DSS o al DI ci siano enti preposti alla sorveglianza su queste condizioni di detenzione amministrativa e che i rispettivi capi dipartimento effettuino regolarmente di persona o tramite collaboratori delle visite dei luoghi per sincerarsi delle condizioni di carcerazione. </w:t>
      </w:r>
    </w:p>
    <w:p w:rsidR="00591B29" w:rsidRPr="009A7998" w:rsidRDefault="00591B29" w:rsidP="00591B29">
      <w:pPr>
        <w:jc w:val="both"/>
        <w:rPr>
          <w:rFonts w:ascii="Arial" w:hAnsi="Arial" w:cs="Arial"/>
          <w:sz w:val="23"/>
          <w:szCs w:val="23"/>
        </w:rPr>
      </w:pPr>
    </w:p>
    <w:p w:rsidR="00591B29" w:rsidRPr="009A7998" w:rsidRDefault="00591B29" w:rsidP="00591B29">
      <w:pPr>
        <w:spacing w:after="120"/>
        <w:rPr>
          <w:rFonts w:ascii="Arial" w:hAnsi="Arial" w:cs="Arial"/>
          <w:sz w:val="23"/>
          <w:szCs w:val="23"/>
        </w:rPr>
      </w:pPr>
      <w:r w:rsidRPr="009A7998">
        <w:rPr>
          <w:rFonts w:ascii="Arial" w:hAnsi="Arial" w:cs="Arial"/>
          <w:sz w:val="23"/>
          <w:szCs w:val="23"/>
        </w:rPr>
        <w:t>Tenuto conto di quanto sopra, si propone la seguente modifica (in grassetto) legislativa:</w:t>
      </w:r>
    </w:p>
    <w:p w:rsidR="00591B29" w:rsidRPr="009A7998" w:rsidRDefault="00591B29" w:rsidP="00591B29">
      <w:pPr>
        <w:spacing w:after="120"/>
        <w:jc w:val="both"/>
        <w:rPr>
          <w:rFonts w:ascii="Arial" w:hAnsi="Arial" w:cs="Arial"/>
          <w:b/>
          <w:bCs/>
          <w:i/>
          <w:iCs/>
          <w:sz w:val="23"/>
          <w:szCs w:val="23"/>
        </w:rPr>
      </w:pPr>
      <w:r>
        <w:rPr>
          <w:rFonts w:ascii="Arial" w:hAnsi="Arial" w:cs="Arial"/>
          <w:b/>
          <w:bCs/>
          <w:i/>
          <w:iCs/>
          <w:sz w:val="23"/>
          <w:szCs w:val="23"/>
        </w:rPr>
        <w:t>Nuovo A</w:t>
      </w:r>
      <w:r w:rsidRPr="009A7998">
        <w:rPr>
          <w:rFonts w:ascii="Arial" w:hAnsi="Arial" w:cs="Arial"/>
          <w:b/>
          <w:bCs/>
          <w:i/>
          <w:iCs/>
          <w:sz w:val="23"/>
          <w:szCs w:val="23"/>
        </w:rPr>
        <w:t xml:space="preserve">rt. 27 </w:t>
      </w:r>
      <w:r>
        <w:rPr>
          <w:rFonts w:ascii="Arial" w:hAnsi="Arial" w:cs="Arial"/>
          <w:b/>
          <w:bCs/>
          <w:i/>
          <w:iCs/>
          <w:sz w:val="23"/>
          <w:szCs w:val="23"/>
        </w:rPr>
        <w:t>LGC</w:t>
      </w:r>
    </w:p>
    <w:p w:rsidR="00591B29" w:rsidRPr="009A7998" w:rsidRDefault="00591B29" w:rsidP="00591B29">
      <w:pPr>
        <w:spacing w:after="160"/>
        <w:rPr>
          <w:rFonts w:ascii="Arial" w:hAnsi="Arial" w:cs="Arial"/>
          <w:i/>
          <w:iCs/>
          <w:sz w:val="23"/>
          <w:szCs w:val="23"/>
        </w:rPr>
      </w:pPr>
      <w:r w:rsidRPr="009A7998">
        <w:rPr>
          <w:rFonts w:ascii="Arial" w:hAnsi="Arial" w:cs="Arial"/>
          <w:i/>
          <w:iCs/>
          <w:sz w:val="23"/>
          <w:szCs w:val="23"/>
          <w:vertAlign w:val="superscript"/>
        </w:rPr>
        <w:t>1</w:t>
      </w:r>
      <w:r w:rsidRPr="009A7998">
        <w:rPr>
          <w:rFonts w:ascii="Arial" w:hAnsi="Arial" w:cs="Arial"/>
          <w:i/>
          <w:iCs/>
          <w:sz w:val="23"/>
          <w:szCs w:val="23"/>
        </w:rPr>
        <w:t xml:space="preserve">La sorveglianza delle condizioni di detenzione nelle strutture carcerarie e </w:t>
      </w:r>
      <w:r w:rsidRPr="009A7998">
        <w:rPr>
          <w:rFonts w:ascii="Arial" w:hAnsi="Arial" w:cs="Arial"/>
          <w:b/>
          <w:bCs/>
          <w:i/>
          <w:iCs/>
          <w:sz w:val="23"/>
          <w:szCs w:val="23"/>
        </w:rPr>
        <w:t>di analoga residenza coatta a cui sono astrette le persone sottoposte direttamente o indirettamente alla legislazione federale sull’asilo,</w:t>
      </w:r>
      <w:r w:rsidRPr="009A7998">
        <w:rPr>
          <w:rFonts w:ascii="Arial" w:hAnsi="Arial" w:cs="Arial"/>
          <w:i/>
          <w:iCs/>
          <w:sz w:val="23"/>
          <w:szCs w:val="23"/>
        </w:rPr>
        <w:t xml:space="preserve"> è affidata a una Commissione di controllo di 7 membri.</w:t>
      </w:r>
    </w:p>
    <w:p w:rsidR="00591B29" w:rsidRPr="009A7998" w:rsidRDefault="00591B29" w:rsidP="00591B29">
      <w:pPr>
        <w:spacing w:after="60"/>
        <w:jc w:val="both"/>
        <w:rPr>
          <w:rFonts w:ascii="Arial" w:hAnsi="Arial" w:cs="Arial"/>
          <w:i/>
          <w:iCs/>
          <w:sz w:val="23"/>
          <w:szCs w:val="23"/>
        </w:rPr>
      </w:pPr>
      <w:r w:rsidRPr="009A7998">
        <w:rPr>
          <w:rFonts w:ascii="Arial" w:hAnsi="Arial" w:cs="Arial"/>
          <w:i/>
          <w:iCs/>
          <w:sz w:val="23"/>
          <w:szCs w:val="23"/>
          <w:vertAlign w:val="superscript"/>
        </w:rPr>
        <w:t>2</w:t>
      </w:r>
      <w:r w:rsidRPr="009A7998">
        <w:rPr>
          <w:rFonts w:ascii="Arial" w:hAnsi="Arial" w:cs="Arial"/>
          <w:i/>
          <w:iCs/>
          <w:sz w:val="23"/>
          <w:szCs w:val="23"/>
        </w:rPr>
        <w:t>Essa esercita la sorveglianza segnatamente attraverso:</w:t>
      </w:r>
    </w:p>
    <w:p w:rsidR="00591B29" w:rsidRPr="009A7998" w:rsidRDefault="00591B29" w:rsidP="00591B29">
      <w:pPr>
        <w:spacing w:after="40"/>
        <w:rPr>
          <w:rFonts w:ascii="Arial" w:hAnsi="Arial" w:cs="Arial"/>
          <w:i/>
          <w:iCs/>
          <w:sz w:val="23"/>
          <w:szCs w:val="23"/>
        </w:rPr>
      </w:pPr>
      <w:r w:rsidRPr="009A7998">
        <w:rPr>
          <w:rFonts w:ascii="Arial" w:hAnsi="Arial" w:cs="Arial"/>
          <w:i/>
          <w:iCs/>
          <w:sz w:val="23"/>
          <w:szCs w:val="23"/>
        </w:rPr>
        <w:t>a) visite regolari ai luoghi di detenzione;</w:t>
      </w:r>
    </w:p>
    <w:p w:rsidR="00591B29" w:rsidRPr="009A7998" w:rsidRDefault="00591B29" w:rsidP="00591B29">
      <w:pPr>
        <w:spacing w:after="40"/>
        <w:rPr>
          <w:rFonts w:ascii="Arial" w:hAnsi="Arial" w:cs="Arial"/>
          <w:i/>
          <w:iCs/>
          <w:sz w:val="23"/>
          <w:szCs w:val="23"/>
        </w:rPr>
      </w:pPr>
      <w:r w:rsidRPr="009A7998">
        <w:rPr>
          <w:rFonts w:ascii="Arial" w:hAnsi="Arial" w:cs="Arial"/>
          <w:i/>
          <w:iCs/>
          <w:sz w:val="23"/>
          <w:szCs w:val="23"/>
        </w:rPr>
        <w:t>b) audizione di persone detenute senza la presenza di testimoni;</w:t>
      </w:r>
    </w:p>
    <w:p w:rsidR="00591B29" w:rsidRPr="009A7998" w:rsidRDefault="00591B29" w:rsidP="00591B29">
      <w:pPr>
        <w:spacing w:after="40"/>
        <w:rPr>
          <w:rFonts w:ascii="Arial" w:hAnsi="Arial" w:cs="Arial"/>
          <w:i/>
          <w:iCs/>
          <w:sz w:val="23"/>
          <w:szCs w:val="23"/>
        </w:rPr>
      </w:pPr>
      <w:r w:rsidRPr="009A7998">
        <w:rPr>
          <w:rFonts w:ascii="Arial" w:hAnsi="Arial" w:cs="Arial"/>
          <w:i/>
          <w:iCs/>
          <w:sz w:val="23"/>
          <w:szCs w:val="23"/>
        </w:rPr>
        <w:t xml:space="preserve">c) audizione dei funzionari incaricati di attività presso le strutture </w:t>
      </w:r>
      <w:r w:rsidRPr="009A7998">
        <w:rPr>
          <w:rFonts w:ascii="Arial" w:hAnsi="Arial" w:cs="Arial"/>
          <w:b/>
          <w:bCs/>
          <w:i/>
          <w:iCs/>
          <w:sz w:val="23"/>
          <w:szCs w:val="23"/>
        </w:rPr>
        <w:t>di cui al cpv. 1</w:t>
      </w:r>
      <w:r w:rsidRPr="009A7998">
        <w:rPr>
          <w:rFonts w:ascii="Arial" w:hAnsi="Arial" w:cs="Arial"/>
          <w:i/>
          <w:iCs/>
          <w:sz w:val="23"/>
          <w:szCs w:val="23"/>
        </w:rPr>
        <w:t>;</w:t>
      </w:r>
    </w:p>
    <w:p w:rsidR="00591B29" w:rsidRPr="009A7998" w:rsidRDefault="00591B29" w:rsidP="00591B29">
      <w:pPr>
        <w:spacing w:after="160"/>
        <w:rPr>
          <w:rFonts w:ascii="Arial" w:hAnsi="Arial" w:cs="Arial"/>
          <w:i/>
          <w:iCs/>
          <w:sz w:val="23"/>
          <w:szCs w:val="23"/>
        </w:rPr>
      </w:pPr>
      <w:r w:rsidRPr="009A7998">
        <w:rPr>
          <w:rFonts w:ascii="Arial" w:hAnsi="Arial" w:cs="Arial"/>
          <w:i/>
          <w:iCs/>
          <w:sz w:val="23"/>
          <w:szCs w:val="23"/>
        </w:rPr>
        <w:t>d) esame dei reclami presentati dalle persone detenute.</w:t>
      </w:r>
    </w:p>
    <w:p w:rsidR="00591B29" w:rsidRPr="009A7998" w:rsidRDefault="00591B29" w:rsidP="00591B29">
      <w:pPr>
        <w:jc w:val="both"/>
        <w:rPr>
          <w:rFonts w:ascii="Arial" w:hAnsi="Arial" w:cs="Arial"/>
          <w:i/>
          <w:iCs/>
          <w:sz w:val="23"/>
          <w:szCs w:val="23"/>
        </w:rPr>
      </w:pPr>
      <w:r w:rsidRPr="009A7998">
        <w:rPr>
          <w:rFonts w:ascii="Arial" w:hAnsi="Arial" w:cs="Arial"/>
          <w:i/>
          <w:iCs/>
          <w:sz w:val="23"/>
          <w:szCs w:val="23"/>
          <w:vertAlign w:val="superscript"/>
        </w:rPr>
        <w:t>3</w:t>
      </w:r>
      <w:r w:rsidRPr="009A7998">
        <w:rPr>
          <w:rFonts w:ascii="Arial" w:hAnsi="Arial" w:cs="Arial"/>
          <w:i/>
          <w:iCs/>
          <w:sz w:val="23"/>
          <w:szCs w:val="23"/>
        </w:rPr>
        <w:t>Presenta annualmente un rapporto al Gran Consiglio e al Consiglio di Stato sulla sua attività, con le raccomandazioni e le osservazioni che ritiene giustificate e informa tempestivamente il direttore del Dipartimento competente su eventuali irregolarità constatate.</w:t>
      </w:r>
    </w:p>
    <w:p w:rsidR="00591B29" w:rsidRDefault="00591B29" w:rsidP="00591B29">
      <w:pPr>
        <w:rPr>
          <w:rFonts w:ascii="Arial" w:hAnsi="Arial" w:cs="Arial"/>
          <w:sz w:val="23"/>
          <w:szCs w:val="23"/>
        </w:rPr>
      </w:pPr>
    </w:p>
    <w:p w:rsidR="00591B29" w:rsidRPr="009A7998" w:rsidRDefault="00591B29" w:rsidP="00591B29">
      <w:pPr>
        <w:rPr>
          <w:rFonts w:ascii="Arial" w:hAnsi="Arial" w:cs="Arial"/>
          <w:sz w:val="23"/>
          <w:szCs w:val="23"/>
        </w:rPr>
      </w:pPr>
    </w:p>
    <w:p w:rsidR="00591B29" w:rsidRPr="009A7998" w:rsidRDefault="00591B29" w:rsidP="00591B29">
      <w:pPr>
        <w:rPr>
          <w:rFonts w:ascii="Arial" w:hAnsi="Arial" w:cs="Arial"/>
          <w:sz w:val="23"/>
          <w:szCs w:val="23"/>
        </w:rPr>
      </w:pPr>
      <w:r w:rsidRPr="009A7998">
        <w:rPr>
          <w:rFonts w:ascii="Arial" w:hAnsi="Arial" w:cs="Arial"/>
          <w:bCs/>
          <w:sz w:val="23"/>
          <w:szCs w:val="23"/>
        </w:rPr>
        <w:t>Matteo Quadranti</w:t>
      </w:r>
    </w:p>
    <w:p w:rsidR="00591B29" w:rsidRDefault="00591B29" w:rsidP="00591B29">
      <w:pPr>
        <w:rPr>
          <w:rFonts w:ascii="Arial" w:hAnsi="Arial" w:cs="Arial"/>
          <w:sz w:val="23"/>
          <w:szCs w:val="23"/>
        </w:rPr>
      </w:pPr>
      <w:r w:rsidRPr="009A7998">
        <w:rPr>
          <w:rFonts w:ascii="Arial" w:hAnsi="Arial" w:cs="Arial"/>
          <w:sz w:val="23"/>
          <w:szCs w:val="23"/>
        </w:rPr>
        <w:t>Bertoli</w:t>
      </w:r>
      <w:r>
        <w:rPr>
          <w:rFonts w:ascii="Arial" w:hAnsi="Arial" w:cs="Arial"/>
          <w:sz w:val="23"/>
          <w:szCs w:val="23"/>
        </w:rPr>
        <w:t xml:space="preserve"> - </w:t>
      </w:r>
      <w:r w:rsidRPr="009A7998">
        <w:rPr>
          <w:rFonts w:ascii="Arial" w:hAnsi="Arial" w:cs="Arial"/>
          <w:sz w:val="23"/>
          <w:szCs w:val="23"/>
        </w:rPr>
        <w:t>Biscossa</w:t>
      </w:r>
      <w:r>
        <w:rPr>
          <w:rFonts w:ascii="Arial" w:hAnsi="Arial" w:cs="Arial"/>
          <w:sz w:val="23"/>
          <w:szCs w:val="23"/>
        </w:rPr>
        <w:t xml:space="preserve"> - </w:t>
      </w:r>
      <w:r w:rsidRPr="009A7998">
        <w:rPr>
          <w:rFonts w:ascii="Arial" w:hAnsi="Arial" w:cs="Arial"/>
          <w:sz w:val="23"/>
          <w:szCs w:val="23"/>
        </w:rPr>
        <w:t>Caprara</w:t>
      </w:r>
      <w:r>
        <w:rPr>
          <w:rFonts w:ascii="Arial" w:hAnsi="Arial" w:cs="Arial"/>
          <w:sz w:val="23"/>
          <w:szCs w:val="23"/>
        </w:rPr>
        <w:t xml:space="preserve"> - </w:t>
      </w:r>
      <w:r w:rsidRPr="009A7998">
        <w:rPr>
          <w:rFonts w:ascii="Arial" w:hAnsi="Arial" w:cs="Arial"/>
          <w:sz w:val="23"/>
          <w:szCs w:val="23"/>
        </w:rPr>
        <w:t>Corti</w:t>
      </w:r>
      <w:r>
        <w:rPr>
          <w:rFonts w:ascii="Arial" w:hAnsi="Arial" w:cs="Arial"/>
          <w:sz w:val="23"/>
          <w:szCs w:val="23"/>
        </w:rPr>
        <w:t xml:space="preserve"> -</w:t>
      </w:r>
    </w:p>
    <w:p w:rsidR="00591B29" w:rsidRDefault="00591B29" w:rsidP="00591B29">
      <w:pPr>
        <w:rPr>
          <w:rFonts w:ascii="Arial" w:hAnsi="Arial" w:cs="Arial"/>
          <w:sz w:val="23"/>
          <w:szCs w:val="23"/>
        </w:rPr>
      </w:pPr>
      <w:r w:rsidRPr="009A7998">
        <w:rPr>
          <w:rFonts w:ascii="Arial" w:hAnsi="Arial" w:cs="Arial"/>
          <w:sz w:val="23"/>
          <w:szCs w:val="23"/>
        </w:rPr>
        <w:t>Crivelli Barella</w:t>
      </w:r>
      <w:r>
        <w:rPr>
          <w:rFonts w:ascii="Arial" w:hAnsi="Arial" w:cs="Arial"/>
          <w:sz w:val="23"/>
          <w:szCs w:val="23"/>
        </w:rPr>
        <w:t xml:space="preserve"> - </w:t>
      </w:r>
      <w:r w:rsidRPr="009A7998">
        <w:rPr>
          <w:rFonts w:ascii="Arial" w:hAnsi="Arial" w:cs="Arial"/>
          <w:sz w:val="23"/>
          <w:szCs w:val="23"/>
        </w:rPr>
        <w:t>Durisch</w:t>
      </w:r>
      <w:r>
        <w:rPr>
          <w:rFonts w:ascii="Arial" w:hAnsi="Arial" w:cs="Arial"/>
          <w:sz w:val="23"/>
          <w:szCs w:val="23"/>
        </w:rPr>
        <w:t xml:space="preserve"> - </w:t>
      </w:r>
      <w:r w:rsidRPr="009A7998">
        <w:rPr>
          <w:rFonts w:ascii="Arial" w:hAnsi="Arial" w:cs="Arial"/>
          <w:sz w:val="23"/>
          <w:szCs w:val="23"/>
        </w:rPr>
        <w:t>Ghisletta</w:t>
      </w:r>
      <w:r>
        <w:rPr>
          <w:rFonts w:ascii="Arial" w:hAnsi="Arial" w:cs="Arial"/>
          <w:sz w:val="23"/>
          <w:szCs w:val="23"/>
        </w:rPr>
        <w:t xml:space="preserve"> -</w:t>
      </w:r>
    </w:p>
    <w:p w:rsidR="00591B29" w:rsidRDefault="00591B29" w:rsidP="00591B29">
      <w:pPr>
        <w:rPr>
          <w:rFonts w:ascii="Arial" w:hAnsi="Arial" w:cs="Arial"/>
          <w:sz w:val="23"/>
          <w:szCs w:val="23"/>
        </w:rPr>
      </w:pPr>
      <w:r w:rsidRPr="009A7998">
        <w:rPr>
          <w:rFonts w:ascii="Arial" w:hAnsi="Arial" w:cs="Arial"/>
          <w:sz w:val="23"/>
          <w:szCs w:val="23"/>
        </w:rPr>
        <w:t>La Mantia</w:t>
      </w:r>
      <w:r>
        <w:rPr>
          <w:rFonts w:ascii="Arial" w:hAnsi="Arial" w:cs="Arial"/>
          <w:sz w:val="23"/>
          <w:szCs w:val="23"/>
        </w:rPr>
        <w:t xml:space="preserve"> - </w:t>
      </w:r>
      <w:r w:rsidRPr="009A7998">
        <w:rPr>
          <w:rFonts w:ascii="Arial" w:hAnsi="Arial" w:cs="Arial"/>
          <w:sz w:val="23"/>
          <w:szCs w:val="23"/>
        </w:rPr>
        <w:t>Lepori</w:t>
      </w:r>
      <w:r>
        <w:rPr>
          <w:rFonts w:ascii="Arial" w:hAnsi="Arial" w:cs="Arial"/>
          <w:sz w:val="23"/>
          <w:szCs w:val="23"/>
        </w:rPr>
        <w:t xml:space="preserve"> - </w:t>
      </w:r>
      <w:r w:rsidRPr="009A7998">
        <w:rPr>
          <w:rFonts w:ascii="Arial" w:hAnsi="Arial" w:cs="Arial"/>
          <w:sz w:val="23"/>
          <w:szCs w:val="23"/>
        </w:rPr>
        <w:t>Lurati</w:t>
      </w:r>
      <w:r>
        <w:rPr>
          <w:rFonts w:ascii="Arial" w:hAnsi="Arial" w:cs="Arial"/>
          <w:sz w:val="23"/>
          <w:szCs w:val="23"/>
        </w:rPr>
        <w:t xml:space="preserve"> Grassi -</w:t>
      </w:r>
    </w:p>
    <w:p w:rsidR="00591B29" w:rsidRDefault="00591B29" w:rsidP="00591B29">
      <w:pPr>
        <w:rPr>
          <w:rFonts w:ascii="Arial" w:hAnsi="Arial" w:cs="Arial"/>
          <w:sz w:val="23"/>
          <w:szCs w:val="23"/>
        </w:rPr>
      </w:pPr>
      <w:r w:rsidRPr="009A7998">
        <w:rPr>
          <w:rFonts w:ascii="Arial" w:hAnsi="Arial" w:cs="Arial"/>
          <w:sz w:val="23"/>
          <w:szCs w:val="23"/>
        </w:rPr>
        <w:t>Merlo</w:t>
      </w:r>
      <w:r>
        <w:rPr>
          <w:rFonts w:ascii="Arial" w:hAnsi="Arial" w:cs="Arial"/>
          <w:sz w:val="23"/>
          <w:szCs w:val="23"/>
        </w:rPr>
        <w:t xml:space="preserve"> - </w:t>
      </w:r>
      <w:r w:rsidRPr="009A7998">
        <w:rPr>
          <w:rFonts w:ascii="Arial" w:hAnsi="Arial" w:cs="Arial"/>
          <w:sz w:val="23"/>
          <w:szCs w:val="23"/>
        </w:rPr>
        <w:t>Patuzzi</w:t>
      </w:r>
      <w:r>
        <w:rPr>
          <w:rFonts w:ascii="Arial" w:hAnsi="Arial" w:cs="Arial"/>
          <w:sz w:val="23"/>
          <w:szCs w:val="23"/>
        </w:rPr>
        <w:t xml:space="preserve"> - Pugno </w:t>
      </w:r>
      <w:r w:rsidRPr="009A7998">
        <w:rPr>
          <w:rFonts w:ascii="Arial" w:hAnsi="Arial" w:cs="Arial"/>
          <w:sz w:val="23"/>
          <w:szCs w:val="23"/>
        </w:rPr>
        <w:t>Ghirlanda</w:t>
      </w:r>
      <w:r>
        <w:rPr>
          <w:rFonts w:ascii="Arial" w:hAnsi="Arial" w:cs="Arial"/>
          <w:sz w:val="23"/>
          <w:szCs w:val="23"/>
        </w:rPr>
        <w:t xml:space="preserve"> -</w:t>
      </w:r>
    </w:p>
    <w:p w:rsidR="005B4B17" w:rsidRPr="00591B29" w:rsidRDefault="00591B29" w:rsidP="00591B29">
      <w:r w:rsidRPr="009A7998">
        <w:rPr>
          <w:rFonts w:ascii="Arial" w:hAnsi="Arial" w:cs="Arial"/>
          <w:sz w:val="23"/>
          <w:szCs w:val="23"/>
        </w:rPr>
        <w:t>Riget</w:t>
      </w:r>
      <w:r>
        <w:rPr>
          <w:rFonts w:ascii="Arial" w:hAnsi="Arial" w:cs="Arial"/>
          <w:sz w:val="23"/>
          <w:szCs w:val="23"/>
        </w:rPr>
        <w:t xml:space="preserve"> - </w:t>
      </w:r>
      <w:r w:rsidRPr="009A7998">
        <w:rPr>
          <w:rFonts w:ascii="Arial" w:hAnsi="Arial" w:cs="Arial"/>
          <w:sz w:val="23"/>
          <w:szCs w:val="23"/>
        </w:rPr>
        <w:t>Sirica</w:t>
      </w:r>
      <w:r>
        <w:rPr>
          <w:rFonts w:ascii="Arial" w:hAnsi="Arial" w:cs="Arial"/>
          <w:sz w:val="23"/>
          <w:szCs w:val="23"/>
        </w:rPr>
        <w:t xml:space="preserve"> - </w:t>
      </w:r>
      <w:r w:rsidRPr="009A7998">
        <w:rPr>
          <w:rFonts w:ascii="Arial" w:hAnsi="Arial" w:cs="Arial"/>
          <w:sz w:val="23"/>
          <w:szCs w:val="23"/>
        </w:rPr>
        <w:t>Stephani</w:t>
      </w:r>
      <w:r>
        <w:rPr>
          <w:rFonts w:ascii="Arial" w:hAnsi="Arial" w:cs="Arial"/>
          <w:sz w:val="23"/>
          <w:szCs w:val="23"/>
        </w:rPr>
        <w:t xml:space="preserve"> - </w:t>
      </w:r>
      <w:r w:rsidRPr="009A7998">
        <w:rPr>
          <w:rFonts w:ascii="Arial" w:hAnsi="Arial" w:cs="Arial"/>
          <w:sz w:val="23"/>
          <w:szCs w:val="23"/>
        </w:rPr>
        <w:t>Storni</w:t>
      </w:r>
      <w:bookmarkStart w:id="0" w:name="_GoBack"/>
      <w:bookmarkEnd w:id="0"/>
    </w:p>
    <w:sectPr w:rsidR="005B4B17" w:rsidRPr="00591B29" w:rsidSect="001D5899">
      <w:footnotePr>
        <w:numRestart w:val="eachSect"/>
      </w:footnotePr>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D8D" w:rsidRDefault="00620D8D" w:rsidP="00620D8D">
      <w:r>
        <w:separator/>
      </w:r>
    </w:p>
  </w:endnote>
  <w:endnote w:type="continuationSeparator" w:id="0">
    <w:p w:rsidR="00620D8D" w:rsidRDefault="00620D8D" w:rsidP="0062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D8D" w:rsidRDefault="00620D8D" w:rsidP="00620D8D">
      <w:r>
        <w:separator/>
      </w:r>
    </w:p>
  </w:footnote>
  <w:footnote w:type="continuationSeparator" w:id="0">
    <w:p w:rsidR="00620D8D" w:rsidRDefault="00620D8D" w:rsidP="00620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decimal"/>
      <w:lvlText w:val="%1."/>
      <w:lvlJc w:val="left"/>
      <w:pPr>
        <w:tabs>
          <w:tab w:val="num" w:pos="0"/>
        </w:tabs>
        <w:ind w:left="1429" w:hanging="360"/>
      </w:pPr>
      <w:rPr>
        <w:position w:val="0"/>
        <w:sz w:val="20"/>
        <w:vertAlign w:val="baseline"/>
      </w:rPr>
    </w:lvl>
    <w:lvl w:ilvl="1">
      <w:start w:val="1"/>
      <w:numFmt w:val="lowerLetter"/>
      <w:lvlText w:val="%2."/>
      <w:lvlJc w:val="left"/>
      <w:pPr>
        <w:tabs>
          <w:tab w:val="num" w:pos="0"/>
        </w:tabs>
        <w:ind w:left="2149" w:hanging="360"/>
      </w:pPr>
      <w:rPr>
        <w:position w:val="0"/>
        <w:sz w:val="20"/>
        <w:vertAlign w:val="baseline"/>
      </w:rPr>
    </w:lvl>
    <w:lvl w:ilvl="2">
      <w:start w:val="1"/>
      <w:numFmt w:val="lowerRoman"/>
      <w:lvlText w:val="%2.%3."/>
      <w:lvlJc w:val="right"/>
      <w:pPr>
        <w:tabs>
          <w:tab w:val="num" w:pos="0"/>
        </w:tabs>
        <w:ind w:left="2869" w:hanging="180"/>
      </w:pPr>
      <w:rPr>
        <w:position w:val="0"/>
        <w:sz w:val="20"/>
        <w:vertAlign w:val="baseline"/>
      </w:rPr>
    </w:lvl>
    <w:lvl w:ilvl="3">
      <w:start w:val="1"/>
      <w:numFmt w:val="decimal"/>
      <w:lvlText w:val="%2.%3.%4."/>
      <w:lvlJc w:val="left"/>
      <w:pPr>
        <w:tabs>
          <w:tab w:val="num" w:pos="0"/>
        </w:tabs>
        <w:ind w:left="3589" w:hanging="360"/>
      </w:pPr>
      <w:rPr>
        <w:position w:val="0"/>
        <w:sz w:val="20"/>
        <w:vertAlign w:val="baseline"/>
      </w:rPr>
    </w:lvl>
    <w:lvl w:ilvl="4">
      <w:start w:val="1"/>
      <w:numFmt w:val="lowerLetter"/>
      <w:lvlText w:val="%2.%3.%4.%5."/>
      <w:lvlJc w:val="left"/>
      <w:pPr>
        <w:tabs>
          <w:tab w:val="num" w:pos="0"/>
        </w:tabs>
        <w:ind w:left="4309" w:hanging="360"/>
      </w:pPr>
      <w:rPr>
        <w:position w:val="0"/>
        <w:sz w:val="20"/>
        <w:vertAlign w:val="baseline"/>
      </w:rPr>
    </w:lvl>
    <w:lvl w:ilvl="5">
      <w:start w:val="1"/>
      <w:numFmt w:val="lowerRoman"/>
      <w:lvlText w:val="%2.%3.%4.%5.%6."/>
      <w:lvlJc w:val="right"/>
      <w:pPr>
        <w:tabs>
          <w:tab w:val="num" w:pos="0"/>
        </w:tabs>
        <w:ind w:left="5029" w:hanging="180"/>
      </w:pPr>
      <w:rPr>
        <w:position w:val="0"/>
        <w:sz w:val="20"/>
        <w:vertAlign w:val="baseline"/>
      </w:rPr>
    </w:lvl>
    <w:lvl w:ilvl="6">
      <w:start w:val="1"/>
      <w:numFmt w:val="decimal"/>
      <w:lvlText w:val="%2.%3.%4.%5.%6.%7."/>
      <w:lvlJc w:val="left"/>
      <w:pPr>
        <w:tabs>
          <w:tab w:val="num" w:pos="0"/>
        </w:tabs>
        <w:ind w:left="5749" w:hanging="360"/>
      </w:pPr>
      <w:rPr>
        <w:position w:val="0"/>
        <w:sz w:val="20"/>
        <w:vertAlign w:val="baseline"/>
      </w:rPr>
    </w:lvl>
    <w:lvl w:ilvl="7">
      <w:start w:val="1"/>
      <w:numFmt w:val="lowerLetter"/>
      <w:lvlText w:val="%2.%3.%4.%5.%6.%7.%8."/>
      <w:lvlJc w:val="left"/>
      <w:pPr>
        <w:tabs>
          <w:tab w:val="num" w:pos="0"/>
        </w:tabs>
        <w:ind w:left="6469" w:hanging="360"/>
      </w:pPr>
      <w:rPr>
        <w:position w:val="0"/>
        <w:sz w:val="20"/>
        <w:vertAlign w:val="baseline"/>
      </w:rPr>
    </w:lvl>
    <w:lvl w:ilvl="8">
      <w:start w:val="1"/>
      <w:numFmt w:val="lowerRoman"/>
      <w:lvlText w:val="%2.%3.%4.%5.%6.%7.%8.%9."/>
      <w:lvlJc w:val="right"/>
      <w:pPr>
        <w:tabs>
          <w:tab w:val="num" w:pos="0"/>
        </w:tabs>
        <w:ind w:left="7189" w:hanging="180"/>
      </w:pPr>
      <w:rPr>
        <w:position w:val="0"/>
        <w:sz w:val="20"/>
        <w:vertAlign w:val="baseline"/>
      </w:rPr>
    </w:lvl>
  </w:abstractNum>
  <w:abstractNum w:abstractNumId="1" w15:restartNumberingAfterBreak="0">
    <w:nsid w:val="00A27E30"/>
    <w:multiLevelType w:val="hybridMultilevel"/>
    <w:tmpl w:val="8D6E2AD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 w15:restartNumberingAfterBreak="0">
    <w:nsid w:val="03B021A5"/>
    <w:multiLevelType w:val="hybridMultilevel"/>
    <w:tmpl w:val="EF8E9D4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A2E2D98"/>
    <w:multiLevelType w:val="hybridMultilevel"/>
    <w:tmpl w:val="629090F0"/>
    <w:numStyleLink w:val="Puntielenco"/>
  </w:abstractNum>
  <w:abstractNum w:abstractNumId="4" w15:restartNumberingAfterBreak="0">
    <w:nsid w:val="0C710482"/>
    <w:multiLevelType w:val="hybridMultilevel"/>
    <w:tmpl w:val="66F4F56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5" w15:restartNumberingAfterBreak="0">
    <w:nsid w:val="15A218C3"/>
    <w:multiLevelType w:val="hybridMultilevel"/>
    <w:tmpl w:val="558EAF7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18D73228"/>
    <w:multiLevelType w:val="hybridMultilevel"/>
    <w:tmpl w:val="7124F7AA"/>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7" w15:restartNumberingAfterBreak="0">
    <w:nsid w:val="1B257EFA"/>
    <w:multiLevelType w:val="hybridMultilevel"/>
    <w:tmpl w:val="1AFEFAF8"/>
    <w:lvl w:ilvl="0" w:tplc="04300F88">
      <w:start w:val="1"/>
      <w:numFmt w:val="decimal"/>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8" w15:restartNumberingAfterBreak="0">
    <w:nsid w:val="33DA6DB7"/>
    <w:multiLevelType w:val="hybridMultilevel"/>
    <w:tmpl w:val="69D69BCA"/>
    <w:lvl w:ilvl="0" w:tplc="0810000F">
      <w:start w:val="1"/>
      <w:numFmt w:val="decimal"/>
      <w:lvlText w:val="%1."/>
      <w:lvlJc w:val="left"/>
      <w:pPr>
        <w:ind w:left="720" w:hanging="360"/>
      </w:pPr>
      <w:rPr>
        <w:rFonts w:hint="default"/>
        <w:b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9" w15:restartNumberingAfterBreak="0">
    <w:nsid w:val="39DD23AE"/>
    <w:multiLevelType w:val="hybridMultilevel"/>
    <w:tmpl w:val="408A4278"/>
    <w:lvl w:ilvl="0" w:tplc="7E96B1DE">
      <w:numFmt w:val="bullet"/>
      <w:lvlText w:val="-"/>
      <w:lvlJc w:val="left"/>
      <w:pPr>
        <w:ind w:left="720" w:hanging="360"/>
      </w:pPr>
      <w:rPr>
        <w:rFonts w:ascii="Arial" w:eastAsia="Calibri"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3DA178FD"/>
    <w:multiLevelType w:val="hybridMultilevel"/>
    <w:tmpl w:val="8A66D828"/>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15:restartNumberingAfterBreak="0">
    <w:nsid w:val="3F9B4F09"/>
    <w:multiLevelType w:val="hybridMultilevel"/>
    <w:tmpl w:val="84809B9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426E2C32"/>
    <w:multiLevelType w:val="hybridMultilevel"/>
    <w:tmpl w:val="B414E0A4"/>
    <w:lvl w:ilvl="0" w:tplc="6A76BABE">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4C6E5480"/>
    <w:multiLevelType w:val="hybridMultilevel"/>
    <w:tmpl w:val="9754F312"/>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4" w15:restartNumberingAfterBreak="0">
    <w:nsid w:val="4D993DA9"/>
    <w:multiLevelType w:val="hybridMultilevel"/>
    <w:tmpl w:val="629090F0"/>
    <w:styleLink w:val="Puntielenco"/>
    <w:lvl w:ilvl="0" w:tplc="CA3E63D8">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80" w:hanging="180"/>
      </w:pPr>
      <w:rPr>
        <w:rFonts w:hAnsi="Arial Unicode MS"/>
        <w:caps w:val="0"/>
        <w:smallCaps w:val="0"/>
        <w:strike w:val="0"/>
        <w:dstrike w:val="0"/>
        <w:outline w:val="0"/>
        <w:emboss w:val="0"/>
        <w:imprint w:val="0"/>
        <w:spacing w:val="0"/>
        <w:w w:val="100"/>
        <w:kern w:val="0"/>
        <w:position w:val="-2"/>
        <w:highlight w:val="none"/>
        <w:vertAlign w:val="baseline"/>
      </w:rPr>
    </w:lvl>
    <w:lvl w:ilvl="1" w:tplc="B4021FA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tplc="695A1840">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C14C1AA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68FE51C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8B32877A">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F8EC137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C568A1EC">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8278BD16">
      <w:start w:val="1"/>
      <w:numFmt w:val="bullet"/>
      <w:lvlText w:val="•"/>
      <w:lvlJc w:val="left"/>
      <w:pPr>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5" w15:restartNumberingAfterBreak="0">
    <w:nsid w:val="51A861AE"/>
    <w:multiLevelType w:val="hybridMultilevel"/>
    <w:tmpl w:val="434AD23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6" w15:restartNumberingAfterBreak="0">
    <w:nsid w:val="532B685A"/>
    <w:multiLevelType w:val="hybridMultilevel"/>
    <w:tmpl w:val="43C42E9E"/>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5DCD58CA"/>
    <w:multiLevelType w:val="hybridMultilevel"/>
    <w:tmpl w:val="7DFE0068"/>
    <w:lvl w:ilvl="0" w:tplc="E8CC583E">
      <w:start w:val="1"/>
      <w:numFmt w:val="decimal"/>
      <w:lvlText w:val="%1."/>
      <w:lvlJc w:val="left"/>
      <w:pPr>
        <w:ind w:left="284" w:hanging="360"/>
      </w:pPr>
      <w:rPr>
        <w:rFonts w:eastAsia="Arial" w:cs="Arial" w:hint="default"/>
        <w:i w:val="0"/>
      </w:rPr>
    </w:lvl>
    <w:lvl w:ilvl="1" w:tplc="08100019" w:tentative="1">
      <w:start w:val="1"/>
      <w:numFmt w:val="lowerLetter"/>
      <w:lvlText w:val="%2."/>
      <w:lvlJc w:val="left"/>
      <w:pPr>
        <w:ind w:left="1004" w:hanging="360"/>
      </w:pPr>
    </w:lvl>
    <w:lvl w:ilvl="2" w:tplc="0810001B" w:tentative="1">
      <w:start w:val="1"/>
      <w:numFmt w:val="lowerRoman"/>
      <w:lvlText w:val="%3."/>
      <w:lvlJc w:val="right"/>
      <w:pPr>
        <w:ind w:left="1724" w:hanging="180"/>
      </w:pPr>
    </w:lvl>
    <w:lvl w:ilvl="3" w:tplc="0810000F" w:tentative="1">
      <w:start w:val="1"/>
      <w:numFmt w:val="decimal"/>
      <w:lvlText w:val="%4."/>
      <w:lvlJc w:val="left"/>
      <w:pPr>
        <w:ind w:left="2444" w:hanging="360"/>
      </w:pPr>
    </w:lvl>
    <w:lvl w:ilvl="4" w:tplc="08100019" w:tentative="1">
      <w:start w:val="1"/>
      <w:numFmt w:val="lowerLetter"/>
      <w:lvlText w:val="%5."/>
      <w:lvlJc w:val="left"/>
      <w:pPr>
        <w:ind w:left="3164" w:hanging="360"/>
      </w:pPr>
    </w:lvl>
    <w:lvl w:ilvl="5" w:tplc="0810001B" w:tentative="1">
      <w:start w:val="1"/>
      <w:numFmt w:val="lowerRoman"/>
      <w:lvlText w:val="%6."/>
      <w:lvlJc w:val="right"/>
      <w:pPr>
        <w:ind w:left="3884" w:hanging="180"/>
      </w:pPr>
    </w:lvl>
    <w:lvl w:ilvl="6" w:tplc="0810000F" w:tentative="1">
      <w:start w:val="1"/>
      <w:numFmt w:val="decimal"/>
      <w:lvlText w:val="%7."/>
      <w:lvlJc w:val="left"/>
      <w:pPr>
        <w:ind w:left="4604" w:hanging="360"/>
      </w:pPr>
    </w:lvl>
    <w:lvl w:ilvl="7" w:tplc="08100019" w:tentative="1">
      <w:start w:val="1"/>
      <w:numFmt w:val="lowerLetter"/>
      <w:lvlText w:val="%8."/>
      <w:lvlJc w:val="left"/>
      <w:pPr>
        <w:ind w:left="5324" w:hanging="360"/>
      </w:pPr>
    </w:lvl>
    <w:lvl w:ilvl="8" w:tplc="0810001B" w:tentative="1">
      <w:start w:val="1"/>
      <w:numFmt w:val="lowerRoman"/>
      <w:lvlText w:val="%9."/>
      <w:lvlJc w:val="right"/>
      <w:pPr>
        <w:ind w:left="6044" w:hanging="180"/>
      </w:pPr>
    </w:lvl>
  </w:abstractNum>
  <w:abstractNum w:abstractNumId="18" w15:restartNumberingAfterBreak="0">
    <w:nsid w:val="5F7D1957"/>
    <w:multiLevelType w:val="hybridMultilevel"/>
    <w:tmpl w:val="EC2E2F2A"/>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19" w15:restartNumberingAfterBreak="0">
    <w:nsid w:val="5FD359CB"/>
    <w:multiLevelType w:val="hybridMultilevel"/>
    <w:tmpl w:val="94DAF2E8"/>
    <w:lvl w:ilvl="0" w:tplc="A268E152">
      <w:numFmt w:val="bullet"/>
      <w:lvlText w:val="-"/>
      <w:lvlJc w:val="left"/>
      <w:pPr>
        <w:ind w:left="720" w:hanging="360"/>
      </w:pPr>
      <w:rPr>
        <w:rFonts w:ascii="Calibri" w:eastAsiaTheme="minorHAnsi" w:hAnsi="Calibri" w:cs="Calibri"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6ADD002D"/>
    <w:multiLevelType w:val="hybridMultilevel"/>
    <w:tmpl w:val="E8AEE2A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6C1F374D"/>
    <w:multiLevelType w:val="hybridMultilevel"/>
    <w:tmpl w:val="51603E06"/>
    <w:lvl w:ilvl="0" w:tplc="0810000F">
      <w:start w:val="1"/>
      <w:numFmt w:val="decimal"/>
      <w:lvlText w:val="%1."/>
      <w:lvlJc w:val="left"/>
      <w:pPr>
        <w:ind w:left="720" w:hanging="360"/>
      </w:pPr>
      <w:rPr>
        <w:rFonts w:hint="default"/>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2" w15:restartNumberingAfterBreak="0">
    <w:nsid w:val="76086D12"/>
    <w:multiLevelType w:val="hybridMultilevel"/>
    <w:tmpl w:val="0EF6645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3"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22"/>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7"/>
  </w:num>
  <w:num w:numId="5">
    <w:abstractNumId w:val="11"/>
  </w:num>
  <w:num w:numId="6">
    <w:abstractNumId w:val="16"/>
  </w:num>
  <w:num w:numId="7">
    <w:abstractNumId w:val="14"/>
  </w:num>
  <w:num w:numId="8">
    <w:abstractNumId w:val="3"/>
  </w:num>
  <w:num w:numId="9">
    <w:abstractNumId w:val="15"/>
  </w:num>
  <w:num w:numId="10">
    <w:abstractNumId w:val="10"/>
  </w:num>
  <w:num w:numId="11">
    <w:abstractNumId w:val="23"/>
  </w:num>
  <w:num w:numId="12">
    <w:abstractNumId w:val="12"/>
  </w:num>
  <w:num w:numId="13">
    <w:abstractNumId w:val="9"/>
  </w:num>
  <w:num w:numId="14">
    <w:abstractNumId w:val="6"/>
  </w:num>
  <w:num w:numId="15">
    <w:abstractNumId w:val="13"/>
  </w:num>
  <w:num w:numId="16">
    <w:abstractNumId w:val="21"/>
  </w:num>
  <w:num w:numId="17">
    <w:abstractNumId w:val="0"/>
  </w:num>
  <w:num w:numId="18">
    <w:abstractNumId w:val="8"/>
  </w:num>
  <w:num w:numId="19">
    <w:abstractNumId w:val="5"/>
  </w:num>
  <w:num w:numId="20">
    <w:abstractNumId w:val="20"/>
  </w:num>
  <w:num w:numId="21">
    <w:abstractNumId w:val="19"/>
  </w:num>
  <w:num w:numId="22">
    <w:abstractNumId w:val="7"/>
  </w:num>
  <w:num w:numId="23">
    <w:abstractNumId w:val="4"/>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E8D"/>
    <w:rsid w:val="000655C4"/>
    <w:rsid w:val="000A603A"/>
    <w:rsid w:val="000A7937"/>
    <w:rsid w:val="000F6DFB"/>
    <w:rsid w:val="001A6A66"/>
    <w:rsid w:val="00252E09"/>
    <w:rsid w:val="002972A7"/>
    <w:rsid w:val="003411F7"/>
    <w:rsid w:val="00492BE8"/>
    <w:rsid w:val="004F0B2A"/>
    <w:rsid w:val="00591B29"/>
    <w:rsid w:val="005B104A"/>
    <w:rsid w:val="005B4B17"/>
    <w:rsid w:val="005E26F1"/>
    <w:rsid w:val="006140A5"/>
    <w:rsid w:val="00620D8D"/>
    <w:rsid w:val="006A3A82"/>
    <w:rsid w:val="006E4E78"/>
    <w:rsid w:val="0071164E"/>
    <w:rsid w:val="007632A2"/>
    <w:rsid w:val="00791D98"/>
    <w:rsid w:val="007A02E6"/>
    <w:rsid w:val="007B73D2"/>
    <w:rsid w:val="008C2349"/>
    <w:rsid w:val="0092015C"/>
    <w:rsid w:val="00956FFE"/>
    <w:rsid w:val="009F0C2B"/>
    <w:rsid w:val="00A33531"/>
    <w:rsid w:val="00AD3254"/>
    <w:rsid w:val="00B36839"/>
    <w:rsid w:val="00C536F6"/>
    <w:rsid w:val="00C83107"/>
    <w:rsid w:val="00CC77E8"/>
    <w:rsid w:val="00CD1D31"/>
    <w:rsid w:val="00D32259"/>
    <w:rsid w:val="00D33301"/>
    <w:rsid w:val="00D35E03"/>
    <w:rsid w:val="00D43AAA"/>
    <w:rsid w:val="00D57E8D"/>
    <w:rsid w:val="00E30BB7"/>
    <w:rsid w:val="00EF0263"/>
    <w:rsid w:val="00F0681A"/>
    <w:rsid w:val="00F16FA8"/>
    <w:rsid w:val="00F83E1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5177B2-C615-4C8F-87D3-EF9C74F8D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26"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D57E8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1"/>
    <w:qFormat/>
    <w:rsid w:val="00D57E8D"/>
    <w:pPr>
      <w:ind w:left="114"/>
    </w:pPr>
    <w:rPr>
      <w:lang w:eastAsia="en-US"/>
    </w:rPr>
  </w:style>
  <w:style w:type="character" w:customStyle="1" w:styleId="CorpotestoCarattere">
    <w:name w:val="Corpo testo Carattere"/>
    <w:basedOn w:val="Carpredefinitoparagrafo"/>
    <w:link w:val="Corpotesto"/>
    <w:uiPriority w:val="1"/>
    <w:rsid w:val="00D57E8D"/>
    <w:rPr>
      <w:rFonts w:ascii="Times New Roman" w:eastAsia="Times New Roman" w:hAnsi="Times New Roman" w:cs="Times New Roman"/>
      <w:sz w:val="24"/>
      <w:szCs w:val="24"/>
    </w:rPr>
  </w:style>
  <w:style w:type="paragraph" w:styleId="Testofumetto">
    <w:name w:val="Balloon Text"/>
    <w:basedOn w:val="Normale"/>
    <w:link w:val="TestofumettoCarattere"/>
    <w:uiPriority w:val="99"/>
    <w:semiHidden/>
    <w:unhideWhenUsed/>
    <w:rsid w:val="00CC77E8"/>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CC77E8"/>
    <w:rPr>
      <w:rFonts w:ascii="Segoe UI" w:eastAsia="Times New Roman" w:hAnsi="Segoe UI" w:cs="Segoe UI"/>
      <w:sz w:val="18"/>
      <w:szCs w:val="18"/>
      <w:lang w:eastAsia="it-CH"/>
    </w:rPr>
  </w:style>
  <w:style w:type="paragraph" w:styleId="Paragrafoelenco">
    <w:name w:val="List Paragraph"/>
    <w:basedOn w:val="Normale"/>
    <w:uiPriority w:val="26"/>
    <w:qFormat/>
    <w:rsid w:val="00CC77E8"/>
    <w:pPr>
      <w:ind w:left="708"/>
    </w:pPr>
  </w:style>
  <w:style w:type="paragraph" w:styleId="NormaleWeb">
    <w:name w:val="Normal (Web)"/>
    <w:basedOn w:val="Normale"/>
    <w:unhideWhenUsed/>
    <w:rsid w:val="00252E09"/>
    <w:pPr>
      <w:widowControl/>
      <w:autoSpaceDE/>
      <w:autoSpaceDN/>
      <w:adjustRightInd/>
      <w:spacing w:before="100" w:beforeAutospacing="1" w:after="100" w:afterAutospacing="1"/>
    </w:pPr>
  </w:style>
  <w:style w:type="character" w:styleId="Collegamentoipertestuale">
    <w:name w:val="Hyperlink"/>
    <w:uiPriority w:val="99"/>
    <w:rsid w:val="006A3A82"/>
    <w:rPr>
      <w:u w:val="single"/>
    </w:rPr>
  </w:style>
  <w:style w:type="paragraph" w:customStyle="1" w:styleId="Didefault">
    <w:name w:val="Di default"/>
    <w:rsid w:val="00492BE8"/>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it-IT" w:eastAsia="it-IT"/>
    </w:rPr>
  </w:style>
  <w:style w:type="numbering" w:customStyle="1" w:styleId="Puntielenco">
    <w:name w:val="Punti elenco"/>
    <w:rsid w:val="00492BE8"/>
    <w:pPr>
      <w:numPr>
        <w:numId w:val="7"/>
      </w:numPr>
    </w:pPr>
  </w:style>
  <w:style w:type="character" w:customStyle="1" w:styleId="Hyperlink0">
    <w:name w:val="Hyperlink.0"/>
    <w:basedOn w:val="Carpredefinitoparagrafo"/>
    <w:rsid w:val="00492BE8"/>
    <w:rPr>
      <w:u w:val="none"/>
    </w:rPr>
  </w:style>
  <w:style w:type="paragraph" w:styleId="Testonotaapidipagina">
    <w:name w:val="footnote text"/>
    <w:basedOn w:val="Normale"/>
    <w:link w:val="TestonotaapidipaginaCarattere"/>
    <w:semiHidden/>
    <w:unhideWhenUsed/>
    <w:rsid w:val="00620D8D"/>
    <w:pPr>
      <w:widowControl/>
      <w:autoSpaceDE/>
      <w:autoSpaceDN/>
      <w:adjustRightInd/>
      <w:spacing w:before="100" w:beforeAutospacing="1" w:after="100" w:afterAutospacing="1"/>
    </w:pPr>
    <w:rPr>
      <w:rFonts w:eastAsia="Calibri"/>
    </w:rPr>
  </w:style>
  <w:style w:type="character" w:customStyle="1" w:styleId="TestonotaapidipaginaCarattere">
    <w:name w:val="Testo nota a piè di pagina Carattere"/>
    <w:basedOn w:val="Carpredefinitoparagrafo"/>
    <w:link w:val="Testonotaapidipagina"/>
    <w:semiHidden/>
    <w:rsid w:val="00620D8D"/>
    <w:rPr>
      <w:rFonts w:ascii="Times New Roman" w:eastAsia="Calibri" w:hAnsi="Times New Roman" w:cs="Times New Roman"/>
      <w:sz w:val="24"/>
      <w:szCs w:val="24"/>
      <w:lang w:eastAsia="it-CH"/>
    </w:rPr>
  </w:style>
  <w:style w:type="character" w:styleId="Rimandonotaapidipagina">
    <w:name w:val="footnote reference"/>
    <w:semiHidden/>
    <w:unhideWhenUsed/>
    <w:rsid w:val="00620D8D"/>
  </w:style>
  <w:style w:type="character" w:styleId="Enfasigrassetto">
    <w:name w:val="Strong"/>
    <w:basedOn w:val="Carpredefinitoparagrafo"/>
    <w:qFormat/>
    <w:rsid w:val="006140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561</Words>
  <Characters>3202</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2</cp:revision>
  <cp:lastPrinted>2019-09-19T09:11:00Z</cp:lastPrinted>
  <dcterms:created xsi:type="dcterms:W3CDTF">2019-09-19T09:13:00Z</dcterms:created>
  <dcterms:modified xsi:type="dcterms:W3CDTF">2019-09-19T09:13:00Z</dcterms:modified>
</cp:coreProperties>
</file>