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F3" w:rsidRPr="00C06EF3" w:rsidRDefault="00C06EF3" w:rsidP="00C06EF3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06EF3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C06EF3" w:rsidRPr="00C06EF3" w:rsidRDefault="00C06EF3" w:rsidP="00C06EF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C06EF3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Aggiunta di normative riguardanti lo spazio cibernetico e creazione di un corpo per la lotta alla </w:t>
      </w:r>
      <w:proofErr w:type="spellStart"/>
      <w:r w:rsidRPr="00C06EF3">
        <w:rPr>
          <w:rFonts w:ascii="Arial" w:hAnsi="Arial" w:cs="Arial"/>
          <w:b/>
          <w:sz w:val="23"/>
          <w:szCs w:val="23"/>
          <w:u w:val="single"/>
          <w:lang w:val="it-CH"/>
        </w:rPr>
        <w:t>cibercriminalità</w:t>
      </w:r>
      <w:proofErr w:type="spellEnd"/>
      <w:r w:rsidRPr="00C06EF3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(online e offline)</w:t>
      </w:r>
    </w:p>
    <w:p w:rsidR="00C06EF3" w:rsidRPr="00C06EF3" w:rsidRDefault="00C06EF3" w:rsidP="00C06EF3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>del 19 giugno 2017</w:t>
      </w:r>
    </w:p>
    <w:p w:rsidR="00C06EF3" w:rsidRPr="00C06EF3" w:rsidRDefault="00C06EF3" w:rsidP="00C06EF3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06EF3">
        <w:rPr>
          <w:rFonts w:ascii="Arial" w:hAnsi="Arial" w:cs="Arial"/>
          <w:b/>
          <w:sz w:val="23"/>
          <w:szCs w:val="23"/>
          <w:lang w:val="it-CH"/>
        </w:rPr>
        <w:t>Premessa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>Lo sviluppo di Internet caratterizza la nostra era. È attraverso lo spazio cibernetico che sempre più si realizzano le fondamentali libertà di informazione, di espressione e di associazione del cittadino, viene perseguita la trasparenza della politica e l’efficienza dei servizi della Pubblica Amministrazione, si promuove la crescita e l’innovazione delle nostre aziende. Lo spazio virtuale rappresenta un’arena in cui ogni giorno si stabiliscono attraverso le frontiere geografiche miliardi di interconnessioni e si scambia conoscenza a livello globale, ridisegnando il mondo ad una velocità senza precedenti.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 xml:space="preserve">Il risiedere all’interno delle reti di una mole ogni giorno maggiore di </w:t>
      </w:r>
      <w:proofErr w:type="spellStart"/>
      <w:r w:rsidRPr="00C06EF3">
        <w:rPr>
          <w:rFonts w:ascii="Arial" w:hAnsi="Arial" w:cs="Arial"/>
          <w:sz w:val="23"/>
          <w:szCs w:val="23"/>
          <w:lang w:val="it-CH"/>
        </w:rPr>
        <w:t>saperi</w:t>
      </w:r>
      <w:proofErr w:type="spellEnd"/>
      <w:r w:rsidRPr="00C06EF3">
        <w:rPr>
          <w:rFonts w:ascii="Arial" w:hAnsi="Arial" w:cs="Arial"/>
          <w:sz w:val="23"/>
          <w:szCs w:val="23"/>
          <w:lang w:val="it-CH"/>
        </w:rPr>
        <w:t xml:space="preserve"> essenziali ai fini della sicurezza e della prosperità del sistema-Paese rende sempre più pressante l’esigenza di garantire, anche nello spazio cibernetico, il </w:t>
      </w:r>
      <w:r w:rsidRPr="00C06EF3">
        <w:rPr>
          <w:rFonts w:ascii="Arial" w:hAnsi="Arial" w:cs="Arial"/>
          <w:b/>
          <w:sz w:val="23"/>
          <w:szCs w:val="23"/>
          <w:lang w:val="it-CH"/>
        </w:rPr>
        <w:t>rispetto dei diritti e dei doveri</w:t>
      </w:r>
      <w:r w:rsidRPr="00C06EF3">
        <w:rPr>
          <w:rFonts w:ascii="Arial" w:hAnsi="Arial" w:cs="Arial"/>
          <w:sz w:val="23"/>
          <w:szCs w:val="23"/>
          <w:lang w:val="it-CH"/>
        </w:rPr>
        <w:t xml:space="preserve">, che già vigono nella società civile, nel tessuto economico e nella comunità internazionale. 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 xml:space="preserve">L’arena digitale non è uno spazio al di fuori delle leggi, ed è nostra responsabilità lavorare affinché vi si affermino compiutamente i valori ed i princìpi democratici, oltre che le norme di rispetto dell’individuo, di eguaglianza e di libertà nelle quali crediamo. È peraltro solo in un ambiente contrassegnato da fiducia e rispetto reciproco che sarà possibile cogliere appieno le opportunità di crescita offerte dalle piattaforme digitali, assicurando lo sviluppo di uno </w:t>
      </w:r>
      <w:r w:rsidRPr="00C06EF3">
        <w:rPr>
          <w:rFonts w:ascii="Arial" w:hAnsi="Arial" w:cs="Arial"/>
          <w:b/>
          <w:sz w:val="23"/>
          <w:szCs w:val="23"/>
          <w:lang w:val="it-CH"/>
        </w:rPr>
        <w:t>spazio cibernetico aperto, affidabile e sicuro per il sistema finanziario, per le aziende e per i consumatori.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240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 xml:space="preserve">La crescente dipendenza delle società moderne dallo spazio cibernetico rende sempre più grave il danno che può giungere dalla compromissione delle reti o da mirati attacchi attraverso di esse. Le minacce possono originare da qualsiasi punto della rete globale e spesso colpiscono gli anelli più deboli della catena, ossia i soggetti più fragili, o i sistemi meno protetti. Attraverso le reti possono compiersi crimini odiosi come lo scambio online di materiale pedopornografico, o realizzarsi furti e truffe che, oltre a danneggiare gravemente gli interessi privati, impediscono che si affermi il necessario livello di fiducia nella comunità digitale. 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r w:rsidRPr="00C06EF3">
        <w:rPr>
          <w:rFonts w:ascii="Arial" w:hAnsi="Arial" w:cs="Arial"/>
          <w:sz w:val="23"/>
          <w:szCs w:val="23"/>
          <w:u w:val="single"/>
          <w:lang w:val="it-CH"/>
        </w:rPr>
        <w:t>Le Problematiche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>Le forme di criminalità segnalate allo</w:t>
      </w:r>
      <w:r w:rsidRPr="00C06EF3">
        <w:rPr>
          <w:rFonts w:ascii="Arial" w:hAnsi="Arial" w:cs="Arial"/>
          <w:b/>
          <w:sz w:val="23"/>
          <w:szCs w:val="23"/>
          <w:lang w:val="it-CH"/>
        </w:rPr>
        <w:t xml:space="preserve"> SCOCI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Servizio di coordinazione per la lotta contro la criminalità su Internet </w:t>
      </w:r>
      <w:r w:rsidRPr="00C06EF3">
        <w:rPr>
          <w:rFonts w:ascii="Arial" w:hAnsi="Arial" w:cs="Arial"/>
          <w:sz w:val="23"/>
          <w:szCs w:val="23"/>
          <w:lang w:val="it-CH"/>
        </w:rPr>
        <w:t xml:space="preserve"> possono essere suddivise in due ambiti interconnessi. Per criminalità su Internet in senso stretto s’intendono:</w:t>
      </w:r>
    </w:p>
    <w:p w:rsidR="00C06EF3" w:rsidRPr="00C06EF3" w:rsidRDefault="00C06EF3" w:rsidP="00C06EF3">
      <w:pPr>
        <w:numPr>
          <w:ilvl w:val="0"/>
          <w:numId w:val="3"/>
        </w:numPr>
        <w:tabs>
          <w:tab w:val="left" w:pos="284"/>
          <w:tab w:val="left" w:pos="567"/>
        </w:tabs>
        <w:spacing w:after="12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>i reati perpetrati utilizzando le tecnologie di Internet o sfruttando i punti deboli di esse. Ne fanno parte ad esempio i fenomeni quali l’</w:t>
      </w:r>
      <w:proofErr w:type="spellStart"/>
      <w:r w:rsidRPr="00C06EF3">
        <w:rPr>
          <w:rFonts w:ascii="Arial" w:hAnsi="Arial" w:cs="Arial"/>
          <w:sz w:val="23"/>
          <w:szCs w:val="23"/>
          <w:lang w:val="it-CH"/>
        </w:rPr>
        <w:t>hacking</w:t>
      </w:r>
      <w:proofErr w:type="spellEnd"/>
      <w:r w:rsidRPr="00C06EF3">
        <w:rPr>
          <w:rFonts w:ascii="Arial" w:hAnsi="Arial" w:cs="Arial"/>
          <w:sz w:val="23"/>
          <w:szCs w:val="23"/>
          <w:lang w:val="it-CH"/>
        </w:rPr>
        <w:t xml:space="preserve">, i Distributed </w:t>
      </w:r>
      <w:proofErr w:type="spellStart"/>
      <w:r w:rsidRPr="00C06EF3">
        <w:rPr>
          <w:rFonts w:ascii="Arial" w:hAnsi="Arial" w:cs="Arial"/>
          <w:sz w:val="23"/>
          <w:szCs w:val="23"/>
          <w:lang w:val="it-CH"/>
        </w:rPr>
        <w:t>Denial</w:t>
      </w:r>
      <w:proofErr w:type="spellEnd"/>
      <w:r w:rsidRPr="00C06EF3">
        <w:rPr>
          <w:rFonts w:ascii="Arial" w:hAnsi="Arial" w:cs="Arial"/>
          <w:sz w:val="23"/>
          <w:szCs w:val="23"/>
          <w:lang w:val="it-CH"/>
        </w:rPr>
        <w:t xml:space="preserve"> of Service (gli attacchi </w:t>
      </w:r>
      <w:proofErr w:type="spellStart"/>
      <w:r w:rsidRPr="00C06EF3">
        <w:rPr>
          <w:rFonts w:ascii="Arial" w:hAnsi="Arial" w:cs="Arial"/>
          <w:sz w:val="23"/>
          <w:szCs w:val="23"/>
          <w:lang w:val="it-CH"/>
        </w:rPr>
        <w:t>DDoS</w:t>
      </w:r>
      <w:proofErr w:type="spellEnd"/>
      <w:r w:rsidRPr="00C06EF3">
        <w:rPr>
          <w:rFonts w:ascii="Arial" w:hAnsi="Arial" w:cs="Arial"/>
          <w:sz w:val="23"/>
          <w:szCs w:val="23"/>
          <w:lang w:val="it-CH"/>
        </w:rPr>
        <w:t>) o la creazione e la diffusione di software nocivi (</w:t>
      </w:r>
      <w:proofErr w:type="spellStart"/>
      <w:r w:rsidRPr="00C06EF3">
        <w:rPr>
          <w:rFonts w:ascii="Arial" w:hAnsi="Arial" w:cs="Arial"/>
          <w:sz w:val="23"/>
          <w:szCs w:val="23"/>
          <w:lang w:val="it-CH"/>
        </w:rPr>
        <w:t>malware</w:t>
      </w:r>
      <w:proofErr w:type="spellEnd"/>
      <w:r w:rsidRPr="00C06EF3">
        <w:rPr>
          <w:rFonts w:ascii="Arial" w:hAnsi="Arial" w:cs="Arial"/>
          <w:sz w:val="23"/>
          <w:szCs w:val="23"/>
          <w:lang w:val="it-CH"/>
        </w:rPr>
        <w:t>). Tali reati sono diventati possibili soltanto con l’avvento di Internet e sono diretti contro le sue tecnologie.</w:t>
      </w:r>
    </w:p>
    <w:p w:rsidR="00C06EF3" w:rsidRPr="00C06EF3" w:rsidRDefault="00C06EF3" w:rsidP="00C06EF3">
      <w:pPr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ind w:left="284" w:hanging="284"/>
        <w:contextualSpacing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t xml:space="preserve">La criminalità su Internet in senso lato sfrutta invece le possibilità offerte da Internet, quali la posta elettronica o i server per lo scambio di dati, per commettere reati. Rientrano ad esempio in tale categoria i metodi di truffa utilizzati su piattaforme di piccoli annunci o la diffusione di materiale pornografico illegale. 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06EF3">
        <w:rPr>
          <w:rFonts w:ascii="Arial" w:hAnsi="Arial" w:cs="Arial"/>
          <w:sz w:val="23"/>
          <w:szCs w:val="23"/>
          <w:lang w:val="it-CH"/>
        </w:rPr>
        <w:lastRenderedPageBreak/>
        <w:t>Nel dettaglio: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06EF3">
        <w:rPr>
          <w:rFonts w:ascii="Arial" w:hAnsi="Arial" w:cs="Arial"/>
          <w:b/>
          <w:sz w:val="23"/>
          <w:szCs w:val="23"/>
          <w:lang w:val="it-CH"/>
        </w:rPr>
        <w:t>Furto d’Identità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Internet è una vera fonte di informazioni personali. Molte società o istituzioni conservano informazioni circa i loro clienti in database installati in sistemi connessi a Internet non protetti adeguatamente. Sono molteplici i casi in cui dei malintenzionati sono riusciti a procurarsi l’accesso a database contenenti dati considerati sensibili, quali ad esempio i numeri delle carte di credito. Internet è anche il luogo più usato per vendere o scambiare informazioni di qualsiasi tipo, rendendo sempre più difficile per le istituzioni preposte il riconoscimento dei colpevoli.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Stalking</w:t>
      </w:r>
      <w:proofErr w:type="spellEnd"/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Il diritto svizzero non prevede il reato di </w:t>
      </w: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stalking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, quando per questo termine si intende una serie di atteggiamenti tenuti da un individuo, detto </w:t>
      </w:r>
      <w:proofErr w:type="spellStart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>stalker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, che affliggono un'altra persona, perseguitandola, generandole stati di </w:t>
      </w:r>
      <w:hyperlink r:id="rId8">
        <w:r w:rsidRPr="00C06EF3">
          <w:rPr>
            <w:rFonts w:ascii="Arial" w:hAnsi="Arial" w:cs="Arial"/>
            <w:sz w:val="23"/>
            <w:szCs w:val="23"/>
            <w:highlight w:val="white"/>
            <w:lang w:val="it-CH"/>
          </w:rPr>
          <w:t>paura</w:t>
        </w:r>
      </w:hyperlink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e </w:t>
      </w:r>
      <w:hyperlink r:id="rId9">
        <w:r w:rsidRPr="00C06EF3">
          <w:rPr>
            <w:rFonts w:ascii="Arial" w:hAnsi="Arial" w:cs="Arial"/>
            <w:sz w:val="23"/>
            <w:szCs w:val="23"/>
            <w:highlight w:val="white"/>
            <w:lang w:val="it-CH"/>
          </w:rPr>
          <w:t>ansia</w:t>
        </w:r>
      </w:hyperlink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, arrivando persino a compromettere lo svolgimento della normale </w:t>
      </w:r>
      <w:hyperlink r:id="rId10">
        <w:r w:rsidRPr="00C06EF3">
          <w:rPr>
            <w:rFonts w:ascii="Arial" w:hAnsi="Arial" w:cs="Arial"/>
            <w:sz w:val="23"/>
            <w:szCs w:val="23"/>
            <w:highlight w:val="white"/>
            <w:lang w:val="it-CH"/>
          </w:rPr>
          <w:t>vita</w:t>
        </w:r>
      </w:hyperlink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quotidiana. In altri Stati europei gli atti persecutori sono puniti penalmente.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proofErr w:type="spellStart"/>
      <w:r w:rsidRPr="00C06EF3">
        <w:rPr>
          <w:rFonts w:ascii="Arial" w:hAnsi="Arial" w:cs="Arial"/>
          <w:b/>
          <w:sz w:val="23"/>
          <w:szCs w:val="23"/>
          <w:lang w:val="it-CH"/>
        </w:rPr>
        <w:t>Grooming</w:t>
      </w:r>
      <w:proofErr w:type="spellEnd"/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Grooming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significa costruire un legame emotivo con un bambino per guadagnare la sua fiducia a fini di </w:t>
      </w:r>
      <w:hyperlink r:id="rId11">
        <w:r w:rsidRPr="00C06EF3">
          <w:rPr>
            <w:rFonts w:ascii="Arial" w:hAnsi="Arial" w:cs="Arial"/>
            <w:sz w:val="23"/>
            <w:szCs w:val="23"/>
            <w:highlight w:val="white"/>
            <w:lang w:val="it-CH"/>
          </w:rPr>
          <w:t>abuso sessuale</w:t>
        </w:r>
      </w:hyperlink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o di </w:t>
      </w:r>
      <w:hyperlink r:id="rId12">
        <w:r w:rsidRPr="00C06EF3">
          <w:rPr>
            <w:rFonts w:ascii="Arial" w:hAnsi="Arial" w:cs="Arial"/>
            <w:sz w:val="23"/>
            <w:szCs w:val="23"/>
            <w:highlight w:val="white"/>
            <w:lang w:val="it-CH"/>
          </w:rPr>
          <w:t>sfruttamento.</w:t>
        </w:r>
      </w:hyperlink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I bambini e i giovani possono essere presi di mira in Internet o nel mondo reale, da un estraneo o da qualcuno che conoscono - ad esempio, un familiare, un amico - o in ambito professionale. I molestatori possono essere sia maschio che femmina. Potrebbero essere di qualsiasi età. Molti bambini e giovani non capiscono di essere stati molestati, o in che modo è successo è l'abuso. Al momento, in Svizzera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non esiste una legge sul “</w:t>
      </w: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grooming</w:t>
      </w:r>
      <w:proofErr w:type="spellEnd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”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Furti d’identità,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stalking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e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grooming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devono perciò diventare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reati penali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. I pedofili che adescano minorenni in rete vanno puniti severamente e la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pedocriminalità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in Internet va combattuta in modo sistematico.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Polizia e </w:t>
      </w: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cybercriminalità</w:t>
      </w:r>
      <w:proofErr w:type="spellEnd"/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Risale al 2001 l’approvazione del Consiglio federale riguardante la Convenzione del Consiglio d'Europa sulla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cybercriminalità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, che voleva adeguare il diritto e la procedura penale nonché la collaborazione internazionale all'evoluzione in atto nell'ambito delle tecnologie informatiche e con la quale il Consiglio federale s'impegnava a lottare in modo più incisivo a livello internazionale contro la criminalità ad alta tecnologia che opera a mezzo computer e Internet.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Nel 2012 il  SCOCI dell’Ufficio federale di polizia (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fedpol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) ha ricevuto un numero nettamente maggiore di segnalazioni di sospetto da parte della popolazione. Infatti, le 8241 comunicazioni pervenute nel 2012 corrispondono a un aumento del 55 per cento rispetto all’anno precedente. Per la prima volta le comunicazioni concernenti i reati economici hanno superato quelle relative alla pornografia vietata.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Le comunicazioni inviate a SCOCI tramite l’apposito modulo online sono di varia natura e presentano di norma una buona qualità. Oltre l’80% delle comunicazioni pervenute nel 2012 (6639 segnalazioni) presentano una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 rilevanza penale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. Tra i reati più frequentemente segnalati vi sono la pornografia con fanciulli, la truffa, il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phishing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, lo spamming e il danneggiamento di dati.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shd w:val="clear" w:color="auto" w:fill="FFFFFF"/>
        <w:tabs>
          <w:tab w:val="left" w:pos="284"/>
          <w:tab w:val="left" w:pos="567"/>
          <w:tab w:val="left" w:pos="709"/>
        </w:tabs>
        <w:spacing w:after="120" w:line="240" w:lineRule="auto"/>
        <w:jc w:val="both"/>
        <w:outlineLvl w:val="2"/>
        <w:rPr>
          <w:rFonts w:ascii="Arial" w:eastAsia="Times New Roman" w:hAnsi="Arial"/>
          <w:b/>
          <w:sz w:val="23"/>
          <w:szCs w:val="23"/>
          <w:highlight w:val="white"/>
          <w:lang w:val="it-CH" w:eastAsia="it-IT"/>
        </w:rPr>
      </w:pPr>
      <w:bookmarkStart w:id="0" w:name="_c5ecupbppndr" w:colFirst="0" w:colLast="0"/>
      <w:bookmarkEnd w:id="0"/>
      <w:r w:rsidRPr="00C06EF3">
        <w:rPr>
          <w:rFonts w:ascii="Arial" w:eastAsia="Times New Roman" w:hAnsi="Arial"/>
          <w:b/>
          <w:sz w:val="23"/>
          <w:szCs w:val="23"/>
          <w:highlight w:val="white"/>
          <w:lang w:val="it-CH" w:eastAsia="it-IT"/>
        </w:rPr>
        <w:t xml:space="preserve">Lotta attiva contro la </w:t>
      </w:r>
      <w:proofErr w:type="spellStart"/>
      <w:r w:rsidRPr="00C06EF3">
        <w:rPr>
          <w:rFonts w:ascii="Arial" w:eastAsia="Times New Roman" w:hAnsi="Arial"/>
          <w:b/>
          <w:sz w:val="23"/>
          <w:szCs w:val="23"/>
          <w:highlight w:val="white"/>
          <w:lang w:val="it-CH" w:eastAsia="it-IT"/>
        </w:rPr>
        <w:t>pedocriminalità</w:t>
      </w:r>
      <w:proofErr w:type="spellEnd"/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Anche nel 2012 il lavoro di SCOCI non si è limitato soltanto alla ricezione e al trattamento di comunicazioni inoltrate dalla popolazione. SCOCI effettua ricerche in rete anche indipendentemente dalla presenza di indizi ed è quindi presente su Internet anche in settori 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lastRenderedPageBreak/>
        <w:t>meno accessibili. Le ricerche attive svolte nel 2012 hanno generato 450 dossier su casi sospetti, ovvero quasi il doppio rispetto all’anno precedente.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La maggioranza dei dossier su casi sospetti è scaturita dal monitoraggio delle reti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peer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to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peer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che ha permesso di identificare 417 persone coinvolte nello scambio attivo di file dai contenuti pedopornografici su tali reti. Nel 98% dei casi le indagini hanno dato luogo a perquisizioni domiciliari eseguite dalle autorità cantonali di perseguimento penale.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Sulla base dell’ordinanza del Cantone di Svitto sulla polizia, nel 2012 i collaboratori di SCOCI in 33 casi hanno svolto indagini preliminari sotto copertura nei confronti di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pedocriminali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in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chatroom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, su siti Internet o in reti private di condivisione di dati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peer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to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peer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Rapporto SCOCI 2014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Lo SCOCI coopera in modo proattivo con Interpol,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Europol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, FBI, HSI e molte altre autorità estere. Quale rappresentante della Svizzera, lo SCOCI partecipa a gruppi di lavoro internazionali insieme ai seguenti partner: i pubblici ministeri svizzeri, le polizie cantonali, i rappresentanti del settore finanziario, i fornitori di servizi Internet oppure la Centrale d’annuncio e d’analisi per la sicurezza dell’informazione MELANI, SWITCH Internet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Domains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e diverse ONG. Altri partecipanti sono la Prevenzione svizzera della criminalità, il Servizio delle attività informative della Confederazione, il DFAE nonché altri servizi federali e cantonali. Affinché la Svizzera possa contare sul sostegno necessario anche in tempi difficili, occorre - come sosteneva già l’ex Consigliere federale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Ogi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- curare personalmente i contatti e le amicizie a livello internazionale.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La cooperazione internazionale consiste anche nello smantellare reti bot illegali costituite da computer infetti collegati tra loro per compiere atti fraudolenti, come pure nel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coordinare operazioni nazionali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che conducono all’arresto di hacker. Anche l’adesione a comitati o alleanze internazionali che intendono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combattere la </w:t>
      </w: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pedocriminalità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su Internet come la </w:t>
      </w:r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 xml:space="preserve">Global </w:t>
      </w:r>
      <w:proofErr w:type="spellStart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>Alliance</w:t>
      </w:r>
      <w:proofErr w:type="spellEnd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 xml:space="preserve"> </w:t>
      </w:r>
      <w:proofErr w:type="spellStart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>against</w:t>
      </w:r>
      <w:proofErr w:type="spellEnd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 xml:space="preserve"> Child </w:t>
      </w:r>
      <w:proofErr w:type="spellStart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>Sexual</w:t>
      </w:r>
      <w:proofErr w:type="spellEnd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 xml:space="preserve"> </w:t>
      </w:r>
      <w:proofErr w:type="spellStart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>Abuse</w:t>
      </w:r>
      <w:proofErr w:type="spellEnd"/>
      <w:r w:rsidRPr="00C06EF3">
        <w:rPr>
          <w:rFonts w:ascii="Arial" w:hAnsi="Arial" w:cs="Arial"/>
          <w:i/>
          <w:sz w:val="23"/>
          <w:szCs w:val="23"/>
          <w:highlight w:val="white"/>
          <w:lang w:val="it-CH"/>
        </w:rPr>
        <w:t xml:space="preserve"> Online</w:t>
      </w:r>
      <w:r w:rsidRPr="00C06EF3">
        <w:rPr>
          <w:rFonts w:ascii="Arial" w:hAnsi="Arial" w:cs="Arial"/>
          <w:i/>
          <w:sz w:val="23"/>
          <w:szCs w:val="23"/>
          <w:highlight w:val="white"/>
          <w:vertAlign w:val="superscript"/>
          <w:lang w:val="it-CH"/>
        </w:rPr>
        <w:footnoteReference w:id="1"/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è altrettanto importante. Ad essere fondamentale è tuttavia la fiducia che lo SCOCI è in grado di suscitare grazie all’elevata qualità del suo lavoro. Questa fiducia gli permette infatti di continuare ad essere un partner apprezzato e affermato nella lotta alla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cibercriminalità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. 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Nemmeno in futuro lo SCOCI dovrà temere di non avere sufficiente lavoro o di svolgere un’attività ordinaria priva di sfide. Le cyber-rapine in banche con un bottino miliardario, il sequestro di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quantità record di materiale pedopornografico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o i danni milionari causati alle piccole e medie imprese svizzere da attacchi di ingegneria sociale sono solo alcuni esempi che mostrano il carico di lavoro che lo SCOCI -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finanziato per due terzi dai Cantoni e per un terzo dalla Confederazione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- è chiamato ad affrontare insieme ai suoi dieci collaboratori e ai sei collaboratori di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fedpol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 assegnatigli a titolo di sostegno. 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Alla fine del 2016 lo SCOCI inoltre ha sottoposto al Consiglio federale il piano di attuazione della misura 6 della Strategia nazionale per la protezione della Svizzera contro i cyber-rischi. In tale contesto proseguono i lavori per la gestione di una panoramica svizzera dei casi e il coordinamento di affari di portata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intercantonale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 xml:space="preserve">. Lo SCOCI è ambito, non passa quasi giorno senza che si parli di un caso nuovo, sempre più eclatante, di </w:t>
      </w:r>
      <w:proofErr w:type="spellStart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cibercriminalità</w:t>
      </w:r>
      <w:proofErr w:type="spellEnd"/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. Chissà, forse la sfida più grande per lo SCOCI è quella di trasmettere agli organi decisionali una cognizione generale ed estesa della portata della criminalità informatica. In ogni caso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 xml:space="preserve"> servono buone condizioni quadro e investimenti nel settore della sicurezza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, anche se questo può comportare costi aggiuntivi.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A tal proposito invito a leggere l’accurato rapporto del SCOCI 2014: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i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i/>
          <w:sz w:val="23"/>
          <w:szCs w:val="23"/>
          <w:highlight w:val="white"/>
          <w:lang w:val="it-CH"/>
        </w:rPr>
        <w:t>https://www.cybercrime.admin.ch/dam/data/kobik/Berichte/2015-03-26/jb-kobik-i.pdf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lastRenderedPageBreak/>
        <w:t>Al momento il Cantone Ticino non dispone di un servizio preposto alla lotta contro la criminalità su Internet, e pare che al momento anche le forze spiegate a questo scopo a livello nazionale siano insufficienti.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Per le facoltà concesse dalla legge, chiedo al Consiglio di Stato: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-</w:t>
      </w: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ab/>
        <w:t>di aggiungere delle normative riguardanti il Cyberspazio al fine di combattere:</w:t>
      </w:r>
    </w:p>
    <w:p w:rsidR="00C06EF3" w:rsidRPr="00C06EF3" w:rsidRDefault="00C06EF3" w:rsidP="00C06EF3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284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furti d’identità;</w:t>
      </w:r>
    </w:p>
    <w:p w:rsidR="00C06EF3" w:rsidRPr="00C06EF3" w:rsidRDefault="00C06EF3" w:rsidP="00C06EF3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284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stalking</w:t>
      </w:r>
      <w:proofErr w:type="spellEnd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;</w:t>
      </w:r>
    </w:p>
    <w:p w:rsidR="00C06EF3" w:rsidRPr="00C06EF3" w:rsidRDefault="00C06EF3" w:rsidP="00C06EF3">
      <w:pPr>
        <w:numPr>
          <w:ilvl w:val="0"/>
          <w:numId w:val="4"/>
        </w:numPr>
        <w:tabs>
          <w:tab w:val="left" w:pos="709"/>
        </w:tabs>
        <w:spacing w:after="120" w:line="240" w:lineRule="auto"/>
        <w:ind w:left="284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proofErr w:type="spellStart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grooming</w:t>
      </w:r>
      <w:proofErr w:type="spellEnd"/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,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ab/>
        <w:t xml:space="preserve">e </w:t>
      </w:r>
      <w:r w:rsidRPr="00C06EF3">
        <w:rPr>
          <w:rFonts w:ascii="Arial" w:hAnsi="Arial" w:cs="Arial"/>
          <w:b/>
          <w:sz w:val="23"/>
          <w:szCs w:val="23"/>
          <w:highlight w:val="white"/>
          <w:lang w:val="it-CH"/>
        </w:rPr>
        <w:t>creare un corpo di Polizia formato e preposto alla lotta contro questi crimini.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Sara Beretta Piccoli</w:t>
      </w:r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highlight w:val="white"/>
          <w:lang w:val="it-CH"/>
        </w:rPr>
      </w:pPr>
      <w:r w:rsidRPr="00C06EF3">
        <w:rPr>
          <w:rFonts w:ascii="Arial" w:hAnsi="Arial" w:cs="Arial"/>
          <w:sz w:val="23"/>
          <w:szCs w:val="23"/>
          <w:highlight w:val="white"/>
          <w:lang w:val="it-CH"/>
        </w:rPr>
        <w:t>Per il Gruppo PPD+GG</w:t>
      </w:r>
      <w:bookmarkStart w:id="1" w:name="_GoBack"/>
      <w:bookmarkEnd w:id="1"/>
    </w:p>
    <w:p w:rsidR="00C06EF3" w:rsidRPr="00C06EF3" w:rsidRDefault="00C06EF3" w:rsidP="00C06EF3">
      <w:pPr>
        <w:tabs>
          <w:tab w:val="left" w:pos="284"/>
          <w:tab w:val="left" w:pos="567"/>
        </w:tabs>
        <w:spacing w:after="0" w:line="240" w:lineRule="auto"/>
        <w:ind w:right="-1555"/>
        <w:rPr>
          <w:rFonts w:ascii="Arial" w:hAnsi="Arial" w:cs="Arial"/>
          <w:b/>
          <w:sz w:val="23"/>
          <w:szCs w:val="23"/>
          <w:lang w:val="it-CH"/>
        </w:rPr>
        <w:sectPr w:rsidR="00C06EF3" w:rsidRPr="00C06EF3" w:rsidSect="00B92944">
          <w:headerReference w:type="default" r:id="rId13"/>
          <w:footerReference w:type="even" r:id="rId14"/>
          <w:footerReference w:type="default" r:id="rId15"/>
          <w:footnotePr>
            <w:numRestart w:val="eachSect"/>
          </w:footnotePr>
          <w:pgSz w:w="11906" w:h="16838"/>
          <w:pgMar w:top="1134" w:right="1134" w:bottom="964" w:left="1134" w:header="709" w:footer="709" w:gutter="0"/>
          <w:cols w:space="708"/>
          <w:docGrid w:linePitch="360"/>
        </w:sectPr>
      </w:pPr>
    </w:p>
    <w:p w:rsidR="00B844DF" w:rsidRPr="00C06EF3" w:rsidRDefault="00B844DF" w:rsidP="00C06EF3"/>
    <w:sectPr w:rsidR="00B844DF" w:rsidRPr="00C06EF3">
      <w:headerReference w:type="default" r:id="rId16"/>
      <w:footerReference w:type="even" r:id="rId17"/>
      <w:footerReference w:type="default" r:id="rId1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7BE" w:rsidRDefault="008477BE" w:rsidP="00C25D2F">
      <w:pPr>
        <w:spacing w:after="0" w:line="240" w:lineRule="auto"/>
      </w:pPr>
      <w:r>
        <w:separator/>
      </w:r>
    </w:p>
  </w:endnote>
  <w:endnote w:type="continuationSeparator" w:id="0">
    <w:p w:rsidR="008477BE" w:rsidRDefault="008477BE" w:rsidP="00C2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EF3" w:rsidRDefault="00C06EF3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C06EF3" w:rsidRDefault="00C06EF3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EF3" w:rsidRDefault="00C06EF3">
    <w:pPr>
      <w:pStyle w:val="Pidipagina"/>
      <w:jc w:val="center"/>
    </w:pPr>
  </w:p>
  <w:p w:rsidR="00C06EF3" w:rsidRPr="00973533" w:rsidRDefault="00C06EF3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53A" w:rsidRDefault="00BD253A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BD253A" w:rsidRDefault="00BD253A" w:rsidP="00B92944">
    <w:pPr>
      <w:pStyle w:val="Pidipagin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53A" w:rsidRDefault="00BD253A">
    <w:pPr>
      <w:pStyle w:val="Pidipagina"/>
      <w:jc w:val="center"/>
    </w:pPr>
  </w:p>
  <w:p w:rsidR="00BD253A" w:rsidRPr="00973533" w:rsidRDefault="00BD253A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7BE" w:rsidRDefault="008477BE" w:rsidP="00C25D2F">
      <w:pPr>
        <w:spacing w:after="0" w:line="240" w:lineRule="auto"/>
      </w:pPr>
      <w:r>
        <w:separator/>
      </w:r>
    </w:p>
  </w:footnote>
  <w:footnote w:type="continuationSeparator" w:id="0">
    <w:p w:rsidR="008477BE" w:rsidRDefault="008477BE" w:rsidP="00C25D2F">
      <w:pPr>
        <w:spacing w:after="0" w:line="240" w:lineRule="auto"/>
      </w:pPr>
      <w:r>
        <w:continuationSeparator/>
      </w:r>
    </w:p>
  </w:footnote>
  <w:footnote w:id="1">
    <w:p w:rsidR="00C06EF3" w:rsidRPr="002E4A99" w:rsidRDefault="00C06EF3" w:rsidP="00C06EF3">
      <w:pPr>
        <w:tabs>
          <w:tab w:val="left" w:pos="284"/>
          <w:tab w:val="left" w:pos="426"/>
          <w:tab w:val="left" w:pos="567"/>
        </w:tabs>
        <w:spacing w:after="0" w:line="240" w:lineRule="auto"/>
        <w:contextualSpacing/>
        <w:rPr>
          <w:rFonts w:ascii="Arial" w:hAnsi="Arial" w:cs="Arial"/>
          <w:i/>
          <w:sz w:val="20"/>
          <w:szCs w:val="20"/>
          <w:highlight w:val="white"/>
          <w:lang w:val="it-CH"/>
        </w:rPr>
      </w:pPr>
      <w:r w:rsidRPr="002E4A99">
        <w:rPr>
          <w:rStyle w:val="Rimandonotaapidipagina"/>
          <w:rFonts w:ascii="Arial" w:hAnsi="Arial" w:cs="Arial"/>
          <w:sz w:val="20"/>
          <w:szCs w:val="20"/>
          <w:vertAlign w:val="superscript"/>
        </w:rPr>
        <w:footnoteRef/>
      </w:r>
      <w:r w:rsidRPr="002E4A99">
        <w:rPr>
          <w:sz w:val="20"/>
          <w:szCs w:val="20"/>
        </w:rPr>
        <w:t xml:space="preserve"> </w:t>
      </w:r>
      <w:hyperlink r:id="rId1" w:history="1">
        <w:r w:rsidRPr="002E4A99">
          <w:rPr>
            <w:rStyle w:val="Collegamentoipertestuale"/>
            <w:rFonts w:ascii="Arial" w:hAnsi="Arial" w:cs="Arial"/>
            <w:i/>
            <w:sz w:val="20"/>
            <w:szCs w:val="20"/>
            <w:highlight w:val="white"/>
            <w:lang w:val="it-CH"/>
          </w:rPr>
          <w:t>https://ec.europa.eu/home-affairs/sites/homeaffairs/files/what-we-do/policies/organized-crime-and-human- trafficking/global-alliance-against-child-abuse/docs/reports-2014/ga_report_2014_-_switzerland_en.pdf</w:t>
        </w:r>
      </w:hyperlink>
    </w:p>
    <w:p w:rsidR="00C06EF3" w:rsidRDefault="00C06EF3" w:rsidP="00C06EF3">
      <w:pPr>
        <w:pStyle w:val="Testonotaapidipagina"/>
        <w:spacing w:before="0" w:beforeAutospacing="0" w:after="0" w:afterAutospacing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EF3" w:rsidRPr="0040448A" w:rsidRDefault="00C06EF3" w:rsidP="00B92944">
    <w:pPr>
      <w:pStyle w:val="Intestazione"/>
      <w:tabs>
        <w:tab w:val="right" w:pos="9680"/>
      </w:tabs>
      <w:ind w:firstLine="1134"/>
      <w:jc w:val="right"/>
      <w:rPr>
        <w:rFonts w:ascii="Frutiger LT 45 Light" w:hAnsi="Frutiger LT 45 Ligh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53A" w:rsidRPr="0040448A" w:rsidRDefault="00BD253A" w:rsidP="00B92944">
    <w:pPr>
      <w:pStyle w:val="Intestazione"/>
      <w:tabs>
        <w:tab w:val="right" w:pos="9680"/>
      </w:tabs>
      <w:ind w:firstLine="1134"/>
      <w:jc w:val="right"/>
      <w:rPr>
        <w:rFonts w:ascii="Frutiger LT 45 Light" w:hAnsi="Frutiger LT 45 Ligh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B0343"/>
    <w:multiLevelType w:val="multilevel"/>
    <w:tmpl w:val="C3121B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37132362"/>
    <w:multiLevelType w:val="hybridMultilevel"/>
    <w:tmpl w:val="ECA2C67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CC05E5"/>
    <w:multiLevelType w:val="multilevel"/>
    <w:tmpl w:val="83F613E8"/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75581466"/>
    <w:multiLevelType w:val="hybridMultilevel"/>
    <w:tmpl w:val="9C665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283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D2F"/>
    <w:rsid w:val="003D0447"/>
    <w:rsid w:val="008477BE"/>
    <w:rsid w:val="00B844DF"/>
    <w:rsid w:val="00BD253A"/>
    <w:rsid w:val="00C06EF3"/>
    <w:rsid w:val="00C2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5D2F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5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C25D2F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C25D2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C25D2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C25D2F"/>
  </w:style>
  <w:style w:type="paragraph" w:styleId="Didascalia">
    <w:name w:val="caption"/>
    <w:basedOn w:val="Normale"/>
    <w:next w:val="Normale"/>
    <w:qFormat/>
    <w:rsid w:val="00C25D2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5D2F"/>
    <w:rPr>
      <w:rFonts w:ascii="Tahoma" w:eastAsia="Calibri" w:hAnsi="Tahoma" w:cs="Tahoma"/>
      <w:sz w:val="16"/>
      <w:szCs w:val="16"/>
      <w:lang w:val="de-CH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D25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D253A"/>
    <w:rPr>
      <w:rFonts w:ascii="Calibri" w:eastAsia="Calibri" w:hAnsi="Calibri" w:cs="Times New Roman"/>
      <w:lang w:val="de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D25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D253A"/>
    <w:rPr>
      <w:rFonts w:ascii="Calibri" w:eastAsia="Calibri" w:hAnsi="Calibri" w:cs="Times New Roman"/>
      <w:lang w:val="de-CH"/>
    </w:rPr>
  </w:style>
  <w:style w:type="character" w:styleId="Numeropagina">
    <w:name w:val="page number"/>
    <w:basedOn w:val="Carpredefinitoparagrafo"/>
    <w:rsid w:val="00BD2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5D2F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5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C25D2F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C25D2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C25D2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C25D2F"/>
  </w:style>
  <w:style w:type="paragraph" w:styleId="Didascalia">
    <w:name w:val="caption"/>
    <w:basedOn w:val="Normale"/>
    <w:next w:val="Normale"/>
    <w:qFormat/>
    <w:rsid w:val="00C25D2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5D2F"/>
    <w:rPr>
      <w:rFonts w:ascii="Tahoma" w:eastAsia="Calibri" w:hAnsi="Tahoma" w:cs="Tahoma"/>
      <w:sz w:val="16"/>
      <w:szCs w:val="16"/>
      <w:lang w:val="de-CH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D25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D253A"/>
    <w:rPr>
      <w:rFonts w:ascii="Calibri" w:eastAsia="Calibri" w:hAnsi="Calibri" w:cs="Times New Roman"/>
      <w:lang w:val="de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D25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D253A"/>
    <w:rPr>
      <w:rFonts w:ascii="Calibri" w:eastAsia="Calibri" w:hAnsi="Calibri" w:cs="Times New Roman"/>
      <w:lang w:val="de-CH"/>
    </w:rPr>
  </w:style>
  <w:style w:type="character" w:styleId="Numeropagina">
    <w:name w:val="page number"/>
    <w:basedOn w:val="Carpredefinitoparagrafo"/>
    <w:rsid w:val="00BD2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wikipedia.org/wiki/Paura" TargetMode="Externa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ranslate.googleusercontent.com/translate_c?depth=1&amp;hl=it&amp;prev=search&amp;rurl=translate.google.it&amp;sl=en&amp;u=http://www.nspcc.org.uk/preventing-abuse/child-abuse-and-neglect/child-sexual-exploitation/&amp;usg=ALkJrhgEPhIJ9yUUfGmOzyymPx57xC7j7A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ranslate.googleusercontent.com/translate_c?depth=1&amp;hl=it&amp;prev=search&amp;rurl=translate.google.it&amp;sl=en&amp;u=http://www.nspcc.org.uk/preventing-abuse/child-abuse-and-neglect/child-sexual-abuse/&amp;usg=ALkJrhi-FnvtOQObgjxzcTZQzYJ5dcpyBw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t.wikipedia.org/wiki/Vit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t.wikipedia.org/wiki/Ansia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home-affairs/sites/homeaffairs/files/what-we-do/policies/organized-crime-and-human-%20trafficking/global-alliance-against-child-abuse/docs/reports-2014/ga_report_2014_-_switzerland_en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1771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2017-07-04T08:11:00Z</cp:lastPrinted>
  <dcterms:created xsi:type="dcterms:W3CDTF">2017-07-04T08:12:00Z</dcterms:created>
  <dcterms:modified xsi:type="dcterms:W3CDTF">2017-07-04T08:12:00Z</dcterms:modified>
</cp:coreProperties>
</file>