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68BF" w:rsidRDefault="00B968BF" w:rsidP="00B968BF">
      <w:pPr>
        <w:pStyle w:val="StandardRisoluzionedelConsigliodiStato"/>
        <w:ind w:right="-1"/>
        <w:rPr>
          <w:b/>
          <w:sz w:val="28"/>
          <w:szCs w:val="28"/>
        </w:rPr>
      </w:pPr>
      <w:bookmarkStart w:id="0" w:name="_GoBack"/>
      <w:bookmarkEnd w:id="0"/>
      <w:r>
        <w:rPr>
          <w:b/>
          <w:sz w:val="28"/>
          <w:szCs w:val="28"/>
        </w:rPr>
        <w:t>della Commissione gestione e finanze</w:t>
      </w:r>
    </w:p>
    <w:p w:rsidR="00B968BF" w:rsidRDefault="00B968BF" w:rsidP="00B968BF">
      <w:pPr>
        <w:pStyle w:val="StandardRisoluzionedelConsigliodiStato"/>
        <w:ind w:right="-1"/>
        <w:rPr>
          <w:b/>
          <w:sz w:val="28"/>
          <w:szCs w:val="28"/>
        </w:rPr>
      </w:pPr>
      <w:r>
        <w:rPr>
          <w:b/>
          <w:sz w:val="28"/>
          <w:szCs w:val="28"/>
        </w:rPr>
        <w:t xml:space="preserve">sul messaggio 28 gennaio 2025 concernente un sostegno ai media: </w:t>
      </w:r>
      <w:r w:rsidRPr="00C27CE1">
        <w:rPr>
          <w:b/>
          <w:sz w:val="28"/>
          <w:szCs w:val="28"/>
        </w:rPr>
        <w:t>stanziamento di un credito di 2'000'000 di franchi quale contributo alla diffusione della carta stampata regionale cantonale per il quadriennio 2026-2029</w:t>
      </w:r>
    </w:p>
    <w:p w:rsidR="00B968BF" w:rsidRPr="00B968BF" w:rsidRDefault="00B968BF" w:rsidP="00B968BF">
      <w:pPr>
        <w:pStyle w:val="StandardRisoluzionedelConsigliodiStato"/>
        <w:ind w:right="-1"/>
        <w:rPr>
          <w:b/>
          <w:szCs w:val="24"/>
        </w:rPr>
      </w:pPr>
    </w:p>
    <w:p w:rsidR="00B968BF" w:rsidRPr="00B968BF" w:rsidRDefault="00B968BF" w:rsidP="00B968BF">
      <w:pPr>
        <w:pStyle w:val="StandardRisoluzionedelConsigliodiStato"/>
        <w:ind w:right="-1"/>
        <w:rPr>
          <w:b/>
          <w:szCs w:val="24"/>
        </w:rPr>
      </w:pPr>
    </w:p>
    <w:p w:rsidR="00B968BF" w:rsidRPr="00B968BF" w:rsidRDefault="00B968BF" w:rsidP="00B968BF">
      <w:pPr>
        <w:pStyle w:val="StandardRisoluzionedelConsigliodiStato"/>
        <w:ind w:right="-1"/>
        <w:rPr>
          <w:rFonts w:asciiTheme="minorHAnsi" w:hAnsiTheme="minorHAnsi" w:cstheme="minorHAnsi"/>
          <w:bCs/>
          <w:szCs w:val="24"/>
        </w:rPr>
      </w:pPr>
    </w:p>
    <w:p w:rsidR="00B968BF" w:rsidRPr="00B968BF" w:rsidRDefault="00B968BF" w:rsidP="00B968BF">
      <w:pPr>
        <w:pStyle w:val="Titolo1"/>
        <w:tabs>
          <w:tab w:val="left" w:pos="567"/>
        </w:tabs>
        <w:spacing w:before="0"/>
        <w:ind w:left="567" w:hanging="567"/>
        <w:jc w:val="both"/>
        <w:rPr>
          <w:rFonts w:eastAsia="Calibri" w:cs="Times New Roman"/>
          <w:caps/>
          <w:sz w:val="24"/>
          <w:szCs w:val="24"/>
          <w:lang w:val="it-IT" w:eastAsia="it-IT"/>
        </w:rPr>
      </w:pPr>
      <w:r w:rsidRPr="00B968BF">
        <w:rPr>
          <w:rFonts w:eastAsia="Calibri" w:cs="Times New Roman"/>
          <w:caps/>
          <w:sz w:val="24"/>
          <w:szCs w:val="24"/>
          <w:lang w:val="it-IT" w:eastAsia="it-IT"/>
        </w:rPr>
        <w:t>1.</w:t>
      </w:r>
      <w:r>
        <w:rPr>
          <w:rFonts w:eastAsia="Calibri" w:cs="Times New Roman"/>
          <w:caps/>
          <w:sz w:val="24"/>
          <w:szCs w:val="24"/>
          <w:lang w:val="it-IT" w:eastAsia="it-IT"/>
        </w:rPr>
        <w:tab/>
      </w:r>
      <w:r w:rsidRPr="00B968BF">
        <w:rPr>
          <w:rFonts w:eastAsia="Calibri" w:cs="Times New Roman"/>
          <w:caps/>
          <w:sz w:val="24"/>
          <w:szCs w:val="24"/>
          <w:lang w:val="it-IT" w:eastAsia="it-IT"/>
        </w:rPr>
        <w:t xml:space="preserve"> PREMESSA</w:t>
      </w:r>
    </w:p>
    <w:p w:rsidR="00B968BF" w:rsidRPr="00A95F01" w:rsidRDefault="00B968BF" w:rsidP="00B968BF">
      <w:pPr>
        <w:pStyle w:val="StandardRisoluzionedelConsigliodiStato"/>
        <w:ind w:right="-1"/>
        <w:rPr>
          <w:rFonts w:asciiTheme="minorHAnsi" w:hAnsiTheme="minorHAnsi" w:cstheme="minorHAnsi"/>
          <w:bCs/>
          <w:szCs w:val="24"/>
        </w:rPr>
      </w:pPr>
      <w:r w:rsidRPr="00A95F01">
        <w:rPr>
          <w:rFonts w:asciiTheme="minorHAnsi" w:hAnsiTheme="minorHAnsi" w:cstheme="minorHAnsi"/>
          <w:bCs/>
          <w:szCs w:val="24"/>
        </w:rPr>
        <w:t>Il presente rapporto non mette in discussione il ruolo dei media in una società democratica, né la reale difficoltà attraversata dal settore della stampa regionale. L’esistenza di un’informazione pluralista, vicina al territorio e professionalmente qualificata rappresenta un interesse pubblico riconosciuto.</w:t>
      </w:r>
    </w:p>
    <w:p w:rsidR="00B968BF" w:rsidRPr="00A95F01" w:rsidRDefault="00B968BF" w:rsidP="00B968BF">
      <w:pPr>
        <w:pStyle w:val="StandardRisoluzionedelConsigliodiStato"/>
        <w:ind w:right="-1"/>
        <w:rPr>
          <w:rFonts w:asciiTheme="minorHAnsi" w:hAnsiTheme="minorHAnsi" w:cstheme="minorHAnsi"/>
          <w:bCs/>
          <w:szCs w:val="24"/>
        </w:rPr>
      </w:pPr>
    </w:p>
    <w:p w:rsidR="00B968BF" w:rsidRPr="00A95F01" w:rsidRDefault="00B968BF" w:rsidP="00B968BF">
      <w:pPr>
        <w:pStyle w:val="StandardRisoluzionedelConsigliodiStato"/>
        <w:ind w:right="-1"/>
        <w:rPr>
          <w:rFonts w:asciiTheme="minorHAnsi" w:hAnsiTheme="minorHAnsi" w:cstheme="minorHAnsi"/>
          <w:bCs/>
          <w:szCs w:val="24"/>
        </w:rPr>
      </w:pPr>
      <w:r w:rsidRPr="00A95F01">
        <w:rPr>
          <w:rFonts w:asciiTheme="minorHAnsi" w:hAnsiTheme="minorHAnsi" w:cstheme="minorHAnsi"/>
          <w:bCs/>
          <w:szCs w:val="24"/>
        </w:rPr>
        <w:t>L’oggetto della discussione non è pertanto il valore dei media, bensì la correttezza dello strumento scelto dal Consiglio di Stato per sostenerli. Il Parlamento è chiamato a decidere non se i media meritino attenzione politica, ma se la misura proposta costituisca una politica pubblica coerente, giuridicamente fondata e finanziariamente sostenibile.</w:t>
      </w:r>
    </w:p>
    <w:p w:rsidR="00B968BF" w:rsidRPr="00A95F01" w:rsidRDefault="00B968BF" w:rsidP="00B968BF">
      <w:pPr>
        <w:pStyle w:val="StandardRisoluzionedelConsigliodiStato"/>
        <w:ind w:right="-1"/>
        <w:rPr>
          <w:rFonts w:asciiTheme="minorHAnsi" w:hAnsiTheme="minorHAnsi" w:cstheme="minorHAnsi"/>
          <w:bCs/>
          <w:szCs w:val="24"/>
        </w:rPr>
      </w:pPr>
    </w:p>
    <w:p w:rsidR="00B968BF" w:rsidRPr="00A95F01" w:rsidRDefault="00B968BF" w:rsidP="00B968BF">
      <w:pPr>
        <w:pStyle w:val="StandardRisoluzionedelConsigliodiStato"/>
        <w:ind w:right="-1"/>
        <w:rPr>
          <w:rFonts w:asciiTheme="minorHAnsi" w:hAnsiTheme="minorHAnsi" w:cstheme="minorHAnsi"/>
          <w:bCs/>
          <w:szCs w:val="24"/>
        </w:rPr>
      </w:pPr>
      <w:r w:rsidRPr="00A95F01">
        <w:rPr>
          <w:rFonts w:asciiTheme="minorHAnsi" w:hAnsiTheme="minorHAnsi" w:cstheme="minorHAnsi"/>
          <w:bCs/>
          <w:szCs w:val="24"/>
        </w:rPr>
        <w:t xml:space="preserve">A questo proposito occorre richiamare un principio di rango costituzionale che il dibattito tende a trascurare. La libertà dei media, garantita </w:t>
      </w:r>
      <w:r>
        <w:rPr>
          <w:rFonts w:asciiTheme="minorHAnsi" w:hAnsiTheme="minorHAnsi" w:cstheme="minorHAnsi"/>
          <w:bCs/>
          <w:szCs w:val="24"/>
        </w:rPr>
        <w:t>dall’articolo</w:t>
      </w:r>
      <w:r w:rsidRPr="00A95F01">
        <w:rPr>
          <w:rFonts w:asciiTheme="minorHAnsi" w:hAnsiTheme="minorHAnsi" w:cstheme="minorHAnsi"/>
          <w:bCs/>
          <w:szCs w:val="24"/>
        </w:rPr>
        <w:t xml:space="preserve"> 17 della Costituzione federale, non si riduce all’assenza di censura: comprende anche l’indipendenza strutturale dallo Stato, inclusa nella sua dimensione economica. Chi è chiamato a controllare il potere pubblico non può dipendere finanziariamente da esso. Questo principio non è un’astrazione dottrinale: è la ragione per cui il </w:t>
      </w:r>
      <w:r>
        <w:rPr>
          <w:rFonts w:asciiTheme="minorHAnsi" w:hAnsiTheme="minorHAnsi" w:cstheme="minorHAnsi"/>
          <w:bCs/>
          <w:szCs w:val="24"/>
        </w:rPr>
        <w:t>P</w:t>
      </w:r>
      <w:r w:rsidRPr="00A95F01">
        <w:rPr>
          <w:rFonts w:asciiTheme="minorHAnsi" w:hAnsiTheme="minorHAnsi" w:cstheme="minorHAnsi"/>
          <w:bCs/>
          <w:szCs w:val="24"/>
        </w:rPr>
        <w:t>opolo svizzero ha respinto nel 2022 il pacchetto federale di aiuti diretti ai media, ed è la stessa ragione per cui il Consiglio di Stato ticinese aveva opposto nel 2021, con argomenti espliciti, un diniego circostanziato alla logica che oggi, invece, intende adottare senza alcuna spiegazione.</w:t>
      </w:r>
    </w:p>
    <w:p w:rsidR="00B968BF" w:rsidRDefault="00B968BF" w:rsidP="00B968BF">
      <w:pPr>
        <w:pStyle w:val="StandardRisoluzionedelConsigliodiStato"/>
        <w:ind w:right="-1"/>
        <w:rPr>
          <w:rFonts w:asciiTheme="minorHAnsi" w:hAnsiTheme="minorHAnsi" w:cstheme="minorHAnsi"/>
          <w:bCs/>
          <w:szCs w:val="24"/>
        </w:rPr>
      </w:pPr>
    </w:p>
    <w:p w:rsidR="00B968BF" w:rsidRPr="00A95F01" w:rsidRDefault="00B968BF" w:rsidP="00B968BF">
      <w:pPr>
        <w:pStyle w:val="StandardRisoluzionedelConsigliodiStato"/>
        <w:ind w:right="-1"/>
        <w:rPr>
          <w:rFonts w:asciiTheme="minorHAnsi" w:hAnsiTheme="minorHAnsi" w:cstheme="minorHAnsi"/>
          <w:bCs/>
          <w:szCs w:val="24"/>
        </w:rPr>
      </w:pPr>
    </w:p>
    <w:p w:rsidR="00B968BF" w:rsidRPr="00B968BF" w:rsidRDefault="00B968BF" w:rsidP="00B968BF">
      <w:pPr>
        <w:pStyle w:val="Titolo1"/>
        <w:tabs>
          <w:tab w:val="left" w:pos="567"/>
        </w:tabs>
        <w:spacing w:before="0"/>
        <w:ind w:left="567" w:hanging="567"/>
        <w:jc w:val="both"/>
        <w:rPr>
          <w:rFonts w:eastAsia="Calibri" w:cs="Times New Roman"/>
          <w:caps/>
          <w:sz w:val="24"/>
          <w:szCs w:val="24"/>
          <w:lang w:val="it-IT" w:eastAsia="it-IT"/>
        </w:rPr>
      </w:pPr>
      <w:r w:rsidRPr="00B968BF">
        <w:rPr>
          <w:rFonts w:eastAsia="Calibri" w:cs="Times New Roman"/>
          <w:caps/>
          <w:sz w:val="24"/>
          <w:szCs w:val="24"/>
          <w:lang w:val="it-IT" w:eastAsia="it-IT"/>
        </w:rPr>
        <w:t xml:space="preserve">2. </w:t>
      </w:r>
      <w:r>
        <w:rPr>
          <w:rFonts w:eastAsia="Calibri" w:cs="Times New Roman"/>
          <w:caps/>
          <w:sz w:val="24"/>
          <w:szCs w:val="24"/>
          <w:lang w:val="it-IT" w:eastAsia="it-IT"/>
        </w:rPr>
        <w:tab/>
      </w:r>
      <w:r w:rsidRPr="00B968BF">
        <w:rPr>
          <w:rFonts w:eastAsia="Calibri" w:cs="Times New Roman"/>
          <w:caps/>
          <w:sz w:val="24"/>
          <w:szCs w:val="24"/>
          <w:lang w:val="it-IT" w:eastAsia="it-IT"/>
        </w:rPr>
        <w:t>Il messaggio del Consiglio di Stato</w:t>
      </w:r>
    </w:p>
    <w:p w:rsidR="00B968BF" w:rsidRDefault="00B968BF" w:rsidP="00B968BF">
      <w:pPr>
        <w:rPr>
          <w:rFonts w:asciiTheme="minorHAnsi" w:hAnsiTheme="minorHAnsi" w:cstheme="minorHAnsi"/>
          <w:bCs/>
          <w:sz w:val="24"/>
          <w:szCs w:val="24"/>
        </w:rPr>
      </w:pPr>
      <w:r w:rsidRPr="00A95F01">
        <w:rPr>
          <w:rFonts w:asciiTheme="minorHAnsi" w:hAnsiTheme="minorHAnsi" w:cstheme="minorHAnsi"/>
          <w:bCs/>
          <w:sz w:val="24"/>
          <w:szCs w:val="24"/>
        </w:rPr>
        <w:t xml:space="preserve">Con il messaggio n. 8647 del 28 gennaio 2026, il Consiglio di Stato dà seguito al mandato ricevuto dal Gran Consiglio il 16 settembre 2025 e propone lo stanziamento di un credito complessivo di 2 milioni di franchi per il quadriennio 2026–2029, pari a 500’000 franchi annui. Il contributo verrebbe erogato direttamente alle realtà editoriali ticinesi che soddisfano i criteri federali per l’accesso alle riduzioni postali ai sensi dell’art. 16 cpv. 4 </w:t>
      </w:r>
      <w:proofErr w:type="spellStart"/>
      <w:r w:rsidRPr="00A95F01">
        <w:rPr>
          <w:rFonts w:asciiTheme="minorHAnsi" w:hAnsiTheme="minorHAnsi" w:cstheme="minorHAnsi"/>
          <w:bCs/>
          <w:sz w:val="24"/>
          <w:szCs w:val="24"/>
        </w:rPr>
        <w:t>lett</w:t>
      </w:r>
      <w:proofErr w:type="spellEnd"/>
      <w:r w:rsidRPr="00A95F01">
        <w:rPr>
          <w:rFonts w:asciiTheme="minorHAnsi" w:hAnsiTheme="minorHAnsi" w:cstheme="minorHAnsi"/>
          <w:bCs/>
          <w:sz w:val="24"/>
          <w:szCs w:val="24"/>
        </w:rPr>
        <w:t xml:space="preserve">. a LPO: in base ai dati UFCOM 2024, si tratta di cinque testate — Corriere del Ticino, La Regione, Rivista di Lugano, Informatore e </w:t>
      </w:r>
      <w:proofErr w:type="spellStart"/>
      <w:r w:rsidRPr="00A95F01">
        <w:rPr>
          <w:rFonts w:asciiTheme="minorHAnsi" w:hAnsiTheme="minorHAnsi" w:cstheme="minorHAnsi"/>
          <w:bCs/>
          <w:sz w:val="24"/>
          <w:szCs w:val="24"/>
        </w:rPr>
        <w:t>Tessiner</w:t>
      </w:r>
      <w:proofErr w:type="spellEnd"/>
      <w:r w:rsidRPr="00A95F01">
        <w:rPr>
          <w:rFonts w:asciiTheme="minorHAnsi" w:hAnsiTheme="minorHAnsi" w:cstheme="minorHAnsi"/>
          <w:bCs/>
          <w:sz w:val="24"/>
          <w:szCs w:val="24"/>
        </w:rPr>
        <w:t xml:space="preserve"> Zeitung — tra cui i due quotidiani rappresentano circa il 90% del totale. La ripartizione avverrebbe proporzionalmente al numero di copie certificate dall’UFCOM; nessuna condizione qualitativa è prevista. Il messaggio stesso riconosce che si tratta di un nuovo compito statale, non incluso nel </w:t>
      </w:r>
      <w:r w:rsidRPr="00A95F01">
        <w:rPr>
          <w:rFonts w:asciiTheme="minorHAnsi" w:hAnsiTheme="minorHAnsi" w:cstheme="minorHAnsi"/>
          <w:bCs/>
          <w:sz w:val="24"/>
          <w:szCs w:val="24"/>
        </w:rPr>
        <w:lastRenderedPageBreak/>
        <w:t>preventivo 2026 né nel piano finanziario, e che il decreto legislativo richiede l’approvazione della maggioranza assoluta dei membri del Gran Consiglio.</w:t>
      </w:r>
    </w:p>
    <w:p w:rsidR="00B968BF" w:rsidRDefault="00B968BF" w:rsidP="00B968BF">
      <w:pPr>
        <w:rPr>
          <w:rFonts w:asciiTheme="minorHAnsi" w:hAnsiTheme="minorHAnsi" w:cstheme="minorHAnsi"/>
          <w:bCs/>
          <w:sz w:val="24"/>
          <w:szCs w:val="24"/>
        </w:rPr>
      </w:pPr>
    </w:p>
    <w:p w:rsidR="00B968BF" w:rsidRPr="00A95F01" w:rsidRDefault="00B968BF" w:rsidP="00B968BF">
      <w:pPr>
        <w:rPr>
          <w:rFonts w:asciiTheme="minorHAnsi" w:hAnsiTheme="minorHAnsi" w:cstheme="minorHAnsi"/>
          <w:bCs/>
          <w:sz w:val="24"/>
          <w:szCs w:val="24"/>
        </w:rPr>
      </w:pPr>
    </w:p>
    <w:p w:rsidR="00B968BF" w:rsidRPr="00B968BF" w:rsidRDefault="00B968BF" w:rsidP="00B968BF">
      <w:pPr>
        <w:pStyle w:val="Titolo1"/>
        <w:tabs>
          <w:tab w:val="left" w:pos="567"/>
        </w:tabs>
        <w:spacing w:before="0"/>
        <w:ind w:left="567" w:hanging="567"/>
        <w:jc w:val="both"/>
        <w:rPr>
          <w:rFonts w:eastAsia="Calibri" w:cs="Times New Roman"/>
          <w:caps/>
          <w:sz w:val="24"/>
          <w:szCs w:val="24"/>
          <w:lang w:val="it-IT" w:eastAsia="it-IT"/>
        </w:rPr>
      </w:pPr>
      <w:r w:rsidRPr="00B968BF">
        <w:rPr>
          <w:rFonts w:eastAsia="Calibri" w:cs="Times New Roman"/>
          <w:caps/>
          <w:sz w:val="24"/>
          <w:szCs w:val="24"/>
          <w:lang w:val="it-IT" w:eastAsia="it-IT"/>
        </w:rPr>
        <w:t xml:space="preserve">3. </w:t>
      </w:r>
      <w:r>
        <w:rPr>
          <w:rFonts w:eastAsia="Calibri" w:cs="Times New Roman"/>
          <w:caps/>
          <w:sz w:val="24"/>
          <w:szCs w:val="24"/>
          <w:lang w:val="it-IT" w:eastAsia="it-IT"/>
        </w:rPr>
        <w:tab/>
      </w:r>
      <w:r w:rsidRPr="00B968BF">
        <w:rPr>
          <w:rFonts w:eastAsia="Calibri" w:cs="Times New Roman"/>
          <w:caps/>
          <w:sz w:val="24"/>
          <w:szCs w:val="24"/>
          <w:lang w:val="it-IT" w:eastAsia="it-IT"/>
        </w:rPr>
        <w:t>art. 17 della Costituzione federale: baluardo contro la dipendenza finanziaria dallo Stato</w:t>
      </w:r>
    </w:p>
    <w:p w:rsidR="00B968BF" w:rsidRPr="00A95F01" w:rsidRDefault="00B968BF" w:rsidP="00B968BF">
      <w:pPr>
        <w:rPr>
          <w:rFonts w:asciiTheme="minorHAnsi" w:hAnsiTheme="minorHAnsi" w:cstheme="minorHAnsi"/>
          <w:sz w:val="24"/>
          <w:szCs w:val="24"/>
        </w:rPr>
      </w:pPr>
      <w:r w:rsidRPr="00A95F01">
        <w:rPr>
          <w:rFonts w:asciiTheme="minorHAnsi" w:hAnsiTheme="minorHAnsi" w:cstheme="minorHAnsi"/>
          <w:sz w:val="24"/>
          <w:szCs w:val="24"/>
        </w:rPr>
        <w:t>La libertà di stampa garantita dall’art. 17 della Costituzione federale non significa soltanto che lo Stato non può censurare i giornali. Significa qualcosa di più: i media devono essere indipendenti dallo Stato anche sul piano economico. Chi è chiamato a controllare il potere pubblico non può dipendere finanziariamente da esso. Questa non è un’opinione politica: è un principio che la Costituzione pone a fondamento della democrazia diretta svizzera.</w:t>
      </w:r>
    </w:p>
    <w:p w:rsidR="00B968BF" w:rsidRPr="00A95F01" w:rsidRDefault="00B968BF" w:rsidP="00B968BF">
      <w:pPr>
        <w:rPr>
          <w:rFonts w:asciiTheme="minorHAnsi" w:hAnsiTheme="minorHAnsi" w:cstheme="minorHAnsi"/>
          <w:sz w:val="24"/>
          <w:szCs w:val="24"/>
        </w:rPr>
      </w:pPr>
    </w:p>
    <w:p w:rsidR="00B968BF" w:rsidRPr="00A95F01" w:rsidRDefault="00B968BF" w:rsidP="00B968BF">
      <w:pPr>
        <w:rPr>
          <w:rFonts w:asciiTheme="minorHAnsi" w:hAnsiTheme="minorHAnsi" w:cstheme="minorHAnsi"/>
          <w:sz w:val="24"/>
          <w:szCs w:val="24"/>
        </w:rPr>
      </w:pPr>
      <w:r w:rsidRPr="00A95F01">
        <w:rPr>
          <w:rFonts w:asciiTheme="minorHAnsi" w:hAnsiTheme="minorHAnsi" w:cstheme="minorHAnsi"/>
          <w:sz w:val="24"/>
          <w:szCs w:val="24"/>
        </w:rPr>
        <w:t xml:space="preserve">I principali commentatori del diritto costituzionale svizzero — </w:t>
      </w:r>
      <w:proofErr w:type="spellStart"/>
      <w:r w:rsidRPr="00A95F01">
        <w:rPr>
          <w:rFonts w:asciiTheme="minorHAnsi" w:hAnsiTheme="minorHAnsi" w:cstheme="minorHAnsi"/>
          <w:sz w:val="24"/>
          <w:szCs w:val="24"/>
        </w:rPr>
        <w:t>Häfelin</w:t>
      </w:r>
      <w:proofErr w:type="spellEnd"/>
      <w:r w:rsidRPr="00A95F01">
        <w:rPr>
          <w:rFonts w:asciiTheme="minorHAnsi" w:hAnsiTheme="minorHAnsi" w:cstheme="minorHAnsi"/>
          <w:sz w:val="24"/>
          <w:szCs w:val="24"/>
        </w:rPr>
        <w:t xml:space="preserve">, Müller, </w:t>
      </w:r>
      <w:proofErr w:type="spellStart"/>
      <w:r w:rsidRPr="00A95F01">
        <w:rPr>
          <w:rFonts w:asciiTheme="minorHAnsi" w:hAnsiTheme="minorHAnsi" w:cstheme="minorHAnsi"/>
          <w:sz w:val="24"/>
          <w:szCs w:val="24"/>
        </w:rPr>
        <w:t>Uhlmann</w:t>
      </w:r>
      <w:proofErr w:type="spellEnd"/>
      <w:r w:rsidRPr="00A95F01">
        <w:rPr>
          <w:rFonts w:asciiTheme="minorHAnsi" w:hAnsiTheme="minorHAnsi" w:cstheme="minorHAnsi"/>
          <w:sz w:val="24"/>
          <w:szCs w:val="24"/>
        </w:rPr>
        <w:t xml:space="preserve"> e </w:t>
      </w:r>
      <w:proofErr w:type="spellStart"/>
      <w:r w:rsidRPr="00A95F01">
        <w:rPr>
          <w:rFonts w:asciiTheme="minorHAnsi" w:hAnsiTheme="minorHAnsi" w:cstheme="minorHAnsi"/>
          <w:sz w:val="24"/>
          <w:szCs w:val="24"/>
        </w:rPr>
        <w:t>Rhinow</w:t>
      </w:r>
      <w:proofErr w:type="spellEnd"/>
      <w:r w:rsidRPr="00A95F01">
        <w:rPr>
          <w:rFonts w:asciiTheme="minorHAnsi" w:hAnsiTheme="minorHAnsi" w:cstheme="minorHAnsi"/>
          <w:sz w:val="24"/>
          <w:szCs w:val="24"/>
        </w:rPr>
        <w:t xml:space="preserve"> — sono espliciti su questo punto: lo Stato non deve solo astenersi dall’interferire nei contenuti editoriali, ma evitare qualsiasi meccanismo che possa condizionarne la libertà di giudizio, anche indirettamente. I sussidi diretti ricorrenti sono esattamente quel tipo di meccanismo. Non serve che il Governo telefoni alla redazione: basta che l’editore sappia da chi arriva il contributo annuale perché il rischio di autocensura si materializzi da solo.</w:t>
      </w:r>
      <w:r w:rsidRPr="00A95F01">
        <w:rPr>
          <w:rFonts w:asciiTheme="minorHAnsi" w:hAnsiTheme="minorHAnsi" w:cstheme="minorHAnsi"/>
          <w:sz w:val="24"/>
          <w:szCs w:val="24"/>
          <w:vertAlign w:val="superscript"/>
        </w:rPr>
        <w:footnoteReference w:id="1"/>
      </w:r>
    </w:p>
    <w:p w:rsidR="00B968BF" w:rsidRPr="00A95F01" w:rsidRDefault="00B968BF" w:rsidP="00B968BF">
      <w:pPr>
        <w:rPr>
          <w:rFonts w:asciiTheme="minorHAnsi" w:hAnsiTheme="minorHAnsi" w:cstheme="minorHAnsi"/>
          <w:sz w:val="24"/>
          <w:szCs w:val="24"/>
        </w:rPr>
      </w:pPr>
    </w:p>
    <w:p w:rsidR="00B968BF" w:rsidRPr="00A95F01" w:rsidRDefault="00B968BF" w:rsidP="00B968BF">
      <w:pPr>
        <w:rPr>
          <w:rFonts w:asciiTheme="minorHAnsi" w:hAnsiTheme="minorHAnsi" w:cstheme="minorHAnsi"/>
          <w:sz w:val="24"/>
          <w:szCs w:val="24"/>
        </w:rPr>
      </w:pPr>
      <w:r w:rsidRPr="00A95F01">
        <w:rPr>
          <w:rFonts w:asciiTheme="minorHAnsi" w:hAnsiTheme="minorHAnsi" w:cstheme="minorHAnsi"/>
          <w:sz w:val="24"/>
          <w:szCs w:val="24"/>
        </w:rPr>
        <w:t xml:space="preserve">La stampa è il “quarto potere” non perché lo Stato lo autorizza, ma perché opera al di fuori della sua orbita di influenza. </w:t>
      </w:r>
      <w:proofErr w:type="spellStart"/>
      <w:r w:rsidRPr="00A95F01">
        <w:rPr>
          <w:rFonts w:asciiTheme="minorHAnsi" w:hAnsiTheme="minorHAnsi" w:cstheme="minorHAnsi"/>
          <w:sz w:val="24"/>
          <w:szCs w:val="24"/>
        </w:rPr>
        <w:t>Rhinow</w:t>
      </w:r>
      <w:proofErr w:type="spellEnd"/>
      <w:r w:rsidRPr="00A95F01">
        <w:rPr>
          <w:rFonts w:asciiTheme="minorHAnsi" w:hAnsiTheme="minorHAnsi" w:cstheme="minorHAnsi"/>
          <w:sz w:val="24"/>
          <w:szCs w:val="24"/>
        </w:rPr>
        <w:t xml:space="preserve"> e </w:t>
      </w:r>
      <w:proofErr w:type="spellStart"/>
      <w:r w:rsidRPr="00A95F01">
        <w:rPr>
          <w:rFonts w:asciiTheme="minorHAnsi" w:hAnsiTheme="minorHAnsi" w:cstheme="minorHAnsi"/>
          <w:sz w:val="24"/>
          <w:szCs w:val="24"/>
        </w:rPr>
        <w:t>Schefer</w:t>
      </w:r>
      <w:proofErr w:type="spellEnd"/>
      <w:r w:rsidRPr="00A95F01">
        <w:rPr>
          <w:rFonts w:asciiTheme="minorHAnsi" w:hAnsiTheme="minorHAnsi" w:cstheme="minorHAnsi"/>
          <w:sz w:val="24"/>
          <w:szCs w:val="24"/>
        </w:rPr>
        <w:t xml:space="preserve"> lo dicono chiaramente nel loro trattato di diritto costituzionale svizzero: nel momento in cui quella distanza si riduce, anche solo attraverso un flusso di denaro ricorrente, la funzione democratica dell’informazione ne risente, indipendentemente dalle buone intenzioni di chi eroga il sussidio. Dichiarare la propria neutralità non è una garanzia. È un’intenzione difficilmente dimostrabile.</w:t>
      </w:r>
    </w:p>
    <w:p w:rsidR="00B968BF" w:rsidRPr="00A95F01" w:rsidRDefault="00B968BF" w:rsidP="00B968BF">
      <w:pPr>
        <w:rPr>
          <w:rFonts w:asciiTheme="minorHAnsi" w:hAnsiTheme="minorHAnsi" w:cstheme="minorHAnsi"/>
          <w:sz w:val="24"/>
          <w:szCs w:val="24"/>
        </w:rPr>
      </w:pPr>
    </w:p>
    <w:p w:rsidR="00B968BF" w:rsidRPr="00A95F01" w:rsidRDefault="00B968BF" w:rsidP="00B968BF">
      <w:pPr>
        <w:rPr>
          <w:rFonts w:asciiTheme="minorHAnsi" w:hAnsiTheme="minorHAnsi" w:cstheme="minorHAnsi"/>
          <w:sz w:val="24"/>
          <w:szCs w:val="24"/>
        </w:rPr>
      </w:pPr>
      <w:r w:rsidRPr="00A95F01">
        <w:rPr>
          <w:rFonts w:asciiTheme="minorHAnsi" w:hAnsiTheme="minorHAnsi" w:cstheme="minorHAnsi"/>
          <w:sz w:val="24"/>
          <w:szCs w:val="24"/>
        </w:rPr>
        <w:t xml:space="preserve">Il Tribunale federale ha confermato in più occasioni che l’art. 17 </w:t>
      </w:r>
      <w:proofErr w:type="spellStart"/>
      <w:r w:rsidRPr="00A95F01">
        <w:rPr>
          <w:rFonts w:asciiTheme="minorHAnsi" w:hAnsiTheme="minorHAnsi" w:cstheme="minorHAnsi"/>
          <w:sz w:val="24"/>
          <w:szCs w:val="24"/>
        </w:rPr>
        <w:t>Cost</w:t>
      </w:r>
      <w:proofErr w:type="spellEnd"/>
      <w:r w:rsidRPr="00A95F01">
        <w:rPr>
          <w:rFonts w:asciiTheme="minorHAnsi" w:hAnsiTheme="minorHAnsi" w:cstheme="minorHAnsi"/>
          <w:sz w:val="24"/>
          <w:szCs w:val="24"/>
        </w:rPr>
        <w:t>. non tutela solo il singolo giornalista, ma l’indipendenza dell’istituzione mediatica nel suo complesso. Lo Stato non è tenuto soltanto a non censurare</w:t>
      </w:r>
      <w:r>
        <w:rPr>
          <w:rFonts w:asciiTheme="minorHAnsi" w:hAnsiTheme="minorHAnsi" w:cstheme="minorHAnsi"/>
          <w:sz w:val="24"/>
          <w:szCs w:val="24"/>
        </w:rPr>
        <w:t>,</w:t>
      </w:r>
      <w:r w:rsidRPr="00A95F01">
        <w:rPr>
          <w:rFonts w:asciiTheme="minorHAnsi" w:hAnsiTheme="minorHAnsi" w:cstheme="minorHAnsi"/>
          <w:sz w:val="24"/>
          <w:szCs w:val="24"/>
        </w:rPr>
        <w:t xml:space="preserve"> è tenuto a non creare legami finanziari sistematici con chi deve, per vocazione, tenerlo sotto controllo.</w:t>
      </w:r>
    </w:p>
    <w:p w:rsidR="00B968BF" w:rsidRPr="00A95F01" w:rsidRDefault="00B968BF" w:rsidP="00B968BF">
      <w:pPr>
        <w:rPr>
          <w:rFonts w:asciiTheme="minorHAnsi" w:hAnsiTheme="minorHAnsi" w:cstheme="minorHAnsi"/>
          <w:sz w:val="24"/>
          <w:szCs w:val="24"/>
        </w:rPr>
      </w:pPr>
    </w:p>
    <w:p w:rsidR="00B968BF" w:rsidRPr="00A95F01" w:rsidRDefault="00B968BF" w:rsidP="00B968BF">
      <w:pPr>
        <w:rPr>
          <w:rFonts w:asciiTheme="minorHAnsi" w:hAnsiTheme="minorHAnsi" w:cstheme="minorHAnsi"/>
          <w:sz w:val="24"/>
          <w:szCs w:val="24"/>
        </w:rPr>
      </w:pPr>
      <w:r w:rsidRPr="00A95F01">
        <w:rPr>
          <w:rFonts w:asciiTheme="minorHAnsi" w:hAnsiTheme="minorHAnsi" w:cstheme="minorHAnsi"/>
          <w:sz w:val="24"/>
          <w:szCs w:val="24"/>
        </w:rPr>
        <w:t xml:space="preserve">Non si tratta di un’eccentricità del diritto svizzero. La Corte europea dei diritti dell’uomo ha affermato più volte che la dipendenza finanziaria dei media dallo Stato è incompatibile con il loro ruolo di controllo democratico, garantito dall’art. 10 CEDU. Il Centre for Media </w:t>
      </w:r>
      <w:proofErr w:type="spellStart"/>
      <w:r w:rsidRPr="00A95F01">
        <w:rPr>
          <w:rFonts w:asciiTheme="minorHAnsi" w:hAnsiTheme="minorHAnsi" w:cstheme="minorHAnsi"/>
          <w:sz w:val="24"/>
          <w:szCs w:val="24"/>
        </w:rPr>
        <w:t>Pluralism</w:t>
      </w:r>
      <w:proofErr w:type="spellEnd"/>
      <w:r w:rsidRPr="00A95F01">
        <w:rPr>
          <w:rFonts w:asciiTheme="minorHAnsi" w:hAnsiTheme="minorHAnsi" w:cstheme="minorHAnsi"/>
          <w:sz w:val="24"/>
          <w:szCs w:val="24"/>
        </w:rPr>
        <w:t xml:space="preserve"> and Media </w:t>
      </w:r>
      <w:proofErr w:type="spellStart"/>
      <w:r w:rsidRPr="00A95F01">
        <w:rPr>
          <w:rFonts w:asciiTheme="minorHAnsi" w:hAnsiTheme="minorHAnsi" w:cstheme="minorHAnsi"/>
          <w:sz w:val="24"/>
          <w:szCs w:val="24"/>
        </w:rPr>
        <w:t>Freedom</w:t>
      </w:r>
      <w:proofErr w:type="spellEnd"/>
      <w:r w:rsidRPr="00A95F01">
        <w:rPr>
          <w:rFonts w:asciiTheme="minorHAnsi" w:hAnsiTheme="minorHAnsi" w:cstheme="minorHAnsi"/>
          <w:sz w:val="24"/>
          <w:szCs w:val="24"/>
        </w:rPr>
        <w:t xml:space="preserve"> dell’Istituto Universitario Europeo raccomanda ai governi di intervenire in modo neutro e con obiettivi verificabili, non con sussidi ricorrenti che finiscono per creare dipendenze strutturali.</w:t>
      </w:r>
      <w:r w:rsidRPr="00A95F01">
        <w:rPr>
          <w:rFonts w:asciiTheme="minorHAnsi" w:hAnsiTheme="minorHAnsi" w:cstheme="minorHAnsi"/>
          <w:sz w:val="24"/>
          <w:szCs w:val="24"/>
          <w:vertAlign w:val="superscript"/>
        </w:rPr>
        <w:footnoteReference w:id="2"/>
      </w:r>
    </w:p>
    <w:p w:rsidR="00B968BF" w:rsidRPr="00A95F01" w:rsidRDefault="00B968BF" w:rsidP="00B968BF">
      <w:pPr>
        <w:rPr>
          <w:rFonts w:asciiTheme="minorHAnsi" w:hAnsiTheme="minorHAnsi" w:cstheme="minorHAnsi"/>
          <w:sz w:val="24"/>
          <w:szCs w:val="24"/>
        </w:rPr>
      </w:pPr>
    </w:p>
    <w:p w:rsidR="00B968BF" w:rsidRPr="00B968BF" w:rsidRDefault="00B968BF" w:rsidP="00B968BF">
      <w:pPr>
        <w:pStyle w:val="StandardRisoluzionedelConsigliodiStato"/>
        <w:ind w:right="-1"/>
        <w:rPr>
          <w:rFonts w:asciiTheme="minorHAnsi" w:hAnsiTheme="minorHAnsi" w:cstheme="minorHAnsi"/>
          <w:szCs w:val="24"/>
        </w:rPr>
      </w:pPr>
      <w:r w:rsidRPr="00A95F01">
        <w:rPr>
          <w:rFonts w:asciiTheme="minorHAnsi" w:hAnsiTheme="minorHAnsi" w:cstheme="minorHAnsi"/>
          <w:szCs w:val="24"/>
        </w:rPr>
        <w:t xml:space="preserve">Il messaggio 8647 non affronta nessuna di queste questioni. Non si chiede se la misura sia compatibile con l’art. 17 </w:t>
      </w:r>
      <w:proofErr w:type="spellStart"/>
      <w:r w:rsidRPr="00A95F01">
        <w:rPr>
          <w:rFonts w:asciiTheme="minorHAnsi" w:hAnsiTheme="minorHAnsi" w:cstheme="minorHAnsi"/>
          <w:szCs w:val="24"/>
        </w:rPr>
        <w:t>Cost</w:t>
      </w:r>
      <w:proofErr w:type="spellEnd"/>
      <w:r w:rsidRPr="00A95F01">
        <w:rPr>
          <w:rFonts w:asciiTheme="minorHAnsi" w:hAnsiTheme="minorHAnsi" w:cstheme="minorHAnsi"/>
          <w:szCs w:val="24"/>
        </w:rPr>
        <w:t xml:space="preserve">. Non propone nessuna garanzia di indipendenza editoriale per i beneficiari. Si limita a versare denaro proporzionalmente alle copie </w:t>
      </w:r>
      <w:r w:rsidRPr="00B968BF">
        <w:rPr>
          <w:rFonts w:asciiTheme="minorHAnsi" w:hAnsiTheme="minorHAnsi" w:cstheme="minorHAnsi"/>
          <w:szCs w:val="24"/>
        </w:rPr>
        <w:lastRenderedPageBreak/>
        <w:t xml:space="preserve">distribuite, come se il problema dell’indipendenza non esistesse. Ma i rischi di un sussidio diretto sullo spirito critico dei media non si misurano in franchi, si misurano nel tempo, nell’abitudine che si consolida, nella deferenza che cresce. </w:t>
      </w:r>
    </w:p>
    <w:p w:rsidR="00B968BF" w:rsidRPr="00B968BF" w:rsidRDefault="00B968BF" w:rsidP="00B968BF">
      <w:pPr>
        <w:pStyle w:val="StandardRisoluzionedelConsigliodiStato"/>
        <w:ind w:right="-1"/>
        <w:rPr>
          <w:rFonts w:asciiTheme="minorHAnsi" w:hAnsiTheme="minorHAnsi" w:cstheme="minorHAnsi"/>
          <w:szCs w:val="24"/>
        </w:rPr>
      </w:pPr>
    </w:p>
    <w:p w:rsidR="00B968BF" w:rsidRPr="00A95F01" w:rsidRDefault="00B968BF" w:rsidP="00B968BF">
      <w:pPr>
        <w:pStyle w:val="StandardRisoluzionedelConsigliodiStato"/>
        <w:ind w:right="-1"/>
        <w:rPr>
          <w:rFonts w:asciiTheme="minorHAnsi" w:hAnsiTheme="minorHAnsi" w:cstheme="minorHAnsi"/>
          <w:szCs w:val="24"/>
        </w:rPr>
      </w:pPr>
      <w:r w:rsidRPr="00B968BF">
        <w:rPr>
          <w:rFonts w:asciiTheme="minorHAnsi" w:hAnsiTheme="minorHAnsi" w:cstheme="minorHAnsi"/>
          <w:szCs w:val="24"/>
        </w:rPr>
        <w:t>La maggioranza commissionale invoca, a sostegno della compatibilità della misura con l'articolo costituzionale in questione, la perizia dell'Ufficio federale di giustizia del 20 giugno 2004. Ma quella stessa perizia condiziona esplicitamente la legittimità dell'aiuto pubblico alla fissazione di criteri oggettivi che impediscano qualsiasi influenza dello Stato sui contenuti editoriali. Il messaggio 8647 non soddisfa questa condizione: l'unico criterio previsto è il numero di copie distribuite. Nessuna condizione qualitativa, nessuna garanzia di indipendenza redazionale. La perizia che la maggioranza adduce a sostegno della misura è in realtà la norma che la misura non rispetta. Ignorare ciò non è una semplice dimenticanza, è la prova che la misura proposta dal Governo non ha mai fatto i conti con la norma costituzionale che avrebbe dovuto rispettare.</w:t>
      </w:r>
    </w:p>
    <w:p w:rsidR="00B968BF" w:rsidRDefault="00B968BF" w:rsidP="00B968BF">
      <w:pPr>
        <w:pStyle w:val="StandardRisoluzionedelConsigliodiStato"/>
        <w:ind w:right="-1"/>
        <w:rPr>
          <w:rFonts w:asciiTheme="minorHAnsi" w:hAnsiTheme="minorHAnsi" w:cstheme="minorHAnsi"/>
          <w:szCs w:val="24"/>
        </w:rPr>
      </w:pPr>
    </w:p>
    <w:p w:rsidR="00B968BF" w:rsidRPr="00A95F01" w:rsidRDefault="00B968BF" w:rsidP="00B968BF">
      <w:pPr>
        <w:pStyle w:val="StandardRisoluzionedelConsigliodiStato"/>
        <w:ind w:right="-1"/>
        <w:rPr>
          <w:rFonts w:asciiTheme="minorHAnsi" w:hAnsiTheme="minorHAnsi" w:cstheme="minorHAnsi"/>
          <w:szCs w:val="24"/>
        </w:rPr>
      </w:pPr>
    </w:p>
    <w:p w:rsidR="00B968BF" w:rsidRPr="00B968BF" w:rsidRDefault="00B968BF" w:rsidP="00B968BF">
      <w:pPr>
        <w:pStyle w:val="Titolo1"/>
        <w:tabs>
          <w:tab w:val="left" w:pos="567"/>
        </w:tabs>
        <w:spacing w:before="0"/>
        <w:ind w:left="567" w:hanging="567"/>
        <w:jc w:val="both"/>
        <w:rPr>
          <w:rFonts w:eastAsia="Calibri" w:cs="Times New Roman"/>
          <w:caps/>
          <w:sz w:val="24"/>
          <w:szCs w:val="24"/>
          <w:lang w:val="it-IT" w:eastAsia="it-IT"/>
        </w:rPr>
      </w:pPr>
      <w:r w:rsidRPr="00B968BF">
        <w:rPr>
          <w:rFonts w:eastAsia="Calibri" w:cs="Times New Roman"/>
          <w:caps/>
          <w:sz w:val="24"/>
          <w:szCs w:val="24"/>
          <w:lang w:val="it-IT" w:eastAsia="it-IT"/>
        </w:rPr>
        <w:t xml:space="preserve">4. </w:t>
      </w:r>
      <w:r>
        <w:rPr>
          <w:rFonts w:eastAsia="Calibri" w:cs="Times New Roman"/>
          <w:caps/>
          <w:sz w:val="24"/>
          <w:szCs w:val="24"/>
          <w:lang w:val="it-IT" w:eastAsia="it-IT"/>
        </w:rPr>
        <w:tab/>
      </w:r>
      <w:r w:rsidRPr="00B968BF">
        <w:rPr>
          <w:rFonts w:eastAsia="Calibri" w:cs="Times New Roman"/>
          <w:caps/>
          <w:sz w:val="24"/>
          <w:szCs w:val="24"/>
          <w:lang w:val="it-IT" w:eastAsia="it-IT"/>
        </w:rPr>
        <w:t>Mutamento immotivato della posizione governativa</w:t>
      </w:r>
    </w:p>
    <w:p w:rsidR="00B968BF" w:rsidRPr="00A95F01" w:rsidRDefault="00B968BF" w:rsidP="00B968BF">
      <w:pPr>
        <w:rPr>
          <w:rFonts w:asciiTheme="minorHAnsi" w:hAnsiTheme="minorHAnsi" w:cstheme="minorHAnsi"/>
          <w:sz w:val="24"/>
          <w:szCs w:val="24"/>
        </w:rPr>
      </w:pPr>
      <w:r w:rsidRPr="00A95F01">
        <w:rPr>
          <w:rFonts w:asciiTheme="minorHAnsi" w:hAnsiTheme="minorHAnsi" w:cstheme="minorHAnsi"/>
          <w:sz w:val="24"/>
          <w:szCs w:val="24"/>
        </w:rPr>
        <w:t>La contraddizione al cuore del messaggio 8647 non è di dettaglio: è dottrinale. Nel messaggio governativo n. 7971 del 24 febbraio 2021, il Consiglio di Stato aveva preso una posizione netta e motivata contro il finanziamento diretto dei media. Le affermazioni erano inequivocabili.</w:t>
      </w:r>
    </w:p>
    <w:p w:rsidR="00B968BF" w:rsidRPr="00A95F01" w:rsidRDefault="00B968BF" w:rsidP="00B968BF">
      <w:pPr>
        <w:rPr>
          <w:rFonts w:asciiTheme="minorHAnsi" w:hAnsiTheme="minorHAnsi" w:cstheme="minorHAnsi"/>
          <w:sz w:val="24"/>
          <w:szCs w:val="24"/>
        </w:rPr>
      </w:pPr>
    </w:p>
    <w:p w:rsidR="00B968BF" w:rsidRPr="00A95F01" w:rsidRDefault="00B968BF" w:rsidP="00B968BF">
      <w:pPr>
        <w:rPr>
          <w:rFonts w:asciiTheme="minorHAnsi" w:hAnsiTheme="minorHAnsi" w:cstheme="minorHAnsi"/>
          <w:sz w:val="24"/>
          <w:szCs w:val="24"/>
        </w:rPr>
      </w:pPr>
      <w:r w:rsidRPr="00A95F01">
        <w:rPr>
          <w:rFonts w:asciiTheme="minorHAnsi" w:hAnsiTheme="minorHAnsi" w:cstheme="minorHAnsi"/>
          <w:sz w:val="24"/>
          <w:szCs w:val="24"/>
        </w:rPr>
        <w:t>Sulla libertà editoriale:</w:t>
      </w:r>
    </w:p>
    <w:p w:rsidR="00B968BF" w:rsidRPr="00A95F01" w:rsidRDefault="00B968BF" w:rsidP="00B968BF">
      <w:pPr>
        <w:rPr>
          <w:rFonts w:asciiTheme="minorHAnsi" w:hAnsiTheme="minorHAnsi" w:cstheme="minorHAnsi"/>
          <w:sz w:val="24"/>
          <w:szCs w:val="24"/>
        </w:rPr>
      </w:pPr>
    </w:p>
    <w:p w:rsidR="00B968BF" w:rsidRPr="00A95F01" w:rsidRDefault="00B968BF" w:rsidP="00B968BF">
      <w:pPr>
        <w:rPr>
          <w:rFonts w:asciiTheme="minorHAnsi" w:hAnsiTheme="minorHAnsi" w:cstheme="minorHAnsi"/>
          <w:i/>
          <w:iCs/>
          <w:sz w:val="24"/>
          <w:szCs w:val="24"/>
        </w:rPr>
      </w:pPr>
      <w:r w:rsidRPr="00A95F01">
        <w:rPr>
          <w:rFonts w:asciiTheme="minorHAnsi" w:hAnsiTheme="minorHAnsi" w:cstheme="minorHAnsi"/>
          <w:i/>
          <w:iCs/>
          <w:sz w:val="24"/>
          <w:szCs w:val="24"/>
        </w:rPr>
        <w:t>“un sostegno finanziario diretto potrebbe compromettere la libertà editoriale. L’informazione libera e indipendente deve potersi finanziare sul mercato.”</w:t>
      </w:r>
    </w:p>
    <w:p w:rsidR="00B968BF" w:rsidRPr="00A95F01" w:rsidRDefault="00B968BF" w:rsidP="00B968BF">
      <w:pPr>
        <w:rPr>
          <w:rFonts w:asciiTheme="minorHAnsi" w:hAnsiTheme="minorHAnsi" w:cstheme="minorHAnsi"/>
          <w:sz w:val="24"/>
          <w:szCs w:val="24"/>
        </w:rPr>
      </w:pPr>
    </w:p>
    <w:p w:rsidR="00B968BF" w:rsidRPr="00A95F01" w:rsidRDefault="00B968BF" w:rsidP="00B968BF">
      <w:pPr>
        <w:rPr>
          <w:rFonts w:asciiTheme="minorHAnsi" w:hAnsiTheme="minorHAnsi" w:cstheme="minorHAnsi"/>
          <w:sz w:val="24"/>
          <w:szCs w:val="24"/>
        </w:rPr>
      </w:pPr>
      <w:r w:rsidRPr="00A95F01">
        <w:rPr>
          <w:rFonts w:asciiTheme="minorHAnsi" w:hAnsiTheme="minorHAnsi" w:cstheme="minorHAnsi"/>
          <w:sz w:val="24"/>
          <w:szCs w:val="24"/>
        </w:rPr>
        <w:t>Sulla natura del sostegno pubblico:</w:t>
      </w:r>
    </w:p>
    <w:p w:rsidR="00B968BF" w:rsidRPr="00A95F01" w:rsidRDefault="00B968BF" w:rsidP="00B968BF">
      <w:pPr>
        <w:rPr>
          <w:rFonts w:asciiTheme="minorHAnsi" w:hAnsiTheme="minorHAnsi" w:cstheme="minorHAnsi"/>
          <w:sz w:val="24"/>
          <w:szCs w:val="24"/>
        </w:rPr>
      </w:pPr>
    </w:p>
    <w:p w:rsidR="00B968BF" w:rsidRPr="00A95F01" w:rsidRDefault="00B968BF" w:rsidP="00B968BF">
      <w:pPr>
        <w:rPr>
          <w:rFonts w:asciiTheme="minorHAnsi" w:hAnsiTheme="minorHAnsi" w:cstheme="minorHAnsi"/>
          <w:i/>
          <w:iCs/>
          <w:sz w:val="24"/>
          <w:szCs w:val="24"/>
        </w:rPr>
      </w:pPr>
      <w:r w:rsidRPr="00A95F01">
        <w:rPr>
          <w:rFonts w:asciiTheme="minorHAnsi" w:hAnsiTheme="minorHAnsi" w:cstheme="minorHAnsi"/>
          <w:i/>
          <w:iCs/>
          <w:sz w:val="24"/>
          <w:szCs w:val="24"/>
        </w:rPr>
        <w:t>“l’informazione libera deve poter fare affidamento su condizioni quadro favorevoli, non su sostegni finanziari ricorrenti.”</w:t>
      </w:r>
    </w:p>
    <w:p w:rsidR="00B968BF" w:rsidRPr="00A95F01" w:rsidRDefault="00B968BF" w:rsidP="00B968BF">
      <w:pPr>
        <w:rPr>
          <w:rFonts w:asciiTheme="minorHAnsi" w:hAnsiTheme="minorHAnsi" w:cstheme="minorHAnsi"/>
          <w:sz w:val="24"/>
          <w:szCs w:val="24"/>
        </w:rPr>
      </w:pPr>
    </w:p>
    <w:p w:rsidR="00B968BF" w:rsidRPr="00A95F01" w:rsidRDefault="00B968BF" w:rsidP="00B968BF">
      <w:pPr>
        <w:rPr>
          <w:rFonts w:asciiTheme="minorHAnsi" w:hAnsiTheme="minorHAnsi" w:cstheme="minorHAnsi"/>
          <w:sz w:val="24"/>
          <w:szCs w:val="24"/>
        </w:rPr>
      </w:pPr>
      <w:r w:rsidRPr="00A95F01">
        <w:rPr>
          <w:rFonts w:asciiTheme="minorHAnsi" w:hAnsiTheme="minorHAnsi" w:cstheme="minorHAnsi"/>
          <w:sz w:val="24"/>
          <w:szCs w:val="24"/>
        </w:rPr>
        <w:t>Sulla calibrazione delle misure:</w:t>
      </w:r>
    </w:p>
    <w:p w:rsidR="00B968BF" w:rsidRPr="00A95F01" w:rsidRDefault="00B968BF" w:rsidP="00B968BF">
      <w:pPr>
        <w:rPr>
          <w:rFonts w:asciiTheme="minorHAnsi" w:hAnsiTheme="minorHAnsi" w:cstheme="minorHAnsi"/>
          <w:sz w:val="24"/>
          <w:szCs w:val="24"/>
        </w:rPr>
      </w:pPr>
    </w:p>
    <w:p w:rsidR="00B968BF" w:rsidRPr="00A95F01" w:rsidRDefault="00B968BF" w:rsidP="00B968BF">
      <w:pPr>
        <w:rPr>
          <w:rFonts w:asciiTheme="minorHAnsi" w:hAnsiTheme="minorHAnsi" w:cstheme="minorHAnsi"/>
          <w:i/>
          <w:iCs/>
          <w:sz w:val="24"/>
          <w:szCs w:val="24"/>
        </w:rPr>
      </w:pPr>
      <w:r w:rsidRPr="00A95F01">
        <w:rPr>
          <w:rFonts w:asciiTheme="minorHAnsi" w:hAnsiTheme="minorHAnsi" w:cstheme="minorHAnsi"/>
          <w:i/>
          <w:iCs/>
          <w:sz w:val="24"/>
          <w:szCs w:val="24"/>
        </w:rPr>
        <w:t>“ogni misura di sostegno pubblico deve essere attentamente calibrata per evitare distorsioni del mercato e compromissioni dell’indipendenza editoriale.”</w:t>
      </w:r>
      <w:r w:rsidRPr="00A95F01">
        <w:rPr>
          <w:rFonts w:asciiTheme="minorHAnsi" w:hAnsiTheme="minorHAnsi" w:cstheme="minorHAnsi"/>
          <w:sz w:val="24"/>
          <w:szCs w:val="24"/>
          <w:vertAlign w:val="superscript"/>
        </w:rPr>
        <w:footnoteReference w:id="3"/>
      </w:r>
    </w:p>
    <w:p w:rsidR="00B968BF" w:rsidRPr="00A95F01" w:rsidRDefault="00B968BF" w:rsidP="00B968BF">
      <w:pPr>
        <w:rPr>
          <w:rFonts w:asciiTheme="minorHAnsi" w:hAnsiTheme="minorHAnsi" w:cstheme="minorHAnsi"/>
          <w:i/>
          <w:iCs/>
          <w:sz w:val="24"/>
          <w:szCs w:val="24"/>
        </w:rPr>
      </w:pPr>
    </w:p>
    <w:p w:rsidR="00B968BF" w:rsidRPr="00A95F01" w:rsidRDefault="00B968BF" w:rsidP="00B968BF">
      <w:pPr>
        <w:rPr>
          <w:rFonts w:asciiTheme="minorHAnsi" w:hAnsiTheme="minorHAnsi" w:cstheme="minorHAnsi"/>
          <w:sz w:val="24"/>
          <w:szCs w:val="24"/>
        </w:rPr>
      </w:pPr>
      <w:r w:rsidRPr="00A95F01">
        <w:rPr>
          <w:rFonts w:asciiTheme="minorHAnsi" w:hAnsiTheme="minorHAnsi" w:cstheme="minorHAnsi"/>
          <w:sz w:val="24"/>
          <w:szCs w:val="24"/>
        </w:rPr>
        <w:t>Il messaggio 8647 introduce ora esattamente ciò che il Consiglio di Stato aveva escluso nel 2021: un credito pubblico erogato annualmente agli editori, proporzionalmente al numero di copie distribuite. Identica finalità, identica struttura, opposto giudizio istituzionale. Il messaggio non dedica una sola riga a spiegare per quale ragione quei principi non sarebbero più validi nel 2026.</w:t>
      </w:r>
    </w:p>
    <w:p w:rsidR="00B968BF" w:rsidRPr="00A95F01" w:rsidRDefault="00B968BF" w:rsidP="00B968BF">
      <w:pPr>
        <w:rPr>
          <w:rFonts w:asciiTheme="minorHAnsi" w:hAnsiTheme="minorHAnsi" w:cstheme="minorHAnsi"/>
          <w:sz w:val="24"/>
          <w:szCs w:val="24"/>
        </w:rPr>
      </w:pPr>
    </w:p>
    <w:p w:rsidR="00B968BF" w:rsidRPr="00A95F01" w:rsidRDefault="00B968BF" w:rsidP="00B968BF">
      <w:pPr>
        <w:rPr>
          <w:rFonts w:asciiTheme="minorHAnsi" w:hAnsiTheme="minorHAnsi" w:cstheme="minorHAnsi"/>
          <w:sz w:val="24"/>
          <w:szCs w:val="24"/>
        </w:rPr>
      </w:pPr>
      <w:r w:rsidRPr="00A95F01">
        <w:rPr>
          <w:rFonts w:asciiTheme="minorHAnsi" w:hAnsiTheme="minorHAnsi" w:cstheme="minorHAnsi"/>
          <w:sz w:val="24"/>
          <w:szCs w:val="24"/>
        </w:rPr>
        <w:t xml:space="preserve">Il Parlamento non si trova di fronte a una semplice scelta politica: si trova di fronte a un rovesciamento di dottrina istituzionale privo di qualsiasi motivazione sostanziale. Un cambiamento di questa portata, in un ambito così sensibile come il rapporto tra Stato e media, richiederebbe almeno un’argomentazione. </w:t>
      </w:r>
    </w:p>
    <w:p w:rsidR="00B968BF" w:rsidRPr="00A95F01" w:rsidRDefault="00B968BF" w:rsidP="00B968BF">
      <w:pPr>
        <w:pStyle w:val="StandardRisoluzionedelConsigliodiStato"/>
        <w:ind w:right="-1"/>
        <w:rPr>
          <w:rFonts w:asciiTheme="minorHAnsi" w:hAnsiTheme="minorHAnsi" w:cstheme="minorHAnsi"/>
          <w:b/>
          <w:bCs/>
          <w:caps/>
          <w:szCs w:val="24"/>
        </w:rPr>
      </w:pPr>
      <w:r w:rsidRPr="00A95F01">
        <w:rPr>
          <w:rFonts w:asciiTheme="minorHAnsi" w:hAnsiTheme="minorHAnsi" w:cstheme="minorHAnsi"/>
          <w:b/>
          <w:caps/>
          <w:szCs w:val="24"/>
        </w:rPr>
        <w:lastRenderedPageBreak/>
        <w:t xml:space="preserve">5.  </w:t>
      </w:r>
      <w:r w:rsidRPr="00A95F01">
        <w:rPr>
          <w:rFonts w:asciiTheme="minorHAnsi" w:hAnsiTheme="minorHAnsi" w:cstheme="minorHAnsi"/>
          <w:b/>
          <w:bCs/>
          <w:caps/>
          <w:szCs w:val="24"/>
        </w:rPr>
        <w:t>Il responso popolare del 2022: un segnale che non può essere ignorato</w:t>
      </w:r>
    </w:p>
    <w:p w:rsidR="00B968BF" w:rsidRPr="00A95F01" w:rsidRDefault="00B968BF" w:rsidP="00B968BF">
      <w:pPr>
        <w:pStyle w:val="StandardRisoluzionedelConsigliodiStato"/>
        <w:ind w:right="-1"/>
        <w:rPr>
          <w:rFonts w:asciiTheme="minorHAnsi" w:hAnsiTheme="minorHAnsi" w:cstheme="minorHAnsi"/>
          <w:b/>
          <w:bCs/>
          <w:caps/>
          <w:szCs w:val="24"/>
        </w:rPr>
      </w:pPr>
    </w:p>
    <w:p w:rsidR="00B968BF" w:rsidRPr="00A95F01" w:rsidRDefault="00B968BF" w:rsidP="00B968BF">
      <w:pPr>
        <w:rPr>
          <w:rFonts w:asciiTheme="minorHAnsi" w:hAnsiTheme="minorHAnsi" w:cstheme="minorHAnsi"/>
          <w:sz w:val="24"/>
          <w:szCs w:val="24"/>
        </w:rPr>
      </w:pPr>
      <w:r w:rsidRPr="00A95F01">
        <w:rPr>
          <w:rFonts w:asciiTheme="minorHAnsi" w:hAnsiTheme="minorHAnsi" w:cstheme="minorHAnsi"/>
          <w:sz w:val="24"/>
          <w:szCs w:val="24"/>
        </w:rPr>
        <w:t>Il 13 febbraio 2022, il popolo svizzero ha respinto il “Pacchetto di misure a favore dei media”, che prevedeva aiuti diretti e indiretti per un totale di 151 milioni di franchi annui. Il rifiuto è stato netto: 54,6% a livello nazionale, 52,8% in Ticino.  Non si è trattato di un voto tecnico su una questione amministrativa</w:t>
      </w:r>
      <w:r>
        <w:rPr>
          <w:rFonts w:asciiTheme="minorHAnsi" w:hAnsiTheme="minorHAnsi" w:cstheme="minorHAnsi"/>
          <w:sz w:val="24"/>
          <w:szCs w:val="24"/>
        </w:rPr>
        <w:t>,</w:t>
      </w:r>
      <w:r w:rsidRPr="00A95F01">
        <w:rPr>
          <w:rFonts w:asciiTheme="minorHAnsi" w:hAnsiTheme="minorHAnsi" w:cstheme="minorHAnsi"/>
          <w:sz w:val="24"/>
          <w:szCs w:val="24"/>
        </w:rPr>
        <w:t xml:space="preserve"> è stata una pronuncia di principio sul rapporto tra Stato e media in una democrazia.</w:t>
      </w:r>
      <w:r w:rsidRPr="00A95F01">
        <w:rPr>
          <w:rFonts w:asciiTheme="minorHAnsi" w:hAnsiTheme="minorHAnsi" w:cstheme="minorHAnsi"/>
          <w:sz w:val="24"/>
          <w:szCs w:val="24"/>
          <w:vertAlign w:val="superscript"/>
        </w:rPr>
        <w:footnoteReference w:id="4"/>
      </w:r>
    </w:p>
    <w:p w:rsidR="00B968BF" w:rsidRPr="00A95F01" w:rsidRDefault="00B968BF" w:rsidP="00B968BF">
      <w:pPr>
        <w:rPr>
          <w:rFonts w:asciiTheme="minorHAnsi" w:hAnsiTheme="minorHAnsi" w:cstheme="minorHAnsi"/>
          <w:sz w:val="24"/>
          <w:szCs w:val="24"/>
        </w:rPr>
      </w:pPr>
    </w:p>
    <w:p w:rsidR="00B968BF" w:rsidRPr="00A95F01" w:rsidRDefault="00B968BF" w:rsidP="00B968BF">
      <w:pPr>
        <w:rPr>
          <w:rFonts w:asciiTheme="minorHAnsi" w:hAnsiTheme="minorHAnsi" w:cstheme="minorHAnsi"/>
          <w:sz w:val="24"/>
          <w:szCs w:val="24"/>
        </w:rPr>
      </w:pPr>
      <w:r w:rsidRPr="00A95F01">
        <w:rPr>
          <w:rFonts w:asciiTheme="minorHAnsi" w:hAnsiTheme="minorHAnsi" w:cstheme="minorHAnsi"/>
          <w:sz w:val="24"/>
          <w:szCs w:val="24"/>
        </w:rPr>
        <w:t>Tra le motivazioni espresse dai votanti e documentate dai sondaggi post-voto emergevano con chiarezza tre preoccupazioni fondamentali: il timore di un’ingerenza statale nei contenuti editoriali; la difesa dell’indipendenza redazionale come valore non negoziabile; la contrarietà a sovvenzionare operatori privati con denaro pubblico in un settore che deve rispondere al mercato e ai lettori, non allo Stato.</w:t>
      </w:r>
    </w:p>
    <w:p w:rsidR="00B968BF" w:rsidRPr="00A95F01" w:rsidRDefault="00B968BF" w:rsidP="00B968BF">
      <w:pPr>
        <w:rPr>
          <w:rFonts w:asciiTheme="minorHAnsi" w:hAnsiTheme="minorHAnsi" w:cstheme="minorHAnsi"/>
          <w:sz w:val="24"/>
          <w:szCs w:val="24"/>
        </w:rPr>
      </w:pPr>
    </w:p>
    <w:p w:rsidR="00B968BF" w:rsidRPr="00A95F01" w:rsidRDefault="00B968BF" w:rsidP="00B968BF">
      <w:pPr>
        <w:rPr>
          <w:rFonts w:asciiTheme="minorHAnsi" w:hAnsiTheme="minorHAnsi" w:cstheme="minorHAnsi"/>
          <w:sz w:val="24"/>
          <w:szCs w:val="24"/>
        </w:rPr>
      </w:pPr>
      <w:r w:rsidRPr="00A95F01">
        <w:rPr>
          <w:rFonts w:asciiTheme="minorHAnsi" w:hAnsiTheme="minorHAnsi" w:cstheme="minorHAnsi"/>
          <w:sz w:val="24"/>
          <w:szCs w:val="24"/>
        </w:rPr>
        <w:t>Quel voto aveva un significato politico preciso: i cittadini svizzeri hanno stabilito che il finanziamento pubblico diretto dei media è incompatibile con la loro concezione di una stampa libera. Non si trattava di indifferenza verso l’informazione locale, si trattava di un giudizio consapevole sullo strumento. Il messaggio 8647 non menziona questo voto. Non lo analizza, non lo discute, non tenta di distinguere la misura proposta da ciò che l’elettorato ha esplicitamente rifiutato. Questa omissione non è un dettaglio formale</w:t>
      </w:r>
      <w:r>
        <w:rPr>
          <w:rFonts w:asciiTheme="minorHAnsi" w:hAnsiTheme="minorHAnsi" w:cstheme="minorHAnsi"/>
          <w:sz w:val="24"/>
          <w:szCs w:val="24"/>
        </w:rPr>
        <w:t>,</w:t>
      </w:r>
      <w:r w:rsidRPr="00A95F01">
        <w:rPr>
          <w:rFonts w:asciiTheme="minorHAnsi" w:hAnsiTheme="minorHAnsi" w:cstheme="minorHAnsi"/>
          <w:sz w:val="24"/>
          <w:szCs w:val="24"/>
        </w:rPr>
        <w:t xml:space="preserve"> è un deficit di legittimazione politica che il Gran Consiglio non può ignorare.</w:t>
      </w:r>
    </w:p>
    <w:p w:rsidR="00B968BF" w:rsidRPr="00A95F01" w:rsidRDefault="00B968BF" w:rsidP="00B968BF">
      <w:pPr>
        <w:rPr>
          <w:rFonts w:asciiTheme="minorHAnsi" w:hAnsiTheme="minorHAnsi" w:cstheme="minorHAnsi"/>
          <w:sz w:val="24"/>
          <w:szCs w:val="24"/>
        </w:rPr>
      </w:pPr>
    </w:p>
    <w:p w:rsidR="00B968BF" w:rsidRDefault="00B968BF" w:rsidP="00B968BF">
      <w:pPr>
        <w:rPr>
          <w:rFonts w:asciiTheme="minorHAnsi" w:hAnsiTheme="minorHAnsi" w:cstheme="minorHAnsi"/>
          <w:sz w:val="24"/>
          <w:szCs w:val="24"/>
        </w:rPr>
      </w:pPr>
      <w:r w:rsidRPr="00A95F01">
        <w:rPr>
          <w:rFonts w:asciiTheme="minorHAnsi" w:hAnsiTheme="minorHAnsi" w:cstheme="minorHAnsi"/>
          <w:sz w:val="24"/>
          <w:szCs w:val="24"/>
        </w:rPr>
        <w:t xml:space="preserve">Ciò vale a maggior ragione per il Ticino. Il nostro Cantone ha votato contro il pacchetto nel 2022. Proporre oggi, a livello cantonale, uno strumento strutturalmente analogo significa non tenere conto di una preferenza espressa democraticamente dai cittadini ticinesi. </w:t>
      </w:r>
    </w:p>
    <w:p w:rsidR="00B968BF" w:rsidRDefault="00B968BF" w:rsidP="00B968BF">
      <w:pPr>
        <w:rPr>
          <w:rFonts w:asciiTheme="minorHAnsi" w:hAnsiTheme="minorHAnsi" w:cstheme="minorHAnsi"/>
          <w:sz w:val="24"/>
          <w:szCs w:val="24"/>
        </w:rPr>
      </w:pPr>
    </w:p>
    <w:p w:rsidR="00B968BF" w:rsidRDefault="00B968BF" w:rsidP="00B968BF">
      <w:pPr>
        <w:rPr>
          <w:rFonts w:asciiTheme="minorHAnsi" w:hAnsiTheme="minorHAnsi" w:cstheme="minorHAnsi"/>
          <w:sz w:val="24"/>
          <w:szCs w:val="24"/>
        </w:rPr>
      </w:pPr>
      <w:r w:rsidRPr="00B968BF">
        <w:rPr>
          <w:rFonts w:asciiTheme="minorHAnsi" w:hAnsiTheme="minorHAnsi" w:cstheme="minorHAnsi"/>
          <w:sz w:val="24"/>
          <w:szCs w:val="24"/>
        </w:rPr>
        <w:t>La maggioranza commissionale sostiene che l'importo modesto del sussidio, 500'000 franchi annui, non sarebbe tale da compromettere la libertà editoriale dei beneficiari. È un argomento soggettivo, privo di fondamento giuridico. La dipendenza strutturale non si misura in franchi: si misura nell'abitudine che si consolida, nella certezza del rinnovo, nell'aspettativa che si crea. Un editore che sa di dipendere da un contributo pubblico ricorrente non ha bisogno di ricevere istruzioni per modulare i propri toni. La pressione non arriva con una telefonata: arriva con la prima scadenza e la consapevolezza di chi deciderà il rinnovo. Vale per il 2029 del messaggio originario, come pure per il 2028 fissato nel rapporto di maggioranza, dimezzando la durata senza eliminare il problema.</w:t>
      </w:r>
    </w:p>
    <w:p w:rsidR="00B968BF" w:rsidRDefault="00B968BF" w:rsidP="00B968BF">
      <w:pPr>
        <w:rPr>
          <w:rFonts w:asciiTheme="minorHAnsi" w:hAnsiTheme="minorHAnsi" w:cstheme="minorHAnsi"/>
          <w:sz w:val="24"/>
          <w:szCs w:val="24"/>
        </w:rPr>
      </w:pPr>
    </w:p>
    <w:p w:rsidR="00B968BF" w:rsidRPr="00A95F01" w:rsidRDefault="00B968BF" w:rsidP="00B968BF">
      <w:pPr>
        <w:rPr>
          <w:rFonts w:asciiTheme="minorHAnsi" w:hAnsiTheme="minorHAnsi" w:cstheme="minorHAnsi"/>
          <w:sz w:val="24"/>
          <w:szCs w:val="24"/>
        </w:rPr>
      </w:pPr>
    </w:p>
    <w:p w:rsidR="00B968BF" w:rsidRPr="00B968BF" w:rsidRDefault="00B968BF" w:rsidP="00B968BF">
      <w:pPr>
        <w:pStyle w:val="Titolo1"/>
        <w:tabs>
          <w:tab w:val="left" w:pos="567"/>
        </w:tabs>
        <w:spacing w:before="0"/>
        <w:ind w:left="567" w:hanging="567"/>
        <w:jc w:val="both"/>
        <w:rPr>
          <w:rFonts w:eastAsia="Calibri" w:cs="Times New Roman"/>
          <w:caps/>
          <w:sz w:val="24"/>
          <w:szCs w:val="24"/>
          <w:lang w:val="it-IT" w:eastAsia="it-IT"/>
        </w:rPr>
      </w:pPr>
      <w:r w:rsidRPr="00B968BF">
        <w:rPr>
          <w:rFonts w:eastAsia="Calibri" w:cs="Times New Roman"/>
          <w:caps/>
          <w:sz w:val="24"/>
          <w:szCs w:val="24"/>
          <w:lang w:val="it-IT" w:eastAsia="it-IT"/>
        </w:rPr>
        <w:t xml:space="preserve">6.  </w:t>
      </w:r>
      <w:r>
        <w:rPr>
          <w:rFonts w:eastAsia="Calibri" w:cs="Times New Roman"/>
          <w:caps/>
          <w:sz w:val="24"/>
          <w:szCs w:val="24"/>
          <w:lang w:val="it-IT" w:eastAsia="it-IT"/>
        </w:rPr>
        <w:tab/>
      </w:r>
      <w:r w:rsidRPr="00B968BF">
        <w:rPr>
          <w:rFonts w:eastAsia="Calibri" w:cs="Times New Roman"/>
          <w:caps/>
          <w:sz w:val="24"/>
          <w:szCs w:val="24"/>
          <w:lang w:val="it-IT" w:eastAsia="it-IT"/>
        </w:rPr>
        <w:t>Erronea assimilazione allo strumento federale</w:t>
      </w:r>
    </w:p>
    <w:p w:rsidR="00B968BF" w:rsidRPr="00A95F01" w:rsidRDefault="00B968BF" w:rsidP="00B968BF">
      <w:pPr>
        <w:rPr>
          <w:rFonts w:asciiTheme="minorHAnsi" w:hAnsiTheme="minorHAnsi" w:cstheme="minorHAnsi"/>
          <w:sz w:val="24"/>
          <w:szCs w:val="24"/>
        </w:rPr>
      </w:pPr>
      <w:r w:rsidRPr="00A95F01">
        <w:rPr>
          <w:rFonts w:asciiTheme="minorHAnsi" w:hAnsiTheme="minorHAnsi" w:cstheme="minorHAnsi"/>
          <w:sz w:val="24"/>
          <w:szCs w:val="24"/>
        </w:rPr>
        <w:t>Il Consiglio di Stato giustifica la misura sostenendo di voler rafforzare un “dispositivo già conosciuto”, fondato sui criteri della Legge federale sulle poste. L’accostamento è politicamente suggestivo ma giuridicamente infondato.</w:t>
      </w:r>
    </w:p>
    <w:p w:rsidR="00B968BF" w:rsidRPr="00A95F01" w:rsidRDefault="00B968BF" w:rsidP="00B968BF">
      <w:pPr>
        <w:rPr>
          <w:rFonts w:asciiTheme="minorHAnsi" w:hAnsiTheme="minorHAnsi" w:cstheme="minorHAnsi"/>
          <w:sz w:val="24"/>
          <w:szCs w:val="24"/>
        </w:rPr>
      </w:pPr>
    </w:p>
    <w:p w:rsidR="00B968BF" w:rsidRPr="00A95F01" w:rsidRDefault="00B968BF" w:rsidP="00B968BF">
      <w:pPr>
        <w:rPr>
          <w:rFonts w:asciiTheme="minorHAnsi" w:hAnsiTheme="minorHAnsi" w:cstheme="minorHAnsi"/>
          <w:sz w:val="24"/>
          <w:szCs w:val="24"/>
        </w:rPr>
      </w:pPr>
      <w:r w:rsidRPr="00A95F01">
        <w:rPr>
          <w:rFonts w:asciiTheme="minorHAnsi" w:hAnsiTheme="minorHAnsi" w:cstheme="minorHAnsi"/>
          <w:sz w:val="24"/>
          <w:szCs w:val="24"/>
        </w:rPr>
        <w:t xml:space="preserve">Nel sistema federale, il contributo è versato all’operatore di distribuzione, la Posta, a compensazione della riduzione tariffaria applicata agli editori aventi diritto. Lo Stato non </w:t>
      </w:r>
      <w:r w:rsidRPr="00A95F01">
        <w:rPr>
          <w:rFonts w:asciiTheme="minorHAnsi" w:hAnsiTheme="minorHAnsi" w:cstheme="minorHAnsi"/>
          <w:sz w:val="24"/>
          <w:szCs w:val="24"/>
        </w:rPr>
        <w:lastRenderedPageBreak/>
        <w:t>entra in alcun rapporto finanziario diretto con l’editore: l’effetto è una riduzione del costo logistico, non un trasferimento di risorse pubbliche all’impresa editoriale.</w:t>
      </w:r>
    </w:p>
    <w:p w:rsidR="00B968BF" w:rsidRPr="00A95F01" w:rsidRDefault="00B968BF" w:rsidP="00B968BF">
      <w:pPr>
        <w:rPr>
          <w:rFonts w:asciiTheme="minorHAnsi" w:hAnsiTheme="minorHAnsi" w:cstheme="minorHAnsi"/>
          <w:sz w:val="24"/>
          <w:szCs w:val="24"/>
        </w:rPr>
      </w:pPr>
    </w:p>
    <w:p w:rsidR="00B968BF" w:rsidRPr="00A95F01" w:rsidRDefault="00B968BF" w:rsidP="00B968BF">
      <w:pPr>
        <w:rPr>
          <w:rFonts w:asciiTheme="minorHAnsi" w:hAnsiTheme="minorHAnsi" w:cstheme="minorHAnsi"/>
          <w:sz w:val="24"/>
          <w:szCs w:val="24"/>
        </w:rPr>
      </w:pPr>
      <w:r w:rsidRPr="00A95F01">
        <w:rPr>
          <w:rFonts w:asciiTheme="minorHAnsi" w:hAnsiTheme="minorHAnsi" w:cstheme="minorHAnsi"/>
          <w:sz w:val="24"/>
          <w:szCs w:val="24"/>
        </w:rPr>
        <w:t>Nel modello cantonale proposto, invece, il credito è erogato direttamente ai richiedenti, gli editori, e ripartito proporzionalmente alle copie. Il Cantone trasferisce denaro pubblico alle imprese editoriali. Il flusso finanziario è diretto, ricorrente e senza condizioni qualitative.</w:t>
      </w:r>
    </w:p>
    <w:p w:rsidR="00B968BF" w:rsidRPr="00A95F01" w:rsidRDefault="00B968BF" w:rsidP="00B968BF">
      <w:pPr>
        <w:rPr>
          <w:rFonts w:asciiTheme="minorHAnsi" w:hAnsiTheme="minorHAnsi" w:cstheme="minorHAnsi"/>
          <w:sz w:val="24"/>
          <w:szCs w:val="24"/>
        </w:rPr>
      </w:pPr>
    </w:p>
    <w:p w:rsidR="00B968BF" w:rsidRPr="00A95F01" w:rsidRDefault="00B968BF" w:rsidP="00B968BF">
      <w:pPr>
        <w:rPr>
          <w:rFonts w:asciiTheme="minorHAnsi" w:hAnsiTheme="minorHAnsi" w:cstheme="minorHAnsi"/>
          <w:sz w:val="24"/>
          <w:szCs w:val="24"/>
        </w:rPr>
      </w:pPr>
      <w:r w:rsidRPr="00A95F01">
        <w:rPr>
          <w:rFonts w:asciiTheme="minorHAnsi" w:hAnsiTheme="minorHAnsi" w:cstheme="minorHAnsi"/>
          <w:sz w:val="24"/>
          <w:szCs w:val="24"/>
        </w:rPr>
        <w:t>La differenza non è formale: è la differenza tra uno Stato che interviene su un costo infrastrutturale e uno Stato che finanzia l’attività economica di un operatore mediatico. Nel primo caso la distanza istituzionale tra Stato ed editore è preservata; nel secondo viene soppressa. Usare i parametri federali come criterio tecnico di ripartizione non trasforma un sussidio diretto in uno strumento indiretto: cambia l’etichetta, non la sostanza.</w:t>
      </w:r>
    </w:p>
    <w:p w:rsidR="00B968BF" w:rsidRPr="00A95F01" w:rsidRDefault="00B968BF" w:rsidP="00B968BF">
      <w:pPr>
        <w:rPr>
          <w:rFonts w:asciiTheme="minorHAnsi" w:hAnsiTheme="minorHAnsi" w:cstheme="minorHAnsi"/>
          <w:sz w:val="24"/>
          <w:szCs w:val="24"/>
        </w:rPr>
      </w:pPr>
    </w:p>
    <w:p w:rsidR="00B968BF" w:rsidRPr="00A95F01" w:rsidRDefault="00B968BF" w:rsidP="00B968BF">
      <w:pPr>
        <w:rPr>
          <w:rFonts w:asciiTheme="minorHAnsi" w:hAnsiTheme="minorHAnsi" w:cstheme="minorHAnsi"/>
          <w:sz w:val="24"/>
          <w:szCs w:val="24"/>
        </w:rPr>
      </w:pPr>
      <w:r w:rsidRPr="00A95F01">
        <w:rPr>
          <w:rFonts w:asciiTheme="minorHAnsi" w:hAnsiTheme="minorHAnsi" w:cstheme="minorHAnsi"/>
          <w:sz w:val="24"/>
          <w:szCs w:val="24"/>
        </w:rPr>
        <w:t>Il modello cantonale proposto introduce un rapporto finanziario diretto e ricorrente proprio con quegli attori che dovrebbero controllare il potere pubblico con la massima indipendenza. Questa tensione strutturale non può essere risolta con una clausola di neutralità dichiarata: va eliminata alla radice, scegliendo strumenti che non la producano.</w:t>
      </w:r>
    </w:p>
    <w:p w:rsidR="00B968BF" w:rsidRDefault="00B968BF" w:rsidP="00B968BF">
      <w:pPr>
        <w:pStyle w:val="StandardRisoluzionedelConsigliodiStato"/>
        <w:ind w:right="-1"/>
        <w:rPr>
          <w:rFonts w:asciiTheme="minorHAnsi" w:hAnsiTheme="minorHAnsi" w:cstheme="minorHAnsi"/>
          <w:b/>
          <w:bCs/>
          <w:caps/>
          <w:szCs w:val="24"/>
        </w:rPr>
      </w:pPr>
    </w:p>
    <w:p w:rsidR="00B968BF" w:rsidRPr="00A95F01" w:rsidRDefault="00B968BF" w:rsidP="00B968BF">
      <w:pPr>
        <w:pStyle w:val="StandardRisoluzionedelConsigliodiStato"/>
        <w:ind w:right="-1"/>
        <w:rPr>
          <w:rFonts w:asciiTheme="minorHAnsi" w:hAnsiTheme="minorHAnsi" w:cstheme="minorHAnsi"/>
          <w:b/>
          <w:bCs/>
          <w:caps/>
          <w:szCs w:val="24"/>
        </w:rPr>
      </w:pPr>
    </w:p>
    <w:p w:rsidR="00B968BF" w:rsidRPr="00B968BF" w:rsidRDefault="00B968BF" w:rsidP="00B968BF">
      <w:pPr>
        <w:pStyle w:val="Titolo1"/>
        <w:tabs>
          <w:tab w:val="left" w:pos="567"/>
        </w:tabs>
        <w:spacing w:before="0"/>
        <w:ind w:left="567" w:hanging="567"/>
        <w:jc w:val="both"/>
        <w:rPr>
          <w:rFonts w:eastAsia="Calibri" w:cs="Times New Roman"/>
          <w:caps/>
          <w:sz w:val="24"/>
          <w:szCs w:val="24"/>
          <w:lang w:val="it-IT" w:eastAsia="it-IT"/>
        </w:rPr>
      </w:pPr>
      <w:r w:rsidRPr="00B968BF">
        <w:rPr>
          <w:rFonts w:eastAsia="Calibri" w:cs="Times New Roman"/>
          <w:caps/>
          <w:sz w:val="24"/>
          <w:szCs w:val="24"/>
          <w:lang w:val="it-IT" w:eastAsia="it-IT"/>
        </w:rPr>
        <w:t xml:space="preserve">7.  </w:t>
      </w:r>
      <w:r>
        <w:rPr>
          <w:rFonts w:eastAsia="Calibri" w:cs="Times New Roman"/>
          <w:caps/>
          <w:sz w:val="24"/>
          <w:szCs w:val="24"/>
          <w:lang w:val="it-IT" w:eastAsia="it-IT"/>
        </w:rPr>
        <w:tab/>
      </w:r>
      <w:r w:rsidRPr="00B968BF">
        <w:rPr>
          <w:rFonts w:eastAsia="Calibri" w:cs="Times New Roman"/>
          <w:caps/>
          <w:sz w:val="24"/>
          <w:szCs w:val="24"/>
          <w:lang w:val="it-IT" w:eastAsia="it-IT"/>
        </w:rPr>
        <w:t>intervento cantonale superfluo</w:t>
      </w:r>
    </w:p>
    <w:p w:rsidR="00B968BF" w:rsidRPr="00B968BF" w:rsidRDefault="00B968BF" w:rsidP="00B968BF">
      <w:pPr>
        <w:rPr>
          <w:rFonts w:asciiTheme="minorHAnsi" w:hAnsiTheme="minorHAnsi" w:cstheme="minorHAnsi"/>
          <w:sz w:val="24"/>
          <w:szCs w:val="24"/>
        </w:rPr>
      </w:pPr>
      <w:r w:rsidRPr="00B968BF">
        <w:rPr>
          <w:rFonts w:asciiTheme="minorHAnsi" w:hAnsiTheme="minorHAnsi" w:cstheme="minorHAnsi"/>
          <w:sz w:val="24"/>
          <w:szCs w:val="24"/>
        </w:rPr>
        <w:t>Mentre il Gran Consiglio è chiamato a pronunciarsi sul messaggio 8647, il livello federale ha già intrapreso azioni sostanziali a favore della stampa regionale e locale, e ne ha annunciato di ulteriori. Dal 1° gennaio 2026, il contributo federale annuo per la distribuzione regolare della stampa regionale e locale è stato aumentato da 30 a 40 milioni di franchi, per un periodo limitato di sette anni. Di questo importo, distribuito a livello nazionale, le testate ticinesi beneficiano proporzionalmente alla loro quota di copie distribuite sul totale nazionale.</w:t>
      </w:r>
      <w:r w:rsidRPr="00B968BF">
        <w:rPr>
          <w:rFonts w:asciiTheme="minorHAnsi" w:hAnsiTheme="minorHAnsi" w:cstheme="minorHAnsi"/>
          <w:sz w:val="24"/>
          <w:szCs w:val="24"/>
          <w:vertAlign w:val="superscript"/>
        </w:rPr>
        <w:footnoteReference w:id="5"/>
      </w:r>
    </w:p>
    <w:p w:rsidR="00B968BF" w:rsidRPr="00B968BF" w:rsidRDefault="00B968BF" w:rsidP="00B968BF">
      <w:pPr>
        <w:rPr>
          <w:rFonts w:asciiTheme="minorHAnsi" w:hAnsiTheme="minorHAnsi" w:cstheme="minorHAnsi"/>
          <w:sz w:val="24"/>
          <w:szCs w:val="24"/>
        </w:rPr>
      </w:pPr>
    </w:p>
    <w:p w:rsidR="00B968BF" w:rsidRPr="00B968BF" w:rsidRDefault="00B968BF" w:rsidP="00B968BF">
      <w:pPr>
        <w:rPr>
          <w:rFonts w:asciiTheme="minorHAnsi" w:hAnsiTheme="minorHAnsi" w:cstheme="minorHAnsi"/>
          <w:sz w:val="24"/>
          <w:szCs w:val="24"/>
        </w:rPr>
      </w:pPr>
      <w:r w:rsidRPr="00B968BF">
        <w:rPr>
          <w:rFonts w:asciiTheme="minorHAnsi" w:hAnsiTheme="minorHAnsi" w:cstheme="minorHAnsi"/>
          <w:sz w:val="24"/>
          <w:szCs w:val="24"/>
        </w:rPr>
        <w:t>Il 18 febbraio 2026, a meno di un mese dalla presentazione del messaggio 8647, il Consiglio federale ha aperto una consultazione sulla revisione dell'ordinanza sulle poste per estendere il sostegno indiretto alla stampa anche al recapito mattutino. La proposta prevede un ulteriore stanziamento di 25 milioni di franchi all'anno, limitato a sette anni, destinato a ridurre i costi di distribuzione mattutina per i quotidiani e settimanali in abbonamento che soddisfano i criteri già vigenti. La consultazione si è conclusa il 18 aprile 2026.</w:t>
      </w:r>
      <w:r w:rsidRPr="00B968BF">
        <w:rPr>
          <w:rFonts w:asciiTheme="minorHAnsi" w:hAnsiTheme="minorHAnsi" w:cstheme="minorHAnsi"/>
          <w:sz w:val="24"/>
          <w:szCs w:val="24"/>
          <w:vertAlign w:val="superscript"/>
        </w:rPr>
        <w:footnoteReference w:id="6"/>
      </w:r>
      <w:r w:rsidRPr="00B968BF">
        <w:rPr>
          <w:rFonts w:asciiTheme="minorHAnsi" w:hAnsiTheme="minorHAnsi" w:cstheme="minorHAnsi"/>
          <w:sz w:val="24"/>
          <w:szCs w:val="24"/>
        </w:rPr>
        <w:t xml:space="preserve"> Va tuttavia rilevato che questa misura, nella sua configurazione attuale, non produrrebbe alcun beneficio per la stampa ticinese: il recapito mattutino organizzato tramite operatori registrati presso l'UFCOM copre prevalentemente la Svizzera tedesca, la Posta non garantisce questo servizio in Ticino, e il ricorso a distributori privati locali non sarebbe economicamente sostenibile per le testate cantonali.</w:t>
      </w:r>
    </w:p>
    <w:p w:rsidR="00B968BF" w:rsidRPr="00B968BF" w:rsidRDefault="00B968BF" w:rsidP="00B968BF">
      <w:pPr>
        <w:rPr>
          <w:rFonts w:asciiTheme="minorHAnsi" w:hAnsiTheme="minorHAnsi" w:cstheme="minorHAnsi"/>
          <w:sz w:val="24"/>
          <w:szCs w:val="24"/>
        </w:rPr>
      </w:pPr>
    </w:p>
    <w:p w:rsidR="00B968BF" w:rsidRPr="00B968BF" w:rsidRDefault="00B968BF" w:rsidP="00B968BF">
      <w:pPr>
        <w:rPr>
          <w:rFonts w:asciiTheme="minorHAnsi" w:hAnsiTheme="minorHAnsi" w:cstheme="minorHAnsi"/>
          <w:sz w:val="24"/>
          <w:szCs w:val="24"/>
        </w:rPr>
      </w:pPr>
      <w:r w:rsidRPr="00B968BF">
        <w:rPr>
          <w:rFonts w:asciiTheme="minorHAnsi" w:hAnsiTheme="minorHAnsi" w:cstheme="minorHAnsi"/>
          <w:sz w:val="24"/>
          <w:szCs w:val="24"/>
        </w:rPr>
        <w:t>Il quadro federale è significativo per tre ragioni:</w:t>
      </w:r>
    </w:p>
    <w:p w:rsidR="00B968BF" w:rsidRPr="001359B7" w:rsidRDefault="00B968BF" w:rsidP="00B968BF">
      <w:pPr>
        <w:rPr>
          <w:rFonts w:asciiTheme="minorHAnsi" w:hAnsiTheme="minorHAnsi" w:cstheme="minorHAnsi"/>
          <w:sz w:val="24"/>
          <w:szCs w:val="24"/>
          <w:highlight w:val="yellow"/>
        </w:rPr>
      </w:pPr>
    </w:p>
    <w:p w:rsidR="00B968BF" w:rsidRPr="00B968BF" w:rsidRDefault="00B968BF" w:rsidP="00B968BF">
      <w:pPr>
        <w:pStyle w:val="Paragrafoelenco"/>
        <w:numPr>
          <w:ilvl w:val="0"/>
          <w:numId w:val="18"/>
        </w:numPr>
        <w:ind w:left="426" w:hanging="426"/>
        <w:rPr>
          <w:rFonts w:asciiTheme="minorHAnsi" w:hAnsiTheme="minorHAnsi" w:cstheme="minorHAnsi"/>
          <w:sz w:val="24"/>
          <w:szCs w:val="24"/>
        </w:rPr>
      </w:pPr>
      <w:r w:rsidRPr="00B968BF">
        <w:rPr>
          <w:rFonts w:asciiTheme="minorHAnsi" w:hAnsiTheme="minorHAnsi" w:cstheme="minorHAnsi"/>
          <w:sz w:val="24"/>
          <w:szCs w:val="24"/>
        </w:rPr>
        <w:lastRenderedPageBreak/>
        <w:t>La sproporzione. Il sostegno federale già in vigore ammonta a 40 milioni annui a livello nazionale, di cui le testate ticinesi beneficiano proporzionalmente alle copie distribuite. Il Cantone propone di aggiungere 500'000 franchi annui con un sussidio diretto. La sproporzione tra i rischi che questo comporta e i benefici concreti aggiuntivi che produrrebbe parla da sola.</w:t>
      </w:r>
    </w:p>
    <w:p w:rsidR="00B968BF" w:rsidRPr="00B968BF" w:rsidRDefault="00B968BF" w:rsidP="00B968BF">
      <w:pPr>
        <w:ind w:left="426" w:hanging="426"/>
        <w:rPr>
          <w:rFonts w:asciiTheme="minorHAnsi" w:hAnsiTheme="minorHAnsi" w:cstheme="minorHAnsi"/>
          <w:sz w:val="24"/>
          <w:szCs w:val="24"/>
        </w:rPr>
      </w:pPr>
    </w:p>
    <w:p w:rsidR="00B968BF" w:rsidRPr="00B968BF" w:rsidRDefault="00B968BF" w:rsidP="00B968BF">
      <w:pPr>
        <w:pStyle w:val="Paragrafoelenco"/>
        <w:numPr>
          <w:ilvl w:val="0"/>
          <w:numId w:val="18"/>
        </w:numPr>
        <w:ind w:left="426" w:hanging="426"/>
        <w:rPr>
          <w:rFonts w:asciiTheme="minorHAnsi" w:hAnsiTheme="minorHAnsi" w:cstheme="minorHAnsi"/>
          <w:sz w:val="24"/>
          <w:szCs w:val="24"/>
        </w:rPr>
      </w:pPr>
      <w:r w:rsidRPr="00B968BF">
        <w:rPr>
          <w:rFonts w:asciiTheme="minorHAnsi" w:hAnsiTheme="minorHAnsi" w:cstheme="minorHAnsi"/>
          <w:sz w:val="24"/>
          <w:szCs w:val="24"/>
        </w:rPr>
        <w:t>Il modello federale funziona nel modo giusto. Agisce sui costi di distribuzione, non versa denaro direttamente agli editori. Il contributo passa dalla Posta e si traduce in uno sconto tariffario: tra lo Stato e l'editore non c'è nessun flusso finanziario diretto. È esattamente quella distanza che il modello cantonale proposto non rispetta. Il Cantone versa il contributo direttamente agli editori: fa ciò che il livello federale, giustamente, si guarda bene dal fare.</w:t>
      </w:r>
    </w:p>
    <w:p w:rsidR="00B968BF" w:rsidRPr="00B968BF" w:rsidRDefault="00B968BF" w:rsidP="00B968BF">
      <w:pPr>
        <w:ind w:left="426" w:hanging="426"/>
        <w:rPr>
          <w:rFonts w:asciiTheme="minorHAnsi" w:hAnsiTheme="minorHAnsi" w:cstheme="minorHAnsi"/>
          <w:sz w:val="24"/>
          <w:szCs w:val="24"/>
        </w:rPr>
      </w:pPr>
    </w:p>
    <w:p w:rsidR="00B968BF" w:rsidRPr="00B968BF" w:rsidRDefault="00B968BF" w:rsidP="00B968BF">
      <w:pPr>
        <w:pStyle w:val="Paragrafoelenco"/>
        <w:numPr>
          <w:ilvl w:val="0"/>
          <w:numId w:val="18"/>
        </w:numPr>
        <w:ind w:left="426" w:hanging="426"/>
        <w:rPr>
          <w:rFonts w:asciiTheme="minorHAnsi" w:hAnsiTheme="minorHAnsi" w:cstheme="minorHAnsi"/>
          <w:sz w:val="24"/>
          <w:szCs w:val="24"/>
        </w:rPr>
      </w:pPr>
      <w:r w:rsidRPr="00B968BF">
        <w:rPr>
          <w:rFonts w:asciiTheme="minorHAnsi" w:hAnsiTheme="minorHAnsi" w:cstheme="minorHAnsi"/>
          <w:sz w:val="24"/>
          <w:szCs w:val="24"/>
        </w:rPr>
        <w:t>Anche dove il quadro federale presenta lacune, la risposta va cercata alla fonte, non aggirata con lo strumento sbagliato. La maggioranza commissionale individua correttamente che il meccanismo del recapito mattutino, nella sua configurazione attuale, non raggiunge il Ticino. Ma questa constatazione dimostra l'opposto di ciò che la maggioranza conclude: se il dispositivo federale è calibrato male per le regioni periferiche e le minoranze linguistiche, la risposta è correggerlo a livello federale, dove la politica mediatica ha la sua sede istituzionale naturale. È peraltro esattamente questo che il Consiglio di Stato ticinese ha fatto nella sua risposta alla consultazione: sollecitare un'estensione equa del sostegno alle realtà cantonali. Quella è la via corretta. Un sussidio diretto cantonale da 500'000 franchi non risolve la disparità: la maschera, creando nel frattempo il precedente di un finanziamento pubblico diretto agli editori che il Popolo svizzero e ticinese hanno già respinto alle urne.</w:t>
      </w:r>
    </w:p>
    <w:p w:rsidR="00B968BF" w:rsidRPr="00A95F01" w:rsidRDefault="00B968BF" w:rsidP="00B968BF">
      <w:pPr>
        <w:rPr>
          <w:rFonts w:asciiTheme="minorHAnsi" w:hAnsiTheme="minorHAnsi" w:cstheme="minorHAnsi"/>
          <w:sz w:val="24"/>
          <w:szCs w:val="24"/>
        </w:rPr>
      </w:pPr>
    </w:p>
    <w:p w:rsidR="00B968BF" w:rsidRPr="00A95F01" w:rsidRDefault="00B968BF" w:rsidP="00B968BF">
      <w:pPr>
        <w:pStyle w:val="StandardRisoluzionedelConsigliodiStato"/>
        <w:ind w:right="-1"/>
        <w:rPr>
          <w:rFonts w:asciiTheme="minorHAnsi" w:hAnsiTheme="minorHAnsi" w:cstheme="minorHAnsi"/>
          <w:b/>
          <w:bCs/>
          <w:caps/>
          <w:szCs w:val="24"/>
        </w:rPr>
      </w:pPr>
    </w:p>
    <w:p w:rsidR="00B968BF" w:rsidRPr="00B968BF" w:rsidRDefault="00B968BF" w:rsidP="00B968BF">
      <w:pPr>
        <w:pStyle w:val="Titolo1"/>
        <w:tabs>
          <w:tab w:val="left" w:pos="567"/>
        </w:tabs>
        <w:spacing w:before="0"/>
        <w:ind w:left="567" w:hanging="567"/>
        <w:jc w:val="both"/>
        <w:rPr>
          <w:rFonts w:eastAsia="Calibri" w:cs="Times New Roman"/>
          <w:caps/>
          <w:sz w:val="24"/>
          <w:szCs w:val="24"/>
          <w:lang w:val="it-IT" w:eastAsia="it-IT"/>
        </w:rPr>
      </w:pPr>
      <w:r w:rsidRPr="00B968BF">
        <w:rPr>
          <w:rFonts w:eastAsia="Calibri" w:cs="Times New Roman"/>
          <w:caps/>
          <w:sz w:val="24"/>
          <w:szCs w:val="24"/>
          <w:lang w:val="it-IT" w:eastAsia="it-IT"/>
        </w:rPr>
        <w:t xml:space="preserve">8.  </w:t>
      </w:r>
      <w:r>
        <w:rPr>
          <w:rFonts w:eastAsia="Calibri" w:cs="Times New Roman"/>
          <w:caps/>
          <w:sz w:val="24"/>
          <w:szCs w:val="24"/>
          <w:lang w:val="it-IT" w:eastAsia="it-IT"/>
        </w:rPr>
        <w:tab/>
      </w:r>
      <w:r w:rsidRPr="00B968BF">
        <w:rPr>
          <w:rFonts w:eastAsia="Calibri" w:cs="Times New Roman"/>
          <w:caps/>
          <w:sz w:val="24"/>
          <w:szCs w:val="24"/>
          <w:lang w:val="it-IT" w:eastAsia="it-IT"/>
        </w:rPr>
        <w:t>Nessun obiettivo, nessun mandato</w:t>
      </w:r>
    </w:p>
    <w:p w:rsidR="00B968BF" w:rsidRPr="00A95F01" w:rsidRDefault="00B968BF" w:rsidP="00B968BF">
      <w:pPr>
        <w:rPr>
          <w:rFonts w:asciiTheme="minorHAnsi" w:hAnsiTheme="minorHAnsi" w:cstheme="minorHAnsi"/>
          <w:sz w:val="24"/>
          <w:szCs w:val="24"/>
        </w:rPr>
      </w:pPr>
      <w:r w:rsidRPr="00A95F01">
        <w:rPr>
          <w:rFonts w:asciiTheme="minorHAnsi" w:hAnsiTheme="minorHAnsi" w:cstheme="minorHAnsi"/>
          <w:sz w:val="24"/>
          <w:szCs w:val="24"/>
        </w:rPr>
        <w:t>Il messaggio 8647 riconosce espressamente che il contributo “rappresenta un nuovo compito dello Stato”, non previsto nel preventivo 2026 né nel programma di legislatura né nel piano finanziario. Il Governo stesso ammette di chiedere al Parlamento di approvare un onere strutturalmente nuovo senza alcuna pianificazione preventiva. Eppure, il messaggio non definisce nemmeno un obiettivo pubblico: non dice se l’intervento mira a preservare il pluralismo, a garantire la copertura di determinati territori, a sostenere la qualità giornalistica o ad altro. Non esistono indicatori di efficacia, condizioni qualitative per l’accesso al contributo, né criteri di uscita.</w:t>
      </w:r>
    </w:p>
    <w:p w:rsidR="00B968BF" w:rsidRPr="00A95F01" w:rsidRDefault="00B968BF" w:rsidP="00B968BF">
      <w:pPr>
        <w:rPr>
          <w:rFonts w:asciiTheme="minorHAnsi" w:hAnsiTheme="minorHAnsi" w:cstheme="minorHAnsi"/>
          <w:sz w:val="24"/>
          <w:szCs w:val="24"/>
        </w:rPr>
      </w:pPr>
    </w:p>
    <w:p w:rsidR="00B968BF" w:rsidRPr="00A95F01" w:rsidRDefault="00B968BF" w:rsidP="00B968BF">
      <w:pPr>
        <w:rPr>
          <w:rFonts w:asciiTheme="minorHAnsi" w:hAnsiTheme="minorHAnsi" w:cstheme="minorHAnsi"/>
          <w:sz w:val="24"/>
          <w:szCs w:val="24"/>
        </w:rPr>
      </w:pPr>
      <w:r w:rsidRPr="00A95F01">
        <w:rPr>
          <w:rFonts w:asciiTheme="minorHAnsi" w:hAnsiTheme="minorHAnsi" w:cstheme="minorHAnsi"/>
          <w:sz w:val="24"/>
          <w:szCs w:val="24"/>
        </w:rPr>
        <w:t>Il contributo viene assegnato automaticamente in base alle copie distribuite certificate dall’UFCOM: il giornale che stampa di più incassa di più, indipendentemente da ciò che stampa, da come lo stampa e da chi lo legge. Lo Stato non valuta nessun servizio reso alla collettività</w:t>
      </w:r>
      <w:r>
        <w:rPr>
          <w:rFonts w:asciiTheme="minorHAnsi" w:hAnsiTheme="minorHAnsi" w:cstheme="minorHAnsi"/>
          <w:sz w:val="24"/>
          <w:szCs w:val="24"/>
        </w:rPr>
        <w:t>,</w:t>
      </w:r>
      <w:r w:rsidRPr="00A95F01">
        <w:rPr>
          <w:rFonts w:asciiTheme="minorHAnsi" w:hAnsiTheme="minorHAnsi" w:cstheme="minorHAnsi"/>
          <w:sz w:val="24"/>
          <w:szCs w:val="24"/>
        </w:rPr>
        <w:t xml:space="preserve"> remunera un </w:t>
      </w:r>
      <w:r>
        <w:rPr>
          <w:rFonts w:asciiTheme="minorHAnsi" w:hAnsiTheme="minorHAnsi" w:cstheme="minorHAnsi"/>
          <w:sz w:val="24"/>
          <w:szCs w:val="24"/>
        </w:rPr>
        <w:t xml:space="preserve">semplice </w:t>
      </w:r>
      <w:r w:rsidRPr="00A95F01">
        <w:rPr>
          <w:rFonts w:asciiTheme="minorHAnsi" w:hAnsiTheme="minorHAnsi" w:cstheme="minorHAnsi"/>
          <w:sz w:val="24"/>
          <w:szCs w:val="24"/>
        </w:rPr>
        <w:t>quantit</w:t>
      </w:r>
      <w:r>
        <w:rPr>
          <w:rFonts w:asciiTheme="minorHAnsi" w:hAnsiTheme="minorHAnsi" w:cstheme="minorHAnsi"/>
          <w:sz w:val="24"/>
          <w:szCs w:val="24"/>
        </w:rPr>
        <w:t>ativo</w:t>
      </w:r>
      <w:r w:rsidRPr="00A95F01">
        <w:rPr>
          <w:rFonts w:asciiTheme="minorHAnsi" w:hAnsiTheme="minorHAnsi" w:cstheme="minorHAnsi"/>
          <w:sz w:val="24"/>
          <w:szCs w:val="24"/>
        </w:rPr>
        <w:t xml:space="preserve">. Il Gran Consiglio è chiamato ad approvare un </w:t>
      </w:r>
      <w:r>
        <w:rPr>
          <w:rFonts w:asciiTheme="minorHAnsi" w:hAnsiTheme="minorHAnsi" w:cstheme="minorHAnsi"/>
          <w:sz w:val="24"/>
          <w:szCs w:val="24"/>
        </w:rPr>
        <w:t>nuovo onere</w:t>
      </w:r>
      <w:r w:rsidRPr="00A95F01">
        <w:rPr>
          <w:rFonts w:asciiTheme="minorHAnsi" w:hAnsiTheme="minorHAnsi" w:cstheme="minorHAnsi"/>
          <w:sz w:val="24"/>
          <w:szCs w:val="24"/>
        </w:rPr>
        <w:t xml:space="preserve"> senza sapere a cosa serve esattamente, senza strumenti per valutarne i risultati e senza sapere come e quando finirà. </w:t>
      </w:r>
    </w:p>
    <w:p w:rsidR="00B968BF" w:rsidRDefault="00B968BF">
      <w:pPr>
        <w:rPr>
          <w:rFonts w:asciiTheme="minorHAnsi" w:hAnsiTheme="minorHAnsi" w:cstheme="minorHAnsi"/>
          <w:sz w:val="24"/>
          <w:szCs w:val="24"/>
        </w:rPr>
      </w:pPr>
      <w:r>
        <w:rPr>
          <w:rFonts w:asciiTheme="minorHAnsi" w:hAnsiTheme="minorHAnsi" w:cstheme="minorHAnsi"/>
          <w:sz w:val="24"/>
          <w:szCs w:val="24"/>
        </w:rPr>
        <w:br w:type="page"/>
      </w:r>
    </w:p>
    <w:p w:rsidR="00B968BF" w:rsidRPr="00B968BF" w:rsidRDefault="00B968BF" w:rsidP="00B968BF">
      <w:pPr>
        <w:pStyle w:val="Titolo1"/>
        <w:tabs>
          <w:tab w:val="left" w:pos="567"/>
        </w:tabs>
        <w:spacing w:before="0"/>
        <w:ind w:left="567" w:hanging="567"/>
        <w:jc w:val="both"/>
        <w:rPr>
          <w:rFonts w:eastAsia="Calibri" w:cs="Times New Roman"/>
          <w:caps/>
          <w:sz w:val="24"/>
          <w:szCs w:val="24"/>
          <w:lang w:val="it-IT" w:eastAsia="it-IT"/>
        </w:rPr>
      </w:pPr>
      <w:r w:rsidRPr="00B968BF">
        <w:rPr>
          <w:rFonts w:eastAsia="Calibri" w:cs="Times New Roman"/>
          <w:caps/>
          <w:sz w:val="24"/>
          <w:szCs w:val="24"/>
          <w:lang w:val="it-IT" w:eastAsia="it-IT"/>
        </w:rPr>
        <w:lastRenderedPageBreak/>
        <w:t xml:space="preserve">9. </w:t>
      </w:r>
      <w:r>
        <w:rPr>
          <w:rFonts w:eastAsia="Calibri" w:cs="Times New Roman"/>
          <w:caps/>
          <w:sz w:val="24"/>
          <w:szCs w:val="24"/>
          <w:lang w:val="it-IT" w:eastAsia="it-IT"/>
        </w:rPr>
        <w:tab/>
      </w:r>
      <w:r w:rsidRPr="00B968BF">
        <w:rPr>
          <w:rFonts w:eastAsia="Calibri" w:cs="Times New Roman"/>
          <w:caps/>
          <w:sz w:val="24"/>
          <w:szCs w:val="24"/>
          <w:lang w:val="it-IT" w:eastAsia="it-IT"/>
        </w:rPr>
        <w:t xml:space="preserve">Temporaneità meramente formale </w:t>
      </w:r>
    </w:p>
    <w:p w:rsidR="00B968BF" w:rsidRPr="00A95F01" w:rsidRDefault="00B968BF" w:rsidP="00B968BF">
      <w:pPr>
        <w:rPr>
          <w:rFonts w:asciiTheme="minorHAnsi" w:hAnsiTheme="minorHAnsi" w:cstheme="minorHAnsi"/>
          <w:sz w:val="24"/>
          <w:szCs w:val="24"/>
        </w:rPr>
      </w:pPr>
      <w:r w:rsidRPr="00A95F01">
        <w:rPr>
          <w:rFonts w:asciiTheme="minorHAnsi" w:hAnsiTheme="minorHAnsi" w:cstheme="minorHAnsi"/>
          <w:sz w:val="24"/>
          <w:szCs w:val="24"/>
        </w:rPr>
        <w:t>Il decreto legislativo allegato al messaggio prevede che il credito “decad</w:t>
      </w:r>
      <w:r>
        <w:rPr>
          <w:rFonts w:asciiTheme="minorHAnsi" w:hAnsiTheme="minorHAnsi" w:cstheme="minorHAnsi"/>
          <w:sz w:val="24"/>
          <w:szCs w:val="24"/>
        </w:rPr>
        <w:t>a</w:t>
      </w:r>
      <w:r w:rsidRPr="00A95F01">
        <w:rPr>
          <w:rFonts w:asciiTheme="minorHAnsi" w:hAnsiTheme="minorHAnsi" w:cstheme="minorHAnsi"/>
          <w:sz w:val="24"/>
          <w:szCs w:val="24"/>
        </w:rPr>
        <w:t xml:space="preserve"> il 31 dicembre 2029”. La clausola di decadenza potrebbe sembrare una garanzia di temporaneità. Non lo è, e il Parlamento deve essere consapevole di questa distinzione sostanziale.</w:t>
      </w:r>
    </w:p>
    <w:p w:rsidR="00B968BF" w:rsidRPr="00A95F01" w:rsidRDefault="00B968BF" w:rsidP="00B968BF">
      <w:pPr>
        <w:rPr>
          <w:rFonts w:asciiTheme="minorHAnsi" w:hAnsiTheme="minorHAnsi" w:cstheme="minorHAnsi"/>
          <w:sz w:val="24"/>
          <w:szCs w:val="24"/>
        </w:rPr>
      </w:pPr>
    </w:p>
    <w:p w:rsidR="00B968BF" w:rsidRPr="00A95F01" w:rsidRDefault="00B968BF" w:rsidP="00B968BF">
      <w:pPr>
        <w:rPr>
          <w:rFonts w:asciiTheme="minorHAnsi" w:hAnsiTheme="minorHAnsi" w:cstheme="minorHAnsi"/>
          <w:sz w:val="24"/>
          <w:szCs w:val="24"/>
        </w:rPr>
      </w:pPr>
      <w:r w:rsidRPr="00A95F01">
        <w:rPr>
          <w:rFonts w:asciiTheme="minorHAnsi" w:hAnsiTheme="minorHAnsi" w:cstheme="minorHAnsi"/>
          <w:sz w:val="24"/>
          <w:szCs w:val="24"/>
        </w:rPr>
        <w:t>Il criterio di assegnazione del contributo, ossia il numero di copie distribuite, è una condizione strutturale e permanente del mercato editoriale. Non si esaurisce, non si riduce spontaneamente, non è legata a un obiettivo temporaneo da raggiungere entro una certa data. Le testate beneficiarie continueranno a distribuire copie nel 2030 esattamente come nel 2026. Il criterio che oggi giustifica il contributo sarà identicamente presente alla scadenza, rendendo politicamente inevitabile, e tecnicamente automatica, la richiesta di proroga.</w:t>
      </w:r>
    </w:p>
    <w:p w:rsidR="00B968BF" w:rsidRPr="00A95F01" w:rsidRDefault="00B968BF" w:rsidP="00B968BF">
      <w:pPr>
        <w:rPr>
          <w:rFonts w:asciiTheme="minorHAnsi" w:hAnsiTheme="minorHAnsi" w:cstheme="minorHAnsi"/>
          <w:sz w:val="24"/>
          <w:szCs w:val="24"/>
        </w:rPr>
      </w:pPr>
    </w:p>
    <w:p w:rsidR="00B968BF" w:rsidRPr="00A95F01" w:rsidRDefault="00B968BF" w:rsidP="00B968BF">
      <w:pPr>
        <w:rPr>
          <w:rFonts w:asciiTheme="minorHAnsi" w:hAnsiTheme="minorHAnsi" w:cstheme="minorHAnsi"/>
          <w:sz w:val="24"/>
          <w:szCs w:val="24"/>
        </w:rPr>
      </w:pPr>
      <w:r w:rsidRPr="00A95F01">
        <w:rPr>
          <w:rFonts w:asciiTheme="minorHAnsi" w:hAnsiTheme="minorHAnsi" w:cstheme="minorHAnsi"/>
          <w:sz w:val="24"/>
          <w:szCs w:val="24"/>
        </w:rPr>
        <w:t>La storia dei sussidi pubblici in settori strutturalmente fragili insegna che gli strumenti costruiti su parametri permanenti non si esauriscono: si rinnovano. La scadenza del 2029 non è un orizzonte di uscita: è un appuntamento per la proroga, e il Gran Consiglio che approva oggi la misura è politicamente il Gran Consiglio che la rinnoverà nel 2029, con ancora più difficoltà a negarla, avendo nel frattempo creato aspettative consolidate nei beneficiari.</w:t>
      </w:r>
    </w:p>
    <w:p w:rsidR="00B968BF" w:rsidRPr="00A95F01" w:rsidRDefault="00B968BF" w:rsidP="00B968BF">
      <w:pPr>
        <w:rPr>
          <w:rFonts w:asciiTheme="minorHAnsi" w:hAnsiTheme="minorHAnsi" w:cstheme="minorHAnsi"/>
          <w:sz w:val="24"/>
          <w:szCs w:val="24"/>
        </w:rPr>
      </w:pPr>
    </w:p>
    <w:p w:rsidR="00B968BF" w:rsidRDefault="00B968BF" w:rsidP="00B968BF">
      <w:pPr>
        <w:rPr>
          <w:rFonts w:asciiTheme="minorHAnsi" w:hAnsiTheme="minorHAnsi" w:cstheme="minorHAnsi"/>
          <w:sz w:val="24"/>
          <w:szCs w:val="24"/>
        </w:rPr>
      </w:pPr>
      <w:r w:rsidRPr="00B968BF">
        <w:rPr>
          <w:rFonts w:asciiTheme="minorHAnsi" w:hAnsiTheme="minorHAnsi" w:cstheme="minorHAnsi"/>
          <w:sz w:val="24"/>
          <w:szCs w:val="24"/>
        </w:rPr>
        <w:t>Il Parlamento deve valutare la misura per ciò che è nella sostanza: un sussidio ricorrente con una data di rinnovo. Non un intervento temporaneo, ma l’inizio di una dipendenza strutturale. La proposta della maggioranza commissionale di ridurre il credito a un biennio 2027-2028, anziché al quadriennio originario, non fa che confermare questa dinamica: il meccanismo di rinnovo è già in atto prima ancora che il sussidio sia concesso. Ciò che si presenta come limitazione è già, nella sostanza, il primo di una serie di proroghe progressive.</w:t>
      </w:r>
    </w:p>
    <w:p w:rsidR="00B968BF" w:rsidRDefault="00B968BF" w:rsidP="00B968BF">
      <w:pPr>
        <w:rPr>
          <w:rFonts w:asciiTheme="minorHAnsi" w:hAnsiTheme="minorHAnsi" w:cstheme="minorHAnsi"/>
          <w:sz w:val="24"/>
          <w:szCs w:val="24"/>
        </w:rPr>
      </w:pPr>
    </w:p>
    <w:p w:rsidR="00B968BF" w:rsidRPr="00A95F01" w:rsidRDefault="00B968BF" w:rsidP="00B968BF">
      <w:pPr>
        <w:rPr>
          <w:rFonts w:asciiTheme="minorHAnsi" w:hAnsiTheme="minorHAnsi" w:cstheme="minorHAnsi"/>
          <w:sz w:val="24"/>
          <w:szCs w:val="24"/>
        </w:rPr>
      </w:pPr>
    </w:p>
    <w:p w:rsidR="00B968BF" w:rsidRPr="00B968BF" w:rsidRDefault="00B968BF" w:rsidP="00B968BF">
      <w:pPr>
        <w:pStyle w:val="Titolo1"/>
        <w:tabs>
          <w:tab w:val="left" w:pos="567"/>
        </w:tabs>
        <w:spacing w:before="0"/>
        <w:ind w:left="567" w:hanging="567"/>
        <w:jc w:val="both"/>
        <w:rPr>
          <w:rFonts w:eastAsia="Calibri" w:cs="Times New Roman"/>
          <w:caps/>
          <w:sz w:val="24"/>
          <w:szCs w:val="24"/>
          <w:lang w:val="it-IT" w:eastAsia="it-IT"/>
        </w:rPr>
      </w:pPr>
      <w:r>
        <w:rPr>
          <w:rFonts w:eastAsia="Calibri" w:cs="Times New Roman"/>
          <w:caps/>
          <w:sz w:val="24"/>
          <w:szCs w:val="24"/>
          <w:lang w:val="it-IT" w:eastAsia="it-IT"/>
        </w:rPr>
        <w:t>10.</w:t>
      </w:r>
      <w:r>
        <w:rPr>
          <w:rFonts w:eastAsia="Calibri" w:cs="Times New Roman"/>
          <w:caps/>
          <w:sz w:val="24"/>
          <w:szCs w:val="24"/>
          <w:lang w:val="it-IT" w:eastAsia="it-IT"/>
        </w:rPr>
        <w:tab/>
      </w:r>
      <w:r w:rsidRPr="00B968BF">
        <w:rPr>
          <w:rFonts w:eastAsia="Calibri" w:cs="Times New Roman"/>
          <w:caps/>
          <w:sz w:val="24"/>
          <w:szCs w:val="24"/>
          <w:lang w:val="it-IT" w:eastAsia="it-IT"/>
        </w:rPr>
        <w:t>CONCLUSIONI</w:t>
      </w:r>
    </w:p>
    <w:p w:rsidR="00B968BF" w:rsidRPr="00B968BF" w:rsidRDefault="00B968BF" w:rsidP="00B968BF">
      <w:pPr>
        <w:rPr>
          <w:rFonts w:asciiTheme="minorHAnsi" w:hAnsiTheme="minorHAnsi" w:cstheme="minorHAnsi"/>
          <w:sz w:val="24"/>
          <w:szCs w:val="24"/>
        </w:rPr>
      </w:pPr>
      <w:r w:rsidRPr="00A95F01">
        <w:rPr>
          <w:rFonts w:asciiTheme="minorHAnsi" w:hAnsiTheme="minorHAnsi" w:cstheme="minorHAnsi"/>
          <w:sz w:val="24"/>
          <w:szCs w:val="24"/>
        </w:rPr>
        <w:t xml:space="preserve">Il messaggio 8647 ha un problema di principio, non tecnico. Il Consiglio di Stato propone </w:t>
      </w:r>
      <w:r w:rsidRPr="00B968BF">
        <w:rPr>
          <w:rFonts w:asciiTheme="minorHAnsi" w:hAnsiTheme="minorHAnsi" w:cstheme="minorHAnsi"/>
          <w:sz w:val="24"/>
          <w:szCs w:val="24"/>
        </w:rPr>
        <w:t>oggi esattamente ciò che aveva escluso nel 2021 senza spiegare cosa è cambiato, ignora il voto popolare del 2022 contro il finanziamento diretto dei media, presenta un sussidio diretto come se fosse assimilabile al modello federale quando non lo è, e lancia un nuovo compito statale senza definire nessun obiettivo verificabile né criteri di uscita. La scadenza, che sia il 2029 del messaggio o il 2028 del rapporto di maggioranza, non è una garanzia di temporaneità: è un appuntamento per il rinnovo.</w:t>
      </w:r>
    </w:p>
    <w:p w:rsidR="00B968BF" w:rsidRPr="00B968BF" w:rsidRDefault="00B968BF" w:rsidP="00B968BF">
      <w:pPr>
        <w:rPr>
          <w:rFonts w:asciiTheme="minorHAnsi" w:hAnsiTheme="minorHAnsi" w:cstheme="minorHAnsi"/>
          <w:sz w:val="24"/>
          <w:szCs w:val="24"/>
        </w:rPr>
      </w:pPr>
    </w:p>
    <w:p w:rsidR="00B968BF" w:rsidRPr="00A95F01" w:rsidRDefault="00B968BF" w:rsidP="00B968BF">
      <w:pPr>
        <w:rPr>
          <w:rFonts w:asciiTheme="minorHAnsi" w:hAnsiTheme="minorHAnsi" w:cstheme="minorHAnsi"/>
          <w:sz w:val="24"/>
          <w:szCs w:val="24"/>
        </w:rPr>
      </w:pPr>
      <w:r w:rsidRPr="00B968BF">
        <w:rPr>
          <w:rFonts w:asciiTheme="minorHAnsi" w:hAnsiTheme="minorHAnsi" w:cstheme="minorHAnsi"/>
          <w:sz w:val="24"/>
          <w:szCs w:val="24"/>
        </w:rPr>
        <w:t xml:space="preserve">A questo va aggiunto un argomento che vale indipendentemente dai difetti specifici di questa misura: la politica mediatica deve restare materia federale. Ventisei politiche cantonali differenti produrrebbero frammentazione, disparità tra testate e distorsioni concorrenziali che non servono a nessuno. Il livello federale sta già dando una risposta più ampia e strutturalmente corretta, oltre all’aumento dei contributi da 30 a 40 milioni deciso dall’Assemblea federale, il Consiglio federale ha infatti avviato il 18 febbraio 2026 una consultazione per ulteriori 25 milioni annui per il recapito mattutino a partire dal 1° gennaio 2027, uno strumento indiretto che agisce sui costi di distribuzione senza creare alcun rapporto finanziario diretto con gli editori e che, nella misura in cui verrà esteso equamente </w:t>
      </w:r>
      <w:r w:rsidRPr="00B968BF">
        <w:rPr>
          <w:rFonts w:asciiTheme="minorHAnsi" w:hAnsiTheme="minorHAnsi" w:cstheme="minorHAnsi"/>
          <w:sz w:val="24"/>
          <w:szCs w:val="24"/>
        </w:rPr>
        <w:lastRenderedPageBreak/>
        <w:t>alle realtà periferiche, potrà beneficiare anche le testate ticinesi. È esattamente il modello giusto, che sostiene la stampa senza comprarla.</w:t>
      </w:r>
    </w:p>
    <w:p w:rsidR="00B968BF" w:rsidRPr="00A95F01" w:rsidRDefault="00B968BF" w:rsidP="00B968BF">
      <w:pPr>
        <w:rPr>
          <w:rFonts w:asciiTheme="minorHAnsi" w:hAnsiTheme="minorHAnsi" w:cstheme="minorHAnsi"/>
          <w:sz w:val="24"/>
          <w:szCs w:val="24"/>
        </w:rPr>
      </w:pPr>
    </w:p>
    <w:p w:rsidR="00B968BF" w:rsidRDefault="00B968BF" w:rsidP="00B968BF">
      <w:pPr>
        <w:rPr>
          <w:rFonts w:asciiTheme="minorHAnsi" w:hAnsiTheme="minorHAnsi" w:cstheme="minorHAnsi"/>
          <w:sz w:val="24"/>
          <w:szCs w:val="24"/>
        </w:rPr>
      </w:pPr>
      <w:r w:rsidRPr="00A95F01">
        <w:rPr>
          <w:rFonts w:asciiTheme="minorHAnsi" w:hAnsiTheme="minorHAnsi" w:cstheme="minorHAnsi"/>
          <w:sz w:val="24"/>
          <w:szCs w:val="24"/>
        </w:rPr>
        <w:t>C'è chi sosterrà che la mozione Jelmini, approvata il 16 settembre 2025, vincola il Gran Consiglio ad approvare il presente messaggio. Non è così. Quella decisione chiedeva al Governo di valutare varie azioni di supporto</w:t>
      </w:r>
      <w:r>
        <w:rPr>
          <w:rFonts w:asciiTheme="minorHAnsi" w:hAnsiTheme="minorHAnsi" w:cstheme="minorHAnsi"/>
          <w:sz w:val="24"/>
          <w:szCs w:val="24"/>
        </w:rPr>
        <w:t xml:space="preserve"> alla carta stampata regionale</w:t>
      </w:r>
      <w:r w:rsidRPr="00A95F01">
        <w:rPr>
          <w:rFonts w:asciiTheme="minorHAnsi" w:hAnsiTheme="minorHAnsi" w:cstheme="minorHAnsi"/>
          <w:sz w:val="24"/>
          <w:szCs w:val="24"/>
        </w:rPr>
        <w:t>, un mandato generico che lasciava piena libertà sul come attuarlo. Il Governo poteva rispondere con strumenti indiretti</w:t>
      </w:r>
      <w:r>
        <w:rPr>
          <w:rFonts w:asciiTheme="minorHAnsi" w:hAnsiTheme="minorHAnsi" w:cstheme="minorHAnsi"/>
          <w:sz w:val="24"/>
          <w:szCs w:val="24"/>
        </w:rPr>
        <w:t xml:space="preserve">, </w:t>
      </w:r>
      <w:r w:rsidRPr="00A95F01">
        <w:rPr>
          <w:rFonts w:asciiTheme="minorHAnsi" w:hAnsiTheme="minorHAnsi" w:cstheme="minorHAnsi"/>
          <w:sz w:val="24"/>
          <w:szCs w:val="24"/>
        </w:rPr>
        <w:t xml:space="preserve">ha scelto invece il sussidio diretto per copia, la forma più problematica disponibile. </w:t>
      </w:r>
    </w:p>
    <w:p w:rsidR="00B968BF" w:rsidRDefault="00B968BF" w:rsidP="00B968BF">
      <w:pPr>
        <w:rPr>
          <w:rFonts w:asciiTheme="minorHAnsi" w:hAnsiTheme="minorHAnsi" w:cstheme="minorHAnsi"/>
          <w:sz w:val="24"/>
          <w:szCs w:val="24"/>
        </w:rPr>
      </w:pPr>
    </w:p>
    <w:p w:rsidR="00B968BF" w:rsidRPr="00A95F01" w:rsidRDefault="00B968BF" w:rsidP="00B968BF">
      <w:pPr>
        <w:rPr>
          <w:rFonts w:asciiTheme="minorHAnsi" w:hAnsiTheme="minorHAnsi" w:cstheme="minorHAnsi"/>
          <w:sz w:val="24"/>
          <w:szCs w:val="24"/>
        </w:rPr>
      </w:pPr>
      <w:r w:rsidRPr="00A95F01">
        <w:rPr>
          <w:rFonts w:asciiTheme="minorHAnsi" w:hAnsiTheme="minorHAnsi" w:cstheme="minorHAnsi"/>
          <w:sz w:val="24"/>
          <w:szCs w:val="24"/>
        </w:rPr>
        <w:t xml:space="preserve">Alla luce di tutto ciò la </w:t>
      </w:r>
      <w:r w:rsidRPr="00E47B47">
        <w:rPr>
          <w:rFonts w:asciiTheme="minorHAnsi" w:hAnsiTheme="minorHAnsi" w:cstheme="minorHAnsi"/>
          <w:sz w:val="24"/>
          <w:szCs w:val="24"/>
        </w:rPr>
        <w:t>minoranza</w:t>
      </w:r>
      <w:r w:rsidRPr="00A95F01">
        <w:rPr>
          <w:rFonts w:asciiTheme="minorHAnsi" w:hAnsiTheme="minorHAnsi" w:cstheme="minorHAnsi"/>
          <w:sz w:val="24"/>
          <w:szCs w:val="24"/>
        </w:rPr>
        <w:t xml:space="preserve"> della Commissione invita il Gran Consiglio a respingere il messaggio in oggetto e il relativo decreto legislativo. </w:t>
      </w:r>
    </w:p>
    <w:p w:rsidR="00B968BF" w:rsidRPr="00A95F01" w:rsidRDefault="00B968BF" w:rsidP="00B968BF">
      <w:pPr>
        <w:rPr>
          <w:rFonts w:asciiTheme="minorHAnsi" w:hAnsiTheme="minorHAnsi" w:cstheme="minorHAnsi"/>
          <w:sz w:val="24"/>
          <w:szCs w:val="24"/>
        </w:rPr>
      </w:pPr>
    </w:p>
    <w:p w:rsidR="00B968BF" w:rsidRPr="00A95F01" w:rsidRDefault="00B968BF" w:rsidP="00B968BF">
      <w:pPr>
        <w:rPr>
          <w:rFonts w:asciiTheme="minorHAnsi" w:hAnsiTheme="minorHAnsi" w:cstheme="minorHAnsi"/>
          <w:sz w:val="24"/>
          <w:szCs w:val="24"/>
        </w:rPr>
      </w:pPr>
    </w:p>
    <w:p w:rsidR="00B968BF" w:rsidRPr="00A95F01" w:rsidRDefault="00B968BF" w:rsidP="00B968BF">
      <w:pPr>
        <w:spacing w:after="120"/>
        <w:rPr>
          <w:rFonts w:asciiTheme="minorHAnsi" w:hAnsiTheme="minorHAnsi" w:cstheme="minorHAnsi"/>
          <w:sz w:val="24"/>
          <w:szCs w:val="24"/>
        </w:rPr>
      </w:pPr>
      <w:r w:rsidRPr="00A95F01">
        <w:rPr>
          <w:rFonts w:asciiTheme="minorHAnsi" w:hAnsiTheme="minorHAnsi" w:cstheme="minorHAnsi"/>
          <w:bCs/>
          <w:sz w:val="24"/>
          <w:szCs w:val="24"/>
        </w:rPr>
        <w:t xml:space="preserve">Per la </w:t>
      </w:r>
      <w:r>
        <w:rPr>
          <w:rFonts w:asciiTheme="minorHAnsi" w:hAnsiTheme="minorHAnsi" w:cstheme="minorHAnsi"/>
          <w:bCs/>
          <w:sz w:val="24"/>
          <w:szCs w:val="24"/>
        </w:rPr>
        <w:t xml:space="preserve">minoranza della </w:t>
      </w:r>
      <w:r w:rsidRPr="00A95F01">
        <w:rPr>
          <w:rFonts w:asciiTheme="minorHAnsi" w:hAnsiTheme="minorHAnsi" w:cstheme="minorHAnsi"/>
          <w:bCs/>
          <w:sz w:val="24"/>
          <w:szCs w:val="24"/>
        </w:rPr>
        <w:t>Commissione gestione e finanze:</w:t>
      </w:r>
    </w:p>
    <w:p w:rsidR="00B968BF" w:rsidRDefault="00B968BF" w:rsidP="00B968BF">
      <w:pPr>
        <w:pStyle w:val="StandardRisoluzionedelConsigliodiStato"/>
        <w:ind w:right="-1"/>
        <w:rPr>
          <w:rFonts w:asciiTheme="minorHAnsi" w:hAnsiTheme="minorHAnsi" w:cstheme="minorHAnsi"/>
          <w:bCs/>
          <w:szCs w:val="24"/>
        </w:rPr>
      </w:pPr>
      <w:r w:rsidRPr="00A95F01">
        <w:rPr>
          <w:rFonts w:asciiTheme="minorHAnsi" w:hAnsiTheme="minorHAnsi" w:cstheme="minorHAnsi"/>
          <w:bCs/>
          <w:szCs w:val="24"/>
        </w:rPr>
        <w:t>Alain Bühler</w:t>
      </w:r>
      <w:r>
        <w:rPr>
          <w:rFonts w:asciiTheme="minorHAnsi" w:hAnsiTheme="minorHAnsi" w:cstheme="minorHAnsi"/>
          <w:bCs/>
          <w:szCs w:val="24"/>
        </w:rPr>
        <w:t xml:space="preserve"> e </w:t>
      </w:r>
      <w:r w:rsidRPr="00A95F01">
        <w:rPr>
          <w:rFonts w:asciiTheme="minorHAnsi" w:hAnsiTheme="minorHAnsi" w:cstheme="minorHAnsi"/>
          <w:bCs/>
          <w:szCs w:val="24"/>
        </w:rPr>
        <w:t>Daniele Piccaluga</w:t>
      </w:r>
      <w:r>
        <w:rPr>
          <w:rFonts w:asciiTheme="minorHAnsi" w:hAnsiTheme="minorHAnsi" w:cstheme="minorHAnsi"/>
          <w:bCs/>
          <w:szCs w:val="24"/>
        </w:rPr>
        <w:t xml:space="preserve">, </w:t>
      </w:r>
      <w:r w:rsidRPr="00A95F01">
        <w:rPr>
          <w:rFonts w:asciiTheme="minorHAnsi" w:hAnsiTheme="minorHAnsi" w:cstheme="minorHAnsi"/>
          <w:bCs/>
          <w:szCs w:val="24"/>
        </w:rPr>
        <w:t>relatori</w:t>
      </w:r>
    </w:p>
    <w:p w:rsidR="00B968BF" w:rsidRDefault="00B968BF" w:rsidP="00B968BF">
      <w:pPr>
        <w:pStyle w:val="StandardRisoluzionedelConsigliodiStato"/>
        <w:ind w:right="-1"/>
        <w:rPr>
          <w:rFonts w:asciiTheme="minorHAnsi" w:hAnsiTheme="minorHAnsi" w:cstheme="minorHAnsi"/>
          <w:bCs/>
          <w:szCs w:val="24"/>
        </w:rPr>
      </w:pPr>
      <w:r>
        <w:rPr>
          <w:rFonts w:asciiTheme="minorHAnsi" w:hAnsiTheme="minorHAnsi" w:cstheme="minorHAnsi"/>
          <w:bCs/>
          <w:szCs w:val="24"/>
        </w:rPr>
        <w:t xml:space="preserve">Bignasca - Galeazzi - Gianella Alessandra (con riserva) - </w:t>
      </w:r>
    </w:p>
    <w:p w:rsidR="00B968BF" w:rsidRDefault="00B968BF" w:rsidP="00B968BF">
      <w:pPr>
        <w:pStyle w:val="StandardRisoluzionedelConsigliodiStato"/>
        <w:ind w:right="-1"/>
        <w:rPr>
          <w:rFonts w:asciiTheme="minorHAnsi" w:hAnsiTheme="minorHAnsi" w:cstheme="minorHAnsi"/>
          <w:bCs/>
          <w:szCs w:val="24"/>
        </w:rPr>
      </w:pPr>
      <w:r>
        <w:rPr>
          <w:rFonts w:asciiTheme="minorHAnsi" w:hAnsiTheme="minorHAnsi" w:cstheme="minorHAnsi"/>
          <w:bCs/>
          <w:szCs w:val="24"/>
        </w:rPr>
        <w:t>Guerra - Renzetti (con riserva)</w:t>
      </w:r>
    </w:p>
    <w:p w:rsidR="00B968BF" w:rsidRPr="00A95F01" w:rsidRDefault="00B968BF" w:rsidP="00B968BF">
      <w:pPr>
        <w:pStyle w:val="StandardRisoluzionedelConsigliodiStato"/>
        <w:ind w:right="-1"/>
        <w:rPr>
          <w:rFonts w:asciiTheme="minorHAnsi" w:hAnsiTheme="minorHAnsi" w:cstheme="minorHAnsi"/>
          <w:bCs/>
          <w:szCs w:val="24"/>
        </w:rPr>
      </w:pPr>
    </w:p>
    <w:p w:rsidR="00B968BF" w:rsidRDefault="00B968BF" w:rsidP="00B968BF">
      <w:pPr>
        <w:pStyle w:val="StandardRisoluzionedelConsigliodiStato"/>
        <w:ind w:right="-1"/>
        <w:rPr>
          <w:b/>
          <w:sz w:val="28"/>
          <w:szCs w:val="28"/>
        </w:rPr>
      </w:pPr>
    </w:p>
    <w:p w:rsidR="008F52AF" w:rsidRPr="00B968BF" w:rsidRDefault="008F52AF" w:rsidP="00D33940">
      <w:pPr>
        <w:pStyle w:val="StandardRisoluzionedelConsigliodiStato"/>
        <w:ind w:right="-1"/>
      </w:pPr>
    </w:p>
    <w:p w:rsidR="00D649A8" w:rsidRPr="00B968BF" w:rsidRDefault="00D649A8" w:rsidP="00D33940">
      <w:pPr>
        <w:pStyle w:val="StandardRisoluzionedelConsigliodiStato"/>
        <w:ind w:right="-1"/>
      </w:pPr>
    </w:p>
    <w:p w:rsidR="00D649A8" w:rsidRPr="00B968BF" w:rsidRDefault="00D649A8" w:rsidP="00D33940">
      <w:pPr>
        <w:pStyle w:val="StandardRisoluzionedelConsigliodiStato"/>
        <w:ind w:right="-1"/>
      </w:pPr>
    </w:p>
    <w:sectPr w:rsidR="00D649A8" w:rsidRPr="00B968BF" w:rsidSect="00375115">
      <w:headerReference w:type="default" r:id="rId11"/>
      <w:footerReference w:type="default" r:id="rId12"/>
      <w:headerReference w:type="first" r:id="rId13"/>
      <w:footerReference w:type="first" r:id="rId14"/>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68BF" w:rsidRDefault="00B968BF" w:rsidP="00F657BF">
      <w:r>
        <w:separator/>
      </w:r>
    </w:p>
  </w:endnote>
  <w:endnote w:type="continuationSeparator" w:id="0">
    <w:p w:rsidR="00B968BF" w:rsidRDefault="00B968BF"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9673DC" w:rsidP="00912E34">
          <w:pPr>
            <w:tabs>
              <w:tab w:val="center" w:pos="2382"/>
            </w:tabs>
          </w:pPr>
        </w:p>
      </w:tc>
      <w:tc>
        <w:tcPr>
          <w:tcW w:w="721" w:type="dxa"/>
        </w:tcPr>
        <w:p w:rsidR="00912E34" w:rsidRPr="003D1008" w:rsidRDefault="00E827A2"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E827A2"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9673DC" w:rsidP="00912E34"/>
      </w:tc>
    </w:tr>
  </w:tbl>
  <w:p w:rsidR="00F657BF" w:rsidRDefault="00F657BF" w:rsidP="00F5689F">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9673DC">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68BF" w:rsidRDefault="00B968BF" w:rsidP="00F657BF">
      <w:r>
        <w:separator/>
      </w:r>
    </w:p>
  </w:footnote>
  <w:footnote w:type="continuationSeparator" w:id="0">
    <w:p w:rsidR="00B968BF" w:rsidRDefault="00B968BF" w:rsidP="00F657BF">
      <w:r>
        <w:continuationSeparator/>
      </w:r>
    </w:p>
  </w:footnote>
  <w:footnote w:id="1">
    <w:p w:rsidR="00B968BF" w:rsidRPr="00154DAF" w:rsidRDefault="00B968BF" w:rsidP="00B968BF">
      <w:pPr>
        <w:rPr>
          <w:sz w:val="20"/>
          <w:szCs w:val="20"/>
          <w:lang w:val="de-CH"/>
        </w:rPr>
      </w:pPr>
      <w:r w:rsidRPr="001C30B1">
        <w:rPr>
          <w:sz w:val="20"/>
          <w:szCs w:val="20"/>
          <w:vertAlign w:val="superscript"/>
        </w:rPr>
        <w:footnoteRef/>
      </w:r>
      <w:r w:rsidRPr="001C30B1">
        <w:rPr>
          <w:sz w:val="20"/>
          <w:szCs w:val="20"/>
          <w:vertAlign w:val="superscript"/>
          <w:lang w:val="de-CH"/>
        </w:rPr>
        <w:t xml:space="preserve"> </w:t>
      </w:r>
      <w:r w:rsidRPr="00154DAF">
        <w:rPr>
          <w:sz w:val="20"/>
          <w:szCs w:val="20"/>
          <w:lang w:val="de-CH"/>
        </w:rPr>
        <w:t xml:space="preserve">U. </w:t>
      </w:r>
      <w:proofErr w:type="spellStart"/>
      <w:r w:rsidRPr="00154DAF">
        <w:rPr>
          <w:sz w:val="20"/>
          <w:szCs w:val="20"/>
          <w:lang w:val="de-CH"/>
        </w:rPr>
        <w:t>Häfelin</w:t>
      </w:r>
      <w:proofErr w:type="spellEnd"/>
      <w:r w:rsidRPr="00154DAF">
        <w:rPr>
          <w:sz w:val="20"/>
          <w:szCs w:val="20"/>
          <w:lang w:val="de-CH"/>
        </w:rPr>
        <w:t xml:space="preserve">, G. Müller, F. Uhlmann, Allgemeines Verwaltungsrecht, 8ª </w:t>
      </w:r>
      <w:proofErr w:type="spellStart"/>
      <w:r w:rsidRPr="00154DAF">
        <w:rPr>
          <w:sz w:val="20"/>
          <w:szCs w:val="20"/>
          <w:lang w:val="de-CH"/>
        </w:rPr>
        <w:t>ed</w:t>
      </w:r>
      <w:proofErr w:type="spellEnd"/>
      <w:r w:rsidRPr="00154DAF">
        <w:rPr>
          <w:sz w:val="20"/>
          <w:szCs w:val="20"/>
          <w:lang w:val="de-CH"/>
        </w:rPr>
        <w:t xml:space="preserve">., </w:t>
      </w:r>
      <w:proofErr w:type="spellStart"/>
      <w:r w:rsidRPr="00154DAF">
        <w:rPr>
          <w:sz w:val="20"/>
          <w:szCs w:val="20"/>
          <w:lang w:val="de-CH"/>
        </w:rPr>
        <w:t>Schulthess</w:t>
      </w:r>
      <w:proofErr w:type="spellEnd"/>
      <w:r w:rsidRPr="00154DAF">
        <w:rPr>
          <w:sz w:val="20"/>
          <w:szCs w:val="20"/>
          <w:lang w:val="de-CH"/>
        </w:rPr>
        <w:t xml:space="preserve">, </w:t>
      </w:r>
      <w:proofErr w:type="spellStart"/>
      <w:r w:rsidRPr="00154DAF">
        <w:rPr>
          <w:sz w:val="20"/>
          <w:szCs w:val="20"/>
          <w:lang w:val="de-CH"/>
        </w:rPr>
        <w:t>Zurigo</w:t>
      </w:r>
      <w:proofErr w:type="spellEnd"/>
      <w:r w:rsidRPr="00154DAF">
        <w:rPr>
          <w:sz w:val="20"/>
          <w:szCs w:val="20"/>
          <w:lang w:val="de-CH"/>
        </w:rPr>
        <w:t xml:space="preserve"> 2022; R. </w:t>
      </w:r>
      <w:proofErr w:type="spellStart"/>
      <w:r w:rsidRPr="00154DAF">
        <w:rPr>
          <w:sz w:val="20"/>
          <w:szCs w:val="20"/>
          <w:lang w:val="de-CH"/>
        </w:rPr>
        <w:t>Rhinow</w:t>
      </w:r>
      <w:proofErr w:type="spellEnd"/>
      <w:r w:rsidRPr="00154DAF">
        <w:rPr>
          <w:sz w:val="20"/>
          <w:szCs w:val="20"/>
          <w:lang w:val="de-CH"/>
        </w:rPr>
        <w:t xml:space="preserve">, M. </w:t>
      </w:r>
      <w:proofErr w:type="spellStart"/>
      <w:r w:rsidRPr="00154DAF">
        <w:rPr>
          <w:sz w:val="20"/>
          <w:szCs w:val="20"/>
          <w:lang w:val="de-CH"/>
        </w:rPr>
        <w:t>Schefer</w:t>
      </w:r>
      <w:proofErr w:type="spellEnd"/>
      <w:r w:rsidRPr="00154DAF">
        <w:rPr>
          <w:sz w:val="20"/>
          <w:szCs w:val="20"/>
          <w:lang w:val="de-CH"/>
        </w:rPr>
        <w:t xml:space="preserve">, P. </w:t>
      </w:r>
      <w:proofErr w:type="spellStart"/>
      <w:r w:rsidRPr="00154DAF">
        <w:rPr>
          <w:sz w:val="20"/>
          <w:szCs w:val="20"/>
          <w:lang w:val="de-CH"/>
        </w:rPr>
        <w:t>Martenet</w:t>
      </w:r>
      <w:proofErr w:type="spellEnd"/>
      <w:r w:rsidRPr="00154DAF">
        <w:rPr>
          <w:sz w:val="20"/>
          <w:szCs w:val="20"/>
          <w:lang w:val="de-CH"/>
        </w:rPr>
        <w:t xml:space="preserve">, Schweizerisches Verfassungsrecht, 3ª </w:t>
      </w:r>
      <w:proofErr w:type="spellStart"/>
      <w:r w:rsidRPr="00154DAF">
        <w:rPr>
          <w:sz w:val="20"/>
          <w:szCs w:val="20"/>
          <w:lang w:val="de-CH"/>
        </w:rPr>
        <w:t>ed</w:t>
      </w:r>
      <w:proofErr w:type="spellEnd"/>
      <w:r w:rsidRPr="00154DAF">
        <w:rPr>
          <w:sz w:val="20"/>
          <w:szCs w:val="20"/>
          <w:lang w:val="de-CH"/>
        </w:rPr>
        <w:t xml:space="preserve">., Helbing </w:t>
      </w:r>
      <w:proofErr w:type="spellStart"/>
      <w:r w:rsidRPr="00154DAF">
        <w:rPr>
          <w:sz w:val="20"/>
          <w:szCs w:val="20"/>
          <w:lang w:val="de-CH"/>
        </w:rPr>
        <w:t>Lichtenhahn</w:t>
      </w:r>
      <w:proofErr w:type="spellEnd"/>
      <w:r w:rsidRPr="00154DAF">
        <w:rPr>
          <w:sz w:val="20"/>
          <w:szCs w:val="20"/>
          <w:lang w:val="de-CH"/>
        </w:rPr>
        <w:t xml:space="preserve">, </w:t>
      </w:r>
      <w:proofErr w:type="spellStart"/>
      <w:r w:rsidRPr="00154DAF">
        <w:rPr>
          <w:sz w:val="20"/>
          <w:szCs w:val="20"/>
          <w:lang w:val="de-CH"/>
        </w:rPr>
        <w:t>Basilea</w:t>
      </w:r>
      <w:proofErr w:type="spellEnd"/>
      <w:r w:rsidRPr="00154DAF">
        <w:rPr>
          <w:sz w:val="20"/>
          <w:szCs w:val="20"/>
          <w:lang w:val="de-CH"/>
        </w:rPr>
        <w:t xml:space="preserve"> 2016, N. 2018 </w:t>
      </w:r>
      <w:proofErr w:type="spellStart"/>
      <w:r w:rsidRPr="00154DAF">
        <w:rPr>
          <w:sz w:val="20"/>
          <w:szCs w:val="20"/>
          <w:lang w:val="de-CH"/>
        </w:rPr>
        <w:t>ss</w:t>
      </w:r>
      <w:proofErr w:type="spellEnd"/>
      <w:r w:rsidRPr="00154DAF">
        <w:rPr>
          <w:sz w:val="20"/>
          <w:szCs w:val="20"/>
          <w:lang w:val="de-CH"/>
        </w:rPr>
        <w:t>.</w:t>
      </w:r>
    </w:p>
  </w:footnote>
  <w:footnote w:id="2">
    <w:p w:rsidR="00B968BF" w:rsidRDefault="00B968BF" w:rsidP="00B968BF">
      <w:r w:rsidRPr="001C30B1">
        <w:rPr>
          <w:sz w:val="20"/>
          <w:szCs w:val="20"/>
          <w:vertAlign w:val="superscript"/>
        </w:rPr>
        <w:footnoteRef/>
      </w:r>
      <w:r w:rsidRPr="001C30B1">
        <w:rPr>
          <w:sz w:val="20"/>
          <w:szCs w:val="20"/>
          <w:vertAlign w:val="superscript"/>
        </w:rPr>
        <w:t xml:space="preserve"> </w:t>
      </w:r>
      <w:r w:rsidRPr="00154DAF">
        <w:rPr>
          <w:sz w:val="20"/>
          <w:szCs w:val="20"/>
        </w:rPr>
        <w:t xml:space="preserve">Centre for Media </w:t>
      </w:r>
      <w:proofErr w:type="spellStart"/>
      <w:r w:rsidRPr="00154DAF">
        <w:rPr>
          <w:sz w:val="20"/>
          <w:szCs w:val="20"/>
        </w:rPr>
        <w:t>Pluralism</w:t>
      </w:r>
      <w:proofErr w:type="spellEnd"/>
      <w:r w:rsidRPr="00154DAF">
        <w:rPr>
          <w:sz w:val="20"/>
          <w:szCs w:val="20"/>
        </w:rPr>
        <w:t xml:space="preserve"> and Media </w:t>
      </w:r>
      <w:proofErr w:type="spellStart"/>
      <w:r w:rsidRPr="00154DAF">
        <w:rPr>
          <w:sz w:val="20"/>
          <w:szCs w:val="20"/>
        </w:rPr>
        <w:t>Freedom</w:t>
      </w:r>
      <w:proofErr w:type="spellEnd"/>
      <w:r w:rsidRPr="00154DAF">
        <w:rPr>
          <w:sz w:val="20"/>
          <w:szCs w:val="20"/>
        </w:rPr>
        <w:t xml:space="preserve"> (CMPF), Media </w:t>
      </w:r>
      <w:proofErr w:type="spellStart"/>
      <w:r w:rsidRPr="00154DAF">
        <w:rPr>
          <w:sz w:val="20"/>
          <w:szCs w:val="20"/>
        </w:rPr>
        <w:t>Pluralism</w:t>
      </w:r>
      <w:proofErr w:type="spellEnd"/>
      <w:r w:rsidRPr="00154DAF">
        <w:rPr>
          <w:sz w:val="20"/>
          <w:szCs w:val="20"/>
        </w:rPr>
        <w:t xml:space="preserve"> Monitor, </w:t>
      </w:r>
      <w:proofErr w:type="spellStart"/>
      <w:r w:rsidRPr="00154DAF">
        <w:rPr>
          <w:sz w:val="20"/>
          <w:szCs w:val="20"/>
        </w:rPr>
        <w:t>European</w:t>
      </w:r>
      <w:proofErr w:type="spellEnd"/>
      <w:r w:rsidRPr="00154DAF">
        <w:rPr>
          <w:sz w:val="20"/>
          <w:szCs w:val="20"/>
        </w:rPr>
        <w:t xml:space="preserve"> </w:t>
      </w:r>
      <w:proofErr w:type="spellStart"/>
      <w:r w:rsidRPr="00154DAF">
        <w:rPr>
          <w:sz w:val="20"/>
          <w:szCs w:val="20"/>
        </w:rPr>
        <w:t>University</w:t>
      </w:r>
      <w:proofErr w:type="spellEnd"/>
      <w:r w:rsidRPr="00154DAF">
        <w:rPr>
          <w:sz w:val="20"/>
          <w:szCs w:val="20"/>
        </w:rPr>
        <w:t xml:space="preserve"> </w:t>
      </w:r>
      <w:proofErr w:type="spellStart"/>
      <w:r w:rsidRPr="00154DAF">
        <w:rPr>
          <w:sz w:val="20"/>
          <w:szCs w:val="20"/>
        </w:rPr>
        <w:t>Institute</w:t>
      </w:r>
      <w:proofErr w:type="spellEnd"/>
      <w:r w:rsidRPr="00154DAF">
        <w:rPr>
          <w:sz w:val="20"/>
          <w:szCs w:val="20"/>
        </w:rPr>
        <w:t xml:space="preserve">, Firenze (edizioni annuali, disponibili su www.cmpf.eui.eu). Per la CEDU cfr. in particolare CEDU, </w:t>
      </w:r>
      <w:proofErr w:type="spellStart"/>
      <w:r w:rsidRPr="00154DAF">
        <w:rPr>
          <w:sz w:val="20"/>
          <w:szCs w:val="20"/>
        </w:rPr>
        <w:t>Jersild</w:t>
      </w:r>
      <w:proofErr w:type="spellEnd"/>
      <w:r w:rsidRPr="00154DAF">
        <w:rPr>
          <w:sz w:val="20"/>
          <w:szCs w:val="20"/>
        </w:rPr>
        <w:t xml:space="preserve"> c. Danimarca (1994), e la giurisprudenza consolidata sull’art. 10 CEDU in materia di indipendenza dei media.</w:t>
      </w:r>
    </w:p>
  </w:footnote>
  <w:footnote w:id="3">
    <w:p w:rsidR="00B968BF" w:rsidRPr="001C30B1" w:rsidRDefault="00B968BF" w:rsidP="00B968BF">
      <w:pPr>
        <w:rPr>
          <w:sz w:val="20"/>
          <w:szCs w:val="20"/>
        </w:rPr>
      </w:pPr>
      <w:r w:rsidRPr="001C30B1">
        <w:rPr>
          <w:sz w:val="20"/>
          <w:szCs w:val="20"/>
          <w:vertAlign w:val="superscript"/>
        </w:rPr>
        <w:footnoteRef/>
      </w:r>
      <w:r w:rsidRPr="001C30B1">
        <w:rPr>
          <w:sz w:val="20"/>
          <w:szCs w:val="20"/>
        </w:rPr>
        <w:t xml:space="preserve"> Messaggio del Consiglio di Stato n. 7971 del 24 febbraio 2021, </w:t>
      </w:r>
      <w:proofErr w:type="spellStart"/>
      <w:r w:rsidRPr="001C30B1">
        <w:rPr>
          <w:sz w:val="20"/>
          <w:szCs w:val="20"/>
        </w:rPr>
        <w:t>pagg</w:t>
      </w:r>
      <w:proofErr w:type="spellEnd"/>
      <w:r w:rsidRPr="001C30B1">
        <w:rPr>
          <w:sz w:val="20"/>
          <w:szCs w:val="20"/>
        </w:rPr>
        <w:t xml:space="preserve">. 1–2 </w:t>
      </w:r>
    </w:p>
  </w:footnote>
  <w:footnote w:id="4">
    <w:p w:rsidR="00B968BF" w:rsidRDefault="00B968BF" w:rsidP="00B968BF">
      <w:r w:rsidRPr="001C30B1">
        <w:rPr>
          <w:sz w:val="20"/>
          <w:szCs w:val="20"/>
          <w:vertAlign w:val="superscript"/>
        </w:rPr>
        <w:footnoteRef/>
      </w:r>
      <w:r w:rsidRPr="001C30B1">
        <w:rPr>
          <w:sz w:val="20"/>
          <w:szCs w:val="20"/>
        </w:rPr>
        <w:t xml:space="preserve"> Cancelleria federale, risultati definitivi della votazione popolare del 13 febbraio 2022, oggetto federale n. 20.038 “Pacchetto di misure a favore dei media”; disponibili su www.bk.admin.ch.</w:t>
      </w:r>
    </w:p>
  </w:footnote>
  <w:footnote w:id="5">
    <w:p w:rsidR="00B968BF" w:rsidRDefault="00B968BF" w:rsidP="00B968BF">
      <w:r w:rsidRPr="0004138F">
        <w:rPr>
          <w:sz w:val="20"/>
          <w:szCs w:val="20"/>
          <w:vertAlign w:val="superscript"/>
        </w:rPr>
        <w:footnoteRef/>
      </w:r>
      <w:r w:rsidRPr="0004138F">
        <w:rPr>
          <w:sz w:val="20"/>
          <w:szCs w:val="20"/>
        </w:rPr>
        <w:t xml:space="preserve"> Comunicato stampa del Consiglio federale del 12 dicembre 2025; modifica della legge federale sulle poste (LPO), art. 16 cpv. 4 </w:t>
      </w:r>
      <w:proofErr w:type="spellStart"/>
      <w:r w:rsidRPr="0004138F">
        <w:rPr>
          <w:sz w:val="20"/>
          <w:szCs w:val="20"/>
        </w:rPr>
        <w:t>lett</w:t>
      </w:r>
      <w:proofErr w:type="spellEnd"/>
      <w:r w:rsidRPr="0004138F">
        <w:rPr>
          <w:sz w:val="20"/>
          <w:szCs w:val="20"/>
        </w:rPr>
        <w:t>. a, in vigore dal 1° gennaio 2026 per un periodo limitato di sette anni (da 30 a 40 milioni di franchi annui).</w:t>
      </w:r>
    </w:p>
  </w:footnote>
  <w:footnote w:id="6">
    <w:p w:rsidR="00B968BF" w:rsidRDefault="00B968BF" w:rsidP="00B968BF">
      <w:r w:rsidRPr="0004138F">
        <w:rPr>
          <w:sz w:val="20"/>
          <w:szCs w:val="20"/>
          <w:vertAlign w:val="superscript"/>
        </w:rPr>
        <w:footnoteRef/>
      </w:r>
      <w:r w:rsidRPr="0004138F">
        <w:rPr>
          <w:sz w:val="20"/>
          <w:szCs w:val="20"/>
          <w:vertAlign w:val="superscript"/>
        </w:rPr>
        <w:t xml:space="preserve"> </w:t>
      </w:r>
      <w:r w:rsidRPr="0004138F">
        <w:rPr>
          <w:sz w:val="20"/>
          <w:szCs w:val="20"/>
        </w:rPr>
        <w:t xml:space="preserve">Consiglio federale, comunicato stampa del 18 febbraio 2026: apertura della consultazione sulla revisione dell’ordinanza sulle poste (OPO) per il sostegno al recapito mattutino; 25 milioni di franchi annui per un periodo di sette anni; </w:t>
      </w:r>
      <w:r w:rsidRPr="00BE72B5">
        <w:rPr>
          <w:sz w:val="20"/>
          <w:szCs w:val="20"/>
        </w:rPr>
        <w:t>consultazione conclusa il 18 aprile 2026</w:t>
      </w:r>
      <w:r w:rsidRPr="0004138F">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9673DC"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FE423DE0-5A88-4A8B-A933-12832C0821E9}"/>
              <w:text w:multiLine="1"/>
            </w:sdtPr>
            <w:sdtEndPr/>
            <w:sdtContent>
              <w:r w:rsidR="00E827A2">
                <w:rPr>
                  <w:rFonts w:ascii="Gill Alt One MT Light" w:hAnsi="Gill Alt One MT Light"/>
                  <w:sz w:val="16"/>
                  <w:szCs w:val="16"/>
                </w:rPr>
                <w:t>Repubblica e Cantone Ticino</w:t>
              </w:r>
            </w:sdtContent>
          </w:sdt>
        </w:p>
        <w:p w:rsidR="005012EC" w:rsidRPr="00E8185F" w:rsidRDefault="009673DC"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FE423DE0-5A88-4A8B-A933-12832C0821E9}"/>
              <w:text w:multiLine="1"/>
            </w:sdtPr>
            <w:sdtEndPr/>
            <w:sdtContent>
              <w:r w:rsidR="00776616">
                <w:rPr>
                  <w:rFonts w:ascii="Gill Alt One MT Light" w:hAnsi="Gill Alt One MT Light"/>
                  <w:sz w:val="16"/>
                  <w:szCs w:val="16"/>
                </w:rPr>
                <w:t>Consiglio di Stato</w:t>
              </w:r>
            </w:sdtContent>
          </w:sdt>
        </w:p>
      </w:tc>
      <w:tc>
        <w:tcPr>
          <w:tcW w:w="1710" w:type="dxa"/>
          <w:tcBorders>
            <w:bottom w:val="single" w:sz="4" w:space="0" w:color="auto"/>
          </w:tcBorders>
          <w:vAlign w:val="bottom"/>
        </w:tcPr>
        <w:p w:rsidR="005012EC" w:rsidRPr="004204CB" w:rsidRDefault="00E827A2"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C17A8B">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C17A8B">
            <w:rPr>
              <w:noProof/>
              <w:sz w:val="24"/>
            </w:rPr>
            <w:t>8</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FE423DE0-5A88-4A8B-A933-12832C0821E9}"/>
          <w:text w:multiLine="1"/>
        </w:sdtPr>
        <w:sdtEndPr/>
        <w:sdtContent>
          <w:tc>
            <w:tcPr>
              <w:tcW w:w="8383" w:type="dxa"/>
              <w:tcBorders>
                <w:left w:val="single" w:sz="4" w:space="0" w:color="auto"/>
              </w:tcBorders>
              <w:tcMar>
                <w:top w:w="0" w:type="dxa"/>
                <w:left w:w="142" w:type="dxa"/>
              </w:tcMar>
            </w:tcPr>
            <w:p w:rsidR="005012EC" w:rsidRPr="00C17A8B" w:rsidRDefault="00776616"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di minoranza n. 8647 R2 del 26 maggio 2026</w:t>
              </w:r>
            </w:p>
          </w:tc>
        </w:sdtContent>
      </w:sdt>
      <w:tc>
        <w:tcPr>
          <w:tcW w:w="1710" w:type="dxa"/>
          <w:tcBorders>
            <w:top w:val="single" w:sz="4" w:space="0" w:color="auto"/>
          </w:tcBorders>
        </w:tcPr>
        <w:p w:rsidR="005012EC" w:rsidRPr="00C17A8B" w:rsidRDefault="009673DC" w:rsidP="00662409">
          <w:pPr>
            <w:pStyle w:val="InvisibleLine"/>
            <w:rPr>
              <w:lang w:val="it-CH"/>
            </w:rPr>
          </w:pPr>
        </w:p>
      </w:tc>
    </w:tr>
  </w:tbl>
  <w:p w:rsidR="00F657BF" w:rsidRPr="00980362" w:rsidRDefault="00E827A2"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FE423DE0-5A88-4A8B-A933-12832C0821E9}"/>
                            <w:text w:multiLine="1"/>
                          </w:sdtPr>
                          <w:sdtEndPr/>
                          <w:sdtContent>
                            <w:p w:rsidR="008065E8" w:rsidRPr="00411371" w:rsidRDefault="00E827A2"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12922CAB-CFE7-4113-9737-2A1A1A12F246}"/>
                      <w:text w:multiLine="1"/>
                    </w:sdtPr>
                    <w:sdtEndPr/>
                    <w:sdtContent>
                      <w:p w:rsidR="008065E8" w:rsidRPr="00411371" w:rsidRDefault="00E827A2"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9673DC" w:rsidP="00932E26">
          <w:pPr>
            <w:pStyle w:val="InvisibleLine"/>
            <w:spacing w:line="240" w:lineRule="auto"/>
            <w:ind w:left="15"/>
            <w:rPr>
              <w:rFonts w:ascii="Gill Alt One MT Light" w:hAnsi="Gill Alt One MT Light"/>
              <w:sz w:val="16"/>
              <w:lang w:val="it-CH"/>
            </w:rPr>
          </w:pPr>
        </w:p>
        <w:p w:rsidR="00CD5F73" w:rsidRDefault="00E827A2"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9673DC"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9673DC" w:rsidP="00D07D6E">
          <w:pPr>
            <w:pStyle w:val="Level"/>
            <w:ind w:left="150"/>
            <w:rPr>
              <w:sz w:val="16"/>
            </w:rPr>
          </w:pPr>
        </w:p>
      </w:tc>
      <w:tc>
        <w:tcPr>
          <w:tcW w:w="209" w:type="pct"/>
          <w:tcBorders>
            <w:top w:val="nil"/>
            <w:bottom w:val="single" w:sz="4" w:space="0" w:color="auto"/>
          </w:tcBorders>
        </w:tcPr>
        <w:p w:rsidR="00662409" w:rsidRDefault="00E827A2"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614904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E827A2"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C17A8B">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C17A8B">
            <w:rPr>
              <w:rFonts w:asciiTheme="minorHAnsi" w:hAnsiTheme="minorHAnsi" w:cstheme="minorHAnsi"/>
              <w:noProof/>
              <w:sz w:val="24"/>
            </w:rPr>
            <w:t>8</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FE423DE0-5A88-4A8B-A933-12832C0821E9}"/>
          <w:text w:multiLine="1"/>
        </w:sdtPr>
        <w:sdtEndPr/>
        <w:sdtContent>
          <w:tc>
            <w:tcPr>
              <w:tcW w:w="5000" w:type="pct"/>
              <w:gridSpan w:val="6"/>
              <w:tcBorders>
                <w:left w:val="nil"/>
                <w:right w:val="nil"/>
              </w:tcBorders>
              <w:noWrap/>
              <w:tcMar>
                <w:top w:w="0" w:type="dxa"/>
              </w:tcMar>
              <w:vAlign w:val="bottom"/>
            </w:tcPr>
            <w:p w:rsidR="00662409" w:rsidRPr="008C03B5" w:rsidRDefault="00776616"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 di minoranza</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E827A2"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9673DC"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E827A2"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9673DC"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E827A2"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9673DC"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9673DC"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FE423DE0-5A88-4A8B-A933-12832C0821E9}"/>
              <w:text w:multiLine="1"/>
            </w:sdtPr>
            <w:sdtEndPr/>
            <w:sdtContent>
              <w:r w:rsidR="00776616">
                <w:rPr>
                  <w:rFonts w:cstheme="minorHAnsi"/>
                  <w:b/>
                  <w:sz w:val="24"/>
                  <w:szCs w:val="24"/>
                </w:rPr>
                <w:t>8647 R2</w:t>
              </w:r>
            </w:sdtContent>
          </w:sdt>
        </w:p>
      </w:tc>
      <w:sdt>
        <w:sdtPr>
          <w:rPr>
            <w:sz w:val="24"/>
          </w:rPr>
          <w:alias w:val="DocParam.Date"/>
          <w:id w:val="-464426178"/>
          <w:dataBinding w:xpath="//DateTime[@id='DocParam.Date']" w:storeItemID="{FE423DE0-5A88-4A8B-A933-12832C0821E9}"/>
          <w:date w:fullDate="2026-05-26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776616" w:rsidP="00A532F6">
              <w:pPr>
                <w:pStyle w:val="Data"/>
              </w:pPr>
              <w:r>
                <w:rPr>
                  <w:sz w:val="24"/>
                </w:rPr>
                <w:t>26 maggio 2026</w:t>
              </w:r>
            </w:p>
          </w:tc>
        </w:sdtContent>
      </w:sdt>
      <w:tc>
        <w:tcPr>
          <w:tcW w:w="3218" w:type="pct"/>
          <w:gridSpan w:val="4"/>
          <w:tcBorders>
            <w:top w:val="nil"/>
            <w:left w:val="nil"/>
            <w:bottom w:val="nil"/>
            <w:right w:val="nil"/>
          </w:tcBorders>
        </w:tcPr>
        <w:p w:rsidR="008C03B5" w:rsidRPr="00BE22A2" w:rsidRDefault="009673DC"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FE423DE0-5A88-4A8B-A933-12832C0821E9}"/>
              <w:text w:multiLine="1"/>
            </w:sdtPr>
            <w:sdtEndPr/>
            <w:sdtContent>
              <w:r w:rsidR="00776616">
                <w:rPr>
                  <w:smallCaps/>
                  <w:sz w:val="23"/>
                  <w:szCs w:val="23"/>
                </w:rPr>
                <w:t>Consiglio di Stato</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9673DC" w:rsidP="00D07D6E">
          <w:pPr>
            <w:pStyle w:val="Level"/>
            <w:ind w:left="150"/>
            <w:rPr>
              <w:rFonts w:ascii="Gill Alt One MT Light" w:hAnsi="Gill Alt One MT Light"/>
              <w:sz w:val="16"/>
              <w:szCs w:val="16"/>
            </w:rPr>
          </w:pPr>
        </w:p>
      </w:tc>
    </w:tr>
  </w:tbl>
  <w:p w:rsidR="00F657BF" w:rsidRPr="00DA2879" w:rsidRDefault="00E827A2"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667075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FE423DE0-5A88-4A8B-A933-12832C0821E9}"/>
                            <w:text w:multiLine="1"/>
                          </w:sdtPr>
                          <w:sdtEndPr/>
                          <w:sdtContent>
                            <w:p w:rsidR="00E93620" w:rsidRPr="00411371" w:rsidRDefault="00E827A2"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12922CAB-CFE7-4113-9737-2A1A1A12F246}"/>
                      <w:text w:multiLine="1"/>
                    </w:sdtPr>
                    <w:sdtEndPr/>
                    <w:sdtContent>
                      <w:p w:rsidR="00E93620" w:rsidRPr="00411371" w:rsidRDefault="00E827A2"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BEB4CC6"/>
    <w:multiLevelType w:val="hybridMultilevel"/>
    <w:tmpl w:val="FEB2B7E0"/>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2"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D524CC"/>
    <w:multiLevelType w:val="multilevel"/>
    <w:tmpl w:val="953CA1B2"/>
    <w:numStyleLink w:val="HeadingList"/>
  </w:abstractNum>
  <w:num w:numId="1">
    <w:abstractNumId w:val="12"/>
  </w:num>
  <w:num w:numId="2">
    <w:abstractNumId w:val="17"/>
    <w:lvlOverride w:ilvl="0">
      <w:lvl w:ilvl="0">
        <w:start w:val="1"/>
        <w:numFmt w:val="decimal"/>
        <w:lvlText w:val="%1"/>
        <w:lvlJc w:val="left"/>
        <w:pPr>
          <w:ind w:left="363" w:hanging="363"/>
        </w:pPr>
        <w:rPr>
          <w:rFonts w:ascii="Arial" w:hAnsi="Arial" w:cs="Arial" w:hint="default"/>
        </w:rPr>
      </w:lvl>
    </w:lvlOverride>
  </w:num>
  <w:num w:numId="3">
    <w:abstractNumId w:val="10"/>
  </w:num>
  <w:num w:numId="4">
    <w:abstractNumId w:val="16"/>
  </w:num>
  <w:num w:numId="5">
    <w:abstractNumId w:val="15"/>
  </w:num>
  <w:num w:numId="6">
    <w:abstractNumId w:val="13"/>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68BF"/>
    <w:rsid w:val="00200E4C"/>
    <w:rsid w:val="0021544D"/>
    <w:rsid w:val="002B5D9F"/>
    <w:rsid w:val="003B756D"/>
    <w:rsid w:val="003D1BA9"/>
    <w:rsid w:val="00403ADB"/>
    <w:rsid w:val="00572FD3"/>
    <w:rsid w:val="006430FC"/>
    <w:rsid w:val="00776616"/>
    <w:rsid w:val="0083259B"/>
    <w:rsid w:val="008720C4"/>
    <w:rsid w:val="008A1A34"/>
    <w:rsid w:val="008F52AF"/>
    <w:rsid w:val="009673DC"/>
    <w:rsid w:val="009C5E5A"/>
    <w:rsid w:val="00AF0268"/>
    <w:rsid w:val="00B968BF"/>
    <w:rsid w:val="00BF0A1F"/>
    <w:rsid w:val="00C17A8B"/>
    <w:rsid w:val="00D33940"/>
    <w:rsid w:val="00D600FD"/>
    <w:rsid w:val="00D649A8"/>
    <w:rsid w:val="00E827A2"/>
    <w:rsid w:val="00EB088A"/>
    <w:rsid w:val="00F53D64"/>
    <w:rsid w:val="00F657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1EE322EC-73EE-4C16-9743-E277A0B68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link w:val="StandardRisoluzionedelConsigliodiStatoCaratter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character" w:customStyle="1" w:styleId="StandardRisoluzionedelConsigliodiStatoCarattere">
    <w:name w:val="StandardRisoluzionedelConsigliodiStato Carattere"/>
    <w:basedOn w:val="Carpredefinitoparagrafo"/>
    <w:link w:val="StandardRisoluzionedelConsigliodiStato"/>
    <w:rsid w:val="00B968BF"/>
    <w:rPr>
      <w:rFonts w:ascii="Arial" w:hAnsi="Arial"/>
      <w:sz w:val="24"/>
      <w:lang w:val="it-CH"/>
    </w:rPr>
  </w:style>
  <w:style w:type="paragraph" w:styleId="Testofumetto">
    <w:name w:val="Balloon Text"/>
    <w:basedOn w:val="Normale"/>
    <w:link w:val="TestofumettoCarattere"/>
    <w:uiPriority w:val="99"/>
    <w:semiHidden/>
    <w:unhideWhenUsed/>
    <w:rsid w:val="00C17A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C17A8B"/>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primedocs\generated\d972e0f1-8c96-42a4-898e-16d490e1c4af.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614904314</Id>
      <Width>0</Width>
      <Height>0</Height>
      <XPath>//Image[@id='Profile.Org.WappenSW']</XPath>
      <ImageHash>02f1c0cdac6aeac316213b2e7cb733a0</ImageHash>
    </ImageSizeDefinition>
    <ImageSizeDefinition>
      <Id>1667075967</Id>
      <Width>0</Width>
      <Height>0</Height>
      <XPath>//Image[@id='Profile.Org.Logo']</XPath>
      <ImageHash>c45d7cd7b68e3e6ca57220766e88079c</ImageHash>
    </ImageSizeDefinition>
  </ImageDefinitions>
</OneOffixxImageDefinitionPart>
</file>

<file path=customXml/item2.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F4FBA230-246E-49EB-BFE3-ED7653F0D4D8}">
  <ds:schemaRefs>
    <ds:schemaRef ds:uri="http://www.w3.org/2001/XMLSchema"/>
    <ds:schemaRef ds:uri="http://schema.oneoffixx.com/OneOffixxFormattingPart/1"/>
    <ds:schemaRef ds:uri=""/>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FE423DE0-5A88-4A8B-A933-12832C0821E9}">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d972e0f1-8c96-42a4-898e-16d490e1c4af.dotx</Template>
  <TotalTime>8</TotalTime>
  <Pages>8</Pages>
  <Words>3170</Words>
  <Characters>18229</Characters>
  <Application>Microsoft Office Word</Application>
  <DocSecurity>0</DocSecurity>
  <Lines>372</Lines>
  <Paragraphs>114</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Venturi Luca</cp:lastModifiedBy>
  <cp:revision>11</cp:revision>
  <cp:lastPrinted>2026-05-26T12:41:00Z</cp:lastPrinted>
  <dcterms:created xsi:type="dcterms:W3CDTF">2026-05-26T12:31:00Z</dcterms:created>
  <dcterms:modified xsi:type="dcterms:W3CDTF">2026-05-26T12:42:00Z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