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9C5" w:rsidRPr="00FE522A" w:rsidRDefault="006839C5" w:rsidP="006839C5">
      <w:pPr>
        <w:spacing w:after="120"/>
        <w:jc w:val="both"/>
        <w:rPr>
          <w:rFonts w:ascii="Arial" w:hAnsi="Arial" w:cs="Arial"/>
          <w:b/>
          <w:sz w:val="23"/>
          <w:szCs w:val="23"/>
        </w:rPr>
      </w:pPr>
      <w:r w:rsidRPr="00FE522A">
        <w:rPr>
          <w:rFonts w:ascii="Arial" w:hAnsi="Arial" w:cs="Arial"/>
          <w:b/>
          <w:sz w:val="23"/>
          <w:szCs w:val="23"/>
        </w:rPr>
        <w:t xml:space="preserve">INIZIATIVA PARLAMENTARE </w:t>
      </w:r>
    </w:p>
    <w:p w:rsidR="006839C5" w:rsidRPr="00FE522A" w:rsidRDefault="006839C5" w:rsidP="006839C5">
      <w:pPr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6839C5" w:rsidRPr="00FE522A" w:rsidRDefault="006839C5" w:rsidP="006839C5">
      <w:pPr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FE522A">
        <w:rPr>
          <w:rFonts w:ascii="Arial" w:hAnsi="Arial" w:cs="Arial"/>
          <w:b/>
          <w:sz w:val="23"/>
          <w:szCs w:val="23"/>
          <w:u w:val="single"/>
        </w:rPr>
        <w:t xml:space="preserve">presentata nella forma </w:t>
      </w:r>
      <w:r w:rsidRPr="00FE522A">
        <w:rPr>
          <w:rFonts w:ascii="Arial" w:hAnsi="Arial" w:cs="Arial"/>
          <w:b/>
          <w:bCs/>
          <w:sz w:val="23"/>
          <w:szCs w:val="23"/>
          <w:u w:val="single"/>
        </w:rPr>
        <w:t xml:space="preserve">generica da Pelin Kandemir Bordoli e cofirmatari per il Gruppo </w:t>
      </w:r>
      <w:r>
        <w:rPr>
          <w:rFonts w:ascii="Arial" w:hAnsi="Arial" w:cs="Arial"/>
          <w:b/>
          <w:bCs/>
          <w:sz w:val="23"/>
          <w:szCs w:val="23"/>
          <w:u w:val="single"/>
        </w:rPr>
        <w:t>socialista</w:t>
      </w:r>
      <w:r w:rsidRPr="00FE522A">
        <w:rPr>
          <w:rFonts w:ascii="Arial" w:hAnsi="Arial" w:cs="Arial"/>
          <w:b/>
          <w:bCs/>
          <w:sz w:val="23"/>
          <w:szCs w:val="23"/>
          <w:u w:val="single"/>
        </w:rPr>
        <w:t xml:space="preserve"> per la modifica della Legge tributaria per assoggettare ad imposizione gli elementi riconducibili alle imprese, agli stabilimenti d’impresa e ai fondi siti all’estero delle persone fisiche e giuridiche</w:t>
      </w:r>
    </w:p>
    <w:p w:rsidR="006839C5" w:rsidRDefault="006839C5" w:rsidP="006839C5">
      <w:pPr>
        <w:shd w:val="clear" w:color="auto" w:fill="FFFFFF"/>
        <w:jc w:val="both"/>
        <w:rPr>
          <w:rFonts w:ascii="Arial" w:hAnsi="Arial" w:cs="Arial"/>
          <w:bCs/>
          <w:sz w:val="23"/>
          <w:szCs w:val="23"/>
        </w:rPr>
      </w:pPr>
    </w:p>
    <w:p w:rsidR="006839C5" w:rsidRPr="00FE522A" w:rsidRDefault="006839C5" w:rsidP="006839C5">
      <w:pPr>
        <w:shd w:val="clear" w:color="auto" w:fill="FFFFFF"/>
        <w:spacing w:before="120"/>
        <w:jc w:val="both"/>
        <w:rPr>
          <w:rFonts w:ascii="Arial" w:hAnsi="Arial" w:cs="Arial"/>
          <w:bCs/>
          <w:sz w:val="23"/>
          <w:szCs w:val="23"/>
        </w:rPr>
      </w:pPr>
      <w:r>
        <w:rPr>
          <w:rFonts w:ascii="Arial" w:hAnsi="Arial" w:cs="Arial"/>
          <w:bCs/>
          <w:sz w:val="23"/>
          <w:szCs w:val="23"/>
        </w:rPr>
        <w:t>del 19 settembre 2016</w:t>
      </w:r>
    </w:p>
    <w:p w:rsidR="006839C5" w:rsidRDefault="006839C5" w:rsidP="006839C5">
      <w:pPr>
        <w:shd w:val="clear" w:color="auto" w:fill="FFFFFF"/>
        <w:jc w:val="both"/>
        <w:rPr>
          <w:rFonts w:ascii="Arial" w:hAnsi="Arial" w:cs="Arial"/>
          <w:bCs/>
          <w:sz w:val="23"/>
          <w:szCs w:val="23"/>
        </w:rPr>
      </w:pPr>
    </w:p>
    <w:p w:rsidR="006839C5" w:rsidRDefault="006839C5" w:rsidP="006839C5">
      <w:pPr>
        <w:shd w:val="clear" w:color="auto" w:fill="FFFFFF"/>
        <w:jc w:val="both"/>
        <w:rPr>
          <w:rFonts w:ascii="Arial" w:hAnsi="Arial" w:cs="Arial"/>
          <w:bCs/>
          <w:sz w:val="23"/>
          <w:szCs w:val="23"/>
        </w:rPr>
      </w:pPr>
    </w:p>
    <w:p w:rsidR="006839C5" w:rsidRPr="00FE522A" w:rsidRDefault="006839C5" w:rsidP="006839C5">
      <w:pPr>
        <w:shd w:val="clear" w:color="auto" w:fill="FFFFFF"/>
        <w:spacing w:after="75"/>
        <w:jc w:val="both"/>
        <w:rPr>
          <w:rFonts w:ascii="Arial" w:hAnsi="Arial" w:cs="Arial"/>
          <w:bCs/>
          <w:sz w:val="23"/>
          <w:szCs w:val="23"/>
        </w:rPr>
      </w:pPr>
      <w:r w:rsidRPr="00FE522A">
        <w:rPr>
          <w:rFonts w:ascii="Arial" w:hAnsi="Arial" w:cs="Arial"/>
          <w:bCs/>
          <w:sz w:val="23"/>
          <w:szCs w:val="23"/>
        </w:rPr>
        <w:t xml:space="preserve">La Legge tributaria del Cantone Ticino prevede che la sostanza immobiliare e quella appartenente alle imprese e agli stabilimenti d’impresa situati all’estero, così come i loro redditi, non sono imponibili ai fini dell’imposta cantonale. Così è previsto sia per le persone fisiche (art. 5 cpv. 1 LT), sia per </w:t>
      </w:r>
      <w:r>
        <w:rPr>
          <w:rFonts w:ascii="Arial" w:hAnsi="Arial" w:cs="Arial"/>
          <w:bCs/>
          <w:sz w:val="23"/>
          <w:szCs w:val="23"/>
        </w:rPr>
        <w:t xml:space="preserve">le </w:t>
      </w:r>
      <w:r w:rsidRPr="00FE522A">
        <w:rPr>
          <w:rFonts w:ascii="Arial" w:hAnsi="Arial" w:cs="Arial"/>
          <w:bCs/>
          <w:sz w:val="23"/>
          <w:szCs w:val="23"/>
        </w:rPr>
        <w:t>persone giuridiche (art. 62 cpv. 1 LT).</w:t>
      </w:r>
    </w:p>
    <w:p w:rsidR="006839C5" w:rsidRPr="00FE522A" w:rsidRDefault="006839C5" w:rsidP="006839C5">
      <w:pPr>
        <w:shd w:val="clear" w:color="auto" w:fill="FFFFFF"/>
        <w:spacing w:after="75"/>
        <w:jc w:val="both"/>
        <w:rPr>
          <w:rFonts w:ascii="Arial" w:hAnsi="Arial" w:cs="Arial"/>
          <w:bCs/>
          <w:sz w:val="23"/>
          <w:szCs w:val="23"/>
        </w:rPr>
      </w:pPr>
      <w:r w:rsidRPr="00FE522A">
        <w:rPr>
          <w:rFonts w:ascii="Arial" w:hAnsi="Arial" w:cs="Arial"/>
          <w:bCs/>
          <w:sz w:val="23"/>
          <w:szCs w:val="23"/>
        </w:rPr>
        <w:t>Il Canton Ticino, come la stragrande maggioranza degli altri Cantoni, ha ripreso nella propria Legge tributaria le medesime disposizioni previste dalla Legge federale sull’imposta federale diretta (cfr. artt. 6 cpv. 1 e 52 cpv. 1 LIFD). In questo modo il legislatore cantonale, invece di seguire l’impostazione della LAID, legge alla quale è obbligato a conformarsi dal 1° gennaio 2001, ha adottato le norme di una legge (la LIFD) che non è applicabile alle legislazioni tributarie dei Cantoni. Infatti, l’impostazione della LAID, con riferimento all’esenzione o meno delle imprese, degli stabilimenti d’impresa e dei fondi siti all’estero, diverge completamente da quella della LIFD. Questo perché l’esenzione degli elementi sopra richiamati non è stabilita da alcuna norma.</w:t>
      </w:r>
    </w:p>
    <w:p w:rsidR="006839C5" w:rsidRPr="00FE522A" w:rsidRDefault="006839C5" w:rsidP="006839C5">
      <w:pPr>
        <w:shd w:val="clear" w:color="auto" w:fill="FFFFFF"/>
        <w:spacing w:after="100" w:afterAutospacing="1"/>
        <w:jc w:val="both"/>
        <w:rPr>
          <w:rFonts w:ascii="Arial" w:hAnsi="Arial" w:cs="Arial"/>
          <w:color w:val="000000"/>
          <w:sz w:val="23"/>
          <w:szCs w:val="23"/>
          <w:lang w:val="it-IT"/>
        </w:rPr>
      </w:pPr>
      <w:r w:rsidRPr="00FE522A">
        <w:rPr>
          <w:rFonts w:ascii="Arial" w:hAnsi="Arial" w:cs="Arial"/>
          <w:color w:val="000000"/>
          <w:sz w:val="23"/>
          <w:szCs w:val="23"/>
          <w:lang w:val="it-IT"/>
        </w:rPr>
        <w:t xml:space="preserve">Questi sono i risultati che emergono da un articolo scientifico di Marco Bernasconi/Samuele </w:t>
      </w:r>
      <w:proofErr w:type="spellStart"/>
      <w:r w:rsidRPr="00FE522A">
        <w:rPr>
          <w:rFonts w:ascii="Arial" w:hAnsi="Arial" w:cs="Arial"/>
          <w:color w:val="000000"/>
          <w:sz w:val="23"/>
          <w:szCs w:val="23"/>
          <w:lang w:val="it-IT"/>
        </w:rPr>
        <w:t>Vorpe</w:t>
      </w:r>
      <w:proofErr w:type="spellEnd"/>
      <w:r w:rsidRPr="00FE522A">
        <w:rPr>
          <w:rFonts w:ascii="Arial" w:hAnsi="Arial" w:cs="Arial"/>
          <w:color w:val="000000"/>
          <w:sz w:val="23"/>
          <w:szCs w:val="23"/>
          <w:lang w:val="it-IT"/>
        </w:rPr>
        <w:t xml:space="preserve">/Paolo </w:t>
      </w:r>
      <w:proofErr w:type="spellStart"/>
      <w:r w:rsidRPr="00FE522A">
        <w:rPr>
          <w:rFonts w:ascii="Arial" w:hAnsi="Arial" w:cs="Arial"/>
          <w:color w:val="000000"/>
          <w:sz w:val="23"/>
          <w:szCs w:val="23"/>
          <w:lang w:val="it-IT"/>
        </w:rPr>
        <w:t>Arginelli</w:t>
      </w:r>
      <w:proofErr w:type="spellEnd"/>
      <w:r w:rsidRPr="00FE522A">
        <w:rPr>
          <w:rFonts w:ascii="Arial" w:hAnsi="Arial" w:cs="Arial"/>
          <w:color w:val="000000"/>
          <w:sz w:val="23"/>
          <w:szCs w:val="23"/>
          <w:lang w:val="it-IT"/>
        </w:rPr>
        <w:t>, “L’esenzione delle imprese, degli immobili e degli stabilimenti d’impresa siti all’estero</w:t>
      </w:r>
      <w:r>
        <w:rPr>
          <w:rFonts w:ascii="Arial" w:hAnsi="Arial" w:cs="Arial"/>
          <w:color w:val="000000"/>
          <w:sz w:val="23"/>
          <w:szCs w:val="23"/>
          <w:lang w:val="it-IT"/>
        </w:rPr>
        <w:t>.</w:t>
      </w:r>
      <w:r w:rsidRPr="00FE522A">
        <w:rPr>
          <w:rFonts w:ascii="Arial" w:hAnsi="Arial" w:cs="Arial"/>
          <w:color w:val="000000"/>
          <w:sz w:val="23"/>
          <w:szCs w:val="23"/>
          <w:lang w:val="it-IT"/>
        </w:rPr>
        <w:t xml:space="preserve"> Il contrasto tra le norme della LIFD e quelle della LAID”, apparso nella Rivista ticinese di diritto (</w:t>
      </w:r>
      <w:proofErr w:type="spellStart"/>
      <w:r w:rsidRPr="00FE522A">
        <w:rPr>
          <w:rFonts w:ascii="Arial" w:hAnsi="Arial" w:cs="Arial"/>
          <w:color w:val="000000"/>
          <w:sz w:val="23"/>
          <w:szCs w:val="23"/>
          <w:lang w:val="it-IT"/>
        </w:rPr>
        <w:t>RtiD</w:t>
      </w:r>
      <w:proofErr w:type="spellEnd"/>
      <w:r w:rsidRPr="00FE522A">
        <w:rPr>
          <w:rFonts w:ascii="Arial" w:hAnsi="Arial" w:cs="Arial"/>
          <w:color w:val="000000"/>
          <w:sz w:val="23"/>
          <w:szCs w:val="23"/>
          <w:lang w:val="it-IT"/>
        </w:rPr>
        <w:t>) II-2014, a pagina 701 e seguenti.</w:t>
      </w:r>
    </w:p>
    <w:p w:rsidR="006839C5" w:rsidRPr="00FE522A" w:rsidRDefault="006839C5" w:rsidP="006839C5">
      <w:pPr>
        <w:shd w:val="clear" w:color="auto" w:fill="FFFFFF"/>
        <w:spacing w:after="100" w:afterAutospacing="1"/>
        <w:jc w:val="both"/>
        <w:rPr>
          <w:rFonts w:ascii="Arial" w:hAnsi="Arial" w:cs="Arial"/>
          <w:color w:val="000000"/>
          <w:sz w:val="23"/>
          <w:szCs w:val="23"/>
          <w:lang w:val="it-IT"/>
        </w:rPr>
      </w:pPr>
      <w:r w:rsidRPr="00FE522A">
        <w:rPr>
          <w:rFonts w:ascii="Arial" w:hAnsi="Arial" w:cs="Arial"/>
          <w:color w:val="000000"/>
          <w:sz w:val="23"/>
          <w:szCs w:val="23"/>
          <w:lang w:val="it-IT"/>
        </w:rPr>
        <w:t xml:space="preserve">Gli autori, in particolare, rilevano che (pag. 710) </w:t>
      </w:r>
      <w:r w:rsidRPr="00FF4B31">
        <w:rPr>
          <w:rFonts w:ascii="Arial" w:hAnsi="Arial" w:cs="Arial"/>
          <w:i/>
          <w:color w:val="000000"/>
          <w:sz w:val="23"/>
          <w:szCs w:val="23"/>
          <w:lang w:val="it-IT"/>
        </w:rPr>
        <w:t>“i</w:t>
      </w:r>
      <w:r w:rsidRPr="00FE522A">
        <w:rPr>
          <w:rFonts w:ascii="Arial" w:hAnsi="Arial" w:cs="Arial"/>
          <w:i/>
          <w:color w:val="000000"/>
          <w:sz w:val="23"/>
          <w:szCs w:val="23"/>
          <w:lang w:val="it-IT"/>
        </w:rPr>
        <w:t xml:space="preserve"> Cantoni, la cui legislazione deve essere conforme alla LAID, non hanno, in materia di esenzione, alcuna competenza. Questo poiché la LAID non consente altra esenzione, al di là di quelle stabilite dall’art. 7 cpv. 4. Si deve qui rilevare l’analogia con l’art. 9 cpv. 4 LAID, che non lascia alcuna competenza ai Cantoni di istituire altre deduzioni che non siano esplicitamente previste dai capoversi 1, 2 e 3 dell’art. 9 LAID. Anche se da un profilo del principio i Cantoni dovrebbero adeguare il loro sistema fiscale a quello della Confederazione (LIFD), per attuare il postulato dell’armonizzazione verticale, vi è da chiedersi se abbiano la facoltà di stabilire un’esenzione unilaterale degli elementi riferiti ad </w:t>
      </w:r>
      <w:proofErr w:type="spellStart"/>
      <w:r w:rsidRPr="00FE522A">
        <w:rPr>
          <w:rFonts w:ascii="Arial" w:hAnsi="Arial" w:cs="Arial"/>
          <w:i/>
          <w:color w:val="000000"/>
          <w:sz w:val="23"/>
          <w:szCs w:val="23"/>
          <w:lang w:val="it-IT"/>
        </w:rPr>
        <w:t>imprese,stabilimenti</w:t>
      </w:r>
      <w:proofErr w:type="spellEnd"/>
      <w:r w:rsidRPr="00FE522A">
        <w:rPr>
          <w:rFonts w:ascii="Arial" w:hAnsi="Arial" w:cs="Arial"/>
          <w:i/>
          <w:color w:val="000000"/>
          <w:sz w:val="23"/>
          <w:szCs w:val="23"/>
          <w:lang w:val="it-IT"/>
        </w:rPr>
        <w:t xml:space="preserve"> d’impresa e fondi siti all’estero. Ci si deve inoltre chiedere, se in assenza di una disposizione specifica nella LAID (a nostro giudizio solo in apparenza) i Cantoni possano prevedere un’esenzione di questi elementi.</w:t>
      </w:r>
      <w:r>
        <w:rPr>
          <w:rFonts w:ascii="Arial" w:hAnsi="Arial" w:cs="Arial"/>
          <w:i/>
          <w:color w:val="000000"/>
          <w:sz w:val="23"/>
          <w:szCs w:val="23"/>
          <w:lang w:val="it-IT"/>
        </w:rPr>
        <w:t xml:space="preserve"> </w:t>
      </w:r>
      <w:r w:rsidRPr="00FF4B31">
        <w:rPr>
          <w:rFonts w:ascii="Arial" w:hAnsi="Arial" w:cs="Arial"/>
          <w:color w:val="000000"/>
          <w:sz w:val="23"/>
          <w:szCs w:val="23"/>
          <w:lang w:val="it-IT"/>
        </w:rPr>
        <w:t>[…]</w:t>
      </w:r>
      <w:r w:rsidRPr="00FE522A">
        <w:rPr>
          <w:rFonts w:ascii="Arial" w:hAnsi="Arial" w:cs="Arial"/>
          <w:i/>
          <w:color w:val="000000"/>
          <w:sz w:val="23"/>
          <w:szCs w:val="23"/>
          <w:lang w:val="it-IT"/>
        </w:rPr>
        <w:t xml:space="preserve"> Per quanto sopra evidenziato, non ci sembra giuridicamente legittima una decisione dei Cantoni che preveda l’esenzione di questi elementi di reddito e di sostanza dalla loro base imponibile</w:t>
      </w:r>
      <w:r w:rsidRPr="00FF4B31">
        <w:rPr>
          <w:rFonts w:ascii="Arial" w:hAnsi="Arial" w:cs="Arial"/>
          <w:i/>
          <w:color w:val="000000"/>
          <w:sz w:val="23"/>
          <w:szCs w:val="23"/>
          <w:lang w:val="it-IT"/>
        </w:rPr>
        <w:t>.”</w:t>
      </w:r>
    </w:p>
    <w:p w:rsidR="006839C5" w:rsidRPr="00FE522A" w:rsidRDefault="006839C5" w:rsidP="006839C5">
      <w:pPr>
        <w:shd w:val="clear" w:color="auto" w:fill="FFFFFF"/>
        <w:spacing w:after="120"/>
        <w:jc w:val="both"/>
        <w:rPr>
          <w:rFonts w:ascii="Arial" w:hAnsi="Arial" w:cs="Arial"/>
          <w:color w:val="000000"/>
          <w:sz w:val="23"/>
          <w:szCs w:val="23"/>
          <w:lang w:val="it-IT"/>
        </w:rPr>
      </w:pPr>
      <w:r w:rsidRPr="00FE522A">
        <w:rPr>
          <w:rFonts w:ascii="Arial" w:hAnsi="Arial" w:cs="Arial"/>
          <w:color w:val="000000"/>
          <w:sz w:val="23"/>
          <w:szCs w:val="23"/>
          <w:lang w:val="it-IT"/>
        </w:rPr>
        <w:t>Eliminando l’esenzione cantonale di questi elementi situati all’estero, le conseguenze saranno le seguenti:</w:t>
      </w:r>
    </w:p>
    <w:p w:rsidR="006839C5" w:rsidRPr="00FE522A" w:rsidRDefault="006839C5" w:rsidP="006839C5">
      <w:pPr>
        <w:pStyle w:val="Paragrafoelenco"/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after="120"/>
        <w:ind w:left="284" w:hanging="284"/>
        <w:jc w:val="both"/>
        <w:rPr>
          <w:rFonts w:ascii="Arial" w:eastAsia="Times New Roman" w:hAnsi="Arial" w:cs="Arial"/>
          <w:color w:val="000000"/>
          <w:sz w:val="23"/>
          <w:szCs w:val="23"/>
          <w:lang w:val="it-IT"/>
        </w:rPr>
      </w:pPr>
      <w:r w:rsidRPr="00FE522A">
        <w:rPr>
          <w:rFonts w:ascii="Arial" w:eastAsia="Times New Roman" w:hAnsi="Arial" w:cs="Arial"/>
          <w:color w:val="000000"/>
          <w:sz w:val="23"/>
          <w:szCs w:val="23"/>
          <w:lang w:val="it-IT"/>
        </w:rPr>
        <w:t xml:space="preserve">con gli Stati con cui la Svizzera ha concluso una convenzione contro le doppie imposizioni (si veda: </w:t>
      </w:r>
      <w:hyperlink r:id="rId6" w:history="1">
        <w:r w:rsidRPr="00FE522A">
          <w:rPr>
            <w:rStyle w:val="Collegamentoipertestuale"/>
            <w:rFonts w:ascii="Arial" w:eastAsia="Times New Roman" w:hAnsi="Arial" w:cs="Arial"/>
            <w:sz w:val="20"/>
            <w:szCs w:val="20"/>
            <w:lang w:val="it-IT"/>
          </w:rPr>
          <w:t>https://www.sif.admin.ch/sif/it/home/themen/internationale-steuerpolitik/doppelbesteuerung-und-amtshilfe.html</w:t>
        </w:r>
      </w:hyperlink>
      <w:r w:rsidRPr="00FE522A">
        <w:rPr>
          <w:rFonts w:ascii="Arial" w:eastAsia="Times New Roman" w:hAnsi="Arial" w:cs="Arial"/>
          <w:color w:val="000000"/>
          <w:sz w:val="23"/>
          <w:szCs w:val="23"/>
          <w:lang w:val="it-IT"/>
        </w:rPr>
        <w:t>), la Svizzera concederà l’esenzione con riserva di progressione dell’aliquota. Di conseguenza il diritto cantonale verrà “neutralizzato” dal diritto internazionale superiore;</w:t>
      </w:r>
    </w:p>
    <w:p w:rsidR="006839C5" w:rsidRPr="00FE522A" w:rsidRDefault="006839C5" w:rsidP="006839C5">
      <w:pPr>
        <w:pStyle w:val="Paragrafoelenco"/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after="100" w:afterAutospacing="1"/>
        <w:ind w:left="284" w:hanging="284"/>
        <w:jc w:val="both"/>
        <w:rPr>
          <w:rFonts w:ascii="Arial" w:eastAsia="Times New Roman" w:hAnsi="Arial" w:cs="Arial"/>
          <w:color w:val="000000"/>
          <w:sz w:val="23"/>
          <w:szCs w:val="23"/>
          <w:lang w:val="it-IT"/>
        </w:rPr>
      </w:pPr>
      <w:r w:rsidRPr="00FE522A">
        <w:rPr>
          <w:rFonts w:ascii="Arial" w:eastAsia="Times New Roman" w:hAnsi="Arial" w:cs="Arial"/>
          <w:color w:val="000000"/>
          <w:sz w:val="23"/>
          <w:szCs w:val="23"/>
          <w:lang w:val="it-IT"/>
        </w:rPr>
        <w:t xml:space="preserve">con gli Stati con cui la Svizzera non ha concluso una convenzione contro le doppie imposizioni (Principato di Monaco, Isole Cayman, Virgin Island,…), il diritto cantonale potrà </w:t>
      </w:r>
      <w:r w:rsidRPr="00FE522A">
        <w:rPr>
          <w:rFonts w:ascii="Arial" w:eastAsia="Times New Roman" w:hAnsi="Arial" w:cs="Arial"/>
          <w:color w:val="000000"/>
          <w:sz w:val="23"/>
          <w:szCs w:val="23"/>
          <w:lang w:val="it-IT"/>
        </w:rPr>
        <w:lastRenderedPageBreak/>
        <w:t>assoggettare ad imposizione i redditi e l</w:t>
      </w:r>
      <w:r>
        <w:rPr>
          <w:rFonts w:ascii="Arial" w:eastAsia="Times New Roman" w:hAnsi="Arial" w:cs="Arial"/>
          <w:color w:val="000000"/>
          <w:sz w:val="23"/>
          <w:szCs w:val="23"/>
          <w:lang w:val="it-IT"/>
        </w:rPr>
        <w:t>a</w:t>
      </w:r>
      <w:r w:rsidRPr="00FE522A">
        <w:rPr>
          <w:rFonts w:ascii="Arial" w:eastAsia="Times New Roman" w:hAnsi="Arial" w:cs="Arial"/>
          <w:color w:val="000000"/>
          <w:sz w:val="23"/>
          <w:szCs w:val="23"/>
          <w:lang w:val="it-IT"/>
        </w:rPr>
        <w:t xml:space="preserve"> sostanza delle imprese, degli stabilimenti d’impresa degli immobili siti all’estero. In questo modo si eviterà una doppia non imposizione, poiché la maggior parte delle volte questi redditi e sostanza sfuggono ad una qualsiasi tassazione in quanto situati in “paradisi fiscali”.</w:t>
      </w:r>
    </w:p>
    <w:p w:rsidR="006839C5" w:rsidRDefault="006839C5" w:rsidP="006839C5">
      <w:pPr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  <w:lang w:val="it-IT"/>
        </w:rPr>
      </w:pPr>
      <w:r w:rsidRPr="00FE522A">
        <w:rPr>
          <w:rFonts w:ascii="Arial" w:hAnsi="Arial" w:cs="Arial"/>
          <w:color w:val="000000"/>
          <w:sz w:val="23"/>
          <w:szCs w:val="23"/>
          <w:lang w:val="it-IT"/>
        </w:rPr>
        <w:t xml:space="preserve">Al momento </w:t>
      </w:r>
      <w:proofErr w:type="spellStart"/>
      <w:r w:rsidRPr="00FE522A">
        <w:rPr>
          <w:rFonts w:ascii="Arial" w:hAnsi="Arial" w:cs="Arial"/>
          <w:color w:val="000000"/>
          <w:sz w:val="23"/>
          <w:szCs w:val="23"/>
          <w:lang w:val="it-IT"/>
        </w:rPr>
        <w:t>Turgovia</w:t>
      </w:r>
      <w:proofErr w:type="spellEnd"/>
      <w:r w:rsidRPr="00FE522A">
        <w:rPr>
          <w:rFonts w:ascii="Arial" w:hAnsi="Arial" w:cs="Arial"/>
          <w:color w:val="000000"/>
          <w:sz w:val="23"/>
          <w:szCs w:val="23"/>
          <w:lang w:val="it-IT"/>
        </w:rPr>
        <w:t xml:space="preserve"> e Grigioni hanno, correttamente, rinunciato ad una disposizione interna riguardante l’esenzione unilaterale (l’esenzione è concessa soltanto quando è applicabile una convenzione contro le doppie imposizioni). Altri ancora, come Lucerna, esentano gli stabilimenti d’impresa siti all’estero soltanto se questi sono tassati effettivamente nello Stato in cui esercitano l’attività d’impresa.</w:t>
      </w:r>
    </w:p>
    <w:p w:rsidR="006839C5" w:rsidRPr="00FE522A" w:rsidRDefault="006839C5" w:rsidP="006839C5">
      <w:pPr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  <w:lang w:val="it-IT"/>
        </w:rPr>
      </w:pPr>
    </w:p>
    <w:p w:rsidR="006839C5" w:rsidRPr="00FE522A" w:rsidRDefault="006839C5" w:rsidP="006839C5">
      <w:pPr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  <w:lang w:val="it-IT"/>
        </w:rPr>
      </w:pPr>
      <w:r w:rsidRPr="00FE522A">
        <w:rPr>
          <w:rFonts w:ascii="Arial" w:hAnsi="Arial" w:cs="Arial"/>
          <w:color w:val="000000"/>
          <w:sz w:val="23"/>
          <w:szCs w:val="23"/>
          <w:lang w:val="it-IT"/>
        </w:rPr>
        <w:t xml:space="preserve">Come evidenziato nelle conclusioni dagli autori </w:t>
      </w:r>
      <w:r w:rsidRPr="00FF4B31">
        <w:rPr>
          <w:rFonts w:ascii="Arial" w:hAnsi="Arial" w:cs="Arial"/>
          <w:i/>
          <w:color w:val="000000"/>
          <w:sz w:val="23"/>
          <w:szCs w:val="23"/>
          <w:lang w:val="it-IT"/>
        </w:rPr>
        <w:t>“</w:t>
      </w:r>
      <w:r w:rsidRPr="00FE522A">
        <w:rPr>
          <w:rFonts w:ascii="Arial" w:hAnsi="Arial" w:cs="Arial"/>
          <w:i/>
          <w:color w:val="000000"/>
          <w:sz w:val="23"/>
          <w:szCs w:val="23"/>
          <w:lang w:val="it-IT"/>
        </w:rPr>
        <w:t>La necessità di una modifica volta ad imporre gli elementi riferiti alle imprese, agli stabilimenti d’impresa e ai fondi siti all’estero, si propone oggi con urgenza anche in considerazione dello stato sempre più precario della finanza pubblica del Cantone Ticino e dei suoi Comuni. Non è giustificabile in un momento in cui si richiedono sacrifici finanziari a tutti i ceti della popolazione, anche a quelli più disagiati, che gli elementi situati all’estero e oggi oggetto di un’esenzione unilaterale possono continuare a beneficiare di un privilegio fiscale ingiustificato e non conforme al diritto federale superiore. Non possiamo concludere questo articolo senza rilevare che l’esenzione stabilita dalla LIFD è di per sé difficilmente giustificabile dal profilo equitativo e costituisce una concorrenza fiscale pregiudizievole nei confronti degli altri Stati</w:t>
      </w:r>
      <w:r w:rsidRPr="00E42FCA">
        <w:rPr>
          <w:rFonts w:ascii="Arial" w:hAnsi="Arial" w:cs="Arial"/>
          <w:i/>
          <w:color w:val="000000"/>
          <w:sz w:val="23"/>
          <w:szCs w:val="23"/>
          <w:lang w:val="it-IT"/>
        </w:rPr>
        <w:t>”.</w:t>
      </w:r>
    </w:p>
    <w:p w:rsidR="006839C5" w:rsidRDefault="006839C5" w:rsidP="006839C5">
      <w:pPr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  <w:lang w:val="it-IT"/>
        </w:rPr>
      </w:pPr>
    </w:p>
    <w:p w:rsidR="006839C5" w:rsidRPr="00FE522A" w:rsidRDefault="006839C5" w:rsidP="006839C5">
      <w:pPr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  <w:lang w:val="it-IT"/>
        </w:rPr>
      </w:pPr>
      <w:r w:rsidRPr="00FE522A">
        <w:rPr>
          <w:rFonts w:ascii="Arial" w:hAnsi="Arial" w:cs="Arial"/>
          <w:color w:val="000000"/>
          <w:sz w:val="23"/>
          <w:szCs w:val="23"/>
          <w:lang w:val="it-IT"/>
        </w:rPr>
        <w:t xml:space="preserve">Chiediamo quindi lo stralcio dell’esenzione degli elementi di reddito e di sostanza delle persone fisiche, </w:t>
      </w:r>
      <w:proofErr w:type="spellStart"/>
      <w:r w:rsidRPr="00FE522A">
        <w:rPr>
          <w:rFonts w:ascii="Arial" w:hAnsi="Arial" w:cs="Arial"/>
          <w:color w:val="000000"/>
          <w:sz w:val="23"/>
          <w:szCs w:val="23"/>
          <w:lang w:val="it-IT"/>
        </w:rPr>
        <w:t>risp</w:t>
      </w:r>
      <w:proofErr w:type="spellEnd"/>
      <w:r w:rsidRPr="00FE522A">
        <w:rPr>
          <w:rFonts w:ascii="Arial" w:hAnsi="Arial" w:cs="Arial"/>
          <w:color w:val="000000"/>
          <w:sz w:val="23"/>
          <w:szCs w:val="23"/>
          <w:lang w:val="it-IT"/>
        </w:rPr>
        <w:t>. di utile e di capitale delle persone giuridiche, riconducibili ad imprese, stabili</w:t>
      </w:r>
      <w:bookmarkStart w:id="0" w:name="_GoBack"/>
      <w:bookmarkEnd w:id="0"/>
      <w:r w:rsidRPr="00FE522A">
        <w:rPr>
          <w:rFonts w:ascii="Arial" w:hAnsi="Arial" w:cs="Arial"/>
          <w:color w:val="000000"/>
          <w:sz w:val="23"/>
          <w:szCs w:val="23"/>
          <w:lang w:val="it-IT"/>
        </w:rPr>
        <w:t>menti d’imprese ed immobili siti all’estero dalla Legge tributaria ticinese.</w:t>
      </w:r>
    </w:p>
    <w:p w:rsidR="006839C5" w:rsidRDefault="006839C5" w:rsidP="006839C5">
      <w:pPr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  <w:lang w:val="it-IT"/>
        </w:rPr>
      </w:pPr>
    </w:p>
    <w:p w:rsidR="006839C5" w:rsidRDefault="006839C5" w:rsidP="006839C5">
      <w:pPr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  <w:lang w:val="it-IT"/>
        </w:rPr>
      </w:pPr>
    </w:p>
    <w:p w:rsidR="006839C5" w:rsidRPr="00FE522A" w:rsidRDefault="006839C5" w:rsidP="006839C5">
      <w:pPr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  <w:lang w:val="it-IT"/>
        </w:rPr>
      </w:pPr>
      <w:r w:rsidRPr="00FE522A">
        <w:rPr>
          <w:rFonts w:ascii="Arial" w:hAnsi="Arial" w:cs="Arial"/>
          <w:color w:val="000000"/>
          <w:sz w:val="23"/>
          <w:szCs w:val="23"/>
          <w:lang w:val="it-IT"/>
        </w:rPr>
        <w:t xml:space="preserve">Per il </w:t>
      </w:r>
      <w:r>
        <w:rPr>
          <w:rFonts w:ascii="Arial" w:hAnsi="Arial" w:cs="Arial"/>
          <w:color w:val="000000"/>
          <w:sz w:val="23"/>
          <w:szCs w:val="23"/>
          <w:lang w:val="it-IT"/>
        </w:rPr>
        <w:t>G</w:t>
      </w:r>
      <w:r w:rsidRPr="00FE522A">
        <w:rPr>
          <w:rFonts w:ascii="Arial" w:hAnsi="Arial" w:cs="Arial"/>
          <w:color w:val="000000"/>
          <w:sz w:val="23"/>
          <w:szCs w:val="23"/>
          <w:lang w:val="it-IT"/>
        </w:rPr>
        <w:t>ruppo socialista</w:t>
      </w:r>
    </w:p>
    <w:p w:rsidR="006839C5" w:rsidRDefault="006839C5" w:rsidP="006839C5">
      <w:pPr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  <w:lang w:val="it-IT"/>
        </w:rPr>
      </w:pPr>
      <w:r w:rsidRPr="00FE522A">
        <w:rPr>
          <w:rFonts w:ascii="Arial" w:hAnsi="Arial" w:cs="Arial"/>
          <w:color w:val="000000"/>
          <w:sz w:val="23"/>
          <w:szCs w:val="23"/>
          <w:lang w:val="it-IT"/>
        </w:rPr>
        <w:t>Pelin Kandemir Bordoli</w:t>
      </w:r>
    </w:p>
    <w:p w:rsidR="00B511B4" w:rsidRDefault="006839C5" w:rsidP="006839C5">
      <w:pPr>
        <w:shd w:val="clear" w:color="auto" w:fill="FFFFFF"/>
        <w:jc w:val="both"/>
      </w:pPr>
      <w:r w:rsidRPr="00FE522A">
        <w:rPr>
          <w:rFonts w:ascii="Arial" w:hAnsi="Arial" w:cs="Arial"/>
          <w:color w:val="000000"/>
          <w:sz w:val="23"/>
          <w:szCs w:val="23"/>
          <w:lang w:val="it-IT"/>
        </w:rPr>
        <w:t>Garobbio</w:t>
      </w:r>
      <w:r>
        <w:rPr>
          <w:rFonts w:ascii="Arial" w:hAnsi="Arial" w:cs="Arial"/>
          <w:color w:val="000000"/>
          <w:sz w:val="23"/>
          <w:szCs w:val="23"/>
          <w:lang w:val="it-IT"/>
        </w:rPr>
        <w:t xml:space="preserve"> - </w:t>
      </w:r>
      <w:r w:rsidRPr="00FE522A">
        <w:rPr>
          <w:rFonts w:ascii="Arial" w:hAnsi="Arial" w:cs="Arial"/>
          <w:color w:val="000000"/>
          <w:sz w:val="23"/>
          <w:szCs w:val="23"/>
          <w:lang w:val="it-IT"/>
        </w:rPr>
        <w:t>Lepori</w:t>
      </w:r>
    </w:p>
    <w:sectPr w:rsidR="00B511B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00AB4"/>
    <w:multiLevelType w:val="hybridMultilevel"/>
    <w:tmpl w:val="2AA8E096"/>
    <w:lvl w:ilvl="0" w:tplc="1720A8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9C5"/>
    <w:rsid w:val="006839C5"/>
    <w:rsid w:val="00B51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6839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6839C5"/>
    <w:rPr>
      <w:rFonts w:eastAsia="Calibri"/>
    </w:rPr>
  </w:style>
  <w:style w:type="character" w:styleId="Collegamentoipertestuale">
    <w:name w:val="Hyperlink"/>
    <w:basedOn w:val="Carpredefinitoparagrafo"/>
    <w:uiPriority w:val="99"/>
    <w:unhideWhenUsed/>
    <w:rsid w:val="006839C5"/>
    <w:rPr>
      <w:strike w:val="0"/>
      <w:dstrike w:val="0"/>
      <w:color w:val="336699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6839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6839C5"/>
    <w:rPr>
      <w:rFonts w:eastAsia="Calibri"/>
    </w:rPr>
  </w:style>
  <w:style w:type="character" w:styleId="Collegamentoipertestuale">
    <w:name w:val="Hyperlink"/>
    <w:basedOn w:val="Carpredefinitoparagrafo"/>
    <w:uiPriority w:val="99"/>
    <w:unhideWhenUsed/>
    <w:rsid w:val="006839C5"/>
    <w:rPr>
      <w:strike w:val="0"/>
      <w:dstrike w:val="0"/>
      <w:color w:val="336699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if.admin.ch/sif/it/home/themen/internationale-steuerpolitik/doppelbesteuerung-und-amtshilfe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5806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1</cp:revision>
  <dcterms:created xsi:type="dcterms:W3CDTF">2016-09-27T07:46:00Z</dcterms:created>
  <dcterms:modified xsi:type="dcterms:W3CDTF">2016-09-27T07:48:00Z</dcterms:modified>
</cp:coreProperties>
</file>