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362" w:rsidRPr="008B6C5E" w:rsidRDefault="008A7362" w:rsidP="008A7362">
      <w:pPr>
        <w:rPr>
          <w:rFonts w:eastAsia="Calibri" w:cs="Arial"/>
          <w:b/>
          <w:sz w:val="28"/>
          <w:szCs w:val="28"/>
        </w:rPr>
      </w:pPr>
      <w:r w:rsidRPr="008B6C5E">
        <w:rPr>
          <w:rFonts w:eastAsia="Calibri" w:cs="Arial"/>
          <w:b/>
          <w:sz w:val="28"/>
          <w:szCs w:val="28"/>
        </w:rPr>
        <w:t>della Commissione gestione e finanze</w:t>
      </w:r>
    </w:p>
    <w:p w:rsidR="008A7362" w:rsidRPr="008B6C5E" w:rsidRDefault="008A7362" w:rsidP="008A7362">
      <w:pPr>
        <w:rPr>
          <w:rFonts w:eastAsia="Calibri" w:cs="Arial"/>
          <w:b/>
          <w:sz w:val="28"/>
          <w:szCs w:val="28"/>
        </w:rPr>
      </w:pPr>
      <w:r w:rsidRPr="008B6C5E">
        <w:rPr>
          <w:rFonts w:eastAsia="Calibri" w:cs="Arial"/>
          <w:b/>
          <w:sz w:val="28"/>
          <w:szCs w:val="28"/>
        </w:rPr>
        <w:t xml:space="preserve">sulla mozione </w:t>
      </w:r>
      <w:r>
        <w:rPr>
          <w:rFonts w:eastAsia="Calibri" w:cs="Arial"/>
          <w:b/>
          <w:sz w:val="28"/>
          <w:szCs w:val="28"/>
        </w:rPr>
        <w:t xml:space="preserve">19 febbraio </w:t>
      </w:r>
      <w:r w:rsidRPr="008B6C5E">
        <w:rPr>
          <w:rFonts w:eastAsia="Calibri" w:cs="Arial"/>
          <w:b/>
          <w:sz w:val="28"/>
          <w:szCs w:val="28"/>
        </w:rPr>
        <w:t xml:space="preserve">2018 </w:t>
      </w:r>
      <w:r>
        <w:rPr>
          <w:rFonts w:eastAsia="Calibri" w:cs="Arial"/>
          <w:b/>
          <w:sz w:val="28"/>
          <w:szCs w:val="28"/>
        </w:rPr>
        <w:t xml:space="preserve">presentata da Alex Farinelli per il Gruppo PLR (ripresa da Cristina Maderni) </w:t>
      </w:r>
      <w:r w:rsidRPr="008B6C5E">
        <w:rPr>
          <w:rFonts w:eastAsia="Calibri" w:cs="Arial"/>
          <w:b/>
          <w:sz w:val="28"/>
          <w:szCs w:val="28"/>
        </w:rPr>
        <w:t>“Per interessi passivi equi nei confronti dei cittadini”</w:t>
      </w:r>
    </w:p>
    <w:p w:rsidR="008A7362" w:rsidRPr="008B6C5E" w:rsidRDefault="008A7362" w:rsidP="008A7362">
      <w:pPr>
        <w:rPr>
          <w:rFonts w:eastAsia="Calibri" w:cs="Arial"/>
          <w:sz w:val="24"/>
          <w:szCs w:val="24"/>
        </w:rPr>
      </w:pPr>
      <w:bookmarkStart w:id="0" w:name="_GoBack"/>
      <w:bookmarkEnd w:id="0"/>
    </w:p>
    <w:p w:rsidR="008A7362" w:rsidRPr="008B6C5E" w:rsidRDefault="008A7362" w:rsidP="008A7362">
      <w:pPr>
        <w:rPr>
          <w:rFonts w:eastAsia="Calibri" w:cs="Arial"/>
          <w:sz w:val="24"/>
          <w:szCs w:val="24"/>
        </w:rPr>
      </w:pPr>
    </w:p>
    <w:p w:rsidR="008A7362" w:rsidRPr="008A7362" w:rsidRDefault="008A7362" w:rsidP="008A7362">
      <w:pPr>
        <w:spacing w:line="259" w:lineRule="auto"/>
        <w:rPr>
          <w:rFonts w:eastAsia="Times New Roman" w:cs="Arial"/>
          <w:sz w:val="24"/>
          <w:szCs w:val="24"/>
          <w:lang w:eastAsia="it-IT"/>
        </w:rPr>
      </w:pPr>
    </w:p>
    <w:p w:rsidR="008A7362" w:rsidRPr="008A7362" w:rsidRDefault="008A7362" w:rsidP="008A7362">
      <w:pPr>
        <w:pStyle w:val="Titolo1"/>
        <w:numPr>
          <w:ilvl w:val="0"/>
          <w:numId w:val="19"/>
        </w:numPr>
        <w:tabs>
          <w:tab w:val="left" w:pos="567"/>
        </w:tabs>
        <w:spacing w:before="0"/>
        <w:ind w:left="567" w:hanging="567"/>
        <w:jc w:val="both"/>
        <w:rPr>
          <w:rFonts w:eastAsia="Calibri" w:cs="Times New Roman"/>
          <w:caps/>
          <w:sz w:val="24"/>
          <w:szCs w:val="24"/>
          <w:lang w:val="it-IT" w:eastAsia="it-IT"/>
        </w:rPr>
      </w:pPr>
      <w:r w:rsidRPr="008A7362">
        <w:rPr>
          <w:rFonts w:eastAsia="Calibri" w:cs="Times New Roman"/>
          <w:caps/>
          <w:sz w:val="24"/>
          <w:szCs w:val="24"/>
          <w:lang w:val="it-IT" w:eastAsia="it-IT"/>
        </w:rPr>
        <w:t>Obiettivi della mozione</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La mozione presentata dal deputato Alex Farinelli a nome del Gruppo PLR solleva un tema di equità e trasparenza nel rapporto tra Stato e cittadino. In particolare, essa chiede che i tassi di interesse applicati in caso di ritardi o pagamenti rateali di imposte, contributi e tasse vengano armonizzati e ricondotti a livelli proporzionati rispetto alle condizioni di mercato.</w:t>
      </w:r>
    </w:p>
    <w:p w:rsidR="008A7362" w:rsidRPr="008A7362" w:rsidRDefault="008A7362" w:rsidP="008A7362">
      <w:pPr>
        <w:spacing w:line="259" w:lineRule="auto"/>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Il principio che anima la proposta è chiaro: se da un lato è giusto che chi adempie con puntualità non debba essere penalizzato, dall’altro non è ammissibile che l’ente pubblico si finanzi a condizioni sensibilmente più vantaggiose rispetto a quelle reali dei mercati, caricando sui cittadini un onere eccessivo.</w:t>
      </w:r>
    </w:p>
    <w:p w:rsidR="008A7362" w:rsidRPr="008A7362" w:rsidRDefault="008A7362" w:rsidP="008A7362">
      <w:pPr>
        <w:spacing w:line="259" w:lineRule="auto"/>
        <w:rPr>
          <w:rFonts w:eastAsia="Times New Roman" w:cs="Arial"/>
          <w:sz w:val="24"/>
          <w:szCs w:val="24"/>
          <w:lang w:eastAsia="it-IT"/>
        </w:rPr>
      </w:pPr>
    </w:p>
    <w:p w:rsidR="008A7362" w:rsidRPr="008A7362" w:rsidRDefault="008A7362" w:rsidP="008A7362">
      <w:pPr>
        <w:spacing w:line="259" w:lineRule="auto"/>
        <w:rPr>
          <w:rFonts w:eastAsia="Times New Roman" w:cs="Arial"/>
          <w:sz w:val="24"/>
          <w:szCs w:val="24"/>
          <w:lang w:eastAsia="it-IT"/>
        </w:rPr>
      </w:pPr>
    </w:p>
    <w:p w:rsidR="008A7362" w:rsidRPr="008A7362" w:rsidRDefault="008A7362" w:rsidP="008A7362">
      <w:pPr>
        <w:pStyle w:val="Titolo1"/>
        <w:numPr>
          <w:ilvl w:val="0"/>
          <w:numId w:val="19"/>
        </w:numPr>
        <w:tabs>
          <w:tab w:val="left" w:pos="567"/>
        </w:tabs>
        <w:spacing w:before="0"/>
        <w:ind w:left="567" w:hanging="567"/>
        <w:jc w:val="both"/>
        <w:rPr>
          <w:rFonts w:eastAsia="Calibri" w:cs="Times New Roman"/>
          <w:caps/>
          <w:sz w:val="24"/>
          <w:szCs w:val="24"/>
          <w:lang w:val="it-IT" w:eastAsia="it-IT"/>
        </w:rPr>
      </w:pPr>
      <w:r w:rsidRPr="008A7362">
        <w:rPr>
          <w:rFonts w:eastAsia="Calibri" w:cs="Times New Roman"/>
          <w:caps/>
          <w:sz w:val="24"/>
          <w:szCs w:val="24"/>
          <w:lang w:val="it-IT" w:eastAsia="it-IT"/>
        </w:rPr>
        <w:t>Analisi</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La legislazione cantonale prevede modalità diverse di calcolo degli interessi passivi. La Legge tributaria, ad esempio, attribuisce al Consiglio di Stato la facoltà di fissare annualmente il tasso di interesse. Al contrario, altre leggi settoriali – come la LALIA – stabiliscono nella norma stessa un tasso fisso (nel caso concreto, del 5% annuo con interesse composto), indipendente dal contesto economico.</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Questa disparità genera due effetti problematici:</w:t>
      </w:r>
    </w:p>
    <w:p w:rsidR="008A7362" w:rsidRPr="008A7362" w:rsidRDefault="008A7362" w:rsidP="008A7362">
      <w:pPr>
        <w:numPr>
          <w:ilvl w:val="0"/>
          <w:numId w:val="18"/>
        </w:numPr>
        <w:tabs>
          <w:tab w:val="clear" w:pos="720"/>
          <w:tab w:val="num" w:pos="284"/>
        </w:tabs>
        <w:spacing w:before="120"/>
        <w:ind w:left="284" w:hanging="284"/>
        <w:rPr>
          <w:rFonts w:eastAsia="Times New Roman" w:cs="Arial"/>
          <w:sz w:val="24"/>
          <w:szCs w:val="24"/>
          <w:lang w:eastAsia="it-IT"/>
        </w:rPr>
      </w:pPr>
      <w:r w:rsidRPr="008A7362">
        <w:rPr>
          <w:rFonts w:eastAsia="Times New Roman" w:cs="Arial"/>
          <w:b/>
          <w:bCs/>
          <w:sz w:val="24"/>
          <w:szCs w:val="24"/>
          <w:lang w:eastAsia="it-IT"/>
        </w:rPr>
        <w:t>Un’iniquità tra cittadini</w:t>
      </w:r>
      <w:r w:rsidRPr="008A7362">
        <w:rPr>
          <w:rFonts w:eastAsia="Times New Roman" w:cs="Arial"/>
          <w:sz w:val="24"/>
          <w:szCs w:val="24"/>
          <w:lang w:eastAsia="it-IT"/>
        </w:rPr>
        <w:t>: chi si trova soggetto a interessi fissi e composti paga, di fatto, un importo sproporzionato rispetto a chi è soggetto a interessi variabili e calibrati sul mercato.</w:t>
      </w:r>
    </w:p>
    <w:p w:rsidR="008A7362" w:rsidRPr="008A7362" w:rsidRDefault="008A7362" w:rsidP="008A7362">
      <w:pPr>
        <w:numPr>
          <w:ilvl w:val="0"/>
          <w:numId w:val="18"/>
        </w:numPr>
        <w:tabs>
          <w:tab w:val="clear" w:pos="720"/>
          <w:tab w:val="num" w:pos="284"/>
        </w:tabs>
        <w:spacing w:before="120"/>
        <w:ind w:left="284" w:hanging="284"/>
        <w:rPr>
          <w:rFonts w:eastAsia="Times New Roman" w:cs="Arial"/>
          <w:sz w:val="24"/>
          <w:szCs w:val="24"/>
          <w:lang w:eastAsia="it-IT"/>
        </w:rPr>
      </w:pPr>
      <w:r w:rsidRPr="008A7362">
        <w:rPr>
          <w:rFonts w:eastAsia="Times New Roman" w:cs="Arial"/>
          <w:b/>
          <w:bCs/>
          <w:sz w:val="24"/>
          <w:szCs w:val="24"/>
          <w:lang w:eastAsia="it-IT"/>
        </w:rPr>
        <w:t>Un disallineamento con la realtà economica</w:t>
      </w:r>
      <w:r w:rsidRPr="008A7362">
        <w:rPr>
          <w:rFonts w:eastAsia="Times New Roman" w:cs="Arial"/>
          <w:sz w:val="24"/>
          <w:szCs w:val="24"/>
          <w:lang w:eastAsia="it-IT"/>
        </w:rPr>
        <w:t>: negli ultimi anni gli enti pubblici hanno potuto finanziarsi a lungo termine a condizioni molto più favorevoli (talvolta addirittura prossime allo zero), mentre ai contribuenti è stato imposto un onere fino al 20% del capitale dovuto su dieci anni.</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Ciò rappresenta un’anomalia: lo Stato non deve lucrare sull’adempimento fiscale dei cittadini, bensì garantire condizioni trasparenti, proporzionate e concorrenziali.</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br w:type="page"/>
      </w:r>
    </w:p>
    <w:p w:rsidR="008A7362" w:rsidRPr="008A7362" w:rsidRDefault="008A7362" w:rsidP="008A7362">
      <w:pPr>
        <w:pStyle w:val="Titolo1"/>
        <w:numPr>
          <w:ilvl w:val="0"/>
          <w:numId w:val="19"/>
        </w:numPr>
        <w:tabs>
          <w:tab w:val="left" w:pos="567"/>
        </w:tabs>
        <w:spacing w:before="0"/>
        <w:ind w:left="567" w:hanging="567"/>
        <w:jc w:val="both"/>
        <w:rPr>
          <w:rFonts w:eastAsia="Calibri" w:cs="Times New Roman"/>
          <w:caps/>
          <w:sz w:val="24"/>
          <w:szCs w:val="24"/>
          <w:lang w:val="it-IT" w:eastAsia="it-IT"/>
        </w:rPr>
      </w:pPr>
      <w:r w:rsidRPr="008A7362">
        <w:rPr>
          <w:rFonts w:eastAsia="Calibri" w:cs="Times New Roman"/>
          <w:caps/>
          <w:sz w:val="24"/>
          <w:szCs w:val="24"/>
          <w:lang w:val="it-IT" w:eastAsia="it-IT"/>
        </w:rPr>
        <w:lastRenderedPageBreak/>
        <w:t>Valutazione della Commissione della gestione e delle finanze</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Uno Stato vicino al cittadino non determina condizioni penalizzanti. L’applicazione di interessi passivi manifestamente eccessivi mina la fiducia nel rapporto fra istituzioni e popolazione e contraddice i principi di equità che devono guidare l’azione pubblica.</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Questa mozione non mette in discussione il dovere di adempiere agli obblighi fiscali e contributivi, né il principio di responsabilità individuale. Essa promuove piuttosto una giustizia di fondo, che assicuri un trattamento coerente e proporzionato per tutti, rafforzando il senso di equità.</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Va da sé che la nuova determinazione degli interessi passivi non potrà recar danno o penalizzare lo Stato.</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p>
    <w:p w:rsidR="008A7362" w:rsidRPr="008A7362" w:rsidRDefault="008A7362" w:rsidP="008A7362">
      <w:pPr>
        <w:pStyle w:val="Titolo1"/>
        <w:numPr>
          <w:ilvl w:val="0"/>
          <w:numId w:val="19"/>
        </w:numPr>
        <w:tabs>
          <w:tab w:val="left" w:pos="567"/>
        </w:tabs>
        <w:spacing w:before="0"/>
        <w:ind w:left="567" w:hanging="567"/>
        <w:jc w:val="both"/>
        <w:rPr>
          <w:rFonts w:eastAsia="Calibri" w:cs="Times New Roman"/>
          <w:caps/>
          <w:sz w:val="24"/>
          <w:szCs w:val="24"/>
          <w:lang w:val="it-IT" w:eastAsia="it-IT"/>
        </w:rPr>
      </w:pPr>
      <w:r w:rsidRPr="008A7362">
        <w:rPr>
          <w:rFonts w:eastAsia="Calibri" w:cs="Times New Roman"/>
          <w:caps/>
          <w:sz w:val="24"/>
          <w:szCs w:val="24"/>
          <w:lang w:val="it-IT" w:eastAsia="it-IT"/>
        </w:rPr>
        <w:t xml:space="preserve">Conclusione </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 xml:space="preserve">La Commissione gestione e finanze ritiene la mozione ragionevole e invita il Gran Consiglio ad accoglierla. Si invita dunque il Consiglio di Stato a procedere con una revisione delle leggi settoriali interessate, affinché i tassi di interesse passivi applicati ai cittadini siano periodicamente rivalutati e ricondotti a livelli in linea con le condizioni di mercato, evitando distorsioni e sproporzioni. Ad ogni modo, visto che potenzialmente i tassi di mercato possono divenire negativi e per evitare un disincentivo al pagamento entro i termini ordinari stabiliti, la Commissione ritiene di fissare una soglia minima degli interessi passivi pari all’1%. </w:t>
      </w:r>
    </w:p>
    <w:p w:rsidR="008A7362" w:rsidRPr="008A7362" w:rsidRDefault="008A7362" w:rsidP="008A7362">
      <w:pPr>
        <w:rPr>
          <w:rFonts w:eastAsia="Times New Roman" w:cs="Arial"/>
          <w:sz w:val="24"/>
          <w:szCs w:val="24"/>
          <w:lang w:eastAsia="it-IT"/>
        </w:rPr>
      </w:pPr>
    </w:p>
    <w:p w:rsidR="008A7362" w:rsidRPr="008A7362" w:rsidRDefault="008A7362" w:rsidP="008A7362">
      <w:pPr>
        <w:rPr>
          <w:rFonts w:eastAsia="Times New Roman" w:cs="Arial"/>
          <w:sz w:val="24"/>
          <w:szCs w:val="24"/>
          <w:lang w:eastAsia="it-IT"/>
        </w:rPr>
      </w:pPr>
    </w:p>
    <w:p w:rsidR="008A7362" w:rsidRPr="008A7362" w:rsidRDefault="008A7362" w:rsidP="008A7362">
      <w:pPr>
        <w:spacing w:after="120"/>
        <w:rPr>
          <w:rFonts w:eastAsia="Times New Roman" w:cs="Arial"/>
          <w:sz w:val="24"/>
          <w:szCs w:val="24"/>
          <w:lang w:eastAsia="it-IT"/>
        </w:rPr>
      </w:pPr>
      <w:r w:rsidRPr="008A7362">
        <w:rPr>
          <w:rFonts w:eastAsia="Times New Roman" w:cs="Arial"/>
          <w:sz w:val="24"/>
          <w:szCs w:val="24"/>
          <w:lang w:eastAsia="it-IT"/>
        </w:rPr>
        <w:t>Per la Commissione gestione e finanze</w:t>
      </w:r>
      <w:r>
        <w:rPr>
          <w:rFonts w:eastAsia="Times New Roman" w:cs="Arial"/>
          <w:sz w:val="24"/>
          <w:szCs w:val="24"/>
          <w:lang w:eastAsia="it-IT"/>
        </w:rPr>
        <w:t>:</w:t>
      </w:r>
    </w:p>
    <w:p w:rsidR="008A7362" w:rsidRPr="008A7362" w:rsidRDefault="008A7362" w:rsidP="008A7362">
      <w:pPr>
        <w:rPr>
          <w:rFonts w:eastAsia="Times New Roman" w:cs="Arial"/>
          <w:sz w:val="24"/>
          <w:szCs w:val="24"/>
          <w:lang w:eastAsia="it-IT"/>
        </w:rPr>
      </w:pPr>
      <w:r w:rsidRPr="008A7362">
        <w:rPr>
          <w:rFonts w:eastAsia="Times New Roman" w:cs="Arial"/>
          <w:sz w:val="24"/>
          <w:szCs w:val="24"/>
          <w:lang w:eastAsia="it-IT"/>
        </w:rPr>
        <w:t>Alessandro Speziali</w:t>
      </w:r>
      <w:r>
        <w:rPr>
          <w:rFonts w:eastAsia="Times New Roman" w:cs="Arial"/>
          <w:sz w:val="24"/>
          <w:szCs w:val="24"/>
          <w:lang w:eastAsia="it-IT"/>
        </w:rPr>
        <w:t>, relatore</w:t>
      </w:r>
    </w:p>
    <w:p w:rsidR="001F6DCA" w:rsidRDefault="001F6DCA" w:rsidP="008A7362">
      <w:pPr>
        <w:rPr>
          <w:rFonts w:eastAsia="Times New Roman" w:cs="Arial"/>
          <w:sz w:val="24"/>
          <w:szCs w:val="24"/>
          <w:lang w:eastAsia="it-IT"/>
        </w:rPr>
      </w:pPr>
      <w:r>
        <w:rPr>
          <w:rFonts w:eastAsia="Times New Roman" w:cs="Arial"/>
          <w:sz w:val="24"/>
          <w:szCs w:val="24"/>
          <w:lang w:eastAsia="it-IT"/>
        </w:rPr>
        <w:t xml:space="preserve">Agustoni - Bignasca (con riserva) - Bourgoin - Caroni </w:t>
      </w:r>
      <w:r w:rsidR="00E413C6">
        <w:rPr>
          <w:rFonts w:eastAsia="Times New Roman" w:cs="Arial"/>
          <w:sz w:val="24"/>
          <w:szCs w:val="24"/>
          <w:lang w:eastAsia="it-IT"/>
        </w:rPr>
        <w:t>-</w:t>
      </w:r>
      <w:r>
        <w:rPr>
          <w:rFonts w:eastAsia="Times New Roman" w:cs="Arial"/>
          <w:sz w:val="24"/>
          <w:szCs w:val="24"/>
          <w:lang w:eastAsia="it-IT"/>
        </w:rPr>
        <w:t xml:space="preserve"> </w:t>
      </w:r>
    </w:p>
    <w:p w:rsidR="001F6DCA" w:rsidRDefault="001F6DCA" w:rsidP="008A7362">
      <w:pPr>
        <w:rPr>
          <w:rFonts w:eastAsia="Times New Roman" w:cs="Arial"/>
          <w:sz w:val="24"/>
          <w:szCs w:val="24"/>
          <w:lang w:eastAsia="it-IT"/>
        </w:rPr>
      </w:pPr>
      <w:r>
        <w:rPr>
          <w:rFonts w:eastAsia="Times New Roman" w:cs="Arial"/>
          <w:sz w:val="24"/>
          <w:szCs w:val="24"/>
          <w:lang w:eastAsia="it-IT"/>
        </w:rPr>
        <w:t xml:space="preserve">Dadò - Ferrara - Galeazzi - Gendotti - Gianella Alessandra - </w:t>
      </w:r>
    </w:p>
    <w:p w:rsidR="001F6DCA" w:rsidRDefault="001F6DCA" w:rsidP="008A7362">
      <w:pPr>
        <w:rPr>
          <w:rFonts w:eastAsia="Times New Roman" w:cs="Arial"/>
          <w:sz w:val="24"/>
          <w:szCs w:val="24"/>
          <w:lang w:eastAsia="it-IT"/>
        </w:rPr>
      </w:pPr>
      <w:r>
        <w:rPr>
          <w:rFonts w:eastAsia="Times New Roman" w:cs="Arial"/>
          <w:sz w:val="24"/>
          <w:szCs w:val="24"/>
          <w:lang w:eastAsia="it-IT"/>
        </w:rPr>
        <w:t xml:space="preserve">Guerra (con riserva) - Piccaluga (con riserva) - </w:t>
      </w:r>
    </w:p>
    <w:p w:rsidR="008A7362" w:rsidRPr="008A7362" w:rsidRDefault="001F6DCA" w:rsidP="008A7362">
      <w:pPr>
        <w:rPr>
          <w:rFonts w:eastAsia="Times New Roman" w:cs="Arial"/>
          <w:sz w:val="24"/>
          <w:szCs w:val="24"/>
          <w:lang w:eastAsia="it-IT"/>
        </w:rPr>
      </w:pPr>
      <w:r>
        <w:rPr>
          <w:rFonts w:eastAsia="Times New Roman" w:cs="Arial"/>
          <w:sz w:val="24"/>
          <w:szCs w:val="24"/>
          <w:lang w:eastAsia="it-IT"/>
        </w:rPr>
        <w:t xml:space="preserve">Renzetti - Sirica - </w:t>
      </w:r>
      <w:r w:rsidR="008A7362" w:rsidRPr="008A7362">
        <w:rPr>
          <w:rFonts w:eastAsia="Times New Roman" w:cs="Arial"/>
          <w:sz w:val="24"/>
          <w:szCs w:val="24"/>
          <w:lang w:eastAsia="it-IT"/>
        </w:rPr>
        <w:t>Soldati (con riserva)</w:t>
      </w:r>
    </w:p>
    <w:p w:rsidR="008F52AF" w:rsidRPr="008A7362" w:rsidRDefault="008F52AF" w:rsidP="008A7362">
      <w:pPr>
        <w:pStyle w:val="StandardRisoluzionedelConsigliodiStato"/>
        <w:ind w:right="-1"/>
        <w:rPr>
          <w:szCs w:val="24"/>
        </w:rPr>
      </w:pPr>
    </w:p>
    <w:p w:rsidR="00D649A8" w:rsidRPr="008A7362" w:rsidRDefault="00D649A8" w:rsidP="008A7362">
      <w:pPr>
        <w:pStyle w:val="StandardRisoluzionedelConsigliodiStato"/>
        <w:ind w:right="-1"/>
      </w:pPr>
    </w:p>
    <w:p w:rsidR="00D649A8" w:rsidRPr="008A7362" w:rsidRDefault="00D649A8" w:rsidP="008A7362">
      <w:pPr>
        <w:pStyle w:val="StandardRisoluzionedelConsigliodiStato"/>
        <w:ind w:right="-1"/>
      </w:pPr>
    </w:p>
    <w:sectPr w:rsidR="00D649A8" w:rsidRPr="008A7362"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362" w:rsidRDefault="008A7362" w:rsidP="00F657BF">
      <w:r>
        <w:separator/>
      </w:r>
    </w:p>
  </w:endnote>
  <w:endnote w:type="continuationSeparator" w:id="0">
    <w:p w:rsidR="008A7362" w:rsidRDefault="008A736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82FC9" w:rsidP="00912E34">
          <w:pPr>
            <w:tabs>
              <w:tab w:val="center" w:pos="2382"/>
            </w:tabs>
          </w:pPr>
        </w:p>
      </w:tc>
      <w:tc>
        <w:tcPr>
          <w:tcW w:w="721" w:type="dxa"/>
        </w:tcPr>
        <w:p w:rsidR="00912E34" w:rsidRPr="003D1008" w:rsidRDefault="00E17B64"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17B64"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82FC9"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82FC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362" w:rsidRDefault="008A7362" w:rsidP="00F657BF">
      <w:r>
        <w:separator/>
      </w:r>
    </w:p>
  </w:footnote>
  <w:footnote w:type="continuationSeparator" w:id="0">
    <w:p w:rsidR="008A7362" w:rsidRDefault="008A736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482FC9"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A76C1C9-85C5-4509-AC87-CAB0D4A72407}"/>
              <w:text w:multiLine="1"/>
            </w:sdtPr>
            <w:sdtEndPr/>
            <w:sdtContent>
              <w:r w:rsidR="00E17B64">
                <w:rPr>
                  <w:rFonts w:ascii="Gill Alt One MT Light" w:hAnsi="Gill Alt One MT Light"/>
                  <w:sz w:val="16"/>
                  <w:szCs w:val="16"/>
                </w:rPr>
                <w:t>Repubblica e Cantone Ticino</w:t>
              </w:r>
            </w:sdtContent>
          </w:sdt>
        </w:p>
        <w:p w:rsidR="005012EC" w:rsidRPr="00E8185F" w:rsidRDefault="00482FC9"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A76C1C9-85C5-4509-AC87-CAB0D4A72407}"/>
              <w:text w:multiLine="1"/>
            </w:sdtPr>
            <w:sdtEndPr/>
            <w:sdtContent>
              <w:r w:rsidR="00C46688">
                <w:rPr>
                  <w:rFonts w:ascii="Gill Alt One MT Light" w:hAnsi="Gill Alt One MT Light"/>
                  <w:sz w:val="16"/>
                  <w:szCs w:val="16"/>
                </w:rPr>
                <w:t>Cancelleria dello Stato</w:t>
              </w:r>
            </w:sdtContent>
          </w:sdt>
        </w:p>
      </w:tc>
      <w:tc>
        <w:tcPr>
          <w:tcW w:w="1710" w:type="dxa"/>
          <w:tcBorders>
            <w:bottom w:val="single" w:sz="4" w:space="0" w:color="auto"/>
          </w:tcBorders>
          <w:vAlign w:val="bottom"/>
        </w:tcPr>
        <w:p w:rsidR="005012EC" w:rsidRPr="004204CB" w:rsidRDefault="00E17B6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D48E0">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D48E0">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A76C1C9-85C5-4509-AC87-CAB0D4A72407}"/>
          <w:text w:multiLine="1"/>
        </w:sdtPr>
        <w:sdtEndPr/>
        <w:sdtContent>
          <w:tc>
            <w:tcPr>
              <w:tcW w:w="8383" w:type="dxa"/>
              <w:tcBorders>
                <w:left w:val="single" w:sz="4" w:space="0" w:color="auto"/>
              </w:tcBorders>
              <w:tcMar>
                <w:top w:w="0" w:type="dxa"/>
                <w:left w:w="142" w:type="dxa"/>
              </w:tcMar>
            </w:tcPr>
            <w:p w:rsidR="005012EC" w:rsidRPr="00E8185F" w:rsidRDefault="00C4668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30 settembre 2025</w:t>
              </w:r>
            </w:p>
          </w:tc>
        </w:sdtContent>
      </w:sdt>
      <w:tc>
        <w:tcPr>
          <w:tcW w:w="1710" w:type="dxa"/>
          <w:tcBorders>
            <w:top w:val="single" w:sz="4" w:space="0" w:color="auto"/>
          </w:tcBorders>
        </w:tcPr>
        <w:p w:rsidR="005012EC" w:rsidRPr="00E043A3" w:rsidRDefault="00482FC9" w:rsidP="00662409">
          <w:pPr>
            <w:pStyle w:val="InvisibleLine"/>
            <w:rPr>
              <w:lang w:val="de-DE"/>
            </w:rPr>
          </w:pPr>
        </w:p>
      </w:tc>
    </w:tr>
  </w:tbl>
  <w:p w:rsidR="00F657BF" w:rsidRPr="00980362" w:rsidRDefault="00E17B64"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A76C1C9-85C5-4509-AC87-CAB0D4A72407}"/>
                            <w:text w:multiLine="1"/>
                          </w:sdtPr>
                          <w:sdtEndPr/>
                          <w:sdtContent>
                            <w:p w:rsidR="008065E8" w:rsidRPr="00411371" w:rsidRDefault="00E17B6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3CE04CC-46F5-4209-8FBC-32AEB36FEE89}"/>
                      <w:text w:multiLine="1"/>
                    </w:sdtPr>
                    <w:sdtEndPr/>
                    <w:sdtContent>
                      <w:p w:rsidR="008065E8" w:rsidRPr="00411371" w:rsidRDefault="00E17B6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482FC9" w:rsidP="00932E26">
          <w:pPr>
            <w:pStyle w:val="InvisibleLine"/>
            <w:spacing w:line="240" w:lineRule="auto"/>
            <w:ind w:left="15"/>
            <w:rPr>
              <w:rFonts w:ascii="Gill Alt One MT Light" w:hAnsi="Gill Alt One MT Light"/>
              <w:sz w:val="16"/>
              <w:lang w:val="it-CH"/>
            </w:rPr>
          </w:pPr>
        </w:p>
        <w:p w:rsidR="00CD5F73" w:rsidRDefault="00E17B6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482FC9"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482FC9" w:rsidP="00D07D6E">
          <w:pPr>
            <w:pStyle w:val="Level"/>
            <w:ind w:left="150"/>
            <w:rPr>
              <w:sz w:val="16"/>
            </w:rPr>
          </w:pPr>
        </w:p>
      </w:tc>
      <w:tc>
        <w:tcPr>
          <w:tcW w:w="209" w:type="pct"/>
          <w:tcBorders>
            <w:top w:val="nil"/>
            <w:bottom w:val="single" w:sz="4" w:space="0" w:color="auto"/>
          </w:tcBorders>
        </w:tcPr>
        <w:p w:rsidR="00662409" w:rsidRDefault="00E17B64"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42696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17B6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D48E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D48E0">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A76C1C9-85C5-4509-AC87-CAB0D4A72407}"/>
          <w:text w:multiLine="1"/>
        </w:sdtPr>
        <w:sdtEndPr/>
        <w:sdtContent>
          <w:tc>
            <w:tcPr>
              <w:tcW w:w="5000" w:type="pct"/>
              <w:gridSpan w:val="6"/>
              <w:tcBorders>
                <w:left w:val="nil"/>
                <w:right w:val="nil"/>
              </w:tcBorders>
              <w:noWrap/>
              <w:tcMar>
                <w:top w:w="0" w:type="dxa"/>
              </w:tcMar>
              <w:vAlign w:val="bottom"/>
            </w:tcPr>
            <w:p w:rsidR="00662409" w:rsidRPr="008C03B5" w:rsidRDefault="00C4668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17B6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82FC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17B6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82FC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17B6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82FC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82FC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A76C1C9-85C5-4509-AC87-CAB0D4A72407}"/>
              <w:text w:multiLine="1"/>
            </w:sdtPr>
            <w:sdtEndPr/>
            <w:sdtContent>
              <w:r w:rsidR="00E17B64" w:rsidRPr="00BE22A2">
                <w:rPr>
                  <w:rFonts w:cstheme="minorHAnsi"/>
                  <w:b/>
                  <w:sz w:val="24"/>
                  <w:szCs w:val="24"/>
                </w:rPr>
                <w:t xml:space="preserve"> </w:t>
              </w:r>
            </w:sdtContent>
          </w:sdt>
        </w:p>
      </w:tc>
      <w:sdt>
        <w:sdtPr>
          <w:rPr>
            <w:sz w:val="24"/>
          </w:rPr>
          <w:alias w:val="DocParam.Date"/>
          <w:id w:val="-464426178"/>
          <w:dataBinding w:xpath="//DateTime[@id='DocParam.Date']" w:storeItemID="{3A76C1C9-85C5-4509-AC87-CAB0D4A72407}"/>
          <w:date w:fullDate="2025-09-3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C46688" w:rsidP="00A532F6">
              <w:pPr>
                <w:pStyle w:val="Data"/>
              </w:pPr>
              <w:r>
                <w:rPr>
                  <w:sz w:val="24"/>
                </w:rPr>
                <w:t>30 settembre 2025</w:t>
              </w:r>
            </w:p>
          </w:tc>
        </w:sdtContent>
      </w:sdt>
      <w:tc>
        <w:tcPr>
          <w:tcW w:w="3218" w:type="pct"/>
          <w:gridSpan w:val="4"/>
          <w:tcBorders>
            <w:top w:val="nil"/>
            <w:left w:val="nil"/>
            <w:bottom w:val="nil"/>
            <w:right w:val="nil"/>
          </w:tcBorders>
        </w:tcPr>
        <w:p w:rsidR="008C03B5" w:rsidRPr="00BE22A2" w:rsidRDefault="00482FC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A76C1C9-85C5-4509-AC87-CAB0D4A72407}"/>
              <w:text w:multiLine="1"/>
            </w:sdtPr>
            <w:sdtEndPr/>
            <w:sdtContent>
              <w:r w:rsidR="00C46688">
                <w:rPr>
                  <w:smallCaps/>
                  <w:sz w:val="23"/>
                  <w:szCs w:val="23"/>
                </w:rPr>
                <w:t>Cancelleria dello Stato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82FC9" w:rsidP="00D07D6E">
          <w:pPr>
            <w:pStyle w:val="Level"/>
            <w:ind w:left="150"/>
            <w:rPr>
              <w:rFonts w:ascii="Gill Alt One MT Light" w:hAnsi="Gill Alt One MT Light"/>
              <w:sz w:val="16"/>
              <w:szCs w:val="16"/>
            </w:rPr>
          </w:pPr>
        </w:p>
      </w:tc>
    </w:tr>
  </w:tbl>
  <w:p w:rsidR="00F657BF" w:rsidRPr="00DA2879" w:rsidRDefault="00E17B64"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9347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A76C1C9-85C5-4509-AC87-CAB0D4A72407}"/>
                            <w:text w:multiLine="1"/>
                          </w:sdtPr>
                          <w:sdtEndPr/>
                          <w:sdtContent>
                            <w:p w:rsidR="00E93620" w:rsidRPr="00411371" w:rsidRDefault="00E17B6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3CE04CC-46F5-4209-8FBC-32AEB36FEE89}"/>
                      <w:text w:multiLine="1"/>
                    </w:sdtPr>
                    <w:sdtEndPr/>
                    <w:sdtContent>
                      <w:p w:rsidR="00E93620" w:rsidRPr="00411371" w:rsidRDefault="00E17B6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4B922CA"/>
    <w:multiLevelType w:val="multilevel"/>
    <w:tmpl w:val="C03A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3381DD2"/>
    <w:multiLevelType w:val="hybridMultilevel"/>
    <w:tmpl w:val="2CEA83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2"/>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362"/>
    <w:rsid w:val="001F6DCA"/>
    <w:rsid w:val="00222F22"/>
    <w:rsid w:val="002521EA"/>
    <w:rsid w:val="00284358"/>
    <w:rsid w:val="002B5D9F"/>
    <w:rsid w:val="003B4DA7"/>
    <w:rsid w:val="003B756D"/>
    <w:rsid w:val="00403ADB"/>
    <w:rsid w:val="00482FC9"/>
    <w:rsid w:val="004C0328"/>
    <w:rsid w:val="004E4281"/>
    <w:rsid w:val="00572FD3"/>
    <w:rsid w:val="00597503"/>
    <w:rsid w:val="005D48E0"/>
    <w:rsid w:val="005E2834"/>
    <w:rsid w:val="00820DD4"/>
    <w:rsid w:val="008720C4"/>
    <w:rsid w:val="008A7362"/>
    <w:rsid w:val="008B5A1D"/>
    <w:rsid w:val="008F52AF"/>
    <w:rsid w:val="009917FC"/>
    <w:rsid w:val="009C5E5A"/>
    <w:rsid w:val="00A84E5B"/>
    <w:rsid w:val="00AF0268"/>
    <w:rsid w:val="00B56890"/>
    <w:rsid w:val="00BB7176"/>
    <w:rsid w:val="00BF0A1F"/>
    <w:rsid w:val="00C03F9A"/>
    <w:rsid w:val="00C46688"/>
    <w:rsid w:val="00CB4781"/>
    <w:rsid w:val="00D33940"/>
    <w:rsid w:val="00D600FD"/>
    <w:rsid w:val="00D649A8"/>
    <w:rsid w:val="00D87667"/>
    <w:rsid w:val="00E17B64"/>
    <w:rsid w:val="00E413C6"/>
    <w:rsid w:val="00EB088A"/>
    <w:rsid w:val="00EC2BD8"/>
    <w:rsid w:val="00F657BF"/>
    <w:rsid w:val="00F810AF"/>
    <w:rsid w:val="00FC5896"/>
    <w:rsid w:val="00FC7C1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9B943BE-B4F0-4709-945A-44A3E7FF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A7362"/>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E413C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13C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f0af5a99-5889-4fa4-9ee2-f3d478b9320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1426960641</Id>
      <Width>0</Width>
      <Height>0</Height>
      <XPath>//Image[@id='Profile.Org.WappenSW']</XPath>
      <ImageHash>02f1c0cdac6aeac316213b2e7cb733a0</ImageHash>
    </ImageSizeDefinition>
    <ImageSizeDefinition>
      <Id>1893477477</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CD49BA3B-78A3-4CCE-BAFC-9309DA95DE5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3A76C1C9-85C5-4509-AC87-CAB0D4A7240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f0af5a99-5889-4fa4-9ee2-f3d478b93205.dotx</Template>
  <TotalTime>11</TotalTime>
  <Pages>2</Pages>
  <Words>430</Words>
  <Characters>3295</Characters>
  <Application>Microsoft Office Word</Application>
  <DocSecurity>0</DocSecurity>
  <Lines>1647</Lines>
  <Paragraphs>465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27</cp:revision>
  <cp:lastPrinted>2025-10-13T13:13:00Z</cp:lastPrinted>
  <dcterms:created xsi:type="dcterms:W3CDTF">2025-10-03T09:34:00Z</dcterms:created>
  <dcterms:modified xsi:type="dcterms:W3CDTF">2025-10-13T13:13:00Z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