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37" w:rsidRDefault="00137135" w:rsidP="00076E70">
      <w:r w:rsidRPr="00B7235B">
        <w:rPr>
          <w:rFonts w:ascii="Gill Sans MT" w:hAnsi="Gill Sans MT"/>
          <w:b/>
          <w:sz w:val="56"/>
          <w:szCs w:val="56"/>
        </w:rPr>
        <w:t>Rapporto</w:t>
      </w:r>
      <w:bookmarkStart w:id="0" w:name="_GoBack"/>
      <w:bookmarkEnd w:id="0"/>
    </w:p>
    <w:p w:rsidR="008B4137" w:rsidRDefault="008B4137">
      <w:pPr>
        <w:rPr>
          <w:rFonts w:cs="Arial"/>
          <w:szCs w:val="24"/>
        </w:rPr>
      </w:pPr>
    </w:p>
    <w:p w:rsidR="00076E70" w:rsidRDefault="00076E70">
      <w:pPr>
        <w:rPr>
          <w:rFonts w:cs="Arial"/>
          <w:szCs w:val="24"/>
        </w:rPr>
      </w:pPr>
    </w:p>
    <w:p w:rsidR="00260C8C" w:rsidRDefault="00260C8C" w:rsidP="00260C8C">
      <w:pPr>
        <w:tabs>
          <w:tab w:val="left" w:pos="2098"/>
          <w:tab w:val="left" w:pos="4933"/>
        </w:tabs>
        <w:rPr>
          <w:rFonts w:cs="Arial"/>
          <w:szCs w:val="24"/>
        </w:rPr>
      </w:pPr>
      <w:r w:rsidRPr="008B4137">
        <w:rPr>
          <w:rFonts w:cs="Arial"/>
          <w:sz w:val="28"/>
          <w:szCs w:val="28"/>
        </w:rPr>
        <w:tab/>
      </w:r>
      <w:r w:rsidR="007A2068">
        <w:rPr>
          <w:rFonts w:cs="Arial"/>
          <w:sz w:val="28"/>
          <w:szCs w:val="28"/>
        </w:rPr>
        <w:t>27 marzo 2018</w:t>
      </w:r>
      <w:r w:rsidRPr="008B4137">
        <w:rPr>
          <w:rFonts w:cs="Arial"/>
          <w:sz w:val="28"/>
          <w:szCs w:val="28"/>
        </w:rPr>
        <w:tab/>
      </w:r>
      <w:r w:rsidR="007A2068">
        <w:rPr>
          <w:rFonts w:cs="Arial"/>
          <w:sz w:val="28"/>
          <w:szCs w:val="28"/>
        </w:rPr>
        <w:t>GRAN CONSIGLIO</w:t>
      </w:r>
    </w:p>
    <w:p w:rsidR="00260C8C" w:rsidRDefault="00260C8C" w:rsidP="00260C8C">
      <w:pPr>
        <w:rPr>
          <w:rFonts w:cs="Arial"/>
          <w:szCs w:val="24"/>
        </w:rPr>
      </w:pPr>
    </w:p>
    <w:p w:rsidR="00260C8C" w:rsidRDefault="00260C8C" w:rsidP="00260C8C">
      <w:pPr>
        <w:rPr>
          <w:rFonts w:cs="Arial"/>
          <w:szCs w:val="24"/>
        </w:rPr>
      </w:pPr>
    </w:p>
    <w:p w:rsidR="00260C8C" w:rsidRDefault="00260C8C" w:rsidP="00260C8C">
      <w:pPr>
        <w:rPr>
          <w:rFonts w:cs="Arial"/>
          <w:szCs w:val="24"/>
        </w:rPr>
      </w:pPr>
    </w:p>
    <w:p w:rsidR="00260C8C" w:rsidRPr="008B4137" w:rsidRDefault="00260C8C" w:rsidP="00260C8C">
      <w:pPr>
        <w:rPr>
          <w:rFonts w:cs="Arial"/>
          <w:b/>
          <w:sz w:val="28"/>
          <w:szCs w:val="28"/>
        </w:rPr>
      </w:pPr>
      <w:r w:rsidRPr="008B4137">
        <w:rPr>
          <w:rFonts w:cs="Arial"/>
          <w:b/>
          <w:sz w:val="28"/>
          <w:szCs w:val="28"/>
        </w:rPr>
        <w:t xml:space="preserve">della Commissione della </w:t>
      </w:r>
      <w:r w:rsidR="00E505DB">
        <w:rPr>
          <w:rFonts w:cs="Arial"/>
          <w:b/>
          <w:sz w:val="28"/>
          <w:szCs w:val="28"/>
        </w:rPr>
        <w:t>gestione e delle finanze</w:t>
      </w:r>
    </w:p>
    <w:p w:rsidR="005B0D3F" w:rsidRPr="00853389" w:rsidRDefault="00853389" w:rsidP="005B0D3F">
      <w:pPr>
        <w:autoSpaceDE w:val="0"/>
        <w:autoSpaceDN w:val="0"/>
        <w:adjustRightInd w:val="0"/>
        <w:rPr>
          <w:rFonts w:cs="Arial"/>
          <w:b/>
          <w:sz w:val="28"/>
          <w:szCs w:val="28"/>
        </w:rPr>
      </w:pPr>
      <w:r w:rsidRPr="00853389">
        <w:rPr>
          <w:rFonts w:cs="Arial"/>
          <w:b/>
          <w:sz w:val="28"/>
          <w:szCs w:val="28"/>
        </w:rPr>
        <w:t>su</w:t>
      </w:r>
      <w:r w:rsidR="005B0D3F" w:rsidRPr="00853389">
        <w:rPr>
          <w:rFonts w:cs="Arial"/>
          <w:b/>
          <w:sz w:val="28"/>
          <w:szCs w:val="28"/>
        </w:rPr>
        <w:t xml:space="preserve">ll’iniziativa popolare legislativa generica </w:t>
      </w:r>
      <w:r w:rsidR="007A2068" w:rsidRPr="00853389">
        <w:rPr>
          <w:rFonts w:cs="Arial"/>
          <w:b/>
          <w:sz w:val="28"/>
          <w:szCs w:val="28"/>
        </w:rPr>
        <w:t xml:space="preserve">12 maggio 2017 </w:t>
      </w:r>
      <w:r w:rsidR="005B0D3F" w:rsidRPr="00853389">
        <w:rPr>
          <w:rFonts w:cs="Arial"/>
          <w:b/>
          <w:bCs/>
          <w:sz w:val="28"/>
          <w:szCs w:val="28"/>
        </w:rPr>
        <w:t>“</w:t>
      </w:r>
      <w:r w:rsidR="005B0D3F" w:rsidRPr="00853389">
        <w:rPr>
          <w:rFonts w:cs="Arial"/>
          <w:b/>
          <w:bCs/>
          <w:i/>
          <w:iCs/>
          <w:sz w:val="28"/>
          <w:szCs w:val="28"/>
        </w:rPr>
        <w:t>Per un’imposta di circolazione più giusta!</w:t>
      </w:r>
      <w:r w:rsidR="005B0D3F" w:rsidRPr="00853389">
        <w:rPr>
          <w:rFonts w:cs="Arial"/>
          <w:b/>
          <w:bCs/>
          <w:sz w:val="28"/>
          <w:szCs w:val="28"/>
        </w:rPr>
        <w:t>”</w:t>
      </w:r>
    </w:p>
    <w:p w:rsidR="00853389" w:rsidRPr="00E5413C" w:rsidRDefault="00853389" w:rsidP="00853389">
      <w:pPr>
        <w:rPr>
          <w:sz w:val="12"/>
          <w:szCs w:val="12"/>
        </w:rPr>
      </w:pPr>
    </w:p>
    <w:p w:rsidR="00853389" w:rsidRPr="00E5413C" w:rsidRDefault="00853389" w:rsidP="00853389">
      <w:pPr>
        <w:rPr>
          <w:b/>
          <w:sz w:val="28"/>
          <w:szCs w:val="28"/>
        </w:rPr>
      </w:pPr>
      <w:r w:rsidRPr="00E5413C">
        <w:rPr>
          <w:b/>
          <w:sz w:val="28"/>
          <w:szCs w:val="28"/>
        </w:rPr>
        <w:t xml:space="preserve">Esame di ricevibilità (art. </w:t>
      </w:r>
      <w:r>
        <w:rPr>
          <w:b/>
          <w:sz w:val="28"/>
          <w:szCs w:val="28"/>
        </w:rPr>
        <w:t>3</w:t>
      </w:r>
      <w:r w:rsidRPr="00E5413C">
        <w:rPr>
          <w:b/>
          <w:sz w:val="28"/>
          <w:szCs w:val="28"/>
        </w:rPr>
        <w:t xml:space="preserve">8 </w:t>
      </w:r>
      <w:proofErr w:type="spellStart"/>
      <w:r w:rsidRPr="00E5413C">
        <w:rPr>
          <w:b/>
          <w:sz w:val="28"/>
          <w:szCs w:val="28"/>
        </w:rPr>
        <w:t>Cost</w:t>
      </w:r>
      <w:proofErr w:type="spellEnd"/>
      <w:r w:rsidRPr="00E5413C">
        <w:rPr>
          <w:b/>
          <w:sz w:val="28"/>
          <w:szCs w:val="28"/>
        </w:rPr>
        <w:t>./TI)</w:t>
      </w:r>
    </w:p>
    <w:p w:rsidR="005B0D3F" w:rsidRPr="007A2068" w:rsidRDefault="005B0D3F" w:rsidP="005B0D3F">
      <w:pPr>
        <w:autoSpaceDE w:val="0"/>
        <w:autoSpaceDN w:val="0"/>
        <w:adjustRightInd w:val="0"/>
        <w:rPr>
          <w:rFonts w:cs="Arial"/>
        </w:rPr>
      </w:pPr>
    </w:p>
    <w:p w:rsidR="005B0D3F" w:rsidRPr="007A2068" w:rsidRDefault="005B0D3F" w:rsidP="005B0D3F">
      <w:pPr>
        <w:outlineLvl w:val="0"/>
        <w:rPr>
          <w:rFonts w:cs="Arial"/>
        </w:rPr>
      </w:pPr>
    </w:p>
    <w:p w:rsidR="005B0D3F" w:rsidRPr="007A2068" w:rsidRDefault="005B0D3F" w:rsidP="005B0D3F">
      <w:pPr>
        <w:outlineLvl w:val="0"/>
        <w:rPr>
          <w:rFonts w:cs="Arial"/>
        </w:rPr>
      </w:pPr>
    </w:p>
    <w:p w:rsidR="005B0D3F" w:rsidRPr="007A2068" w:rsidRDefault="005B0D3F" w:rsidP="007A2068">
      <w:pPr>
        <w:pStyle w:val="Titolo1"/>
      </w:pPr>
      <w:r w:rsidRPr="007A2068">
        <w:t>Introduzione</w:t>
      </w:r>
    </w:p>
    <w:p w:rsidR="005B0D3F" w:rsidRPr="007A2068" w:rsidRDefault="005B0D3F" w:rsidP="005B0D3F">
      <w:pPr>
        <w:autoSpaceDE w:val="0"/>
        <w:autoSpaceDN w:val="0"/>
        <w:adjustRightInd w:val="0"/>
        <w:rPr>
          <w:rFonts w:cs="Arial"/>
          <w:szCs w:val="24"/>
        </w:rPr>
      </w:pPr>
      <w:r w:rsidRPr="007A2068">
        <w:rPr>
          <w:rFonts w:cs="Arial"/>
          <w:szCs w:val="24"/>
        </w:rPr>
        <w:t>L’iniziativa popolare legislativa generica “</w:t>
      </w:r>
      <w:r w:rsidRPr="007A2068">
        <w:rPr>
          <w:rFonts w:cs="Arial"/>
          <w:i/>
          <w:iCs/>
          <w:szCs w:val="24"/>
        </w:rPr>
        <w:t>Per un’imposta di circolazione più giusta!</w:t>
      </w:r>
      <w:r w:rsidRPr="007A2068">
        <w:rPr>
          <w:rFonts w:cs="Arial"/>
          <w:szCs w:val="24"/>
        </w:rPr>
        <w:t>” è stata depositata il 12 maggio 2017 (FU 39/2016 del 16 maggio 2017, pag. 4311).</w:t>
      </w:r>
    </w:p>
    <w:p w:rsidR="005B0D3F" w:rsidRPr="007A2068" w:rsidRDefault="005B0D3F" w:rsidP="005B0D3F">
      <w:pPr>
        <w:autoSpaceDE w:val="0"/>
        <w:autoSpaceDN w:val="0"/>
        <w:adjustRightInd w:val="0"/>
        <w:rPr>
          <w:rFonts w:cs="Arial"/>
          <w:szCs w:val="24"/>
        </w:rPr>
      </w:pPr>
    </w:p>
    <w:p w:rsidR="005B0D3F" w:rsidRPr="007A2068" w:rsidRDefault="005B0D3F" w:rsidP="005B0D3F">
      <w:pPr>
        <w:autoSpaceDE w:val="0"/>
        <w:autoSpaceDN w:val="0"/>
        <w:adjustRightInd w:val="0"/>
        <w:rPr>
          <w:rFonts w:cs="Arial"/>
          <w:szCs w:val="24"/>
        </w:rPr>
      </w:pPr>
      <w:r w:rsidRPr="007A2068">
        <w:rPr>
          <w:rFonts w:cs="Arial"/>
          <w:szCs w:val="24"/>
        </w:rPr>
        <w:t xml:space="preserve">Essa si fonda sugli art. 37 </w:t>
      </w:r>
      <w:proofErr w:type="spellStart"/>
      <w:r w:rsidRPr="007A2068">
        <w:rPr>
          <w:rFonts w:cs="Arial"/>
          <w:szCs w:val="24"/>
        </w:rPr>
        <w:t>Cost</w:t>
      </w:r>
      <w:proofErr w:type="spellEnd"/>
      <w:r w:rsidRPr="007A2068">
        <w:rPr>
          <w:rFonts w:cs="Arial"/>
          <w:szCs w:val="24"/>
        </w:rPr>
        <w:t>./TI e 116 segg. LEDP e chiede che la Legge sulle imposte e tasse di circolazione dei veicoli a motore del 9 febbraio 1977 (RL 7.4.2.2) sia modificata in modo che:</w:t>
      </w:r>
    </w:p>
    <w:p w:rsidR="005B0D3F" w:rsidRPr="007A2068" w:rsidRDefault="005B0D3F" w:rsidP="007A2068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120"/>
        <w:ind w:left="425" w:hanging="425"/>
        <w:rPr>
          <w:rFonts w:cs="Arial"/>
          <w:szCs w:val="24"/>
        </w:rPr>
      </w:pPr>
      <w:r w:rsidRPr="007A2068">
        <w:rPr>
          <w:rFonts w:cs="Arial"/>
          <w:szCs w:val="24"/>
        </w:rPr>
        <w:t>l’imposta di circolazione per i veicoli immatricolati la prima volta a partire dal 1° gennaio 2009 sia fissata unicamente in funzione delle emissioni di CO2</w:t>
      </w:r>
      <w:r w:rsidRPr="007A2068">
        <w:rPr>
          <w:rFonts w:cs="Arial"/>
          <w:b/>
          <w:bCs/>
          <w:szCs w:val="24"/>
        </w:rPr>
        <w:t xml:space="preserve">, </w:t>
      </w:r>
      <w:r w:rsidRPr="007A2068">
        <w:rPr>
          <w:rFonts w:cs="Arial"/>
          <w:szCs w:val="24"/>
        </w:rPr>
        <w:t xml:space="preserve">fatta salva un’imposta minima non superiore a </w:t>
      </w:r>
      <w:proofErr w:type="spellStart"/>
      <w:r w:rsidRPr="007A2068">
        <w:rPr>
          <w:rFonts w:cs="Arial"/>
          <w:szCs w:val="24"/>
        </w:rPr>
        <w:t>fr</w:t>
      </w:r>
      <w:proofErr w:type="spellEnd"/>
      <w:r w:rsidRPr="007A2068">
        <w:rPr>
          <w:rFonts w:cs="Arial"/>
          <w:szCs w:val="24"/>
        </w:rPr>
        <w:t>. 200.–;</w:t>
      </w:r>
    </w:p>
    <w:p w:rsidR="005B0D3F" w:rsidRPr="007A2068" w:rsidRDefault="005B0D3F" w:rsidP="007A2068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120"/>
        <w:ind w:left="425" w:hanging="425"/>
        <w:rPr>
          <w:rFonts w:cs="Arial"/>
          <w:szCs w:val="24"/>
        </w:rPr>
      </w:pPr>
      <w:r w:rsidRPr="007A2068">
        <w:rPr>
          <w:rFonts w:cs="Arial"/>
          <w:szCs w:val="24"/>
        </w:rPr>
        <w:t>l’imposta di circolazione sia fissata esclusivamente sulla base di atti soggetti a referendum, senza alcuna delega al Consiglio di Stato;</w:t>
      </w:r>
    </w:p>
    <w:p w:rsidR="005B0D3F" w:rsidRPr="007A2068" w:rsidRDefault="005B0D3F" w:rsidP="007A2068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120"/>
        <w:ind w:left="425" w:hanging="425"/>
        <w:rPr>
          <w:rFonts w:cs="Arial"/>
          <w:szCs w:val="24"/>
        </w:rPr>
      </w:pPr>
      <w:r w:rsidRPr="007A2068">
        <w:rPr>
          <w:rFonts w:cs="Arial"/>
          <w:szCs w:val="24"/>
        </w:rPr>
        <w:t>il ricavo annuo delle imposte di circolazione relative alle automobili sino a kg 3500 non ecceda gli 80 milioni di franchi (stato il 31 dicembre 2016);</w:t>
      </w:r>
    </w:p>
    <w:p w:rsidR="005B0D3F" w:rsidRPr="007A2068" w:rsidRDefault="005B0D3F" w:rsidP="007A2068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120"/>
        <w:ind w:left="425" w:hanging="425"/>
        <w:rPr>
          <w:rFonts w:cs="Arial"/>
          <w:szCs w:val="24"/>
        </w:rPr>
      </w:pPr>
      <w:r w:rsidRPr="007A2068">
        <w:rPr>
          <w:rFonts w:cs="Arial"/>
          <w:szCs w:val="24"/>
        </w:rPr>
        <w:t>i proventi dell’imposta di circolazione confluiscano in un «conto mobilità» (sul modello del FOSTRA a livello federale).</w:t>
      </w:r>
    </w:p>
    <w:p w:rsidR="005B0D3F" w:rsidRPr="007A2068" w:rsidRDefault="005B0D3F" w:rsidP="005B0D3F">
      <w:pPr>
        <w:autoSpaceDE w:val="0"/>
        <w:autoSpaceDN w:val="0"/>
        <w:adjustRightInd w:val="0"/>
        <w:rPr>
          <w:rFonts w:cs="Arial"/>
          <w:szCs w:val="24"/>
        </w:rPr>
      </w:pPr>
    </w:p>
    <w:p w:rsidR="005B0D3F" w:rsidRPr="007A2068" w:rsidRDefault="005B0D3F" w:rsidP="005B0D3F">
      <w:pPr>
        <w:autoSpaceDE w:val="0"/>
        <w:autoSpaceDN w:val="0"/>
        <w:adjustRightInd w:val="0"/>
        <w:rPr>
          <w:rFonts w:cs="Arial"/>
          <w:szCs w:val="24"/>
        </w:rPr>
      </w:pPr>
      <w:r w:rsidRPr="007A2068">
        <w:rPr>
          <w:rFonts w:cs="Arial"/>
          <w:szCs w:val="24"/>
        </w:rPr>
        <w:t>Essendo state raccolte 12’114 firme valide, sulle 7’000 necessarie, la Cancelleria dello Stato ne ha decretato la riuscita (v. FU 61-62/2017 del 4 agosto 2017, pag. 6784).</w:t>
      </w:r>
    </w:p>
    <w:p w:rsidR="005B0D3F" w:rsidRPr="007A2068" w:rsidRDefault="005B0D3F" w:rsidP="005B0D3F">
      <w:pPr>
        <w:autoSpaceDE w:val="0"/>
        <w:autoSpaceDN w:val="0"/>
        <w:adjustRightInd w:val="0"/>
        <w:rPr>
          <w:rFonts w:cs="Arial"/>
          <w:szCs w:val="24"/>
        </w:rPr>
      </w:pPr>
    </w:p>
    <w:p w:rsidR="005B0D3F" w:rsidRPr="007A2068" w:rsidRDefault="005B0D3F" w:rsidP="005B0D3F">
      <w:pPr>
        <w:autoSpaceDE w:val="0"/>
        <w:autoSpaceDN w:val="0"/>
        <w:adjustRightInd w:val="0"/>
        <w:rPr>
          <w:rFonts w:cs="Arial"/>
          <w:szCs w:val="24"/>
        </w:rPr>
      </w:pPr>
      <w:r w:rsidRPr="007A2068">
        <w:rPr>
          <w:rFonts w:cs="Arial"/>
          <w:szCs w:val="24"/>
        </w:rPr>
        <w:t xml:space="preserve">Essendo il numero di firme, raggiunto, il Gran Consiglio esamina preliminarmente la ricevibilità della domanda d’iniziativa, verificandone la conformità al diritto superiore, l’unità della forma e della materia e l’attuabilità entro un anno dalla pubblicazione nel Foglio ufficiale del risultato della domanda (art. 38 </w:t>
      </w:r>
      <w:proofErr w:type="spellStart"/>
      <w:r w:rsidRPr="007A2068">
        <w:rPr>
          <w:rFonts w:cs="Arial"/>
          <w:szCs w:val="24"/>
        </w:rPr>
        <w:t>Cost</w:t>
      </w:r>
      <w:proofErr w:type="spellEnd"/>
      <w:r w:rsidRPr="007A2068">
        <w:rPr>
          <w:rFonts w:cs="Arial"/>
          <w:szCs w:val="24"/>
        </w:rPr>
        <w:t>./TI e 134 LEDP).</w:t>
      </w:r>
    </w:p>
    <w:p w:rsidR="005B0D3F" w:rsidRDefault="005B0D3F" w:rsidP="005B0D3F">
      <w:pPr>
        <w:autoSpaceDE w:val="0"/>
        <w:autoSpaceDN w:val="0"/>
        <w:adjustRightInd w:val="0"/>
        <w:rPr>
          <w:rFonts w:cs="Arial"/>
          <w:szCs w:val="24"/>
        </w:rPr>
      </w:pPr>
    </w:p>
    <w:p w:rsidR="00853389" w:rsidRPr="007A2068" w:rsidRDefault="00853389" w:rsidP="005B0D3F">
      <w:pPr>
        <w:autoSpaceDE w:val="0"/>
        <w:autoSpaceDN w:val="0"/>
        <w:adjustRightInd w:val="0"/>
        <w:rPr>
          <w:rFonts w:cs="Arial"/>
          <w:szCs w:val="24"/>
        </w:rPr>
      </w:pPr>
    </w:p>
    <w:p w:rsidR="005B0D3F" w:rsidRPr="007A2068" w:rsidRDefault="005B0D3F" w:rsidP="005B0D3F">
      <w:pPr>
        <w:outlineLvl w:val="0"/>
        <w:rPr>
          <w:rFonts w:cs="Arial"/>
          <w:szCs w:val="24"/>
        </w:rPr>
      </w:pPr>
    </w:p>
    <w:p w:rsidR="005B0D3F" w:rsidRDefault="005B0D3F" w:rsidP="007A2068">
      <w:pPr>
        <w:pStyle w:val="Titolo1"/>
      </w:pPr>
      <w:r>
        <w:t>L’esame commissionale</w:t>
      </w:r>
    </w:p>
    <w:p w:rsidR="005B0D3F" w:rsidRDefault="005B0D3F" w:rsidP="005B0D3F">
      <w:pPr>
        <w:rPr>
          <w:rFonts w:cs="Arial"/>
        </w:rPr>
      </w:pPr>
      <w:r>
        <w:rPr>
          <w:rFonts w:cs="Arial"/>
        </w:rPr>
        <w:t>La Commissione, preso atto del parere del consulente giuridico del Gran Consiglio, avv. Tiziano Veronelli, considera ricevibile detta iniziativa.</w:t>
      </w:r>
    </w:p>
    <w:p w:rsidR="005B0D3F" w:rsidRDefault="005B0D3F" w:rsidP="005B0D3F">
      <w:pPr>
        <w:rPr>
          <w:rFonts w:cs="Arial"/>
        </w:rPr>
      </w:pPr>
    </w:p>
    <w:p w:rsidR="005B0D3F" w:rsidRDefault="005B0D3F" w:rsidP="005B0D3F">
      <w:pPr>
        <w:rPr>
          <w:rFonts w:cs="Arial"/>
        </w:rPr>
      </w:pPr>
      <w:r>
        <w:rPr>
          <w:rFonts w:cs="Arial"/>
        </w:rPr>
        <w:lastRenderedPageBreak/>
        <w:t xml:space="preserve">In sostanza, essa non è in contrasto con il diritto superiore vigente. In particolare non appare arbitraria la base di calcolo proposta, combinata con la tassa minima di </w:t>
      </w:r>
      <w:proofErr w:type="spellStart"/>
      <w:r>
        <w:rPr>
          <w:rFonts w:cs="Arial"/>
        </w:rPr>
        <w:t>Fr</w:t>
      </w:r>
      <w:proofErr w:type="spellEnd"/>
      <w:r>
        <w:rPr>
          <w:rFonts w:cs="Arial"/>
        </w:rPr>
        <w:t>. 200.00, consentendo un sistema di calcolo conforme appunto al diritto superiore vigente.</w:t>
      </w:r>
    </w:p>
    <w:p w:rsidR="005B0D3F" w:rsidRDefault="005B0D3F" w:rsidP="005B0D3F">
      <w:pPr>
        <w:rPr>
          <w:rFonts w:cs="Arial"/>
        </w:rPr>
      </w:pPr>
    </w:p>
    <w:p w:rsidR="005B0D3F" w:rsidRDefault="005B0D3F" w:rsidP="005B0D3F">
      <w:pPr>
        <w:rPr>
          <w:rFonts w:cs="Arial"/>
        </w:rPr>
      </w:pPr>
      <w:r>
        <w:rPr>
          <w:rFonts w:cs="Arial"/>
        </w:rPr>
        <w:t xml:space="preserve">Essa ossequia il principio dell’unità della materia, essendo finalizzata a disciplinare una questione ben definita e “compatta”, riferita ad un’unica tematica. </w:t>
      </w:r>
    </w:p>
    <w:p w:rsidR="005B0D3F" w:rsidRDefault="005B0D3F" w:rsidP="005B0D3F">
      <w:pPr>
        <w:rPr>
          <w:rFonts w:cs="Arial"/>
        </w:rPr>
      </w:pPr>
    </w:p>
    <w:p w:rsidR="005B0D3F" w:rsidRDefault="005B0D3F" w:rsidP="005B0D3F">
      <w:pPr>
        <w:rPr>
          <w:rFonts w:cs="Arial"/>
        </w:rPr>
      </w:pPr>
      <w:r>
        <w:rPr>
          <w:rFonts w:cs="Arial"/>
        </w:rPr>
        <w:t>Pure il principio dell’unità della forma è rispettato. Trattasi in effetti di un’iniziativa generica, sebbene il testo proposto sia stato formulato in modo piuttosto dettagliato e puntuale.</w:t>
      </w:r>
    </w:p>
    <w:p w:rsidR="005B0D3F" w:rsidRDefault="005B0D3F" w:rsidP="005B0D3F">
      <w:pPr>
        <w:rPr>
          <w:rFonts w:cs="Arial"/>
        </w:rPr>
      </w:pPr>
    </w:p>
    <w:p w:rsidR="00853389" w:rsidRDefault="00853389" w:rsidP="005B0D3F">
      <w:pPr>
        <w:rPr>
          <w:rFonts w:cs="Arial"/>
        </w:rPr>
      </w:pPr>
    </w:p>
    <w:p w:rsidR="005B0D3F" w:rsidRDefault="005B0D3F" w:rsidP="005B0D3F">
      <w:pPr>
        <w:rPr>
          <w:rFonts w:cs="Arial"/>
        </w:rPr>
      </w:pPr>
    </w:p>
    <w:p w:rsidR="005B0D3F" w:rsidRDefault="005B0D3F" w:rsidP="007A2068">
      <w:pPr>
        <w:pStyle w:val="Titolo1"/>
      </w:pPr>
      <w:r>
        <w:t>Conclusione</w:t>
      </w:r>
    </w:p>
    <w:p w:rsidR="005415A8" w:rsidRDefault="005B0D3F" w:rsidP="005415A8">
      <w:pPr>
        <w:autoSpaceDE w:val="0"/>
        <w:autoSpaceDN w:val="0"/>
        <w:adjustRightInd w:val="0"/>
        <w:rPr>
          <w:rFonts w:cs="Arial"/>
        </w:rPr>
      </w:pPr>
      <w:r>
        <w:rPr>
          <w:rFonts w:cs="Arial"/>
        </w:rPr>
        <w:t>La Commissione invita il Gran Consiglio a votare la ricevibilità dell’iniziativa popolare legislativa generica</w:t>
      </w:r>
      <w:r w:rsidRPr="005F57F0">
        <w:rPr>
          <w:rFonts w:cs="Arial"/>
          <w:b/>
        </w:rPr>
        <w:t xml:space="preserve"> </w:t>
      </w:r>
      <w:r w:rsidRPr="005F57F0">
        <w:rPr>
          <w:rFonts w:cs="Arial"/>
          <w:bCs/>
        </w:rPr>
        <w:t>“</w:t>
      </w:r>
      <w:r w:rsidRPr="005F57F0">
        <w:rPr>
          <w:rFonts w:cs="Arial"/>
          <w:bCs/>
          <w:i/>
          <w:iCs/>
        </w:rPr>
        <w:t>Per un’imposta di circolazione più giusta!</w:t>
      </w:r>
      <w:r w:rsidRPr="005F57F0">
        <w:rPr>
          <w:rFonts w:cs="Arial"/>
          <w:bCs/>
        </w:rPr>
        <w:t>”</w:t>
      </w:r>
      <w:r w:rsidRPr="005F57F0">
        <w:rPr>
          <w:rFonts w:cs="Arial"/>
        </w:rPr>
        <w:t xml:space="preserve"> del 12 maggio 2017</w:t>
      </w:r>
      <w:r w:rsidR="005415A8">
        <w:rPr>
          <w:rFonts w:cs="Arial"/>
        </w:rPr>
        <w:t xml:space="preserve"> (FU 39/2017 del 16 maggio 2017, pag. 4311).</w:t>
      </w:r>
    </w:p>
    <w:p w:rsidR="00076E70" w:rsidRPr="00076E70" w:rsidRDefault="00076E70" w:rsidP="00076E70">
      <w:pPr>
        <w:rPr>
          <w:rFonts w:cs="Arial"/>
          <w:szCs w:val="24"/>
        </w:rPr>
      </w:pPr>
    </w:p>
    <w:p w:rsidR="00076E70" w:rsidRPr="00076E70" w:rsidRDefault="00076E70" w:rsidP="00076E70">
      <w:pPr>
        <w:autoSpaceDE w:val="0"/>
        <w:autoSpaceDN w:val="0"/>
        <w:adjustRightInd w:val="0"/>
        <w:rPr>
          <w:rFonts w:cs="Arial"/>
          <w:szCs w:val="24"/>
        </w:rPr>
      </w:pPr>
    </w:p>
    <w:p w:rsidR="00076E70" w:rsidRPr="00076E70" w:rsidRDefault="00076E70" w:rsidP="00076E70">
      <w:pPr>
        <w:rPr>
          <w:rFonts w:cs="Arial"/>
          <w:szCs w:val="24"/>
        </w:rPr>
      </w:pPr>
    </w:p>
    <w:p w:rsidR="00076E70" w:rsidRPr="00076E70" w:rsidRDefault="00076E70" w:rsidP="00076E70">
      <w:pPr>
        <w:spacing w:after="120"/>
        <w:rPr>
          <w:rFonts w:cs="Arial"/>
          <w:szCs w:val="24"/>
        </w:rPr>
      </w:pPr>
      <w:r w:rsidRPr="00076E70">
        <w:rPr>
          <w:rFonts w:cs="Arial"/>
          <w:szCs w:val="24"/>
        </w:rPr>
        <w:t xml:space="preserve">Per </w:t>
      </w:r>
      <w:smartTag w:uri="urn:schemas-microsoft-com:office:smarttags" w:element="PersonName">
        <w:smartTagPr>
          <w:attr w:name="ProductID" w:val="la Commissione"/>
        </w:smartTagPr>
        <w:r w:rsidRPr="00076E70">
          <w:rPr>
            <w:rFonts w:cs="Arial"/>
            <w:szCs w:val="24"/>
          </w:rPr>
          <w:t>la Commissione</w:t>
        </w:r>
      </w:smartTag>
      <w:r w:rsidRPr="00076E70">
        <w:rPr>
          <w:rFonts w:cs="Arial"/>
          <w:szCs w:val="24"/>
        </w:rPr>
        <w:t xml:space="preserve"> gestione e finanze:</w:t>
      </w:r>
    </w:p>
    <w:p w:rsidR="00076E70" w:rsidRPr="00076E70" w:rsidRDefault="007A2068" w:rsidP="00076E70">
      <w:pPr>
        <w:rPr>
          <w:rFonts w:cs="Arial"/>
          <w:szCs w:val="24"/>
        </w:rPr>
      </w:pPr>
      <w:r>
        <w:rPr>
          <w:rFonts w:cs="Arial"/>
        </w:rPr>
        <w:t>Fabio Bacchetta Cattori</w:t>
      </w:r>
      <w:r w:rsidR="00076E70" w:rsidRPr="00076E70">
        <w:rPr>
          <w:rFonts w:cs="Arial"/>
          <w:szCs w:val="24"/>
        </w:rPr>
        <w:t>, relatore</w:t>
      </w:r>
    </w:p>
    <w:p w:rsidR="007A2068" w:rsidRDefault="007A2068" w:rsidP="007A2068">
      <w:pPr>
        <w:rPr>
          <w:rFonts w:cs="Arial"/>
        </w:rPr>
      </w:pPr>
      <w:r>
        <w:rPr>
          <w:rFonts w:cs="Arial"/>
        </w:rPr>
        <w:t xml:space="preserve">Badasci - Caprara - Dadò - De Rosa - </w:t>
      </w:r>
    </w:p>
    <w:p w:rsidR="007A2068" w:rsidRDefault="007A2068" w:rsidP="007A2068">
      <w:pPr>
        <w:rPr>
          <w:rFonts w:cs="Arial"/>
        </w:rPr>
      </w:pPr>
      <w:r>
        <w:rPr>
          <w:rFonts w:cs="Arial"/>
        </w:rPr>
        <w:t xml:space="preserve">Durisch - Farinelli - Frapolli - Guerra - </w:t>
      </w:r>
    </w:p>
    <w:p w:rsidR="00076E70" w:rsidRPr="00076E70" w:rsidRDefault="007A2068" w:rsidP="007A2068">
      <w:pPr>
        <w:rPr>
          <w:rFonts w:cs="Arial"/>
          <w:szCs w:val="24"/>
        </w:rPr>
      </w:pPr>
      <w:r>
        <w:rPr>
          <w:rFonts w:cs="Arial"/>
        </w:rPr>
        <w:t>Kandemir Bordoli - Pinoja - Quadranti</w:t>
      </w:r>
    </w:p>
    <w:p w:rsidR="00076E70" w:rsidRDefault="00076E70">
      <w:pPr>
        <w:rPr>
          <w:rFonts w:cs="Arial"/>
          <w:szCs w:val="24"/>
        </w:rPr>
      </w:pPr>
    </w:p>
    <w:p w:rsidR="00853389" w:rsidRDefault="00853389">
      <w:pPr>
        <w:rPr>
          <w:rFonts w:cs="Arial"/>
          <w:szCs w:val="24"/>
        </w:rPr>
      </w:pPr>
    </w:p>
    <w:p w:rsidR="00853389" w:rsidRDefault="00853389">
      <w:pPr>
        <w:rPr>
          <w:rFonts w:cs="Arial"/>
          <w:szCs w:val="24"/>
        </w:rPr>
      </w:pPr>
    </w:p>
    <w:p w:rsidR="00853389" w:rsidRDefault="00853389">
      <w:pPr>
        <w:rPr>
          <w:rFonts w:cs="Arial"/>
          <w:szCs w:val="24"/>
        </w:rPr>
      </w:pPr>
    </w:p>
    <w:p w:rsidR="00853389" w:rsidRDefault="00853389">
      <w:pPr>
        <w:rPr>
          <w:rFonts w:cs="Arial"/>
          <w:szCs w:val="24"/>
        </w:rPr>
      </w:pPr>
    </w:p>
    <w:p w:rsidR="00853389" w:rsidRDefault="00853389">
      <w:pPr>
        <w:rPr>
          <w:rFonts w:cs="Arial"/>
          <w:szCs w:val="24"/>
        </w:rPr>
      </w:pPr>
    </w:p>
    <w:p w:rsidR="00853389" w:rsidRDefault="00853389">
      <w:pPr>
        <w:rPr>
          <w:rFonts w:cs="Arial"/>
          <w:szCs w:val="24"/>
        </w:rPr>
      </w:pPr>
    </w:p>
    <w:p w:rsidR="00853389" w:rsidRDefault="00853389">
      <w:pPr>
        <w:rPr>
          <w:rFonts w:cs="Arial"/>
          <w:szCs w:val="24"/>
        </w:rPr>
      </w:pPr>
    </w:p>
    <w:p w:rsidR="00853389" w:rsidRDefault="00853389">
      <w:pPr>
        <w:rPr>
          <w:rFonts w:cs="Arial"/>
          <w:szCs w:val="24"/>
        </w:rPr>
      </w:pPr>
    </w:p>
    <w:p w:rsidR="00853389" w:rsidRDefault="00853389">
      <w:pPr>
        <w:rPr>
          <w:rFonts w:cs="Arial"/>
          <w:szCs w:val="24"/>
        </w:rPr>
      </w:pPr>
    </w:p>
    <w:p w:rsidR="00853389" w:rsidRDefault="00853389">
      <w:pPr>
        <w:rPr>
          <w:rFonts w:cs="Arial"/>
          <w:szCs w:val="24"/>
        </w:rPr>
      </w:pPr>
    </w:p>
    <w:p w:rsidR="00853389" w:rsidRDefault="00853389">
      <w:pPr>
        <w:rPr>
          <w:rFonts w:cs="Arial"/>
          <w:szCs w:val="24"/>
        </w:rPr>
      </w:pPr>
    </w:p>
    <w:p w:rsidR="00825378" w:rsidRDefault="00825378">
      <w:pPr>
        <w:rPr>
          <w:rFonts w:cs="Arial"/>
          <w:szCs w:val="24"/>
        </w:rPr>
      </w:pPr>
    </w:p>
    <w:p w:rsidR="00853389" w:rsidRDefault="00853389">
      <w:pPr>
        <w:rPr>
          <w:rFonts w:cs="Arial"/>
          <w:szCs w:val="24"/>
        </w:rPr>
      </w:pPr>
    </w:p>
    <w:p w:rsidR="00853389" w:rsidRDefault="00853389">
      <w:pPr>
        <w:rPr>
          <w:rFonts w:cs="Arial"/>
          <w:szCs w:val="24"/>
        </w:rPr>
      </w:pPr>
    </w:p>
    <w:p w:rsidR="00853389" w:rsidRDefault="00853389">
      <w:pPr>
        <w:rPr>
          <w:rFonts w:cs="Arial"/>
          <w:szCs w:val="24"/>
        </w:rPr>
      </w:pPr>
    </w:p>
    <w:p w:rsidR="00853389" w:rsidRDefault="00853389">
      <w:pPr>
        <w:rPr>
          <w:rFonts w:cs="Arial"/>
          <w:szCs w:val="24"/>
        </w:rPr>
      </w:pPr>
    </w:p>
    <w:p w:rsidR="00853389" w:rsidRDefault="00853389">
      <w:pPr>
        <w:rPr>
          <w:rFonts w:cs="Arial"/>
          <w:szCs w:val="24"/>
        </w:rPr>
      </w:pPr>
    </w:p>
    <w:p w:rsidR="00853389" w:rsidRDefault="00853389">
      <w:pPr>
        <w:rPr>
          <w:rFonts w:cs="Arial"/>
          <w:szCs w:val="24"/>
        </w:rPr>
      </w:pPr>
    </w:p>
    <w:p w:rsidR="004D4E3A" w:rsidRDefault="004D4E3A">
      <w:pPr>
        <w:rPr>
          <w:rFonts w:cs="Arial"/>
          <w:szCs w:val="24"/>
        </w:rPr>
      </w:pPr>
    </w:p>
    <w:p w:rsidR="004D4E3A" w:rsidRDefault="004D4E3A">
      <w:pPr>
        <w:rPr>
          <w:rFonts w:cs="Arial"/>
          <w:szCs w:val="24"/>
        </w:rPr>
      </w:pPr>
    </w:p>
    <w:p w:rsidR="00853389" w:rsidRDefault="00853389">
      <w:pPr>
        <w:rPr>
          <w:rFonts w:cs="Arial"/>
          <w:szCs w:val="24"/>
        </w:rPr>
      </w:pPr>
    </w:p>
    <w:p w:rsidR="00853389" w:rsidRPr="00853389" w:rsidRDefault="00853389">
      <w:pPr>
        <w:rPr>
          <w:rFonts w:cs="Arial"/>
          <w:sz w:val="22"/>
          <w:u w:val="single"/>
        </w:rPr>
      </w:pPr>
      <w:r w:rsidRPr="00853389">
        <w:rPr>
          <w:rFonts w:cs="Arial"/>
          <w:sz w:val="22"/>
          <w:u w:val="single"/>
        </w:rPr>
        <w:t>Allegati:</w:t>
      </w:r>
    </w:p>
    <w:p w:rsidR="00853389" w:rsidRPr="00853389" w:rsidRDefault="00853389" w:rsidP="00853389">
      <w:pPr>
        <w:pStyle w:val="Paragrafoelenco"/>
        <w:numPr>
          <w:ilvl w:val="0"/>
          <w:numId w:val="8"/>
        </w:numPr>
        <w:spacing w:before="60"/>
        <w:ind w:left="284" w:hanging="284"/>
        <w:rPr>
          <w:rFonts w:cs="Arial"/>
          <w:sz w:val="22"/>
        </w:rPr>
      </w:pPr>
      <w:r w:rsidRPr="00853389">
        <w:rPr>
          <w:rFonts w:cs="Arial"/>
          <w:sz w:val="22"/>
        </w:rPr>
        <w:t>Parere 28</w:t>
      </w:r>
      <w:r w:rsidR="004D4E3A">
        <w:rPr>
          <w:rFonts w:cs="Arial"/>
          <w:sz w:val="22"/>
        </w:rPr>
        <w:t>.12.</w:t>
      </w:r>
      <w:r w:rsidRPr="00853389">
        <w:rPr>
          <w:rFonts w:cs="Arial"/>
          <w:sz w:val="22"/>
        </w:rPr>
        <w:t>2017 del Consulente giuridico del Gran Consiglio</w:t>
      </w:r>
    </w:p>
    <w:p w:rsidR="00853389" w:rsidRDefault="00853389" w:rsidP="00853389">
      <w:pPr>
        <w:pStyle w:val="Paragrafoelenco"/>
        <w:numPr>
          <w:ilvl w:val="0"/>
          <w:numId w:val="8"/>
        </w:numPr>
        <w:spacing w:before="60"/>
        <w:ind w:left="284" w:hanging="284"/>
        <w:rPr>
          <w:rFonts w:cs="Arial"/>
          <w:sz w:val="22"/>
        </w:rPr>
      </w:pPr>
      <w:r w:rsidRPr="00853389">
        <w:rPr>
          <w:rFonts w:cs="Arial"/>
          <w:sz w:val="22"/>
        </w:rPr>
        <w:t xml:space="preserve">Iniziativa popolare legislativa generica </w:t>
      </w:r>
      <w:r w:rsidR="004D4E3A" w:rsidRPr="00853389">
        <w:rPr>
          <w:rFonts w:cs="Arial"/>
          <w:sz w:val="22"/>
        </w:rPr>
        <w:t>12</w:t>
      </w:r>
      <w:r w:rsidR="004D4E3A">
        <w:rPr>
          <w:rFonts w:cs="Arial"/>
          <w:sz w:val="22"/>
        </w:rPr>
        <w:t>.05.</w:t>
      </w:r>
      <w:r w:rsidR="004D4E3A" w:rsidRPr="00853389">
        <w:rPr>
          <w:rFonts w:cs="Arial"/>
          <w:sz w:val="22"/>
        </w:rPr>
        <w:t xml:space="preserve">2017 </w:t>
      </w:r>
      <w:r w:rsidRPr="00853389">
        <w:rPr>
          <w:rFonts w:cs="Arial"/>
          <w:sz w:val="22"/>
        </w:rPr>
        <w:t>“</w:t>
      </w:r>
      <w:r w:rsidRPr="00853389">
        <w:rPr>
          <w:rFonts w:cs="Arial"/>
          <w:i/>
          <w:iCs/>
          <w:sz w:val="22"/>
        </w:rPr>
        <w:t>Per un’imposta di circolazione più giusta!</w:t>
      </w:r>
      <w:r w:rsidR="004D4E3A">
        <w:rPr>
          <w:rFonts w:cs="Arial"/>
          <w:sz w:val="22"/>
        </w:rPr>
        <w:t>”</w:t>
      </w:r>
      <w:r w:rsidRPr="00853389">
        <w:rPr>
          <w:rFonts w:cs="Arial"/>
          <w:sz w:val="22"/>
        </w:rPr>
        <w:t xml:space="preserve"> </w:t>
      </w:r>
    </w:p>
    <w:p w:rsidR="00AC240C" w:rsidRDefault="00AC240C">
      <w:pPr>
        <w:rPr>
          <w:rFonts w:cs="Arial"/>
          <w:sz w:val="22"/>
        </w:rPr>
      </w:pPr>
      <w:r>
        <w:rPr>
          <w:rFonts w:cs="Arial"/>
          <w:sz w:val="22"/>
        </w:rPr>
        <w:br w:type="page"/>
      </w:r>
    </w:p>
    <w:p w:rsidR="00AC240C" w:rsidRPr="00C50A0D" w:rsidRDefault="00AC240C" w:rsidP="00AC240C">
      <w:pPr>
        <w:rPr>
          <w:rFonts w:cs="Arial"/>
          <w:b/>
          <w:szCs w:val="24"/>
        </w:rPr>
      </w:pPr>
      <w:r w:rsidRPr="00C50A0D">
        <w:rPr>
          <w:rFonts w:cs="Arial"/>
          <w:b/>
          <w:szCs w:val="24"/>
        </w:rPr>
        <w:lastRenderedPageBreak/>
        <w:t>Iniziativa popolare legislativa generica 12 maggio 2017</w:t>
      </w:r>
    </w:p>
    <w:p w:rsidR="00AC240C" w:rsidRPr="00C50A0D" w:rsidRDefault="00AC240C" w:rsidP="00AC240C">
      <w:pPr>
        <w:rPr>
          <w:rFonts w:cs="Arial"/>
          <w:b/>
          <w:i/>
          <w:szCs w:val="24"/>
        </w:rPr>
      </w:pPr>
      <w:r w:rsidRPr="00C50A0D">
        <w:rPr>
          <w:rFonts w:cs="Arial"/>
          <w:b/>
          <w:i/>
          <w:szCs w:val="24"/>
        </w:rPr>
        <w:t>“</w:t>
      </w:r>
      <w:r w:rsidRPr="00C50A0D">
        <w:rPr>
          <w:rFonts w:cs="Arial"/>
          <w:b/>
          <w:i/>
          <w:iCs/>
          <w:szCs w:val="24"/>
        </w:rPr>
        <w:t>Per un’imposta di circolazione più giusta!</w:t>
      </w:r>
      <w:r w:rsidRPr="00C50A0D">
        <w:rPr>
          <w:rFonts w:cs="Arial"/>
          <w:b/>
          <w:i/>
          <w:szCs w:val="24"/>
        </w:rPr>
        <w:t>”</w:t>
      </w:r>
    </w:p>
    <w:p w:rsidR="00AC240C" w:rsidRPr="00C50A0D" w:rsidRDefault="00AC240C" w:rsidP="00AC240C">
      <w:pPr>
        <w:rPr>
          <w:rFonts w:cs="Arial"/>
          <w:szCs w:val="24"/>
        </w:rPr>
      </w:pPr>
    </w:p>
    <w:p w:rsidR="00AC240C" w:rsidRPr="00C50A0D" w:rsidRDefault="00AC240C" w:rsidP="00AC240C">
      <w:pPr>
        <w:rPr>
          <w:rFonts w:cs="Arial"/>
          <w:szCs w:val="24"/>
        </w:rPr>
      </w:pPr>
    </w:p>
    <w:p w:rsidR="00AC240C" w:rsidRPr="00C50A0D" w:rsidRDefault="00AC240C" w:rsidP="00AC240C">
      <w:pPr>
        <w:rPr>
          <w:rFonts w:cs="Arial"/>
          <w:szCs w:val="24"/>
        </w:rPr>
      </w:pPr>
      <w:r w:rsidRPr="00C50A0D">
        <w:rPr>
          <w:rFonts w:cs="Arial"/>
          <w:szCs w:val="24"/>
        </w:rPr>
        <w:t>Il Gran Consiglio</w:t>
      </w:r>
    </w:p>
    <w:p w:rsidR="00AC240C" w:rsidRPr="00C50A0D" w:rsidRDefault="00AC240C" w:rsidP="00AC240C">
      <w:pPr>
        <w:rPr>
          <w:rFonts w:cs="Arial"/>
          <w:szCs w:val="24"/>
        </w:rPr>
      </w:pPr>
      <w:r w:rsidRPr="00C50A0D">
        <w:rPr>
          <w:rFonts w:cs="Arial"/>
          <w:szCs w:val="24"/>
        </w:rPr>
        <w:t>della Repubblica e Cantone Ticino</w:t>
      </w:r>
    </w:p>
    <w:p w:rsidR="00AC240C" w:rsidRPr="00C50A0D" w:rsidRDefault="00AC240C" w:rsidP="00AC240C">
      <w:pPr>
        <w:rPr>
          <w:rFonts w:cs="Arial"/>
          <w:szCs w:val="24"/>
        </w:rPr>
      </w:pPr>
    </w:p>
    <w:p w:rsidR="00AC240C" w:rsidRPr="00C50A0D" w:rsidRDefault="00AC240C" w:rsidP="00AC240C">
      <w:pPr>
        <w:tabs>
          <w:tab w:val="left" w:pos="284"/>
          <w:tab w:val="left" w:pos="567"/>
        </w:tabs>
        <w:ind w:left="284" w:hanging="284"/>
        <w:rPr>
          <w:rFonts w:cs="Arial"/>
          <w:szCs w:val="24"/>
        </w:rPr>
      </w:pPr>
      <w:r w:rsidRPr="00C50A0D">
        <w:rPr>
          <w:rFonts w:cs="Arial"/>
          <w:szCs w:val="24"/>
        </w:rPr>
        <w:t>-</w:t>
      </w:r>
      <w:r w:rsidRPr="00C50A0D">
        <w:rPr>
          <w:rFonts w:cs="Arial"/>
          <w:szCs w:val="24"/>
        </w:rPr>
        <w:tab/>
        <w:t>vista l'iniziativa popolare legislativa generica presentata il 12 maggio 2017 "</w:t>
      </w:r>
      <w:r w:rsidRPr="00C50A0D">
        <w:rPr>
          <w:rFonts w:cs="Arial"/>
          <w:iCs/>
          <w:szCs w:val="24"/>
        </w:rPr>
        <w:t>Per un’imposta di circolazione più giusta!</w:t>
      </w:r>
      <w:r w:rsidRPr="00C50A0D">
        <w:rPr>
          <w:rFonts w:cs="Arial"/>
          <w:szCs w:val="24"/>
        </w:rPr>
        <w:t>", volta a chiedere che la Legge sulle imposte e tasse di circolazione dei veicoli a motore del 9 febbraio 1977 sia modificata in modo che:</w:t>
      </w:r>
    </w:p>
    <w:p w:rsidR="00AC240C" w:rsidRPr="00C50A0D" w:rsidRDefault="00AC240C" w:rsidP="00AC240C">
      <w:pPr>
        <w:shd w:val="clear" w:color="auto" w:fill="FFFFFF"/>
        <w:tabs>
          <w:tab w:val="left" w:pos="709"/>
        </w:tabs>
        <w:spacing w:before="80"/>
        <w:ind w:left="709" w:hanging="425"/>
        <w:rPr>
          <w:rFonts w:cs="Arial"/>
          <w:i/>
          <w:sz w:val="22"/>
          <w:lang w:eastAsia="it-CH"/>
        </w:rPr>
      </w:pPr>
      <w:r w:rsidRPr="00C50A0D">
        <w:rPr>
          <w:rFonts w:cs="Arial"/>
          <w:i/>
          <w:sz w:val="22"/>
          <w:lang w:eastAsia="it-CH"/>
        </w:rPr>
        <w:t>(1)</w:t>
      </w:r>
      <w:r w:rsidRPr="00C50A0D">
        <w:rPr>
          <w:rFonts w:cs="Arial"/>
          <w:i/>
          <w:sz w:val="22"/>
          <w:lang w:eastAsia="it-CH"/>
        </w:rPr>
        <w:tab/>
        <w:t xml:space="preserve">l’imposta di circolazione per i veicoli immatricolati la prima volta a partire dal 1° gennaio 2009 sia fissata unicamente in funzione delle emissioni di CO2, fatta salva un’imposta minima non superiore a </w:t>
      </w:r>
      <w:proofErr w:type="spellStart"/>
      <w:r w:rsidRPr="00C50A0D">
        <w:rPr>
          <w:rFonts w:cs="Arial"/>
          <w:i/>
          <w:sz w:val="22"/>
          <w:lang w:eastAsia="it-CH"/>
        </w:rPr>
        <w:t>fr</w:t>
      </w:r>
      <w:proofErr w:type="spellEnd"/>
      <w:r w:rsidRPr="00C50A0D">
        <w:rPr>
          <w:rFonts w:cs="Arial"/>
          <w:i/>
          <w:sz w:val="22"/>
          <w:lang w:eastAsia="it-CH"/>
        </w:rPr>
        <w:t>. 200.</w:t>
      </w:r>
      <w:r w:rsidR="005B5B77">
        <w:rPr>
          <w:rFonts w:cs="Arial"/>
          <w:i/>
          <w:sz w:val="22"/>
          <w:lang w:eastAsia="it-CH"/>
        </w:rPr>
        <w:t>-</w:t>
      </w:r>
      <w:r w:rsidRPr="00C50A0D">
        <w:rPr>
          <w:rFonts w:cs="Arial"/>
          <w:i/>
          <w:sz w:val="22"/>
          <w:lang w:eastAsia="it-CH"/>
        </w:rPr>
        <w:t>;</w:t>
      </w:r>
    </w:p>
    <w:p w:rsidR="00AC240C" w:rsidRPr="00C50A0D" w:rsidRDefault="00AC240C" w:rsidP="00AC240C">
      <w:pPr>
        <w:shd w:val="clear" w:color="auto" w:fill="FFFFFF"/>
        <w:tabs>
          <w:tab w:val="left" w:pos="709"/>
        </w:tabs>
        <w:spacing w:before="80"/>
        <w:ind w:left="709" w:hanging="425"/>
        <w:rPr>
          <w:rFonts w:cs="Arial"/>
          <w:i/>
          <w:sz w:val="22"/>
          <w:lang w:eastAsia="it-CH"/>
        </w:rPr>
      </w:pPr>
      <w:r w:rsidRPr="00C50A0D">
        <w:rPr>
          <w:rFonts w:cs="Arial"/>
          <w:i/>
          <w:sz w:val="22"/>
          <w:lang w:eastAsia="it-CH"/>
        </w:rPr>
        <w:t>(2)</w:t>
      </w:r>
      <w:r w:rsidRPr="00C50A0D">
        <w:rPr>
          <w:rFonts w:cs="Arial"/>
          <w:i/>
          <w:sz w:val="22"/>
          <w:lang w:eastAsia="it-CH"/>
        </w:rPr>
        <w:tab/>
        <w:t xml:space="preserve">l’imposta di circolazione sia fissata esclusivamente sulla base di atti soggetti a referendum, senza alcuna delega al Consiglio di Stato; </w:t>
      </w:r>
    </w:p>
    <w:p w:rsidR="00AC240C" w:rsidRPr="00C50A0D" w:rsidRDefault="00AC240C" w:rsidP="00AC240C">
      <w:pPr>
        <w:shd w:val="clear" w:color="auto" w:fill="FFFFFF"/>
        <w:tabs>
          <w:tab w:val="left" w:pos="709"/>
        </w:tabs>
        <w:spacing w:before="80"/>
        <w:ind w:left="709" w:hanging="425"/>
        <w:rPr>
          <w:rFonts w:cs="Arial"/>
          <w:i/>
          <w:sz w:val="22"/>
          <w:lang w:eastAsia="it-CH"/>
        </w:rPr>
      </w:pPr>
      <w:r w:rsidRPr="00C50A0D">
        <w:rPr>
          <w:rFonts w:cs="Arial"/>
          <w:i/>
          <w:sz w:val="22"/>
          <w:lang w:eastAsia="it-CH"/>
        </w:rPr>
        <w:t>(3)</w:t>
      </w:r>
      <w:r w:rsidRPr="00C50A0D">
        <w:rPr>
          <w:rFonts w:cs="Arial"/>
          <w:i/>
          <w:sz w:val="22"/>
          <w:lang w:eastAsia="it-CH"/>
        </w:rPr>
        <w:tab/>
        <w:t xml:space="preserve">il ricavo annuo delle imposte di circolazione relative alle automobili sino a kg 3500 non ecceda gli 80 milioni di franchi (stato il 31 dicembre 2016); </w:t>
      </w:r>
    </w:p>
    <w:p w:rsidR="00AC240C" w:rsidRPr="00C50A0D" w:rsidRDefault="00AC240C" w:rsidP="00AC240C">
      <w:pPr>
        <w:shd w:val="clear" w:color="auto" w:fill="FFFFFF"/>
        <w:tabs>
          <w:tab w:val="left" w:pos="709"/>
        </w:tabs>
        <w:spacing w:before="80"/>
        <w:ind w:left="709" w:hanging="425"/>
        <w:rPr>
          <w:rFonts w:cs="Arial"/>
          <w:sz w:val="22"/>
        </w:rPr>
      </w:pPr>
      <w:r w:rsidRPr="00C50A0D">
        <w:rPr>
          <w:rFonts w:cs="Arial"/>
          <w:i/>
          <w:sz w:val="22"/>
          <w:lang w:eastAsia="it-CH"/>
        </w:rPr>
        <w:t>(4)</w:t>
      </w:r>
      <w:r w:rsidRPr="00C50A0D">
        <w:rPr>
          <w:rFonts w:cs="Arial"/>
          <w:i/>
          <w:sz w:val="22"/>
          <w:lang w:eastAsia="it-CH"/>
        </w:rPr>
        <w:tab/>
        <w:t>i proventi dell’imposta di circolazione confluiscano in un «conto mobilità» (sul modello del FOSTRA a livello federale)</w:t>
      </w:r>
      <w:r w:rsidRPr="00C50A0D">
        <w:rPr>
          <w:rFonts w:cs="Arial"/>
          <w:sz w:val="22"/>
        </w:rPr>
        <w:t>;</w:t>
      </w:r>
    </w:p>
    <w:p w:rsidR="00AC240C" w:rsidRPr="00C50A0D" w:rsidRDefault="00AC240C" w:rsidP="00AC240C">
      <w:pPr>
        <w:tabs>
          <w:tab w:val="left" w:pos="284"/>
          <w:tab w:val="left" w:pos="567"/>
        </w:tabs>
        <w:ind w:left="567" w:hanging="567"/>
        <w:rPr>
          <w:rFonts w:cs="Arial"/>
          <w:szCs w:val="24"/>
        </w:rPr>
      </w:pPr>
    </w:p>
    <w:p w:rsidR="00AC240C" w:rsidRPr="00C50A0D" w:rsidRDefault="00AC240C" w:rsidP="00AC240C">
      <w:pPr>
        <w:tabs>
          <w:tab w:val="left" w:pos="284"/>
          <w:tab w:val="left" w:pos="567"/>
        </w:tabs>
        <w:ind w:left="284" w:hanging="284"/>
        <w:rPr>
          <w:rFonts w:cs="Arial"/>
          <w:szCs w:val="24"/>
        </w:rPr>
      </w:pPr>
      <w:r w:rsidRPr="00C50A0D">
        <w:rPr>
          <w:rFonts w:cs="Arial"/>
          <w:szCs w:val="24"/>
        </w:rPr>
        <w:t>-</w:t>
      </w:r>
      <w:r w:rsidRPr="00C50A0D">
        <w:rPr>
          <w:rFonts w:cs="Arial"/>
          <w:szCs w:val="24"/>
        </w:rPr>
        <w:tab/>
        <w:t xml:space="preserve">richiamato l'articolo </w:t>
      </w:r>
      <w:r w:rsidR="00C50A0D" w:rsidRPr="00C50A0D">
        <w:rPr>
          <w:rFonts w:cs="Arial"/>
          <w:szCs w:val="24"/>
        </w:rPr>
        <w:t>3</w:t>
      </w:r>
      <w:r w:rsidRPr="00C50A0D">
        <w:rPr>
          <w:rFonts w:cs="Arial"/>
          <w:szCs w:val="24"/>
        </w:rPr>
        <w:t xml:space="preserve">8 della Costituzione cantonale del 14 dicembre 1997 e la Legge sull'esercizio dei diritti politici del 7 ottobre 1998; </w:t>
      </w:r>
    </w:p>
    <w:p w:rsidR="00AC240C" w:rsidRPr="00C50A0D" w:rsidRDefault="00AC240C" w:rsidP="00AC240C">
      <w:pPr>
        <w:tabs>
          <w:tab w:val="left" w:pos="284"/>
          <w:tab w:val="left" w:pos="567"/>
        </w:tabs>
        <w:ind w:left="284" w:hanging="284"/>
        <w:rPr>
          <w:rFonts w:cs="Arial"/>
          <w:szCs w:val="24"/>
        </w:rPr>
      </w:pPr>
    </w:p>
    <w:p w:rsidR="00AC240C" w:rsidRPr="00C50A0D" w:rsidRDefault="00AC240C" w:rsidP="00AC240C">
      <w:pPr>
        <w:tabs>
          <w:tab w:val="left" w:pos="284"/>
          <w:tab w:val="left" w:pos="567"/>
        </w:tabs>
        <w:ind w:left="284" w:hanging="284"/>
        <w:rPr>
          <w:rFonts w:cs="Arial"/>
          <w:szCs w:val="24"/>
        </w:rPr>
      </w:pPr>
      <w:r w:rsidRPr="00C50A0D">
        <w:rPr>
          <w:rFonts w:cs="Arial"/>
          <w:szCs w:val="24"/>
        </w:rPr>
        <w:t>-</w:t>
      </w:r>
      <w:r w:rsidRPr="00C50A0D">
        <w:rPr>
          <w:rFonts w:cs="Arial"/>
          <w:szCs w:val="24"/>
        </w:rPr>
        <w:tab/>
        <w:t>visto il rapporto 27 marzo 2018 della Commissione della gestione e delle finanze;</w:t>
      </w:r>
    </w:p>
    <w:p w:rsidR="00AC240C" w:rsidRPr="00C50A0D" w:rsidRDefault="00AC240C" w:rsidP="00AC240C">
      <w:pPr>
        <w:tabs>
          <w:tab w:val="left" w:pos="284"/>
          <w:tab w:val="left" w:pos="567"/>
        </w:tabs>
        <w:ind w:left="284" w:hanging="284"/>
        <w:rPr>
          <w:rFonts w:cs="Arial"/>
          <w:szCs w:val="24"/>
        </w:rPr>
      </w:pPr>
    </w:p>
    <w:p w:rsidR="00AC240C" w:rsidRPr="00C50A0D" w:rsidRDefault="00AC240C" w:rsidP="00AC240C">
      <w:pPr>
        <w:tabs>
          <w:tab w:val="left" w:pos="284"/>
          <w:tab w:val="left" w:pos="567"/>
        </w:tabs>
        <w:ind w:left="284" w:hanging="284"/>
        <w:rPr>
          <w:rFonts w:cs="Arial"/>
          <w:szCs w:val="24"/>
        </w:rPr>
      </w:pPr>
      <w:r w:rsidRPr="00C50A0D">
        <w:rPr>
          <w:rFonts w:cs="Arial"/>
          <w:szCs w:val="24"/>
        </w:rPr>
        <w:t>-</w:t>
      </w:r>
      <w:r w:rsidRPr="00C50A0D">
        <w:rPr>
          <w:rFonts w:cs="Arial"/>
          <w:szCs w:val="24"/>
        </w:rPr>
        <w:tab/>
        <w:t>dopo discussione,</w:t>
      </w:r>
    </w:p>
    <w:p w:rsidR="00AC240C" w:rsidRPr="00C50A0D" w:rsidRDefault="00AC240C" w:rsidP="00AC240C">
      <w:pPr>
        <w:tabs>
          <w:tab w:val="left" w:pos="284"/>
          <w:tab w:val="left" w:pos="567"/>
        </w:tabs>
        <w:rPr>
          <w:rFonts w:cs="Arial"/>
          <w:szCs w:val="24"/>
        </w:rPr>
      </w:pPr>
    </w:p>
    <w:p w:rsidR="00AC240C" w:rsidRPr="00C50A0D" w:rsidRDefault="00AC240C" w:rsidP="00AC240C">
      <w:pPr>
        <w:tabs>
          <w:tab w:val="left" w:pos="284"/>
          <w:tab w:val="left" w:pos="567"/>
        </w:tabs>
        <w:rPr>
          <w:rFonts w:cs="Arial"/>
          <w:szCs w:val="24"/>
        </w:rPr>
      </w:pPr>
    </w:p>
    <w:p w:rsidR="00AC240C" w:rsidRPr="00C50A0D" w:rsidRDefault="00AC240C" w:rsidP="00AC240C">
      <w:pPr>
        <w:rPr>
          <w:rFonts w:cs="Arial"/>
          <w:b/>
          <w:bCs/>
          <w:szCs w:val="24"/>
        </w:rPr>
      </w:pPr>
      <w:r w:rsidRPr="00C50A0D">
        <w:rPr>
          <w:rFonts w:cs="Arial"/>
          <w:b/>
          <w:bCs/>
          <w:szCs w:val="24"/>
        </w:rPr>
        <w:t xml:space="preserve">d e c </w:t>
      </w:r>
      <w:r w:rsidR="005B5B77">
        <w:rPr>
          <w:rFonts w:cs="Arial"/>
          <w:b/>
          <w:bCs/>
          <w:szCs w:val="24"/>
        </w:rPr>
        <w:t xml:space="preserve">i d </w:t>
      </w:r>
      <w:r w:rsidRPr="00C50A0D">
        <w:rPr>
          <w:rFonts w:cs="Arial"/>
          <w:b/>
          <w:bCs/>
          <w:szCs w:val="24"/>
        </w:rPr>
        <w:t xml:space="preserve">e : </w:t>
      </w:r>
    </w:p>
    <w:p w:rsidR="00AC240C" w:rsidRPr="00C50A0D" w:rsidRDefault="00AC240C" w:rsidP="00AC240C">
      <w:pPr>
        <w:rPr>
          <w:rFonts w:cs="Arial"/>
          <w:szCs w:val="24"/>
        </w:rPr>
      </w:pPr>
    </w:p>
    <w:p w:rsidR="00AC240C" w:rsidRPr="00C50A0D" w:rsidRDefault="00AC240C" w:rsidP="00AC240C">
      <w:pPr>
        <w:rPr>
          <w:rFonts w:cs="Arial"/>
          <w:szCs w:val="24"/>
        </w:rPr>
      </w:pPr>
    </w:p>
    <w:p w:rsidR="00AC240C" w:rsidRPr="00C50A0D" w:rsidRDefault="00AC240C" w:rsidP="00AC240C">
      <w:pPr>
        <w:spacing w:after="120"/>
        <w:rPr>
          <w:rFonts w:cs="Arial"/>
          <w:b/>
          <w:szCs w:val="24"/>
        </w:rPr>
      </w:pPr>
      <w:r w:rsidRPr="00C50A0D">
        <w:rPr>
          <w:rFonts w:cs="Arial"/>
          <w:b/>
          <w:szCs w:val="24"/>
        </w:rPr>
        <w:t>I.</w:t>
      </w:r>
    </w:p>
    <w:p w:rsidR="00AC240C" w:rsidRPr="00C50A0D" w:rsidRDefault="00AC240C" w:rsidP="00AC240C">
      <w:pPr>
        <w:rPr>
          <w:rFonts w:cs="Arial"/>
          <w:szCs w:val="24"/>
        </w:rPr>
      </w:pPr>
      <w:r w:rsidRPr="00C50A0D">
        <w:rPr>
          <w:rFonts w:cs="Arial"/>
          <w:szCs w:val="24"/>
        </w:rPr>
        <w:t>L'iniziativa popolare legislativa generica 12 maggio 2017 "</w:t>
      </w:r>
      <w:r w:rsidRPr="00C50A0D">
        <w:rPr>
          <w:rFonts w:cs="Arial"/>
          <w:iCs/>
          <w:szCs w:val="24"/>
        </w:rPr>
        <w:t>Per un’imposta di circolazione più giusta</w:t>
      </w:r>
      <w:r w:rsidR="00C50A0D">
        <w:rPr>
          <w:rFonts w:cs="Arial"/>
          <w:iCs/>
          <w:szCs w:val="24"/>
        </w:rPr>
        <w:t>!”</w:t>
      </w:r>
      <w:r w:rsidRPr="00C50A0D">
        <w:rPr>
          <w:rFonts w:cs="Arial"/>
          <w:szCs w:val="24"/>
        </w:rPr>
        <w:t xml:space="preserve"> è dichiarata ricevibile.</w:t>
      </w:r>
    </w:p>
    <w:p w:rsidR="005B5B77" w:rsidRPr="00855857" w:rsidRDefault="005B5B77" w:rsidP="005B5B77">
      <w:pPr>
        <w:rPr>
          <w:rFonts w:cs="Arial"/>
          <w:szCs w:val="24"/>
        </w:rPr>
      </w:pPr>
    </w:p>
    <w:p w:rsidR="005B5B77" w:rsidRPr="00855857" w:rsidRDefault="005B5B77" w:rsidP="005B5B77">
      <w:pPr>
        <w:rPr>
          <w:rFonts w:cs="Arial"/>
          <w:szCs w:val="24"/>
        </w:rPr>
      </w:pPr>
    </w:p>
    <w:p w:rsidR="005B5B77" w:rsidRPr="002728D3" w:rsidRDefault="005B5B77" w:rsidP="005B5B77">
      <w:pPr>
        <w:spacing w:after="120"/>
        <w:rPr>
          <w:rFonts w:cs="Arial"/>
          <w:b/>
          <w:szCs w:val="24"/>
        </w:rPr>
      </w:pPr>
      <w:r w:rsidRPr="002728D3">
        <w:rPr>
          <w:rFonts w:cs="Arial"/>
          <w:b/>
          <w:szCs w:val="24"/>
        </w:rPr>
        <w:t>II.</w:t>
      </w:r>
    </w:p>
    <w:p w:rsidR="005B5B77" w:rsidRPr="002728D3" w:rsidRDefault="005B5B77" w:rsidP="005B5B77">
      <w:pPr>
        <w:rPr>
          <w:rFonts w:cs="Arial"/>
          <w:szCs w:val="24"/>
        </w:rPr>
      </w:pPr>
      <w:r w:rsidRPr="002728D3">
        <w:rPr>
          <w:rFonts w:cs="Arial"/>
          <w:szCs w:val="24"/>
        </w:rPr>
        <w:t>La presente decisione è pubblicata nel Foglio ufficiale.</w:t>
      </w:r>
    </w:p>
    <w:p w:rsidR="005B5B77" w:rsidRPr="002728D3" w:rsidRDefault="005B5B77" w:rsidP="005B5B77">
      <w:pPr>
        <w:rPr>
          <w:rFonts w:cs="Arial"/>
          <w:szCs w:val="24"/>
        </w:rPr>
      </w:pPr>
    </w:p>
    <w:p w:rsidR="005B5B77" w:rsidRPr="002728D3" w:rsidRDefault="005B5B77" w:rsidP="005B5B77">
      <w:pPr>
        <w:rPr>
          <w:rFonts w:cs="Arial"/>
          <w:szCs w:val="24"/>
        </w:rPr>
      </w:pPr>
    </w:p>
    <w:p w:rsidR="005B5B77" w:rsidRPr="002728D3" w:rsidRDefault="005B5B77" w:rsidP="005B5B77">
      <w:pPr>
        <w:spacing w:after="120"/>
        <w:rPr>
          <w:rFonts w:cs="Arial"/>
          <w:b/>
          <w:szCs w:val="24"/>
        </w:rPr>
      </w:pPr>
      <w:r w:rsidRPr="002728D3">
        <w:rPr>
          <w:rFonts w:cs="Arial"/>
          <w:b/>
          <w:szCs w:val="24"/>
        </w:rPr>
        <w:t>II.</w:t>
      </w:r>
    </w:p>
    <w:p w:rsidR="005B5B77" w:rsidRPr="002728D3" w:rsidRDefault="005B5B77" w:rsidP="005B5B77">
      <w:pPr>
        <w:rPr>
          <w:rFonts w:cs="Arial"/>
          <w:szCs w:val="24"/>
        </w:rPr>
      </w:pPr>
      <w:r w:rsidRPr="002728D3">
        <w:rPr>
          <w:rFonts w:cs="Arial"/>
          <w:szCs w:val="24"/>
        </w:rPr>
        <w:t>Contro la presente decisione è dato ricorso in materia di diritto pubblico (a</w:t>
      </w:r>
      <w:r w:rsidR="003946F4">
        <w:rPr>
          <w:rFonts w:cs="Arial"/>
          <w:szCs w:val="24"/>
        </w:rPr>
        <w:t>rt. 82 e segg. della Legge sul T</w:t>
      </w:r>
      <w:r w:rsidRPr="002728D3">
        <w:rPr>
          <w:rFonts w:cs="Arial"/>
          <w:szCs w:val="24"/>
        </w:rPr>
        <w:t>ribunale federale del 17</w:t>
      </w:r>
      <w:r>
        <w:rPr>
          <w:rFonts w:cs="Arial"/>
          <w:szCs w:val="24"/>
        </w:rPr>
        <w:t xml:space="preserve"> giugno </w:t>
      </w:r>
      <w:r w:rsidRPr="002728D3">
        <w:rPr>
          <w:rFonts w:cs="Arial"/>
          <w:szCs w:val="24"/>
        </w:rPr>
        <w:t>2005) al Tribunale federale, Losanna.</w:t>
      </w:r>
    </w:p>
    <w:p w:rsidR="005B5B77" w:rsidRPr="002728D3" w:rsidRDefault="005B5B77" w:rsidP="005B5B77">
      <w:pPr>
        <w:spacing w:after="120"/>
        <w:rPr>
          <w:rFonts w:cs="Arial"/>
          <w:szCs w:val="24"/>
        </w:rPr>
      </w:pPr>
    </w:p>
    <w:sectPr w:rsidR="005B5B77" w:rsidRPr="002728D3" w:rsidSect="008B4137">
      <w:footerReference w:type="default" r:id="rId9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10A" w:rsidRDefault="004A310A" w:rsidP="008E77C6">
      <w:r>
        <w:separator/>
      </w:r>
    </w:p>
  </w:endnote>
  <w:endnote w:type="continuationSeparator" w:id="0">
    <w:p w:rsidR="004A310A" w:rsidRDefault="004A310A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1966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8E77C6" w:rsidRPr="008E77C6" w:rsidRDefault="008E77C6">
        <w:pPr>
          <w:pStyle w:val="Pidipagina"/>
          <w:jc w:val="center"/>
          <w:rPr>
            <w:sz w:val="20"/>
            <w:szCs w:val="20"/>
          </w:rPr>
        </w:pPr>
        <w:r w:rsidRPr="008E77C6">
          <w:rPr>
            <w:sz w:val="20"/>
            <w:szCs w:val="20"/>
          </w:rPr>
          <w:fldChar w:fldCharType="begin"/>
        </w:r>
        <w:r w:rsidRPr="008E77C6">
          <w:rPr>
            <w:sz w:val="20"/>
            <w:szCs w:val="20"/>
          </w:rPr>
          <w:instrText>PAGE   \* MERGEFORMAT</w:instrText>
        </w:r>
        <w:r w:rsidRPr="008E77C6">
          <w:rPr>
            <w:sz w:val="20"/>
            <w:szCs w:val="20"/>
          </w:rPr>
          <w:fldChar w:fldCharType="separate"/>
        </w:r>
        <w:r w:rsidR="00137135" w:rsidRPr="00137135">
          <w:rPr>
            <w:noProof/>
            <w:sz w:val="20"/>
            <w:szCs w:val="20"/>
            <w:lang w:val="it-IT"/>
          </w:rPr>
          <w:t>1</w:t>
        </w:r>
        <w:r w:rsidRPr="008E77C6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10A" w:rsidRDefault="004A310A" w:rsidP="008E77C6">
      <w:r>
        <w:separator/>
      </w:r>
    </w:p>
  </w:footnote>
  <w:footnote w:type="continuationSeparator" w:id="0">
    <w:p w:rsidR="004A310A" w:rsidRDefault="004A310A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81BC2"/>
    <w:multiLevelType w:val="hybridMultilevel"/>
    <w:tmpl w:val="E474FBCC"/>
    <w:lvl w:ilvl="0" w:tplc="D8640F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EEC4F49"/>
    <w:multiLevelType w:val="hybridMultilevel"/>
    <w:tmpl w:val="76EA4DD0"/>
    <w:lvl w:ilvl="0" w:tplc="B1F0CA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886E9E"/>
    <w:multiLevelType w:val="hybridMultilevel"/>
    <w:tmpl w:val="F32449FC"/>
    <w:lvl w:ilvl="0" w:tplc="CED2E1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8F607A"/>
    <w:multiLevelType w:val="hybridMultilevel"/>
    <w:tmpl w:val="24BA54A2"/>
    <w:lvl w:ilvl="0" w:tplc="393890E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37"/>
    <w:rsid w:val="00076E70"/>
    <w:rsid w:val="00137135"/>
    <w:rsid w:val="00260C8C"/>
    <w:rsid w:val="002E5E40"/>
    <w:rsid w:val="003946F4"/>
    <w:rsid w:val="004A310A"/>
    <w:rsid w:val="004D4E3A"/>
    <w:rsid w:val="0052425A"/>
    <w:rsid w:val="005415A8"/>
    <w:rsid w:val="00586A8D"/>
    <w:rsid w:val="005B0D3F"/>
    <w:rsid w:val="005B5B77"/>
    <w:rsid w:val="006D7A3B"/>
    <w:rsid w:val="007A2068"/>
    <w:rsid w:val="007B5462"/>
    <w:rsid w:val="008034BD"/>
    <w:rsid w:val="00825378"/>
    <w:rsid w:val="00853389"/>
    <w:rsid w:val="00876352"/>
    <w:rsid w:val="008B4137"/>
    <w:rsid w:val="008C767A"/>
    <w:rsid w:val="008E77C6"/>
    <w:rsid w:val="009770BB"/>
    <w:rsid w:val="009E008D"/>
    <w:rsid w:val="00A5465F"/>
    <w:rsid w:val="00A77678"/>
    <w:rsid w:val="00AC240C"/>
    <w:rsid w:val="00BC4C95"/>
    <w:rsid w:val="00BD5944"/>
    <w:rsid w:val="00C50A0D"/>
    <w:rsid w:val="00CF6858"/>
    <w:rsid w:val="00D377B5"/>
    <w:rsid w:val="00D93B31"/>
    <w:rsid w:val="00E5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uiPriority w:val="59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2537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253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uiPriority w:val="59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2537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253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4D09F-7E98-4D86-91B4-81BC73EEA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11</cp:revision>
  <cp:lastPrinted>2018-04-04T08:58:00Z</cp:lastPrinted>
  <dcterms:created xsi:type="dcterms:W3CDTF">2018-03-27T14:36:00Z</dcterms:created>
  <dcterms:modified xsi:type="dcterms:W3CDTF">2018-04-04T09:57:00Z</dcterms:modified>
</cp:coreProperties>
</file>