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162" w:rsidRDefault="00D21162" w:rsidP="00D21162">
      <w:pPr>
        <w:pStyle w:val="Testopreformattato"/>
        <w:tabs>
          <w:tab w:val="left" w:pos="284"/>
          <w:tab w:val="left" w:pos="567"/>
        </w:tabs>
        <w:spacing w:after="120"/>
        <w:rPr>
          <w:rFonts w:ascii="Arial" w:hAnsi="Arial" w:cs="Arial"/>
          <w:b/>
          <w:bCs/>
          <w:sz w:val="23"/>
          <w:szCs w:val="23"/>
          <w:lang w:val="it-IT"/>
        </w:rPr>
      </w:pPr>
      <w:r w:rsidRPr="00CE03A0">
        <w:rPr>
          <w:rFonts w:ascii="Arial" w:hAnsi="Arial" w:cs="Arial"/>
          <w:b/>
          <w:bCs/>
          <w:sz w:val="23"/>
          <w:szCs w:val="23"/>
          <w:lang w:val="it-IT"/>
        </w:rPr>
        <w:t xml:space="preserve">MOZIONE 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rPr>
          <w:rFonts w:ascii="Arial" w:hAnsi="Arial" w:cs="Arial"/>
          <w:b/>
          <w:bCs/>
          <w:sz w:val="23"/>
          <w:szCs w:val="23"/>
          <w:lang w:val="it-IT"/>
        </w:rPr>
      </w:pPr>
    </w:p>
    <w:p w:rsidR="00D21162" w:rsidRPr="006B2242" w:rsidRDefault="00D21162" w:rsidP="00D21162">
      <w:pPr>
        <w:pStyle w:val="Testopreformattato"/>
        <w:tabs>
          <w:tab w:val="left" w:pos="284"/>
          <w:tab w:val="left" w:pos="567"/>
        </w:tabs>
        <w:spacing w:after="120"/>
        <w:rPr>
          <w:rFonts w:ascii="Arial" w:hAnsi="Arial" w:cs="Arial"/>
          <w:sz w:val="23"/>
          <w:szCs w:val="23"/>
          <w:u w:val="single"/>
          <w:lang w:val="it-IT"/>
        </w:rPr>
      </w:pPr>
      <w:r w:rsidRPr="006B2242">
        <w:rPr>
          <w:rFonts w:ascii="Arial" w:hAnsi="Arial" w:cs="Arial"/>
          <w:b/>
          <w:bCs/>
          <w:sz w:val="23"/>
          <w:szCs w:val="23"/>
          <w:u w:val="single"/>
          <w:lang w:val="it-IT"/>
        </w:rPr>
        <w:t xml:space="preserve">Panama </w:t>
      </w:r>
      <w:proofErr w:type="spellStart"/>
      <w:r w:rsidRPr="006B2242">
        <w:rPr>
          <w:rFonts w:ascii="Arial" w:hAnsi="Arial" w:cs="Arial"/>
          <w:b/>
          <w:bCs/>
          <w:sz w:val="23"/>
          <w:szCs w:val="23"/>
          <w:u w:val="single"/>
          <w:lang w:val="it-IT"/>
        </w:rPr>
        <w:t>Papers</w:t>
      </w:r>
      <w:proofErr w:type="spellEnd"/>
      <w:r w:rsidRPr="006B2242">
        <w:rPr>
          <w:rFonts w:ascii="Arial" w:hAnsi="Arial" w:cs="Arial"/>
          <w:b/>
          <w:bCs/>
          <w:sz w:val="23"/>
          <w:szCs w:val="23"/>
          <w:u w:val="single"/>
          <w:lang w:val="it-IT"/>
        </w:rPr>
        <w:t>: applicare il diritto fiscale e penale svizzeri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rPr>
          <w:rFonts w:ascii="Arial" w:hAnsi="Arial" w:cs="Arial"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  <w:lang w:val="it-IT"/>
        </w:rPr>
        <w:t>del 6 giugno 2016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rPr>
          <w:rFonts w:ascii="Arial" w:hAnsi="Arial" w:cs="Arial"/>
          <w:b/>
          <w:sz w:val="23"/>
          <w:szCs w:val="23"/>
          <w:lang w:val="it-IT"/>
        </w:rPr>
      </w:pP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rPr>
          <w:rFonts w:ascii="Arial" w:hAnsi="Arial" w:cs="Arial"/>
          <w:b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rPr>
          <w:rFonts w:ascii="Arial" w:hAnsi="Arial" w:cs="Arial"/>
          <w:b/>
          <w:sz w:val="23"/>
          <w:szCs w:val="23"/>
          <w:lang w:val="it-IT"/>
        </w:rPr>
      </w:pPr>
      <w:r w:rsidRPr="00CE03A0">
        <w:rPr>
          <w:rFonts w:ascii="Arial" w:hAnsi="Arial" w:cs="Arial"/>
          <w:b/>
          <w:sz w:val="23"/>
          <w:szCs w:val="23"/>
          <w:lang w:val="it-IT"/>
        </w:rPr>
        <w:t>Motivazione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La pubblicazione parziale dei Panama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 ha fatto emergere un vasto sistema di «trusts» e di società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bucalettere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 usate per celare i reali possessori o beneficiari economici di capitali.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È necessario sottolineare che queste soluzioni non sono per sé stesse illegali.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Ciononostante, possono servire per evadere il fisco o per riciclare denaro sporco. Inoltre, i resoconti dei media hanno chiaramente mostrato come una buona parte di queste società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bucalettere</w:t>
      </w:r>
      <w:proofErr w:type="spellEnd"/>
      <w:r>
        <w:rPr>
          <w:rFonts w:ascii="Arial" w:hAnsi="Arial" w:cs="Arial"/>
          <w:bCs/>
          <w:sz w:val="23"/>
          <w:szCs w:val="23"/>
          <w:lang w:val="it-IT"/>
        </w:rPr>
        <w:t xml:space="preserve"> </w:t>
      </w: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domiciliate in paradisi fiscali come Panama, vengano in realtà gestite dalla Svizzera e, come emerso recentemente, anche dal Ticino. 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In questi casi, dovrebbero pagare delle imposte in Svizzera e andrebbe applicata la legge fiscale svizzera. 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Per questo motivo, sarebbe importante che il Ministero Pubblico o l'Autorità fiscale cantonale possano disporre di tutte le informazioni relative ai Panama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 senza doversi appoggiare unicamente a quelle fornite dai media.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Una soluzione basata su un'informazione facilitata potrebbe svelare la situazione fiscale di certi «clienti di Panama»; ad esempio potrebbe essere sufficiente un controllo semplificato degli aventi diritto economico per le società offshore che figurano nei Panama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>.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I poteri pubblici sono invitati a presentare una soluzione che permetta di avviare un'inchiesta penale in merito ai Panama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. 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È infatti anche nell'interesse delle persone coinvolte (che non desiderano essere messe alla berlina inavvertitamente o erroneamente) e della piazza finanziaria svizzera e di quella ticinese fare luce al più presto su questa questione.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Il </w:t>
      </w:r>
      <w:r>
        <w:rPr>
          <w:rFonts w:ascii="Arial" w:hAnsi="Arial" w:cs="Arial"/>
          <w:bCs/>
          <w:sz w:val="23"/>
          <w:szCs w:val="23"/>
          <w:lang w:val="it-IT"/>
        </w:rPr>
        <w:t>M</w:t>
      </w: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inistero pubblico di New York ha avviato una procedura e una presa di contatto con l'«International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Consortium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 of Investigative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Journalists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» (ICIJ). Presso il Parlamento Europeo è stata richiesta la creazione di una Commissione d'inchiesta incaricata di indagare sui Panama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. </w:t>
      </w: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Il Gran Consiglio al momento attuale non sa ancora quali possibilità d'azione siano già state identificate o pianificate, ma una delle possibili soluzione potrebbe essere un esposto del Consiglio di Stato al </w:t>
      </w:r>
      <w:r>
        <w:rPr>
          <w:rFonts w:ascii="Arial" w:hAnsi="Arial" w:cs="Arial"/>
          <w:bCs/>
          <w:sz w:val="23"/>
          <w:szCs w:val="23"/>
          <w:lang w:val="it-IT"/>
        </w:rPr>
        <w:t>M</w:t>
      </w:r>
      <w:r w:rsidRPr="00CE03A0">
        <w:rPr>
          <w:rFonts w:ascii="Arial" w:hAnsi="Arial" w:cs="Arial"/>
          <w:bCs/>
          <w:sz w:val="23"/>
          <w:szCs w:val="23"/>
          <w:lang w:val="it-IT"/>
        </w:rPr>
        <w:t>inistero pubblico.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spacing w:after="240"/>
        <w:jc w:val="both"/>
        <w:rPr>
          <w:rFonts w:ascii="Arial" w:hAnsi="Arial" w:cs="Arial"/>
          <w:sz w:val="23"/>
          <w:szCs w:val="23"/>
          <w:lang w:val="it-IT"/>
        </w:rPr>
      </w:pPr>
      <w:r w:rsidRPr="00CE03A0">
        <w:rPr>
          <w:rFonts w:ascii="Arial" w:hAnsi="Arial" w:cs="Arial"/>
          <w:sz w:val="23"/>
          <w:szCs w:val="23"/>
          <w:lang w:val="it-IT"/>
        </w:rPr>
        <w:t>Con la seguente mozione invitiamo il Consiglio di Stato: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3"/>
          <w:szCs w:val="23"/>
          <w:lang w:val="it-IT"/>
        </w:rPr>
      </w:pPr>
      <w:r w:rsidRPr="00CE03A0">
        <w:rPr>
          <w:rFonts w:ascii="Arial" w:hAnsi="Arial" w:cs="Arial"/>
          <w:sz w:val="23"/>
          <w:szCs w:val="23"/>
          <w:lang w:val="it-IT"/>
        </w:rPr>
        <w:t>1</w:t>
      </w:r>
      <w:r>
        <w:rPr>
          <w:rFonts w:ascii="Arial" w:hAnsi="Arial" w:cs="Arial"/>
          <w:sz w:val="23"/>
          <w:szCs w:val="23"/>
          <w:lang w:val="it-IT"/>
        </w:rPr>
        <w:t>.</w:t>
      </w:r>
      <w:r>
        <w:rPr>
          <w:rFonts w:ascii="Arial" w:hAnsi="Arial" w:cs="Arial"/>
          <w:sz w:val="23"/>
          <w:szCs w:val="23"/>
          <w:lang w:val="it-IT"/>
        </w:rPr>
        <w:tab/>
        <w:t>a</w:t>
      </w:r>
      <w:r w:rsidRPr="00CE03A0">
        <w:rPr>
          <w:rFonts w:ascii="Arial" w:hAnsi="Arial" w:cs="Arial"/>
          <w:sz w:val="23"/>
          <w:szCs w:val="23"/>
          <w:lang w:val="it-IT"/>
        </w:rPr>
        <w:t xml:space="preserve"> fare in modo che alle Autorità cantonali, in particolare alla Divisione delle </w:t>
      </w:r>
      <w:r>
        <w:rPr>
          <w:rFonts w:ascii="Arial" w:hAnsi="Arial" w:cs="Arial"/>
          <w:sz w:val="23"/>
          <w:szCs w:val="23"/>
          <w:lang w:val="it-IT"/>
        </w:rPr>
        <w:t>c</w:t>
      </w:r>
      <w:r w:rsidRPr="00CE03A0">
        <w:rPr>
          <w:rFonts w:ascii="Arial" w:hAnsi="Arial" w:cs="Arial"/>
          <w:sz w:val="23"/>
          <w:szCs w:val="23"/>
          <w:lang w:val="it-IT"/>
        </w:rPr>
        <w:t xml:space="preserve">ontribuzioni e alle Autorità giudiziarie, sia accordato l'accesso ai documenti denominati Panama </w:t>
      </w:r>
      <w:proofErr w:type="spellStart"/>
      <w:r w:rsidRPr="00CE03A0">
        <w:rPr>
          <w:rFonts w:ascii="Arial" w:hAnsi="Arial" w:cs="Arial"/>
          <w:sz w:val="23"/>
          <w:szCs w:val="23"/>
          <w:lang w:val="it-IT"/>
        </w:rPr>
        <w:t>Papers</w:t>
      </w:r>
      <w:proofErr w:type="spellEnd"/>
      <w:r w:rsidRPr="00CE03A0">
        <w:rPr>
          <w:rFonts w:ascii="Arial" w:hAnsi="Arial" w:cs="Arial"/>
          <w:sz w:val="23"/>
          <w:szCs w:val="23"/>
          <w:lang w:val="it-IT"/>
        </w:rPr>
        <w:t>, se necessario con il sostegno della Confederazione e in collaborazione con altri Cantoni o Stati;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sz w:val="23"/>
          <w:szCs w:val="23"/>
          <w:lang w:val="it-IT"/>
        </w:rPr>
      </w:pP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3"/>
          <w:szCs w:val="23"/>
          <w:lang w:val="it-IT"/>
        </w:rPr>
      </w:pPr>
      <w:r w:rsidRPr="00CE03A0">
        <w:rPr>
          <w:rFonts w:ascii="Arial" w:hAnsi="Arial" w:cs="Arial"/>
          <w:sz w:val="23"/>
          <w:szCs w:val="23"/>
          <w:lang w:val="it-IT"/>
        </w:rPr>
        <w:lastRenderedPageBreak/>
        <w:t>2</w:t>
      </w:r>
      <w:r>
        <w:rPr>
          <w:rFonts w:ascii="Arial" w:hAnsi="Arial" w:cs="Arial"/>
          <w:sz w:val="23"/>
          <w:szCs w:val="23"/>
          <w:lang w:val="it-IT"/>
        </w:rPr>
        <w:t>.</w:t>
      </w:r>
      <w:r>
        <w:rPr>
          <w:rFonts w:ascii="Arial" w:hAnsi="Arial" w:cs="Arial"/>
          <w:sz w:val="23"/>
          <w:szCs w:val="23"/>
          <w:lang w:val="it-IT"/>
        </w:rPr>
        <w:tab/>
        <w:t>a</w:t>
      </w:r>
      <w:r w:rsidRPr="00CE03A0">
        <w:rPr>
          <w:rFonts w:ascii="Arial" w:hAnsi="Arial" w:cs="Arial"/>
          <w:sz w:val="23"/>
          <w:szCs w:val="23"/>
          <w:lang w:val="it-IT"/>
        </w:rPr>
        <w:t xml:space="preserve"> controllare se, sulla base dei dati ricavati, esistano degli indizi relativi a sottrazioni fiscali e/o di frode fiscale e/o riciclaggio da parte di persone giuridiche o fisiche domiciliate o residenti in Canton</w:t>
      </w:r>
      <w:r>
        <w:rPr>
          <w:rFonts w:ascii="Arial" w:hAnsi="Arial" w:cs="Arial"/>
          <w:sz w:val="23"/>
          <w:szCs w:val="23"/>
          <w:lang w:val="it-IT"/>
        </w:rPr>
        <w:t>e</w:t>
      </w:r>
      <w:r w:rsidRPr="00CE03A0">
        <w:rPr>
          <w:rFonts w:ascii="Arial" w:hAnsi="Arial" w:cs="Arial"/>
          <w:sz w:val="23"/>
          <w:szCs w:val="23"/>
          <w:lang w:val="it-IT"/>
        </w:rPr>
        <w:t xml:space="preserve"> Ticino.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 xml:space="preserve">Per il Gruppo </w:t>
      </w:r>
      <w:r>
        <w:rPr>
          <w:rFonts w:ascii="Arial" w:hAnsi="Arial" w:cs="Arial"/>
          <w:bCs/>
          <w:sz w:val="23"/>
          <w:szCs w:val="23"/>
          <w:lang w:val="it-IT"/>
        </w:rPr>
        <w:t>s</w:t>
      </w:r>
      <w:r w:rsidRPr="00CE03A0">
        <w:rPr>
          <w:rFonts w:ascii="Arial" w:hAnsi="Arial" w:cs="Arial"/>
          <w:bCs/>
          <w:sz w:val="23"/>
          <w:szCs w:val="23"/>
          <w:lang w:val="it-IT"/>
        </w:rPr>
        <w:t>ocialista</w:t>
      </w:r>
      <w:bookmarkStart w:id="0" w:name="_GoBack"/>
      <w:bookmarkEnd w:id="0"/>
    </w:p>
    <w:p w:rsidR="00D21162" w:rsidRPr="00CE03A0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Ivo Durisch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Bosia</w:t>
      </w:r>
      <w:r>
        <w:rPr>
          <w:rFonts w:ascii="Arial" w:hAnsi="Arial" w:cs="Arial"/>
          <w:bCs/>
          <w:sz w:val="23"/>
          <w:szCs w:val="23"/>
          <w:lang w:val="it-IT"/>
        </w:rPr>
        <w:t xml:space="preserve"> Mirra -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Ducry</w:t>
      </w:r>
      <w:proofErr w:type="spellEnd"/>
      <w:r>
        <w:rPr>
          <w:rFonts w:ascii="Arial" w:hAnsi="Arial" w:cs="Arial"/>
          <w:bCs/>
          <w:sz w:val="23"/>
          <w:szCs w:val="23"/>
          <w:lang w:val="it-IT"/>
        </w:rPr>
        <w:t xml:space="preserve"> - </w:t>
      </w:r>
      <w:r w:rsidRPr="00CE03A0">
        <w:rPr>
          <w:rFonts w:ascii="Arial" w:hAnsi="Arial" w:cs="Arial"/>
          <w:bCs/>
          <w:sz w:val="23"/>
          <w:szCs w:val="23"/>
          <w:lang w:val="it-IT"/>
        </w:rPr>
        <w:t>Garobbio</w:t>
      </w:r>
      <w:r>
        <w:rPr>
          <w:rFonts w:ascii="Arial" w:hAnsi="Arial" w:cs="Arial"/>
          <w:bCs/>
          <w:sz w:val="23"/>
          <w:szCs w:val="23"/>
          <w:lang w:val="it-IT"/>
        </w:rPr>
        <w:t xml:space="preserve"> - 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Kandemir Bordoli</w:t>
      </w:r>
      <w:r>
        <w:rPr>
          <w:rFonts w:ascii="Arial" w:hAnsi="Arial" w:cs="Arial"/>
          <w:bCs/>
          <w:sz w:val="23"/>
          <w:szCs w:val="23"/>
          <w:lang w:val="it-IT"/>
        </w:rPr>
        <w:t xml:space="preserve"> - </w:t>
      </w:r>
      <w:proofErr w:type="spellStart"/>
      <w:r w:rsidRPr="00CE03A0">
        <w:rPr>
          <w:rFonts w:ascii="Arial" w:hAnsi="Arial" w:cs="Arial"/>
          <w:bCs/>
          <w:sz w:val="23"/>
          <w:szCs w:val="23"/>
          <w:lang w:val="it-IT"/>
        </w:rPr>
        <w:t>Kappenberger</w:t>
      </w:r>
      <w:proofErr w:type="spellEnd"/>
      <w:r>
        <w:rPr>
          <w:rFonts w:ascii="Arial" w:hAnsi="Arial" w:cs="Arial"/>
          <w:bCs/>
          <w:sz w:val="23"/>
          <w:szCs w:val="23"/>
          <w:lang w:val="it-IT"/>
        </w:rPr>
        <w:t xml:space="preserve"> - 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  <w:r w:rsidRPr="00CE03A0">
        <w:rPr>
          <w:rFonts w:ascii="Arial" w:hAnsi="Arial" w:cs="Arial"/>
          <w:bCs/>
          <w:sz w:val="23"/>
          <w:szCs w:val="23"/>
          <w:lang w:val="it-IT"/>
        </w:rPr>
        <w:t>Lurati</w:t>
      </w:r>
      <w:r>
        <w:rPr>
          <w:rFonts w:ascii="Arial" w:hAnsi="Arial" w:cs="Arial"/>
          <w:bCs/>
          <w:sz w:val="23"/>
          <w:szCs w:val="23"/>
          <w:lang w:val="it-IT"/>
        </w:rPr>
        <w:t xml:space="preserve"> S.</w:t>
      </w:r>
    </w:p>
    <w:p w:rsidR="00D21162" w:rsidRDefault="00D21162" w:rsidP="00D21162">
      <w:pPr>
        <w:pStyle w:val="Testopreformattato"/>
        <w:tabs>
          <w:tab w:val="left" w:pos="284"/>
          <w:tab w:val="left" w:pos="567"/>
        </w:tabs>
        <w:jc w:val="both"/>
        <w:rPr>
          <w:rFonts w:ascii="Arial" w:hAnsi="Arial" w:cs="Arial"/>
          <w:bCs/>
          <w:sz w:val="23"/>
          <w:szCs w:val="23"/>
          <w:lang w:val="it-IT"/>
        </w:rPr>
      </w:pPr>
    </w:p>
    <w:sectPr w:rsidR="00D21162">
      <w:headerReference w:type="default" r:id="rId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1A" w:rsidRDefault="00D21162">
    <w:pPr>
      <w:pStyle w:val="Intestazione"/>
    </w:pPr>
  </w:p>
  <w:p w:rsidR="00920C1A" w:rsidRDefault="00D2116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62"/>
    <w:rsid w:val="009312FE"/>
    <w:rsid w:val="00D2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211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D21162"/>
    <w:pPr>
      <w:widowControl/>
      <w:tabs>
        <w:tab w:val="center" w:pos="4819"/>
        <w:tab w:val="right" w:pos="9638"/>
      </w:tabs>
      <w:autoSpaceDE/>
      <w:autoSpaceDN/>
      <w:adjustRightInd/>
    </w:pPr>
    <w:rPr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2116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customStyle="1" w:styleId="Testopreformattato">
    <w:name w:val="Testo preformattato"/>
    <w:basedOn w:val="Normale"/>
    <w:rsid w:val="00D21162"/>
    <w:pPr>
      <w:suppressAutoHyphens/>
      <w:autoSpaceDE/>
      <w:autoSpaceDN/>
      <w:adjustRightInd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211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D21162"/>
    <w:pPr>
      <w:widowControl/>
      <w:tabs>
        <w:tab w:val="center" w:pos="4819"/>
        <w:tab w:val="right" w:pos="9638"/>
      </w:tabs>
      <w:autoSpaceDE/>
      <w:autoSpaceDN/>
      <w:adjustRightInd/>
    </w:pPr>
    <w:rPr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2116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customStyle="1" w:styleId="Testopreformattato">
    <w:name w:val="Testo preformattato"/>
    <w:basedOn w:val="Normale"/>
    <w:rsid w:val="00D21162"/>
    <w:pPr>
      <w:suppressAutoHyphens/>
      <w:autoSpaceDE/>
      <w:autoSpaceDN/>
      <w:adjustRightInd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2016-06-13T10:48:00Z</dcterms:created>
  <dcterms:modified xsi:type="dcterms:W3CDTF">2016-06-13T10:49:00Z</dcterms:modified>
</cp:coreProperties>
</file>