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46A" w:rsidRDefault="00AE246A" w:rsidP="00AE246A">
      <w:pPr>
        <w:suppressAutoHyphens/>
        <w:ind w:right="-1"/>
        <w:rPr>
          <w:b/>
          <w:sz w:val="28"/>
          <w:szCs w:val="28"/>
        </w:rPr>
      </w:pPr>
      <w:r w:rsidRPr="00AE246A">
        <w:rPr>
          <w:b/>
          <w:sz w:val="28"/>
          <w:szCs w:val="28"/>
        </w:rPr>
        <w:t xml:space="preserve">della Commissione gestione e finanze </w:t>
      </w:r>
    </w:p>
    <w:p w:rsidR="00AE246A" w:rsidRPr="00AE246A" w:rsidRDefault="00AE246A" w:rsidP="00AE246A">
      <w:pPr>
        <w:suppressAutoHyphens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>sul m</w:t>
      </w:r>
      <w:r w:rsidRPr="00AE246A">
        <w:rPr>
          <w:b/>
          <w:sz w:val="28"/>
          <w:szCs w:val="28"/>
        </w:rPr>
        <w:t xml:space="preserve">essaggio </w:t>
      </w:r>
      <w:r>
        <w:rPr>
          <w:b/>
          <w:sz w:val="28"/>
          <w:szCs w:val="28"/>
        </w:rPr>
        <w:t xml:space="preserve">18 giugno </w:t>
      </w:r>
      <w:r w:rsidRPr="00AE246A">
        <w:rPr>
          <w:b/>
          <w:sz w:val="28"/>
          <w:szCs w:val="28"/>
        </w:rPr>
        <w:t xml:space="preserve">2025 concernente la Concessione al Consorzio Casa anziani Alto </w:t>
      </w:r>
      <w:proofErr w:type="spellStart"/>
      <w:r w:rsidRPr="00AE246A">
        <w:rPr>
          <w:b/>
          <w:sz w:val="28"/>
          <w:szCs w:val="28"/>
        </w:rPr>
        <w:t>Vedeggio</w:t>
      </w:r>
      <w:proofErr w:type="spellEnd"/>
      <w:r w:rsidRPr="00AE246A">
        <w:rPr>
          <w:b/>
          <w:sz w:val="28"/>
          <w:szCs w:val="28"/>
        </w:rPr>
        <w:t xml:space="preserve"> di </w:t>
      </w:r>
      <w:proofErr w:type="spellStart"/>
      <w:r w:rsidRPr="00AE246A">
        <w:rPr>
          <w:b/>
          <w:sz w:val="28"/>
          <w:szCs w:val="28"/>
        </w:rPr>
        <w:t>Mezzovico</w:t>
      </w:r>
      <w:proofErr w:type="spellEnd"/>
      <w:r w:rsidRPr="00AE246A">
        <w:rPr>
          <w:b/>
          <w:sz w:val="28"/>
          <w:szCs w:val="28"/>
        </w:rPr>
        <w:t xml:space="preserve">-Vira di un contributo unico di 1'120'000 franchi quale finanziamento suppletorio per le opere di ampliamento e ristrutturazione della Casa per anziani Alto </w:t>
      </w:r>
      <w:proofErr w:type="spellStart"/>
      <w:r w:rsidRPr="00AE246A">
        <w:rPr>
          <w:b/>
          <w:sz w:val="28"/>
          <w:szCs w:val="28"/>
        </w:rPr>
        <w:t>Vedeggio</w:t>
      </w:r>
      <w:proofErr w:type="spellEnd"/>
      <w:r w:rsidRPr="00AE246A">
        <w:rPr>
          <w:b/>
          <w:sz w:val="28"/>
          <w:szCs w:val="28"/>
        </w:rPr>
        <w:t xml:space="preserve"> di </w:t>
      </w:r>
      <w:proofErr w:type="spellStart"/>
      <w:r w:rsidRPr="00AE246A">
        <w:rPr>
          <w:b/>
          <w:sz w:val="28"/>
          <w:szCs w:val="28"/>
        </w:rPr>
        <w:t>Mezzovico</w:t>
      </w:r>
      <w:proofErr w:type="spellEnd"/>
    </w:p>
    <w:p w:rsidR="00AE246A" w:rsidRPr="00AE246A" w:rsidRDefault="00AE246A" w:rsidP="00AE246A">
      <w:pPr>
        <w:suppressAutoHyphens/>
        <w:ind w:right="-1"/>
        <w:rPr>
          <w:b/>
          <w:sz w:val="24"/>
          <w:szCs w:val="24"/>
        </w:rPr>
      </w:pPr>
    </w:p>
    <w:p w:rsidR="00AE246A" w:rsidRDefault="00AE246A" w:rsidP="00AE246A">
      <w:pPr>
        <w:suppressAutoHyphens/>
        <w:ind w:right="-1"/>
        <w:rPr>
          <w:b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/>
          <w:sz w:val="24"/>
          <w:szCs w:val="24"/>
        </w:rPr>
      </w:pPr>
    </w:p>
    <w:p w:rsidR="00AE246A" w:rsidRPr="00AE246A" w:rsidRDefault="00AE246A" w:rsidP="00AE246A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AE246A">
        <w:rPr>
          <w:rFonts w:eastAsia="Calibri" w:cs="Times New Roman"/>
          <w:caps/>
          <w:sz w:val="24"/>
          <w:szCs w:val="24"/>
          <w:lang w:val="it-IT" w:eastAsia="it-IT"/>
        </w:rPr>
        <w:t>Introduzione</w:t>
      </w:r>
      <w:bookmarkStart w:id="0" w:name="_GoBack"/>
      <w:bookmarkEnd w:id="0"/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La Commiss</w:t>
      </w:r>
      <w:r>
        <w:rPr>
          <w:bCs/>
          <w:sz w:val="24"/>
          <w:szCs w:val="24"/>
        </w:rPr>
        <w:t>ione incaricata dell’esame del m</w:t>
      </w:r>
      <w:r w:rsidRPr="00AE246A">
        <w:rPr>
          <w:bCs/>
          <w:sz w:val="24"/>
          <w:szCs w:val="24"/>
        </w:rPr>
        <w:t xml:space="preserve">essaggio n. 8588 del 18 giugno 2025 del Dipartimento della sanità e della socialità propone al Gran Consiglio l’approvazione del contributo unico suppletorio di CHF 1’120’000 a favore del Consorzio Casa anziani Alto </w:t>
      </w:r>
      <w:proofErr w:type="spellStart"/>
      <w:r w:rsidRPr="00AE246A">
        <w:rPr>
          <w:bCs/>
          <w:sz w:val="24"/>
          <w:szCs w:val="24"/>
        </w:rPr>
        <w:t>Vedeggio</w:t>
      </w:r>
      <w:proofErr w:type="spellEnd"/>
      <w:r w:rsidRPr="00AE246A">
        <w:rPr>
          <w:bCs/>
          <w:sz w:val="24"/>
          <w:szCs w:val="24"/>
        </w:rPr>
        <w:t xml:space="preserve"> (</w:t>
      </w:r>
      <w:proofErr w:type="spellStart"/>
      <w:r w:rsidRPr="00AE246A">
        <w:rPr>
          <w:bCs/>
          <w:sz w:val="24"/>
          <w:szCs w:val="24"/>
        </w:rPr>
        <w:t>Mezzovico</w:t>
      </w:r>
      <w:proofErr w:type="spellEnd"/>
      <w:r w:rsidRPr="00AE246A">
        <w:rPr>
          <w:bCs/>
          <w:sz w:val="24"/>
          <w:szCs w:val="24"/>
        </w:rPr>
        <w:t xml:space="preserve">-Vira), finalizzato a completare le opere di ampliamento e ristrutturazione dell’istituto. La richiesta si inserisce in un percorso già avallato dal Parlamento nel 2021, quando fu concesso un contributo a fondo perso di CHF 5’500’000 con riconoscimento degli oneri di mutuo ipotecario entro i limiti fissati dal Regolamento </w:t>
      </w:r>
      <w:proofErr w:type="spellStart"/>
      <w:r w:rsidRPr="00AE246A">
        <w:rPr>
          <w:bCs/>
          <w:sz w:val="24"/>
          <w:szCs w:val="24"/>
        </w:rPr>
        <w:t>LAnz</w:t>
      </w:r>
      <w:proofErr w:type="spellEnd"/>
      <w:r w:rsidRPr="00AE246A">
        <w:rPr>
          <w:bCs/>
          <w:sz w:val="24"/>
          <w:szCs w:val="24"/>
        </w:rPr>
        <w:t>. Il credito odierno non modifica il programma funzionale originario, ma risponde alla necessità di allineare il quadro finanziario all’aggiornamento tecnico-economico dell’opera, maturato in corso d’esecuzione e debitamente validato dai servizi competenti.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La Commissione ha proceduto a un esame puntuale della documentazione, rilevando che l’intervento, oltre a consolidare l’offerta residenziale per persone anziane lungo l’asse </w:t>
      </w:r>
      <w:proofErr w:type="spellStart"/>
      <w:r w:rsidRPr="00AE246A">
        <w:rPr>
          <w:bCs/>
          <w:sz w:val="24"/>
          <w:szCs w:val="24"/>
        </w:rPr>
        <w:t>Vedeggio</w:t>
      </w:r>
      <w:proofErr w:type="spellEnd"/>
      <w:r w:rsidRPr="00AE246A">
        <w:rPr>
          <w:bCs/>
          <w:sz w:val="24"/>
          <w:szCs w:val="24"/>
        </w:rPr>
        <w:t xml:space="preserve">-Piano di </w:t>
      </w:r>
      <w:proofErr w:type="spellStart"/>
      <w:r w:rsidRPr="00AE246A">
        <w:rPr>
          <w:bCs/>
          <w:sz w:val="24"/>
          <w:szCs w:val="24"/>
        </w:rPr>
        <w:t>Magadino</w:t>
      </w:r>
      <w:proofErr w:type="spellEnd"/>
      <w:r w:rsidRPr="00AE246A">
        <w:rPr>
          <w:bCs/>
          <w:sz w:val="24"/>
          <w:szCs w:val="24"/>
        </w:rPr>
        <w:t>, introduca componenti di presa a carico specialistiche e semi-residenziali (unità protetta per disturbi cognitivi, foyer psicogeriatrico, centro diurno terapeutico), nonché spazi e servizi alla comunità (studio medico, terapie) e un asilo nido a completamento dell’</w:t>
      </w:r>
      <w:proofErr w:type="spellStart"/>
      <w:r w:rsidRPr="00AE246A">
        <w:rPr>
          <w:bCs/>
          <w:sz w:val="24"/>
          <w:szCs w:val="24"/>
        </w:rPr>
        <w:t>hub</w:t>
      </w:r>
      <w:proofErr w:type="spellEnd"/>
      <w:r w:rsidRPr="00AE246A">
        <w:rPr>
          <w:bCs/>
          <w:sz w:val="24"/>
          <w:szCs w:val="24"/>
        </w:rPr>
        <w:t xml:space="preserve"> socio-assistenziale sul territorio. L’iniziativa mantiene quindi un profilo di interesse pubblico elevato, coerente con la pianificazione settoriale e con gli obiettivi di integrazione fra politiche dell’invecchiamento, sostegno alle famiglie e continuità di cura.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AE246A">
        <w:rPr>
          <w:rFonts w:eastAsia="Calibri" w:cs="Times New Roman"/>
          <w:caps/>
          <w:sz w:val="24"/>
          <w:szCs w:val="24"/>
          <w:lang w:val="it-IT" w:eastAsia="it-IT"/>
        </w:rPr>
        <w:t>Contesto e oggetto della decisione</w:t>
      </w:r>
    </w:p>
    <w:p w:rsid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Nel 2021 il Gran Consiglio ha approvato il progetto complessivo di ristrutturazione e ampliamento della Casa per anziani Alto </w:t>
      </w:r>
      <w:proofErr w:type="spellStart"/>
      <w:r w:rsidRPr="00AE246A">
        <w:rPr>
          <w:bCs/>
          <w:sz w:val="24"/>
          <w:szCs w:val="24"/>
        </w:rPr>
        <w:t>Vedeggio</w:t>
      </w:r>
      <w:proofErr w:type="spellEnd"/>
      <w:r w:rsidRPr="00AE246A">
        <w:rPr>
          <w:bCs/>
          <w:sz w:val="24"/>
          <w:szCs w:val="24"/>
        </w:rPr>
        <w:t xml:space="preserve">, che prevedeva il passaggio da 72 a 95 posti letto, la realizzazione di un’unità protetta e di un foyer psicogeriatrico, l’attivazione di un centro diurno terapeutico da 8 posti, nonché l’integrazione di servizi ambulatoriali a beneficio sia dei residenti sia della cittadinanza. Il preventivo allora posto alla base della decisione – redatto al 27 novembre 2019 – ammontava a CHF 13’720’000 (IVA inclusa), ampiamente entro il massimale riconoscibile determinato in CHF 16’550’000 in funzione </w:t>
      </w:r>
      <w:r w:rsidRPr="00AE246A">
        <w:rPr>
          <w:bCs/>
          <w:sz w:val="24"/>
          <w:szCs w:val="24"/>
        </w:rPr>
        <w:lastRenderedPageBreak/>
        <w:t xml:space="preserve">dei parametri </w:t>
      </w:r>
      <w:proofErr w:type="spellStart"/>
      <w:r w:rsidRPr="00AE246A">
        <w:rPr>
          <w:bCs/>
          <w:sz w:val="24"/>
          <w:szCs w:val="24"/>
        </w:rPr>
        <w:t>LAnz</w:t>
      </w:r>
      <w:proofErr w:type="spellEnd"/>
      <w:r w:rsidRPr="00AE246A">
        <w:rPr>
          <w:bCs/>
          <w:sz w:val="24"/>
          <w:szCs w:val="24"/>
        </w:rPr>
        <w:t>: CHF 150’000 per posto ristrutturato (72) e CHF 250’000 per posto nuovo da ampliamento (23).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Nel corso dell’attuazione e in coerenza con le procedure previste, il Consorzio ha trasmesso ai servizi cantonali un aggiornamento del computo che, alla data 13 giugno 2024, indica un costo di CHF 21’111’961 (IVA 8.1%) con grado di precisione ±10%. L’incremento rispetto al 2019 (+CHF 7’390’161, pari a +53.9%) è composto in parte da voci tecniche puntuali non incluse nel computo di massima (in particolare il rifacimento di 48 bagni con relative tubazioni per CHF 1’771’036 e lo spostamento di un vano tecnico imposto dall’autorità sanitaria per CHF 134’695) e in parte dall’attualizzazione prezzi (incluse le variazioni IVA) quantificata in CHF 1’500’000, oltre che dall’effetto fisiologico del passaggio da un computo a ±20% a un computo a ±10%. 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L’oggetto del presente Messaggio è quindi la concessione di un suppletorio a fondo perso di CHF 1’120’000, non indicizzabile, al fine di mantenere la quota cantonale al 40% del massimale riconoscibile (già definito nel 2021) a fronte del nuovo quadro economico; parallelamente si propone l’aggiornamento del mutuo ipotecario riconosciuto da CHF 8’220’000 a CHF 9’930’000, con oneri coperti – come d’uso – nel contratto di prestazione entro il parametro massimo per giornata di presenza. La differenza non riconosciuta pari a CHF 4’561’961 resta a carico del committente, così come eventuali sorpassi, in ossequio al principio di responsabilizzazione.</w:t>
      </w:r>
    </w:p>
    <w:p w:rsid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AE246A">
        <w:rPr>
          <w:rFonts w:eastAsia="Calibri" w:cs="Times New Roman"/>
          <w:caps/>
          <w:sz w:val="24"/>
          <w:szCs w:val="24"/>
          <w:lang w:val="it-IT" w:eastAsia="it-IT"/>
        </w:rPr>
        <w:t>Analisi e valutazione (tecnica, finanziaria, di merito)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Sotto il profilo tecnico, l’aggiornamento dei costi è coerente e motivato. La parte strutturale dell’incremento deriva da esigenze di cantiere e di esercizio che assicurano sicurezza, igiene e funzionalità nel lungo periodo (rifacimento integrale dei bagni e delle tubazioni nei nuclei interessati) e da un adeguamento impiantistico imposto dall’autorità sanitaria (ripensamento del vano tecnico), elementi che non alterano il programma funzionale bensì lo mettono in sicurezza rispetto a standard odierni. La quota di rincaro prezzi riflette l’andamento del mercato delle costruzioni e dell’impiantistica specializzata nel periodo 2020–2024, mentre il passaggio a un computo più preciso riduce il rischio di scostamenti nella fase finale, offrendo al committente e all’ente pubblico una base di previsione più affidabile.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Sotto il profilo finanziario, il contributo suppletorio mantiene saldo l’equilibrio definito nel 2021: 40% pubblico (sul massimale), mutuo riconosciuto aggiornato entro i parametri regolamentari, resto a carico del Consorzio. L’impostazione tutela le finanze pubbliche su due versanti. Primo: la non </w:t>
      </w:r>
      <w:proofErr w:type="spellStart"/>
      <w:r w:rsidRPr="00AE246A">
        <w:rPr>
          <w:bCs/>
          <w:sz w:val="24"/>
          <w:szCs w:val="24"/>
        </w:rPr>
        <w:t>indicizzabilità</w:t>
      </w:r>
      <w:proofErr w:type="spellEnd"/>
      <w:r w:rsidRPr="00AE246A">
        <w:rPr>
          <w:bCs/>
          <w:sz w:val="24"/>
          <w:szCs w:val="24"/>
        </w:rPr>
        <w:t xml:space="preserve"> del suppletorio limita l’esposizione cantonale a nuovi rincari; eventuali differenze restano in capo al committente. Secondo: l’assoggettamento alle regole delle commesse pubbliche (</w:t>
      </w:r>
      <w:proofErr w:type="spellStart"/>
      <w:r w:rsidRPr="00AE246A">
        <w:rPr>
          <w:bCs/>
          <w:sz w:val="24"/>
          <w:szCs w:val="24"/>
        </w:rPr>
        <w:t>LCPubb</w:t>
      </w:r>
      <w:proofErr w:type="spellEnd"/>
      <w:r w:rsidRPr="00AE246A">
        <w:rPr>
          <w:bCs/>
          <w:sz w:val="24"/>
          <w:szCs w:val="24"/>
        </w:rPr>
        <w:t>/CIAP) garantisce concorrenza, trasparenza e controllo su forniture e appalti, anche mediante possibili verifiche a campione o autocertificazioni in presenza dei presupposti previsti.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Sotto il profilo di merito, il progetto risponde a un fabbisogno riconosciuto e più volte ribadito: l’invecchiamento della popolazione e l’aumento delle cronicità e dei disturbi cognitivi richiedono strutture capaci di integrare residenzialità, semi-residenzialità e servizi di prossimità, con percorsi appropriati e tempi di risposta più brevi. A lavori conclusi, la </w:t>
      </w:r>
      <w:r w:rsidRPr="00AE246A">
        <w:rPr>
          <w:bCs/>
          <w:sz w:val="24"/>
          <w:szCs w:val="24"/>
        </w:rPr>
        <w:lastRenderedPageBreak/>
        <w:t xml:space="preserve">struttura potrà contare su 95 posti letto (da 72), su un’unità protetta e su un foyer psicogeriatrico idonei a gestire fragilità complesse, nonché su un centro diurno terapeutico che offre sollievo ai </w:t>
      </w:r>
      <w:proofErr w:type="spellStart"/>
      <w:r w:rsidRPr="00AE246A">
        <w:rPr>
          <w:bCs/>
          <w:sz w:val="24"/>
          <w:szCs w:val="24"/>
        </w:rPr>
        <w:t>caregiver</w:t>
      </w:r>
      <w:proofErr w:type="spellEnd"/>
      <w:r w:rsidRPr="00AE246A">
        <w:rPr>
          <w:bCs/>
          <w:sz w:val="24"/>
          <w:szCs w:val="24"/>
        </w:rPr>
        <w:t xml:space="preserve"> e decongestiona inutili accessi o permanenze nel settore acuto. L’asilo nido e i servizi ambulatoriali creano un polo intergenerazionale capace di ridurre l’isolamento, valorizzare la socialità di quartiere e sostenere i tempi di vita e lavoro delle famiglie.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br/>
        <w:t xml:space="preserve">Quanto agli effetti sulla gestione corrente, l’incremento di capienza genera un aumento del contributo globale annuo stimato in CHF 755’550, con riparto Cantone/Comuni secondo le proporzioni </w:t>
      </w:r>
      <w:proofErr w:type="spellStart"/>
      <w:r w:rsidRPr="00AE246A">
        <w:rPr>
          <w:bCs/>
          <w:sz w:val="24"/>
          <w:szCs w:val="24"/>
        </w:rPr>
        <w:t>LAnz</w:t>
      </w:r>
      <w:proofErr w:type="spellEnd"/>
      <w:r w:rsidRPr="00AE246A">
        <w:rPr>
          <w:bCs/>
          <w:sz w:val="24"/>
          <w:szCs w:val="24"/>
        </w:rPr>
        <w:t xml:space="preserve"> (circa CHF 151’110 a carico del Cantone e CHF 604’440 a carico dei Comuni). Tale maggior onere è già previsto nella pianificazione finanziaria e non implica nuovi posti nell’amministrazione cantonale. Alla luce dei benefici attesi in termini di appropriatezza e riduzione di costi indiretti di sistema (trasferimenti fuori distretto, giornate improprie in ospedale, mobilità delle famiglie), la Commissione valuta tale impatto sostenibile e giustificato.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Default="00AE246A" w:rsidP="00AE246A">
      <w:pPr>
        <w:suppressAutoHyphens/>
        <w:ind w:right="-1"/>
        <w:rPr>
          <w:b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/>
          <w:sz w:val="24"/>
          <w:szCs w:val="24"/>
        </w:rPr>
      </w:pPr>
    </w:p>
    <w:p w:rsidR="00AE246A" w:rsidRPr="00AE246A" w:rsidRDefault="00AE246A" w:rsidP="00AE246A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AE246A">
        <w:rPr>
          <w:rFonts w:eastAsia="Calibri" w:cs="Times New Roman"/>
          <w:caps/>
          <w:sz w:val="24"/>
          <w:szCs w:val="24"/>
          <w:lang w:val="it-IT" w:eastAsia="it-IT"/>
        </w:rPr>
        <w:t xml:space="preserve"> Impatti e sostenibilità (governance, territorio, sistema)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La sostenibilità del progetto si misura su tre livelli. </w:t>
      </w:r>
      <w:proofErr w:type="spellStart"/>
      <w:r w:rsidRPr="00AE246A">
        <w:rPr>
          <w:bCs/>
          <w:sz w:val="24"/>
          <w:szCs w:val="24"/>
        </w:rPr>
        <w:t>governance</w:t>
      </w:r>
      <w:proofErr w:type="spellEnd"/>
      <w:r w:rsidRPr="00AE246A">
        <w:rPr>
          <w:bCs/>
          <w:sz w:val="24"/>
          <w:szCs w:val="24"/>
        </w:rPr>
        <w:t xml:space="preserve"> e garanzie. L’intervento resta assoggettato alla legislazione sulle commesse pubbliche; l’autorità competente ha già effettuato verifiche formali in precedenza e trattiene la possibilità di ulteriori controlli documentali. La clausola di non </w:t>
      </w:r>
      <w:proofErr w:type="spellStart"/>
      <w:r w:rsidRPr="00AE246A">
        <w:rPr>
          <w:bCs/>
          <w:sz w:val="24"/>
          <w:szCs w:val="24"/>
        </w:rPr>
        <w:t>indicizzabilità</w:t>
      </w:r>
      <w:proofErr w:type="spellEnd"/>
      <w:r w:rsidRPr="00AE246A">
        <w:rPr>
          <w:bCs/>
          <w:sz w:val="24"/>
          <w:szCs w:val="24"/>
        </w:rPr>
        <w:t xml:space="preserve"> del suppletorio elimina il rischio che il credito si “trascini” al rialzo per effetto del rincaro; la quota non riconosciuta e i sorpassi rimangono esplicitamente a carico del Consorzio, preservando un corretto allineamento degli incentivi. La riserva presente nel computo e il grado di precisione ±10% rappresentano ulteriori elementi di prudenza.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Territorio e prossimità: l’asse Valle del </w:t>
      </w:r>
      <w:proofErr w:type="spellStart"/>
      <w:r w:rsidRPr="00AE246A">
        <w:rPr>
          <w:bCs/>
          <w:sz w:val="24"/>
          <w:szCs w:val="24"/>
        </w:rPr>
        <w:t>Vedeggio</w:t>
      </w:r>
      <w:proofErr w:type="spellEnd"/>
      <w:r w:rsidRPr="00AE246A">
        <w:rPr>
          <w:bCs/>
          <w:sz w:val="24"/>
          <w:szCs w:val="24"/>
        </w:rPr>
        <w:t xml:space="preserve"> – Piano di </w:t>
      </w:r>
      <w:proofErr w:type="spellStart"/>
      <w:r w:rsidRPr="00AE246A">
        <w:rPr>
          <w:bCs/>
          <w:sz w:val="24"/>
          <w:szCs w:val="24"/>
        </w:rPr>
        <w:t>Magadino</w:t>
      </w:r>
      <w:proofErr w:type="spellEnd"/>
      <w:r w:rsidRPr="00AE246A">
        <w:rPr>
          <w:bCs/>
          <w:sz w:val="24"/>
          <w:szCs w:val="24"/>
        </w:rPr>
        <w:t xml:space="preserve"> è caratterizzato da popolazione in crescita e forti flussi di pendolarità. Potenziare la presa a carico vicina ai cittadini riduce i tempi di accesso, migliora l’aderenza alle terapie, limita i viaggi ripetuti dei familiari e produce benefici sociali non contabilizzati ma reali (continuità delle relazioni, supporto ai </w:t>
      </w:r>
      <w:proofErr w:type="spellStart"/>
      <w:r w:rsidRPr="00AE246A">
        <w:rPr>
          <w:bCs/>
          <w:sz w:val="24"/>
          <w:szCs w:val="24"/>
        </w:rPr>
        <w:t>caregiver</w:t>
      </w:r>
      <w:proofErr w:type="spellEnd"/>
      <w:r w:rsidRPr="00AE246A">
        <w:rPr>
          <w:bCs/>
          <w:sz w:val="24"/>
          <w:szCs w:val="24"/>
        </w:rPr>
        <w:t>, minori assenze dal lavoro). Il centro diurno e l’asilo nido consolidano un punto civico dove si incontrano generazioni, servizi e associazioni, con un ritorno sul capitale sociale della comunità.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Sistema e costi indiretti: l’’aumento dei posti e la specializzazione psicogeriatrica alleggeriscono pressioni e colli di bottiglia lungo il continuum di cura: minori trasferimenti fuori area, minori ricoveri o degenze prolungate per mancanza di soluzioni post-acute, più rapido turnover nei reparti ospedalieri. Questi effetti – pur non tutti monetizzabili ex ante – concorrono a un uso più efficiente delle risorse sanitarie cantonali.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Sul piano strettamente finanziario, la misura è allineata al Piano finanziario degli investimenti e alla pianificazione della gestione corrente: il contributo suppletorio di CHF 1’120’000 è ragionevole nel rapporto costi/benefici </w:t>
      </w:r>
      <w:proofErr w:type="gramStart"/>
      <w:r w:rsidRPr="00AE246A">
        <w:rPr>
          <w:bCs/>
          <w:sz w:val="24"/>
          <w:szCs w:val="24"/>
        </w:rPr>
        <w:t>e “</w:t>
      </w:r>
      <w:proofErr w:type="gramEnd"/>
      <w:r w:rsidRPr="00AE246A">
        <w:rPr>
          <w:bCs/>
          <w:sz w:val="24"/>
          <w:szCs w:val="24"/>
        </w:rPr>
        <w:t>chiude” un quadro economico che altrimenti richiederebbe scelte più onerose (ritardi, varianti, tagli di funzionalità) il cui costo sociale sarebbe superiore alla spesa qui proposta.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Default="00AE246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AE246A" w:rsidRPr="00AE246A" w:rsidRDefault="00AE246A" w:rsidP="00AE246A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AE246A">
        <w:rPr>
          <w:rFonts w:eastAsia="Calibri" w:cs="Times New Roman"/>
          <w:caps/>
          <w:sz w:val="24"/>
          <w:szCs w:val="24"/>
          <w:lang w:val="it-IT" w:eastAsia="it-IT"/>
        </w:rPr>
        <w:lastRenderedPageBreak/>
        <w:t>Conclusioni e dispositivo</w:t>
      </w:r>
    </w:p>
    <w:p w:rsidR="00AE246A" w:rsidRPr="00AE246A" w:rsidRDefault="00AE246A" w:rsidP="00AE246A">
      <w:pPr>
        <w:suppressAutoHyphens/>
        <w:spacing w:after="120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La Commissione, considerato l’insieme delle valutazioni svolte, ritiene che la concessione del contributo suppletorio di CHF 1’120’000 alla Casa per anziani Alto </w:t>
      </w:r>
      <w:proofErr w:type="spellStart"/>
      <w:r w:rsidRPr="00AE246A">
        <w:rPr>
          <w:bCs/>
          <w:sz w:val="24"/>
          <w:szCs w:val="24"/>
        </w:rPr>
        <w:t>Vedeggio</w:t>
      </w:r>
      <w:proofErr w:type="spellEnd"/>
      <w:r w:rsidRPr="00AE246A">
        <w:rPr>
          <w:bCs/>
          <w:sz w:val="24"/>
          <w:szCs w:val="24"/>
        </w:rPr>
        <w:t xml:space="preserve"> sia necessaria, proporzionata e conveniente per l’interesse pubblico cantonale. Il credito:</w:t>
      </w:r>
    </w:p>
    <w:p w:rsidR="00AE246A" w:rsidRPr="00AE246A" w:rsidRDefault="00AE246A" w:rsidP="00AE246A">
      <w:pPr>
        <w:numPr>
          <w:ilvl w:val="0"/>
          <w:numId w:val="18"/>
        </w:numPr>
        <w:tabs>
          <w:tab w:val="clear" w:pos="720"/>
          <w:tab w:val="num" w:pos="284"/>
        </w:tabs>
        <w:suppressAutoHyphens/>
        <w:spacing w:after="120"/>
        <w:ind w:left="284" w:hanging="284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non altera il programma funzionale, ma ne garantisce la realizzazione a regola d’arte;</w:t>
      </w:r>
    </w:p>
    <w:p w:rsidR="00AE246A" w:rsidRPr="00AE246A" w:rsidRDefault="00AE246A" w:rsidP="00AE246A">
      <w:pPr>
        <w:numPr>
          <w:ilvl w:val="0"/>
          <w:numId w:val="18"/>
        </w:numPr>
        <w:tabs>
          <w:tab w:val="clear" w:pos="720"/>
          <w:tab w:val="num" w:pos="284"/>
        </w:tabs>
        <w:suppressAutoHyphens/>
        <w:spacing w:after="120"/>
        <w:ind w:left="284" w:hanging="284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mantiene l’equilibrio finanziario definito nel 2021 (40% sul massimale riconoscibile, mutuo riconosciuto aggiornato, resto al Consorzio);</w:t>
      </w:r>
    </w:p>
    <w:p w:rsidR="00AE246A" w:rsidRPr="00AE246A" w:rsidRDefault="00AE246A" w:rsidP="00AE246A">
      <w:pPr>
        <w:numPr>
          <w:ilvl w:val="0"/>
          <w:numId w:val="18"/>
        </w:numPr>
        <w:tabs>
          <w:tab w:val="clear" w:pos="720"/>
          <w:tab w:val="num" w:pos="284"/>
        </w:tabs>
        <w:suppressAutoHyphens/>
        <w:spacing w:after="120"/>
        <w:ind w:left="284" w:hanging="284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 xml:space="preserve">è protetto da salvaguardie chiare (non </w:t>
      </w:r>
      <w:proofErr w:type="spellStart"/>
      <w:r w:rsidRPr="00AE246A">
        <w:rPr>
          <w:bCs/>
          <w:sz w:val="24"/>
          <w:szCs w:val="24"/>
        </w:rPr>
        <w:t>indicizzabilità</w:t>
      </w:r>
      <w:proofErr w:type="spellEnd"/>
      <w:r w:rsidRPr="00AE246A">
        <w:rPr>
          <w:bCs/>
          <w:sz w:val="24"/>
          <w:szCs w:val="24"/>
        </w:rPr>
        <w:t xml:space="preserve">, </w:t>
      </w:r>
      <w:proofErr w:type="spellStart"/>
      <w:r w:rsidRPr="00AE246A">
        <w:rPr>
          <w:bCs/>
          <w:sz w:val="24"/>
          <w:szCs w:val="24"/>
        </w:rPr>
        <w:t>LCPubb</w:t>
      </w:r>
      <w:proofErr w:type="spellEnd"/>
      <w:r w:rsidRPr="00AE246A">
        <w:rPr>
          <w:bCs/>
          <w:sz w:val="24"/>
          <w:szCs w:val="24"/>
        </w:rPr>
        <w:t>/CIAP, possibilità di verifiche), con un computo aggiornato più affidabile;</w:t>
      </w:r>
    </w:p>
    <w:p w:rsidR="00AE246A" w:rsidRPr="00AE246A" w:rsidRDefault="00AE246A" w:rsidP="00AE246A">
      <w:pPr>
        <w:numPr>
          <w:ilvl w:val="0"/>
          <w:numId w:val="18"/>
        </w:numPr>
        <w:tabs>
          <w:tab w:val="clear" w:pos="720"/>
          <w:tab w:val="num" w:pos="284"/>
        </w:tabs>
        <w:suppressAutoHyphens/>
        <w:spacing w:after="120"/>
        <w:ind w:left="284" w:hanging="284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produce benefici socio-sanitari e territoriali netti (95 posti, unità protetta, foyer psicogeriatrico, centro diurno), con effetti attesi di appropriatezza e razionalità nell’uso delle risorse del sistema.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Per questi motivi, la Commissione gestione e finanze propone al Gran Consiglio</w:t>
      </w:r>
      <w:r>
        <w:rPr>
          <w:bCs/>
          <w:sz w:val="24"/>
          <w:szCs w:val="24"/>
        </w:rPr>
        <w:t xml:space="preserve"> di approvare integralmente il m</w:t>
      </w:r>
      <w:r w:rsidRPr="00AE246A">
        <w:rPr>
          <w:bCs/>
          <w:sz w:val="24"/>
          <w:szCs w:val="24"/>
        </w:rPr>
        <w:t>essaggio n. 8588 e di accogliere il DL allegato al messaggio.</w:t>
      </w:r>
    </w:p>
    <w:p w:rsidR="00AE246A" w:rsidRDefault="00AE246A" w:rsidP="00AE246A">
      <w:pPr>
        <w:suppressAutoHyphens/>
        <w:ind w:right="-1"/>
        <w:rPr>
          <w:bCs/>
          <w:sz w:val="24"/>
          <w:szCs w:val="24"/>
        </w:rPr>
      </w:pPr>
    </w:p>
    <w:p w:rsidR="001C362D" w:rsidRPr="00AE246A" w:rsidRDefault="001C362D" w:rsidP="00AE246A">
      <w:pPr>
        <w:suppressAutoHyphens/>
        <w:ind w:right="-1"/>
        <w:rPr>
          <w:bCs/>
          <w:sz w:val="24"/>
          <w:szCs w:val="24"/>
        </w:rPr>
      </w:pPr>
    </w:p>
    <w:p w:rsidR="00AE246A" w:rsidRPr="00AE246A" w:rsidRDefault="00AE246A" w:rsidP="00AE246A">
      <w:pPr>
        <w:suppressAutoHyphens/>
        <w:spacing w:after="120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Per la Commissione gestione e finanze</w:t>
      </w:r>
      <w:r>
        <w:rPr>
          <w:bCs/>
          <w:sz w:val="24"/>
          <w:szCs w:val="24"/>
        </w:rPr>
        <w:t>:</w:t>
      </w:r>
    </w:p>
    <w:p w:rsidR="00AE246A" w:rsidRPr="00AE246A" w:rsidRDefault="00AE246A" w:rsidP="00AE246A">
      <w:pPr>
        <w:suppressAutoHyphens/>
        <w:ind w:right="-1"/>
        <w:rPr>
          <w:bCs/>
          <w:sz w:val="24"/>
          <w:szCs w:val="24"/>
        </w:rPr>
      </w:pPr>
      <w:r w:rsidRPr="00AE246A">
        <w:rPr>
          <w:bCs/>
          <w:sz w:val="24"/>
          <w:szCs w:val="24"/>
        </w:rPr>
        <w:t>Michele Guerra</w:t>
      </w:r>
      <w:r>
        <w:rPr>
          <w:bCs/>
          <w:sz w:val="24"/>
          <w:szCs w:val="24"/>
        </w:rPr>
        <w:t>, relatore</w:t>
      </w:r>
      <w:r w:rsidRPr="00AE246A">
        <w:rPr>
          <w:bCs/>
          <w:sz w:val="24"/>
          <w:szCs w:val="24"/>
        </w:rPr>
        <w:t xml:space="preserve"> </w:t>
      </w:r>
    </w:p>
    <w:p w:rsidR="00855232" w:rsidRDefault="001C362D" w:rsidP="001C362D">
      <w:pPr>
        <w:rPr>
          <w:rFonts w:eastAsia="Times New Roman" w:cs="Arial"/>
          <w:sz w:val="24"/>
          <w:szCs w:val="20"/>
          <w:lang w:val="it-IT" w:eastAsia="it-IT"/>
        </w:rPr>
      </w:pPr>
      <w:r w:rsidRPr="00855232">
        <w:rPr>
          <w:rFonts w:eastAsia="Times New Roman" w:cs="Arial"/>
          <w:sz w:val="24"/>
          <w:szCs w:val="20"/>
          <w:lang w:val="it-IT" w:eastAsia="it-IT"/>
        </w:rPr>
        <w:t xml:space="preserve">Agustoni - Bignasca - Bourgoin - Caroni </w:t>
      </w:r>
      <w:r w:rsidR="00855232">
        <w:rPr>
          <w:rFonts w:eastAsia="Times New Roman" w:cs="Arial"/>
          <w:sz w:val="24"/>
          <w:szCs w:val="20"/>
          <w:lang w:val="it-IT" w:eastAsia="it-IT"/>
        </w:rPr>
        <w:t>-</w:t>
      </w:r>
      <w:r w:rsidRPr="00855232">
        <w:rPr>
          <w:rFonts w:eastAsia="Times New Roman" w:cs="Arial"/>
          <w:sz w:val="24"/>
          <w:szCs w:val="20"/>
          <w:lang w:val="it-IT" w:eastAsia="it-IT"/>
        </w:rPr>
        <w:t xml:space="preserve"> </w:t>
      </w:r>
    </w:p>
    <w:p w:rsidR="00855232" w:rsidRDefault="001C362D" w:rsidP="001C362D">
      <w:pPr>
        <w:rPr>
          <w:rFonts w:eastAsia="Times New Roman" w:cs="Arial"/>
          <w:sz w:val="24"/>
          <w:szCs w:val="20"/>
          <w:lang w:val="it-IT" w:eastAsia="it-IT"/>
        </w:rPr>
      </w:pPr>
      <w:r w:rsidRPr="00855232">
        <w:rPr>
          <w:rFonts w:eastAsia="Times New Roman" w:cs="Arial"/>
          <w:sz w:val="24"/>
          <w:szCs w:val="20"/>
          <w:lang w:val="it-IT" w:eastAsia="it-IT"/>
        </w:rPr>
        <w:t>Dadò -</w:t>
      </w:r>
      <w:r w:rsidR="00855232">
        <w:rPr>
          <w:rFonts w:eastAsia="Times New Roman" w:cs="Arial"/>
          <w:sz w:val="24"/>
          <w:szCs w:val="20"/>
          <w:lang w:val="it-IT" w:eastAsia="it-IT"/>
        </w:rPr>
        <w:t xml:space="preserve"> </w:t>
      </w:r>
      <w:r w:rsidRPr="00855232">
        <w:rPr>
          <w:rFonts w:eastAsia="Times New Roman" w:cs="Arial"/>
          <w:sz w:val="24"/>
          <w:szCs w:val="20"/>
          <w:lang w:val="it-IT" w:eastAsia="it-IT"/>
        </w:rPr>
        <w:t xml:space="preserve">Durisch - Ferrara - Galeazzi </w:t>
      </w:r>
      <w:r w:rsidR="00855232">
        <w:rPr>
          <w:rFonts w:eastAsia="Times New Roman" w:cs="Arial"/>
          <w:sz w:val="24"/>
          <w:szCs w:val="20"/>
          <w:lang w:val="it-IT" w:eastAsia="it-IT"/>
        </w:rPr>
        <w:t>–</w:t>
      </w:r>
      <w:r w:rsidRPr="00855232">
        <w:rPr>
          <w:rFonts w:eastAsia="Times New Roman" w:cs="Arial"/>
          <w:sz w:val="24"/>
          <w:szCs w:val="20"/>
          <w:lang w:val="it-IT" w:eastAsia="it-IT"/>
        </w:rPr>
        <w:t xml:space="preserve"> </w:t>
      </w:r>
    </w:p>
    <w:p w:rsidR="001C362D" w:rsidRPr="00855232" w:rsidRDefault="001C362D" w:rsidP="001C362D">
      <w:pPr>
        <w:rPr>
          <w:rFonts w:eastAsia="Times New Roman" w:cs="Arial"/>
          <w:sz w:val="24"/>
          <w:szCs w:val="20"/>
          <w:lang w:val="it-IT" w:eastAsia="it-IT"/>
        </w:rPr>
      </w:pPr>
      <w:r w:rsidRPr="00855232">
        <w:rPr>
          <w:rFonts w:eastAsia="Times New Roman" w:cs="Arial"/>
          <w:sz w:val="24"/>
          <w:szCs w:val="20"/>
          <w:lang w:val="it-IT" w:eastAsia="it-IT"/>
        </w:rPr>
        <w:t>Gendotti -</w:t>
      </w:r>
      <w:r w:rsidR="00855232">
        <w:rPr>
          <w:rFonts w:eastAsia="Times New Roman" w:cs="Arial"/>
          <w:sz w:val="24"/>
          <w:szCs w:val="20"/>
          <w:lang w:val="it-IT" w:eastAsia="it-IT"/>
        </w:rPr>
        <w:t xml:space="preserve"> </w:t>
      </w:r>
      <w:r w:rsidRPr="00855232">
        <w:rPr>
          <w:rFonts w:eastAsia="Times New Roman" w:cs="Arial"/>
          <w:sz w:val="24"/>
          <w:szCs w:val="20"/>
          <w:lang w:val="it-IT" w:eastAsia="it-IT"/>
        </w:rPr>
        <w:t>Gianella Alessandra - Piccaluga -</w:t>
      </w:r>
    </w:p>
    <w:p w:rsidR="001C362D" w:rsidRPr="001C362D" w:rsidRDefault="001C362D" w:rsidP="001C362D">
      <w:pPr>
        <w:rPr>
          <w:rFonts w:eastAsia="Times New Roman" w:cs="Arial"/>
          <w:sz w:val="24"/>
          <w:szCs w:val="20"/>
          <w:lang w:val="it-IT" w:eastAsia="it-IT"/>
        </w:rPr>
      </w:pPr>
      <w:r w:rsidRPr="00855232">
        <w:rPr>
          <w:rFonts w:eastAsia="Times New Roman" w:cs="Arial"/>
          <w:sz w:val="24"/>
          <w:szCs w:val="20"/>
          <w:lang w:val="it-IT" w:eastAsia="it-IT"/>
        </w:rPr>
        <w:t>Quadranti - Renzetti - Sirica - Soldati - Speziali</w:t>
      </w:r>
    </w:p>
    <w:p w:rsidR="008F52AF" w:rsidRDefault="008F52AF" w:rsidP="00D33940">
      <w:pPr>
        <w:pStyle w:val="StandardRisoluzionedelConsigliodiStato"/>
        <w:ind w:right="-1"/>
      </w:pPr>
    </w:p>
    <w:p w:rsidR="00D649A8" w:rsidRPr="00AE246A" w:rsidRDefault="00D649A8" w:rsidP="00D33940">
      <w:pPr>
        <w:pStyle w:val="StandardRisoluzionedelConsigliodiStato"/>
        <w:ind w:right="-1"/>
      </w:pPr>
    </w:p>
    <w:p w:rsidR="00D649A8" w:rsidRPr="00AE246A" w:rsidRDefault="00D649A8" w:rsidP="00D33940">
      <w:pPr>
        <w:pStyle w:val="StandardRisoluzionedelConsigliodiStato"/>
        <w:ind w:right="-1"/>
      </w:pPr>
    </w:p>
    <w:sectPr w:rsidR="00D649A8" w:rsidRPr="00AE246A" w:rsidSect="0037511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46A" w:rsidRDefault="00AE246A" w:rsidP="00F657BF">
      <w:r>
        <w:separator/>
      </w:r>
    </w:p>
  </w:endnote>
  <w:endnote w:type="continuationSeparator" w:id="0">
    <w:p w:rsidR="00AE246A" w:rsidRDefault="00AE246A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3656B2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20568E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20568E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3656B2" w:rsidP="00912E34"/>
      </w:tc>
    </w:tr>
  </w:tbl>
  <w:p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3656B2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46A" w:rsidRDefault="00AE246A" w:rsidP="00F657BF">
      <w:r>
        <w:separator/>
      </w:r>
    </w:p>
  </w:footnote>
  <w:footnote w:type="continuationSeparator" w:id="0">
    <w:p w:rsidR="00AE246A" w:rsidRDefault="00AE246A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3656B2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F54C05DD-6D8D-4D20-94AC-8A0434EEE244}"/>
              <w:text w:multiLine="1"/>
            </w:sdtPr>
            <w:sdtEndPr/>
            <w:sdtContent>
              <w:r w:rsidR="0020568E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3656B2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F54C05DD-6D8D-4D20-94AC-8A0434EEE244}"/>
              <w:text w:multiLine="1"/>
            </w:sdtPr>
            <w:sdtEndPr/>
            <w:sdtContent>
              <w:r w:rsidR="000E799D">
                <w:rPr>
                  <w:rFonts w:ascii="Gill Alt One MT Light" w:hAnsi="Gill Alt One MT Light"/>
                  <w:sz w:val="16"/>
                  <w:szCs w:val="16"/>
                </w:rPr>
                <w:t>Dipartimento della sanità e della socialità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20568E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1F1D00">
            <w:rPr>
              <w:noProof/>
              <w:sz w:val="24"/>
            </w:rPr>
            <w:t>4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1F1D00">
            <w:rPr>
              <w:noProof/>
              <w:sz w:val="24"/>
            </w:rPr>
            <w:t>4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F54C05DD-6D8D-4D20-94AC-8A0434EEE244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855232" w:rsidRDefault="000E799D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8588 R del 2 dicembre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855232" w:rsidRDefault="003656B2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20568E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F54C05DD-6D8D-4D20-94AC-8A0434EEE244}"/>
                            <w:text w:multiLine="1"/>
                          </w:sdtPr>
                          <w:sdtEndPr/>
                          <w:sdtContent>
                            <w:p w:rsidR="008065E8" w:rsidRPr="00411371" w:rsidRDefault="0020568E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4814561A-3E9F-4188-ADEC-A65D76A87FF7}"/>
                      <w:text w:multiLine="1"/>
                    </w:sdtPr>
                    <w:sdtEndPr/>
                    <w:sdtContent>
                      <w:p w:rsidR="008065E8" w:rsidRPr="00411371" w:rsidRDefault="0020568E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3656B2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20568E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3656B2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3656B2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20568E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1910167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20568E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F1D00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F1D00">
            <w:rPr>
              <w:rFonts w:asciiTheme="minorHAnsi" w:hAnsiTheme="minorHAnsi" w:cstheme="minorHAnsi"/>
              <w:noProof/>
              <w:sz w:val="24"/>
            </w:rPr>
            <w:t>4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F54C05DD-6D8D-4D20-94AC-8A0434EEE244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0E799D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20568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3656B2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20568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3656B2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20568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3656B2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3656B2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F54C05DD-6D8D-4D20-94AC-8A0434EEE244}"/>
              <w:text w:multiLine="1"/>
            </w:sdtPr>
            <w:sdtEndPr/>
            <w:sdtContent>
              <w:r w:rsidR="000E799D">
                <w:rPr>
                  <w:rFonts w:cstheme="minorHAnsi"/>
                  <w:b/>
                  <w:sz w:val="24"/>
                  <w:szCs w:val="24"/>
                </w:rPr>
                <w:t>8588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F54C05DD-6D8D-4D20-94AC-8A0434EEE244}"/>
          <w:date w:fullDate="2025-12-02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0E799D" w:rsidP="00A532F6">
              <w:pPr>
                <w:pStyle w:val="Data"/>
              </w:pPr>
              <w:r>
                <w:rPr>
                  <w:sz w:val="24"/>
                </w:rPr>
                <w:t>2 dicembre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3656B2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F54C05DD-6D8D-4D20-94AC-8A0434EEE244}"/>
              <w:text w:multiLine="1"/>
            </w:sdtPr>
            <w:sdtEndPr/>
            <w:sdtContent>
              <w:r w:rsidR="000E799D">
                <w:rPr>
                  <w:smallCaps/>
                  <w:sz w:val="23"/>
                  <w:szCs w:val="23"/>
                </w:rPr>
                <w:t>Dipartimento della sanità e della socialità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3656B2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20568E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4349849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F54C05DD-6D8D-4D20-94AC-8A0434EEE244}"/>
                            <w:text w:multiLine="1"/>
                          </w:sdtPr>
                          <w:sdtEndPr/>
                          <w:sdtContent>
                            <w:p w:rsidR="00E93620" w:rsidRPr="00411371" w:rsidRDefault="0020568E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4814561A-3E9F-4188-ADEC-A65D76A87FF7}"/>
                      <w:text w:multiLine="1"/>
                    </w:sdtPr>
                    <w:sdtEndPr/>
                    <w:sdtContent>
                      <w:p w:rsidR="00E93620" w:rsidRPr="00411371" w:rsidRDefault="0020568E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0F3279"/>
    <w:multiLevelType w:val="hybridMultilevel"/>
    <w:tmpl w:val="687617F0"/>
    <w:lvl w:ilvl="0" w:tplc="0810000F">
      <w:start w:val="1"/>
      <w:numFmt w:val="decimal"/>
      <w:lvlText w:val="%1."/>
      <w:lvlJc w:val="left"/>
      <w:pPr>
        <w:ind w:left="9716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436" w:hanging="360"/>
      </w:pPr>
    </w:lvl>
    <w:lvl w:ilvl="2" w:tplc="0810001B" w:tentative="1">
      <w:start w:val="1"/>
      <w:numFmt w:val="lowerRoman"/>
      <w:lvlText w:val="%3."/>
      <w:lvlJc w:val="right"/>
      <w:pPr>
        <w:ind w:left="11156" w:hanging="180"/>
      </w:pPr>
    </w:lvl>
    <w:lvl w:ilvl="3" w:tplc="0810000F" w:tentative="1">
      <w:start w:val="1"/>
      <w:numFmt w:val="decimal"/>
      <w:lvlText w:val="%4."/>
      <w:lvlJc w:val="left"/>
      <w:pPr>
        <w:ind w:left="11876" w:hanging="360"/>
      </w:pPr>
    </w:lvl>
    <w:lvl w:ilvl="4" w:tplc="08100019" w:tentative="1">
      <w:start w:val="1"/>
      <w:numFmt w:val="lowerLetter"/>
      <w:lvlText w:val="%5."/>
      <w:lvlJc w:val="left"/>
      <w:pPr>
        <w:ind w:left="12596" w:hanging="360"/>
      </w:pPr>
    </w:lvl>
    <w:lvl w:ilvl="5" w:tplc="0810001B" w:tentative="1">
      <w:start w:val="1"/>
      <w:numFmt w:val="lowerRoman"/>
      <w:lvlText w:val="%6."/>
      <w:lvlJc w:val="right"/>
      <w:pPr>
        <w:ind w:left="13316" w:hanging="180"/>
      </w:pPr>
    </w:lvl>
    <w:lvl w:ilvl="6" w:tplc="0810000F" w:tentative="1">
      <w:start w:val="1"/>
      <w:numFmt w:val="decimal"/>
      <w:lvlText w:val="%7."/>
      <w:lvlJc w:val="left"/>
      <w:pPr>
        <w:ind w:left="14036" w:hanging="360"/>
      </w:pPr>
    </w:lvl>
    <w:lvl w:ilvl="7" w:tplc="08100019" w:tentative="1">
      <w:start w:val="1"/>
      <w:numFmt w:val="lowerLetter"/>
      <w:lvlText w:val="%8."/>
      <w:lvlJc w:val="left"/>
      <w:pPr>
        <w:ind w:left="14756" w:hanging="360"/>
      </w:pPr>
    </w:lvl>
    <w:lvl w:ilvl="8" w:tplc="0810001B" w:tentative="1">
      <w:start w:val="1"/>
      <w:numFmt w:val="lowerRoman"/>
      <w:lvlText w:val="%9."/>
      <w:lvlJc w:val="right"/>
      <w:pPr>
        <w:ind w:left="15476" w:hanging="180"/>
      </w:p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10053B9"/>
    <w:multiLevelType w:val="multilevel"/>
    <w:tmpl w:val="49C0D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1E70723"/>
    <w:multiLevelType w:val="hybridMultilevel"/>
    <w:tmpl w:val="AB5EE5EE"/>
    <w:lvl w:ilvl="0" w:tplc="7F3E00EA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9D524CC"/>
    <w:multiLevelType w:val="multilevel"/>
    <w:tmpl w:val="953CA1B2"/>
    <w:numStyleLink w:val="HeadingList"/>
  </w:abstractNum>
  <w:num w:numId="1">
    <w:abstractNumId w:val="14"/>
  </w:num>
  <w:num w:numId="2">
    <w:abstractNumId w:val="19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18"/>
  </w:num>
  <w:num w:numId="5">
    <w:abstractNumId w:val="17"/>
  </w:num>
  <w:num w:numId="6">
    <w:abstractNumId w:val="15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2"/>
  </w:num>
  <w:num w:numId="19">
    <w:abstractNumId w:val="10"/>
  </w:num>
  <w:num w:numId="20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46A"/>
    <w:rsid w:val="000902C7"/>
    <w:rsid w:val="000E799D"/>
    <w:rsid w:val="001C362D"/>
    <w:rsid w:val="001F1D00"/>
    <w:rsid w:val="0020568E"/>
    <w:rsid w:val="002218F6"/>
    <w:rsid w:val="00292A37"/>
    <w:rsid w:val="002B5D9F"/>
    <w:rsid w:val="003656B2"/>
    <w:rsid w:val="003B756D"/>
    <w:rsid w:val="00403ADB"/>
    <w:rsid w:val="00572FD3"/>
    <w:rsid w:val="005A28B7"/>
    <w:rsid w:val="006660DD"/>
    <w:rsid w:val="006E18C7"/>
    <w:rsid w:val="0075080F"/>
    <w:rsid w:val="007C5395"/>
    <w:rsid w:val="00836A3B"/>
    <w:rsid w:val="00855232"/>
    <w:rsid w:val="008720C4"/>
    <w:rsid w:val="008F52AF"/>
    <w:rsid w:val="009C5E5A"/>
    <w:rsid w:val="00AE246A"/>
    <w:rsid w:val="00AF0268"/>
    <w:rsid w:val="00B30E9D"/>
    <w:rsid w:val="00BF0A1F"/>
    <w:rsid w:val="00C3126A"/>
    <w:rsid w:val="00D33940"/>
    <w:rsid w:val="00D600FD"/>
    <w:rsid w:val="00D615ED"/>
    <w:rsid w:val="00D649A8"/>
    <w:rsid w:val="00EB088A"/>
    <w:rsid w:val="00F6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5068F493-2919-4DAA-A63A-3CC6732B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1D0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1D00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primedocs\generated\3b8587d8-c944-42a0-a2fc-ca787ea2ffb3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1191016749</Id>
      <Width>0</Width>
      <Height>0</Height>
      <XPath>//Image[@id='Profile.Org.WappenSW']</XPath>
      <ImageHash>02f1c0cdac6aeac316213b2e7cb733a0</ImageHash>
    </ImageSizeDefinition>
    <ImageSizeDefinition>
      <Id>434984931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4.xml>��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01D3D8CB-29FA-437C-AE05-9503907D2A43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F54C05DD-6D8D-4D20-94AC-8A0434EEE244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3b8587d8-c944-42a0-a2fc-ca787ea2ffb3.dotx</Template>
  <TotalTime>6</TotalTime>
  <Pages>4</Pages>
  <Words>1507</Words>
  <Characters>9151</Characters>
  <Application>Microsoft Office Word</Application>
  <DocSecurity>0</DocSecurity>
  <Lines>234</Lines>
  <Paragraphs>105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Venturi Luca</cp:lastModifiedBy>
  <cp:revision>18</cp:revision>
  <cp:lastPrinted>2025-12-02T13:18:00Z</cp:lastPrinted>
  <dcterms:created xsi:type="dcterms:W3CDTF">2025-12-02T09:49:00Z</dcterms:created>
  <dcterms:modified xsi:type="dcterms:W3CDTF">2025-12-02T13:19:00Z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