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9BA" w:rsidRPr="001B1AC7" w:rsidRDefault="009949BA" w:rsidP="009949BA">
      <w:pPr>
        <w:tabs>
          <w:tab w:val="left" w:pos="426"/>
          <w:tab w:val="left" w:pos="2098"/>
          <w:tab w:val="left" w:pos="4962"/>
        </w:tabs>
        <w:suppressAutoHyphens/>
        <w:spacing w:after="120"/>
        <w:jc w:val="both"/>
        <w:rPr>
          <w:rFonts w:ascii="Arial" w:hAnsi="Arial" w:cs="Arial"/>
          <w:b/>
          <w:position w:val="4"/>
          <w:sz w:val="23"/>
          <w:szCs w:val="23"/>
        </w:rPr>
      </w:pPr>
      <w:r w:rsidRPr="001B1AC7">
        <w:rPr>
          <w:rFonts w:ascii="Arial" w:hAnsi="Arial" w:cs="Arial"/>
          <w:b/>
          <w:position w:val="4"/>
          <w:sz w:val="23"/>
          <w:szCs w:val="23"/>
        </w:rPr>
        <w:t>INIZIATIVA PARLAMENTARE</w:t>
      </w:r>
    </w:p>
    <w:p w:rsidR="009949BA" w:rsidRPr="001B1AC7" w:rsidRDefault="009949BA" w:rsidP="009949BA">
      <w:pPr>
        <w:tabs>
          <w:tab w:val="left" w:pos="426"/>
        </w:tabs>
        <w:jc w:val="both"/>
        <w:rPr>
          <w:rFonts w:ascii="Arial" w:eastAsia="Calibri" w:hAnsi="Arial" w:cs="Arial"/>
          <w:b/>
          <w:bCs/>
          <w:sz w:val="23"/>
          <w:szCs w:val="23"/>
        </w:rPr>
      </w:pPr>
    </w:p>
    <w:p w:rsidR="009949BA" w:rsidRPr="001B1AC7" w:rsidRDefault="009949BA" w:rsidP="009949BA">
      <w:pPr>
        <w:tabs>
          <w:tab w:val="left" w:pos="426"/>
        </w:tabs>
        <w:spacing w:after="120"/>
        <w:jc w:val="both"/>
        <w:rPr>
          <w:rFonts w:ascii="Arial" w:eastAsia="Calibri" w:hAnsi="Arial" w:cs="Arial"/>
          <w:b/>
          <w:bCs/>
          <w:sz w:val="23"/>
          <w:szCs w:val="23"/>
          <w:u w:val="single"/>
        </w:rPr>
      </w:pPr>
      <w:r w:rsidRPr="001B1AC7">
        <w:rPr>
          <w:rFonts w:ascii="Arial" w:eastAsia="Calibri" w:hAnsi="Arial" w:cs="Arial"/>
          <w:b/>
          <w:bCs/>
          <w:sz w:val="23"/>
          <w:szCs w:val="23"/>
          <w:u w:val="single"/>
        </w:rPr>
        <w:t xml:space="preserve">presentata nella forma elaborata dalla Commissione speciale per l'attuazione dell'IP "Prima i nostri!" - Preferenza indigena per il personale </w:t>
      </w:r>
      <w:r w:rsidRPr="001B1AC7">
        <w:rPr>
          <w:rFonts w:ascii="Arial" w:eastAsia="Calibri" w:hAnsi="Arial" w:cs="Arial"/>
          <w:b/>
          <w:color w:val="000000"/>
          <w:sz w:val="23"/>
          <w:szCs w:val="23"/>
          <w:u w:val="single"/>
          <w:shd w:val="clear" w:color="auto" w:fill="FFFFFF"/>
          <w:lang w:val="it-IT" w:eastAsia="zh-CN"/>
        </w:rPr>
        <w:t xml:space="preserve">dell'Agenzia turistica ticinese (ATT) e delle </w:t>
      </w:r>
      <w:r w:rsidRPr="001B1AC7">
        <w:rPr>
          <w:rFonts w:ascii="Arial" w:eastAsia="Calibri" w:hAnsi="Arial" w:cs="Arial"/>
          <w:b/>
          <w:bCs/>
          <w:color w:val="000000"/>
          <w:sz w:val="23"/>
          <w:szCs w:val="23"/>
          <w:u w:val="single"/>
          <w:shd w:val="clear" w:color="auto" w:fill="FFFFFF"/>
          <w:lang w:val="it-IT" w:eastAsia="zh-CN"/>
        </w:rPr>
        <w:t>Organizzazioni turistiche regionali (OTR)</w:t>
      </w:r>
    </w:p>
    <w:p w:rsidR="009949BA" w:rsidRPr="001B1AC7" w:rsidRDefault="009949BA" w:rsidP="009949BA">
      <w:pPr>
        <w:tabs>
          <w:tab w:val="left" w:pos="426"/>
        </w:tabs>
        <w:jc w:val="both"/>
        <w:rPr>
          <w:rFonts w:ascii="Arial" w:eastAsia="Calibri" w:hAnsi="Arial" w:cs="Arial"/>
          <w:sz w:val="23"/>
          <w:szCs w:val="23"/>
        </w:rPr>
      </w:pPr>
    </w:p>
    <w:p w:rsidR="009949BA" w:rsidRPr="001B1AC7" w:rsidRDefault="009949BA" w:rsidP="009949BA">
      <w:pPr>
        <w:tabs>
          <w:tab w:val="left" w:pos="426"/>
        </w:tabs>
        <w:jc w:val="both"/>
        <w:rPr>
          <w:rFonts w:ascii="Arial" w:eastAsia="Calibri" w:hAnsi="Arial" w:cs="Arial"/>
          <w:sz w:val="23"/>
          <w:szCs w:val="23"/>
        </w:rPr>
      </w:pPr>
      <w:r w:rsidRPr="001B1AC7">
        <w:rPr>
          <w:rFonts w:ascii="Arial" w:eastAsia="Calibri" w:hAnsi="Arial" w:cs="Arial"/>
          <w:sz w:val="23"/>
          <w:szCs w:val="23"/>
        </w:rPr>
        <w:t xml:space="preserve">del </w:t>
      </w:r>
      <w:r>
        <w:rPr>
          <w:rFonts w:ascii="Arial" w:eastAsia="Calibri" w:hAnsi="Arial" w:cs="Arial"/>
          <w:sz w:val="23"/>
          <w:szCs w:val="23"/>
        </w:rPr>
        <w:t>10</w:t>
      </w:r>
      <w:r w:rsidRPr="001B1AC7">
        <w:rPr>
          <w:rFonts w:ascii="Arial" w:eastAsia="Calibri" w:hAnsi="Arial" w:cs="Arial"/>
          <w:sz w:val="23"/>
          <w:szCs w:val="23"/>
        </w:rPr>
        <w:t xml:space="preserve"> </w:t>
      </w:r>
      <w:r>
        <w:rPr>
          <w:rFonts w:ascii="Arial" w:eastAsia="Calibri" w:hAnsi="Arial" w:cs="Arial"/>
          <w:sz w:val="23"/>
          <w:szCs w:val="23"/>
        </w:rPr>
        <w:t xml:space="preserve">aprile </w:t>
      </w:r>
      <w:r w:rsidRPr="001B1AC7">
        <w:rPr>
          <w:rFonts w:ascii="Arial" w:eastAsia="Calibri" w:hAnsi="Arial" w:cs="Arial"/>
          <w:sz w:val="23"/>
          <w:szCs w:val="23"/>
        </w:rPr>
        <w:t>2017</w:t>
      </w:r>
    </w:p>
    <w:p w:rsidR="009949BA" w:rsidRDefault="009949BA" w:rsidP="009949BA">
      <w:pPr>
        <w:tabs>
          <w:tab w:val="left" w:pos="426"/>
        </w:tabs>
        <w:jc w:val="both"/>
        <w:rPr>
          <w:rFonts w:ascii="Arial" w:eastAsia="Calibri" w:hAnsi="Arial" w:cs="Arial"/>
          <w:sz w:val="23"/>
          <w:szCs w:val="23"/>
        </w:rPr>
      </w:pPr>
    </w:p>
    <w:p w:rsidR="009949BA" w:rsidRPr="001B1AC7" w:rsidRDefault="009949BA" w:rsidP="009949BA">
      <w:pPr>
        <w:tabs>
          <w:tab w:val="left" w:pos="426"/>
        </w:tabs>
        <w:jc w:val="both"/>
        <w:rPr>
          <w:rFonts w:ascii="Arial" w:eastAsia="Calibri" w:hAnsi="Arial" w:cs="Arial"/>
          <w:sz w:val="23"/>
          <w:szCs w:val="23"/>
        </w:rPr>
      </w:pPr>
    </w:p>
    <w:p w:rsidR="009949BA" w:rsidRDefault="009949BA" w:rsidP="009949BA">
      <w:pPr>
        <w:tabs>
          <w:tab w:val="left" w:pos="426"/>
        </w:tabs>
        <w:jc w:val="both"/>
        <w:rPr>
          <w:rFonts w:ascii="Arial" w:eastAsia="Calibri" w:hAnsi="Arial" w:cs="Arial"/>
          <w:bCs/>
          <w:sz w:val="23"/>
          <w:szCs w:val="23"/>
        </w:rPr>
      </w:pPr>
      <w:r w:rsidRPr="001B1AC7">
        <w:rPr>
          <w:rFonts w:ascii="Arial" w:eastAsia="Calibri" w:hAnsi="Arial" w:cs="Arial"/>
          <w:bCs/>
          <w:sz w:val="23"/>
          <w:szCs w:val="23"/>
        </w:rPr>
        <w:t xml:space="preserve">Per chiudere il cerchio delle iniziative parlamentari atte a regolare le assunzioni nell'ambito </w:t>
      </w:r>
      <w:proofErr w:type="spellStart"/>
      <w:r w:rsidRPr="001B1AC7">
        <w:rPr>
          <w:rFonts w:ascii="Arial" w:eastAsia="Calibri" w:hAnsi="Arial" w:cs="Arial"/>
          <w:bCs/>
          <w:sz w:val="23"/>
          <w:szCs w:val="23"/>
        </w:rPr>
        <w:t>parapubblico</w:t>
      </w:r>
      <w:proofErr w:type="spellEnd"/>
      <w:r w:rsidRPr="001B1AC7">
        <w:rPr>
          <w:rFonts w:ascii="Arial" w:eastAsia="Calibri" w:hAnsi="Arial" w:cs="Arial"/>
          <w:bCs/>
          <w:sz w:val="23"/>
          <w:szCs w:val="23"/>
        </w:rPr>
        <w:t>, la scrivente Commissione speciale, facendo riferimento alle motivazioni addotte nei precedenti atti parlamentari affini, propone di rivedere puntualmente la legge sul turismo (</w:t>
      </w:r>
      <w:proofErr w:type="spellStart"/>
      <w:r w:rsidRPr="001B1AC7">
        <w:rPr>
          <w:rFonts w:ascii="Arial" w:eastAsia="Calibri" w:hAnsi="Arial" w:cs="Arial"/>
          <w:bCs/>
          <w:sz w:val="23"/>
          <w:szCs w:val="23"/>
        </w:rPr>
        <w:t>LTur</w:t>
      </w:r>
      <w:proofErr w:type="spellEnd"/>
      <w:r w:rsidRPr="001B1AC7">
        <w:rPr>
          <w:rFonts w:ascii="Arial" w:eastAsia="Calibri" w:hAnsi="Arial" w:cs="Arial"/>
          <w:bCs/>
          <w:sz w:val="23"/>
          <w:szCs w:val="23"/>
        </w:rPr>
        <w:t xml:space="preserve">) del 25 giugno 2014 nei termini sottoesposti. </w:t>
      </w:r>
    </w:p>
    <w:p w:rsidR="009949BA" w:rsidRPr="001B1AC7" w:rsidRDefault="009949BA" w:rsidP="009949BA">
      <w:pPr>
        <w:tabs>
          <w:tab w:val="left" w:pos="426"/>
        </w:tabs>
        <w:jc w:val="both"/>
        <w:rPr>
          <w:rFonts w:ascii="Arial" w:eastAsia="Calibri" w:hAnsi="Arial" w:cs="Arial"/>
          <w:bCs/>
          <w:sz w:val="23"/>
          <w:szCs w:val="23"/>
        </w:rPr>
      </w:pPr>
    </w:p>
    <w:p w:rsidR="009949BA" w:rsidRDefault="009949BA" w:rsidP="009949BA">
      <w:pPr>
        <w:tabs>
          <w:tab w:val="left" w:pos="426"/>
        </w:tabs>
        <w:jc w:val="both"/>
        <w:rPr>
          <w:rFonts w:ascii="Arial" w:eastAsia="Calibri" w:hAnsi="Arial" w:cs="Arial"/>
          <w:sz w:val="23"/>
          <w:szCs w:val="23"/>
        </w:rPr>
      </w:pPr>
      <w:r w:rsidRPr="001B1AC7">
        <w:rPr>
          <w:rFonts w:ascii="Arial" w:eastAsia="Calibri" w:hAnsi="Arial" w:cs="Arial"/>
          <w:sz w:val="23"/>
          <w:szCs w:val="23"/>
        </w:rPr>
        <w:t xml:space="preserve">In concreto, la legge sul turismo e la regolamentazione del funzionamento delle OTR e dell'ATT non contemplano alcuna disposizione sulla natura giuridica dei rapporti di lavoro con i dipendenti di questi enti. Manca in ogni modo una disposizione sulla preferenza alle persone residenti. Per queste ragioni, in virtù del voto popolare scaturito in data 25 settembre 2016, si rende necessario emendare la legge sul turismo in tal senso. </w:t>
      </w:r>
    </w:p>
    <w:p w:rsidR="009949BA" w:rsidRPr="001B1AC7" w:rsidRDefault="009949BA" w:rsidP="009949BA">
      <w:pPr>
        <w:tabs>
          <w:tab w:val="left" w:pos="426"/>
        </w:tabs>
        <w:jc w:val="both"/>
        <w:rPr>
          <w:rFonts w:ascii="Arial" w:eastAsia="Calibri" w:hAnsi="Arial" w:cs="Arial"/>
          <w:sz w:val="23"/>
          <w:szCs w:val="23"/>
        </w:rPr>
      </w:pPr>
    </w:p>
    <w:p w:rsidR="009949BA" w:rsidRPr="001B1AC7" w:rsidRDefault="009949BA" w:rsidP="009949BA">
      <w:pPr>
        <w:tabs>
          <w:tab w:val="left" w:pos="426"/>
        </w:tabs>
        <w:jc w:val="both"/>
        <w:rPr>
          <w:rFonts w:ascii="Arial" w:eastAsia="Calibri" w:hAnsi="Arial" w:cs="Arial"/>
          <w:sz w:val="23"/>
          <w:szCs w:val="23"/>
        </w:rPr>
      </w:pPr>
      <w:r w:rsidRPr="001B1AC7">
        <w:rPr>
          <w:rFonts w:ascii="Arial" w:eastAsia="Calibri" w:hAnsi="Arial" w:cs="Arial"/>
          <w:sz w:val="23"/>
          <w:szCs w:val="23"/>
        </w:rPr>
        <w:t>La modifica legislativa emersa dai lavori commissionali, che andrebbe a regolare l'assunzione di quasi 200 posti di lavoro, è quindi la seguente:</w:t>
      </w:r>
    </w:p>
    <w:p w:rsidR="009949BA" w:rsidRPr="001B1AC7" w:rsidRDefault="009949BA" w:rsidP="009949BA">
      <w:pPr>
        <w:tabs>
          <w:tab w:val="left" w:pos="426"/>
        </w:tabs>
        <w:jc w:val="both"/>
        <w:rPr>
          <w:rFonts w:ascii="Arial" w:eastAsia="Calibri" w:hAnsi="Arial" w:cs="Arial"/>
          <w:sz w:val="23"/>
          <w:szCs w:val="23"/>
        </w:rPr>
      </w:pPr>
    </w:p>
    <w:p w:rsidR="009949BA" w:rsidRPr="001B1AC7" w:rsidRDefault="009949BA" w:rsidP="009949BA">
      <w:pPr>
        <w:tabs>
          <w:tab w:val="left" w:pos="426"/>
        </w:tabs>
        <w:spacing w:after="120"/>
        <w:jc w:val="both"/>
        <w:rPr>
          <w:rFonts w:ascii="Arial" w:eastAsia="Calibri" w:hAnsi="Arial" w:cs="Arial"/>
          <w:b/>
          <w:bCs/>
          <w:sz w:val="23"/>
          <w:szCs w:val="23"/>
        </w:rPr>
      </w:pPr>
      <w:r w:rsidRPr="001B1AC7">
        <w:rPr>
          <w:rFonts w:ascii="Arial" w:eastAsia="Calibri" w:hAnsi="Arial" w:cs="Arial"/>
          <w:b/>
          <w:bCs/>
          <w:sz w:val="23"/>
          <w:szCs w:val="23"/>
        </w:rPr>
        <w:t>I.</w:t>
      </w:r>
    </w:p>
    <w:p w:rsidR="009949BA" w:rsidRPr="001B1AC7" w:rsidRDefault="009949BA" w:rsidP="009949BA">
      <w:pPr>
        <w:tabs>
          <w:tab w:val="left" w:pos="426"/>
        </w:tabs>
        <w:jc w:val="both"/>
        <w:rPr>
          <w:rFonts w:ascii="Arial" w:eastAsia="Calibri" w:hAnsi="Arial" w:cs="Arial"/>
          <w:sz w:val="23"/>
          <w:szCs w:val="23"/>
        </w:rPr>
      </w:pPr>
      <w:r w:rsidRPr="001B1AC7">
        <w:rPr>
          <w:rFonts w:ascii="Arial" w:eastAsia="Calibri" w:hAnsi="Arial" w:cs="Arial"/>
          <w:sz w:val="23"/>
          <w:szCs w:val="23"/>
        </w:rPr>
        <w:t xml:space="preserve">La </w:t>
      </w:r>
      <w:r>
        <w:rPr>
          <w:rFonts w:ascii="Arial" w:eastAsia="Calibri" w:hAnsi="Arial" w:cs="Arial"/>
          <w:sz w:val="23"/>
          <w:szCs w:val="23"/>
        </w:rPr>
        <w:t>L</w:t>
      </w:r>
      <w:r w:rsidRPr="001B1AC7">
        <w:rPr>
          <w:rFonts w:ascii="Arial" w:eastAsia="Calibri" w:hAnsi="Arial" w:cs="Arial"/>
          <w:sz w:val="23"/>
          <w:szCs w:val="23"/>
        </w:rPr>
        <w:t>egge sul turismo (</w:t>
      </w:r>
      <w:proofErr w:type="spellStart"/>
      <w:r w:rsidRPr="001B1AC7">
        <w:rPr>
          <w:rFonts w:ascii="Arial" w:eastAsia="Calibri" w:hAnsi="Arial" w:cs="Arial"/>
          <w:sz w:val="23"/>
          <w:szCs w:val="23"/>
        </w:rPr>
        <w:t>LTur</w:t>
      </w:r>
      <w:proofErr w:type="spellEnd"/>
      <w:r w:rsidRPr="001B1AC7">
        <w:rPr>
          <w:rFonts w:ascii="Arial" w:eastAsia="Calibri" w:hAnsi="Arial" w:cs="Arial"/>
          <w:sz w:val="23"/>
          <w:szCs w:val="23"/>
        </w:rPr>
        <w:t>) del 25 giugno 2014 è modificata come segue:</w:t>
      </w:r>
    </w:p>
    <w:p w:rsidR="009949BA" w:rsidRPr="001B1AC7" w:rsidRDefault="009949BA" w:rsidP="009949BA">
      <w:pPr>
        <w:tabs>
          <w:tab w:val="left" w:pos="426"/>
        </w:tabs>
        <w:jc w:val="both"/>
        <w:rPr>
          <w:rFonts w:ascii="Arial" w:eastAsia="Calibri" w:hAnsi="Arial" w:cs="Arial"/>
          <w:sz w:val="23"/>
          <w:szCs w:val="23"/>
        </w:rPr>
      </w:pPr>
    </w:p>
    <w:p w:rsidR="009949BA" w:rsidRDefault="009949BA" w:rsidP="009949BA">
      <w:pPr>
        <w:tabs>
          <w:tab w:val="left" w:pos="426"/>
        </w:tabs>
        <w:jc w:val="both"/>
        <w:rPr>
          <w:rFonts w:ascii="Arial" w:eastAsia="Calibri" w:hAnsi="Arial" w:cs="Arial"/>
          <w:b/>
          <w:bCs/>
          <w:sz w:val="23"/>
          <w:szCs w:val="23"/>
        </w:rPr>
      </w:pPr>
      <w:r w:rsidRPr="001B1AC7">
        <w:rPr>
          <w:rFonts w:ascii="Arial" w:eastAsia="Calibri" w:hAnsi="Arial" w:cs="Arial"/>
          <w:b/>
          <w:bCs/>
          <w:sz w:val="23"/>
          <w:szCs w:val="23"/>
        </w:rPr>
        <w:t xml:space="preserve">Art. 6 </w:t>
      </w:r>
      <w:r>
        <w:rPr>
          <w:rFonts w:ascii="Arial" w:eastAsia="Calibri" w:hAnsi="Arial" w:cs="Arial"/>
          <w:b/>
          <w:bCs/>
          <w:sz w:val="23"/>
          <w:szCs w:val="23"/>
        </w:rPr>
        <w:t xml:space="preserve">- </w:t>
      </w:r>
      <w:r w:rsidRPr="001B1AC7">
        <w:rPr>
          <w:rFonts w:ascii="Arial" w:eastAsia="Calibri" w:hAnsi="Arial" w:cs="Arial"/>
          <w:b/>
          <w:bCs/>
          <w:sz w:val="23"/>
          <w:szCs w:val="23"/>
        </w:rPr>
        <w:t>Funzionamento OTR</w:t>
      </w:r>
    </w:p>
    <w:p w:rsidR="009949BA" w:rsidRPr="001B1AC7" w:rsidRDefault="009949BA" w:rsidP="009949BA">
      <w:pPr>
        <w:tabs>
          <w:tab w:val="left" w:pos="426"/>
        </w:tabs>
        <w:jc w:val="both"/>
        <w:rPr>
          <w:rFonts w:ascii="Arial" w:eastAsia="Calibri" w:hAnsi="Arial" w:cs="Arial"/>
          <w:b/>
          <w:bCs/>
          <w:sz w:val="23"/>
          <w:szCs w:val="23"/>
        </w:rPr>
      </w:pPr>
    </w:p>
    <w:p w:rsidR="009949BA" w:rsidRPr="001B1AC7" w:rsidRDefault="009949BA" w:rsidP="009949BA">
      <w:pPr>
        <w:tabs>
          <w:tab w:val="left" w:pos="426"/>
        </w:tabs>
        <w:jc w:val="both"/>
        <w:rPr>
          <w:rFonts w:ascii="Arial" w:eastAsia="Calibri" w:hAnsi="Arial" w:cs="Arial"/>
          <w:sz w:val="23"/>
          <w:szCs w:val="23"/>
        </w:rPr>
      </w:pPr>
      <w:r w:rsidRPr="00F840D8">
        <w:rPr>
          <w:rFonts w:ascii="Arial" w:eastAsia="Calibri" w:hAnsi="Arial" w:cs="Arial"/>
          <w:sz w:val="23"/>
          <w:szCs w:val="23"/>
          <w:vertAlign w:val="superscript"/>
        </w:rPr>
        <w:t>6</w:t>
      </w:r>
      <w:r>
        <w:rPr>
          <w:rFonts w:ascii="Arial" w:eastAsia="Calibri" w:hAnsi="Arial" w:cs="Arial"/>
          <w:sz w:val="23"/>
          <w:szCs w:val="23"/>
          <w:vertAlign w:val="superscript"/>
        </w:rPr>
        <w:t xml:space="preserve"> </w:t>
      </w:r>
      <w:r w:rsidRPr="00F840D8">
        <w:rPr>
          <w:rFonts w:ascii="Arial" w:eastAsia="Calibri" w:hAnsi="Arial" w:cs="Arial"/>
          <w:sz w:val="23"/>
          <w:szCs w:val="23"/>
          <w:vertAlign w:val="superscript"/>
        </w:rPr>
        <w:t>(nuovo)</w:t>
      </w:r>
      <w:r w:rsidRPr="001B1AC7">
        <w:rPr>
          <w:rFonts w:ascii="Arial" w:eastAsia="Calibri" w:hAnsi="Arial" w:cs="Arial"/>
          <w:sz w:val="23"/>
          <w:szCs w:val="23"/>
        </w:rPr>
        <w:t>Nell'assunzione del personale, le Organizzazioni Turistiche Regionali (OTR), a parità di requisiti e qualifiche e salvaguardando gli obiettivi aziendali, devono dare la precedenza alle persone residenti, purché idonee ad occupare il posto di lavoro offerto.</w:t>
      </w:r>
    </w:p>
    <w:p w:rsidR="009949BA" w:rsidRPr="001B1AC7" w:rsidRDefault="009949BA" w:rsidP="009949BA">
      <w:pPr>
        <w:tabs>
          <w:tab w:val="left" w:pos="426"/>
        </w:tabs>
        <w:jc w:val="both"/>
        <w:rPr>
          <w:rFonts w:ascii="Arial" w:eastAsia="Calibri" w:hAnsi="Arial" w:cs="Arial"/>
          <w:sz w:val="23"/>
          <w:szCs w:val="23"/>
        </w:rPr>
      </w:pPr>
    </w:p>
    <w:p w:rsidR="009949BA" w:rsidRDefault="009949BA" w:rsidP="009949BA">
      <w:pPr>
        <w:tabs>
          <w:tab w:val="left" w:pos="426"/>
        </w:tabs>
        <w:jc w:val="both"/>
        <w:rPr>
          <w:rFonts w:ascii="Arial" w:eastAsia="Calibri" w:hAnsi="Arial" w:cs="Arial"/>
          <w:b/>
          <w:bCs/>
          <w:sz w:val="23"/>
          <w:szCs w:val="23"/>
        </w:rPr>
      </w:pPr>
      <w:r w:rsidRPr="001B1AC7">
        <w:rPr>
          <w:rFonts w:ascii="Arial" w:eastAsia="Calibri" w:hAnsi="Arial" w:cs="Arial"/>
          <w:b/>
          <w:bCs/>
          <w:sz w:val="23"/>
          <w:szCs w:val="23"/>
        </w:rPr>
        <w:t xml:space="preserve">Art. 9 </w:t>
      </w:r>
      <w:r>
        <w:rPr>
          <w:rFonts w:ascii="Arial" w:eastAsia="Calibri" w:hAnsi="Arial" w:cs="Arial"/>
          <w:b/>
          <w:bCs/>
          <w:sz w:val="23"/>
          <w:szCs w:val="23"/>
        </w:rPr>
        <w:t xml:space="preserve">- </w:t>
      </w:r>
      <w:r w:rsidRPr="001B1AC7">
        <w:rPr>
          <w:rFonts w:ascii="Arial" w:eastAsia="Calibri" w:hAnsi="Arial" w:cs="Arial"/>
          <w:b/>
          <w:bCs/>
          <w:sz w:val="23"/>
          <w:szCs w:val="23"/>
        </w:rPr>
        <w:t>Funzionamento ATT</w:t>
      </w:r>
    </w:p>
    <w:p w:rsidR="009949BA" w:rsidRPr="001B1AC7" w:rsidRDefault="009949BA" w:rsidP="009949BA">
      <w:pPr>
        <w:tabs>
          <w:tab w:val="left" w:pos="426"/>
        </w:tabs>
        <w:jc w:val="both"/>
        <w:rPr>
          <w:rFonts w:ascii="Arial" w:eastAsia="Calibri" w:hAnsi="Arial" w:cs="Arial"/>
          <w:b/>
          <w:bCs/>
          <w:sz w:val="23"/>
          <w:szCs w:val="23"/>
        </w:rPr>
      </w:pPr>
    </w:p>
    <w:p w:rsidR="009949BA" w:rsidRPr="001B1AC7" w:rsidRDefault="009949BA" w:rsidP="009949BA">
      <w:pPr>
        <w:tabs>
          <w:tab w:val="left" w:pos="426"/>
        </w:tabs>
        <w:jc w:val="both"/>
        <w:rPr>
          <w:rFonts w:ascii="Arial" w:eastAsia="Calibri" w:hAnsi="Arial" w:cs="Arial"/>
          <w:sz w:val="23"/>
          <w:szCs w:val="23"/>
        </w:rPr>
      </w:pPr>
      <w:r w:rsidRPr="00F840D8">
        <w:rPr>
          <w:rFonts w:ascii="Arial" w:eastAsia="Calibri" w:hAnsi="Arial" w:cs="Arial"/>
          <w:sz w:val="23"/>
          <w:szCs w:val="23"/>
          <w:vertAlign w:val="superscript"/>
        </w:rPr>
        <w:t>3</w:t>
      </w:r>
      <w:r>
        <w:rPr>
          <w:rFonts w:ascii="Arial" w:eastAsia="Calibri" w:hAnsi="Arial" w:cs="Arial"/>
          <w:sz w:val="23"/>
          <w:szCs w:val="23"/>
          <w:vertAlign w:val="superscript"/>
        </w:rPr>
        <w:t xml:space="preserve"> </w:t>
      </w:r>
      <w:r w:rsidRPr="00F840D8">
        <w:rPr>
          <w:rFonts w:ascii="Arial" w:eastAsia="Calibri" w:hAnsi="Arial" w:cs="Arial"/>
          <w:sz w:val="23"/>
          <w:szCs w:val="23"/>
          <w:vertAlign w:val="superscript"/>
        </w:rPr>
        <w:t>(nuovo)</w:t>
      </w:r>
      <w:r w:rsidRPr="001B1AC7">
        <w:rPr>
          <w:rFonts w:ascii="Arial" w:eastAsia="Calibri" w:hAnsi="Arial" w:cs="Arial"/>
          <w:sz w:val="23"/>
          <w:szCs w:val="23"/>
        </w:rPr>
        <w:t>Nell'assunzione del personale, l'Agenzia Turistica Ticinese, a parità di requisiti e qualifiche e salvaguardando gli obiettivi aziendali, deve dare la precedenza alle persone residenti, purché idonee ad occupare il posto di lavoro offerto.</w:t>
      </w:r>
    </w:p>
    <w:p w:rsidR="009949BA" w:rsidRPr="001B1AC7" w:rsidRDefault="009949BA" w:rsidP="009949BA">
      <w:pPr>
        <w:tabs>
          <w:tab w:val="left" w:pos="426"/>
        </w:tabs>
        <w:jc w:val="both"/>
        <w:rPr>
          <w:rFonts w:ascii="Arial" w:eastAsia="Calibri" w:hAnsi="Arial" w:cs="Arial"/>
          <w:sz w:val="23"/>
          <w:szCs w:val="23"/>
        </w:rPr>
      </w:pPr>
    </w:p>
    <w:p w:rsidR="009949BA" w:rsidRPr="001B1AC7" w:rsidRDefault="009949BA" w:rsidP="009949BA">
      <w:pPr>
        <w:tabs>
          <w:tab w:val="left" w:pos="426"/>
        </w:tabs>
        <w:spacing w:after="120"/>
        <w:jc w:val="both"/>
        <w:rPr>
          <w:rFonts w:ascii="Arial" w:eastAsia="Calibri" w:hAnsi="Arial" w:cs="Arial"/>
          <w:b/>
          <w:bCs/>
          <w:sz w:val="23"/>
          <w:szCs w:val="23"/>
        </w:rPr>
      </w:pPr>
      <w:r w:rsidRPr="001B1AC7">
        <w:rPr>
          <w:rFonts w:ascii="Arial" w:eastAsia="Calibri" w:hAnsi="Arial" w:cs="Arial"/>
          <w:b/>
          <w:bCs/>
          <w:sz w:val="23"/>
          <w:szCs w:val="23"/>
        </w:rPr>
        <w:t>II.</w:t>
      </w:r>
    </w:p>
    <w:p w:rsidR="009949BA" w:rsidRPr="001B1AC7" w:rsidRDefault="009949BA" w:rsidP="009949BA">
      <w:pPr>
        <w:tabs>
          <w:tab w:val="left" w:pos="426"/>
        </w:tabs>
        <w:jc w:val="both"/>
        <w:rPr>
          <w:rFonts w:ascii="Arial" w:eastAsia="Calibri" w:hAnsi="Arial" w:cs="Arial"/>
          <w:sz w:val="23"/>
          <w:szCs w:val="23"/>
        </w:rPr>
      </w:pPr>
      <w:r w:rsidRPr="001B1AC7">
        <w:rPr>
          <w:rFonts w:ascii="Arial" w:eastAsia="Calibri" w:hAnsi="Arial" w:cs="Arial"/>
          <w:sz w:val="23"/>
          <w:szCs w:val="23"/>
        </w:rPr>
        <w:t>Trascorsi i termini per l'esercizio del diritto di referendum, la presente modifica di legge è</w:t>
      </w:r>
      <w:r>
        <w:rPr>
          <w:rFonts w:ascii="Arial" w:eastAsia="Calibri" w:hAnsi="Arial" w:cs="Arial"/>
          <w:sz w:val="23"/>
          <w:szCs w:val="23"/>
        </w:rPr>
        <w:t xml:space="preserve"> </w:t>
      </w:r>
      <w:r w:rsidRPr="001B1AC7">
        <w:rPr>
          <w:rFonts w:ascii="Arial" w:eastAsia="Calibri" w:hAnsi="Arial" w:cs="Arial"/>
          <w:sz w:val="23"/>
          <w:szCs w:val="23"/>
        </w:rPr>
        <w:t>pubblicata nel Bollettino delle leggi ed entra immediatamente in vigore.</w:t>
      </w:r>
    </w:p>
    <w:p w:rsidR="009949BA" w:rsidRDefault="009949BA" w:rsidP="009949BA">
      <w:pPr>
        <w:tabs>
          <w:tab w:val="left" w:pos="426"/>
        </w:tabs>
        <w:jc w:val="both"/>
        <w:rPr>
          <w:rFonts w:ascii="Arial" w:eastAsia="Calibri" w:hAnsi="Arial" w:cs="Arial"/>
          <w:sz w:val="23"/>
          <w:szCs w:val="23"/>
        </w:rPr>
      </w:pPr>
    </w:p>
    <w:p w:rsidR="009949BA" w:rsidRPr="001B1AC7" w:rsidRDefault="009949BA" w:rsidP="009949BA">
      <w:pPr>
        <w:tabs>
          <w:tab w:val="left" w:pos="426"/>
        </w:tabs>
        <w:jc w:val="both"/>
        <w:rPr>
          <w:rFonts w:ascii="Arial" w:eastAsia="Calibri" w:hAnsi="Arial" w:cs="Arial"/>
          <w:sz w:val="23"/>
          <w:szCs w:val="23"/>
        </w:rPr>
      </w:pPr>
    </w:p>
    <w:p w:rsidR="009949BA" w:rsidRPr="00B92944" w:rsidRDefault="009949BA" w:rsidP="009949BA">
      <w:pPr>
        <w:jc w:val="both"/>
        <w:rPr>
          <w:rFonts w:ascii="Arial" w:hAnsi="Arial" w:cs="Arial"/>
          <w:sz w:val="23"/>
          <w:szCs w:val="23"/>
        </w:rPr>
      </w:pPr>
      <w:r w:rsidRPr="00B92944">
        <w:rPr>
          <w:rFonts w:ascii="Arial" w:hAnsi="Arial" w:cs="Arial"/>
          <w:sz w:val="23"/>
          <w:szCs w:val="23"/>
        </w:rPr>
        <w:t xml:space="preserve">Per la Commissione speciale </w:t>
      </w:r>
    </w:p>
    <w:p w:rsidR="009949BA" w:rsidRPr="00B92944" w:rsidRDefault="009949BA" w:rsidP="009949BA">
      <w:pPr>
        <w:jc w:val="both"/>
        <w:rPr>
          <w:rFonts w:ascii="Arial" w:hAnsi="Arial" w:cs="Arial"/>
          <w:sz w:val="23"/>
          <w:szCs w:val="23"/>
        </w:rPr>
      </w:pPr>
      <w:r w:rsidRPr="00B92944">
        <w:rPr>
          <w:rFonts w:ascii="Arial" w:hAnsi="Arial" w:cs="Arial"/>
          <w:sz w:val="23"/>
          <w:szCs w:val="23"/>
        </w:rPr>
        <w:t>per l'attuazione dell'IP "Prima i nostri!"</w:t>
      </w:r>
    </w:p>
    <w:p w:rsidR="009949BA" w:rsidRPr="003C4E76" w:rsidRDefault="009949BA" w:rsidP="009949BA">
      <w:pPr>
        <w:jc w:val="both"/>
        <w:rPr>
          <w:rFonts w:ascii="Arial" w:hAnsi="Arial" w:cs="Arial"/>
          <w:sz w:val="23"/>
          <w:szCs w:val="23"/>
        </w:rPr>
      </w:pPr>
      <w:r w:rsidRPr="003C4E76">
        <w:rPr>
          <w:rFonts w:ascii="Arial" w:hAnsi="Arial" w:cs="Arial"/>
          <w:sz w:val="23"/>
          <w:szCs w:val="23"/>
        </w:rPr>
        <w:t xml:space="preserve">Simone </w:t>
      </w:r>
      <w:proofErr w:type="spellStart"/>
      <w:r w:rsidRPr="003C4E76">
        <w:rPr>
          <w:rFonts w:ascii="Arial" w:hAnsi="Arial" w:cs="Arial"/>
          <w:sz w:val="23"/>
          <w:szCs w:val="23"/>
        </w:rPr>
        <w:t>Ghisla</w:t>
      </w:r>
      <w:proofErr w:type="spellEnd"/>
    </w:p>
    <w:p w:rsidR="009949BA" w:rsidRDefault="009949BA" w:rsidP="009949BA">
      <w:pPr>
        <w:tabs>
          <w:tab w:val="left" w:pos="426"/>
        </w:tabs>
        <w:jc w:val="both"/>
        <w:rPr>
          <w:rFonts w:ascii="Arial" w:eastAsia="Calibri" w:hAnsi="Arial" w:cs="Arial"/>
          <w:sz w:val="23"/>
          <w:szCs w:val="23"/>
        </w:rPr>
      </w:pPr>
      <w:r>
        <w:rPr>
          <w:rFonts w:ascii="Arial" w:eastAsia="Calibri" w:hAnsi="Arial" w:cs="Arial"/>
          <w:sz w:val="23"/>
          <w:szCs w:val="23"/>
        </w:rPr>
        <w:t xml:space="preserve">Bang - </w:t>
      </w:r>
      <w:r w:rsidRPr="001B1AC7">
        <w:rPr>
          <w:rFonts w:ascii="Arial" w:eastAsia="Calibri" w:hAnsi="Arial" w:cs="Arial"/>
          <w:sz w:val="23"/>
          <w:szCs w:val="23"/>
        </w:rPr>
        <w:t>Giudici - Merlo - Minotti - Pinoja</w:t>
      </w:r>
    </w:p>
    <w:p w:rsidR="00D83D7F" w:rsidRPr="009949BA" w:rsidRDefault="00D83D7F" w:rsidP="009949BA">
      <w:bookmarkStart w:id="0" w:name="_GoBack"/>
      <w:bookmarkEnd w:id="0"/>
    </w:p>
    <w:sectPr w:rsidR="00D83D7F" w:rsidRPr="009949BA">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dobe Garamond Pro">
    <w:altName w:val="Garamond"/>
    <w:panose1 w:val="00000000000000000000"/>
    <w:charset w:val="00"/>
    <w:family w:val="roman"/>
    <w:notTrueType/>
    <w:pitch w:val="variable"/>
    <w:sig w:usb0="00000007" w:usb1="00000001"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9949B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9949BA">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9949BA">
    <w:pPr>
      <w:pStyle w:val="Pidipa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9949B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9949BA">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9949B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86CE7"/>
    <w:multiLevelType w:val="hybridMultilevel"/>
    <w:tmpl w:val="36745B6C"/>
    <w:lvl w:ilvl="0" w:tplc="12EA193A">
      <w:start w:val="1"/>
      <w:numFmt w:val="bullet"/>
      <w:lvlText w:val="-"/>
      <w:lvlJc w:val="left"/>
      <w:pPr>
        <w:ind w:left="360" w:hanging="360"/>
      </w:pPr>
      <w:rPr>
        <w:rFonts w:ascii="Adobe Garamond Pro" w:hAnsi="Adobe Garamond Pro"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1D4"/>
    <w:rsid w:val="007561D4"/>
    <w:rsid w:val="009949BA"/>
    <w:rsid w:val="00D83D7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7561D4"/>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61D4"/>
    <w:rPr>
      <w:rFonts w:eastAsia="Calibri"/>
    </w:rPr>
  </w:style>
  <w:style w:type="paragraph" w:styleId="Intestazione">
    <w:name w:val="header"/>
    <w:basedOn w:val="Normale"/>
    <w:link w:val="IntestazioneCarattere"/>
    <w:uiPriority w:val="99"/>
    <w:unhideWhenUsed/>
    <w:rsid w:val="007561D4"/>
    <w:pPr>
      <w:tabs>
        <w:tab w:val="center" w:pos="4819"/>
        <w:tab w:val="right" w:pos="9638"/>
      </w:tabs>
    </w:pPr>
  </w:style>
  <w:style w:type="character" w:customStyle="1" w:styleId="IntestazioneCarattere">
    <w:name w:val="Intestazione Carattere"/>
    <w:basedOn w:val="Carpredefinitoparagrafo"/>
    <w:link w:val="Intestazione"/>
    <w:uiPriority w:val="99"/>
    <w:rsid w:val="007561D4"/>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7561D4"/>
    <w:pPr>
      <w:tabs>
        <w:tab w:val="center" w:pos="4819"/>
        <w:tab w:val="right" w:pos="9638"/>
      </w:tabs>
    </w:pPr>
  </w:style>
  <w:style w:type="character" w:customStyle="1" w:styleId="PidipaginaCarattere">
    <w:name w:val="Piè di pagina Carattere"/>
    <w:basedOn w:val="Carpredefinitoparagrafo"/>
    <w:link w:val="Pidipagina"/>
    <w:uiPriority w:val="99"/>
    <w:rsid w:val="007561D4"/>
    <w:rPr>
      <w:rFonts w:ascii="Times New Roman" w:eastAsia="Times New Roman" w:hAnsi="Times New Roman" w:cs="Times New Roman"/>
      <w:sz w:val="24"/>
      <w:szCs w:val="24"/>
      <w:lang w:eastAsia="it-CH"/>
    </w:rPr>
  </w:style>
  <w:style w:type="table" w:styleId="Grigliatabella">
    <w:name w:val="Table Grid"/>
    <w:basedOn w:val="Tabellanormale"/>
    <w:uiPriority w:val="39"/>
    <w:rsid w:val="00756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949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49BA"/>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7561D4"/>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61D4"/>
    <w:rPr>
      <w:rFonts w:eastAsia="Calibri"/>
    </w:rPr>
  </w:style>
  <w:style w:type="paragraph" w:styleId="Intestazione">
    <w:name w:val="header"/>
    <w:basedOn w:val="Normale"/>
    <w:link w:val="IntestazioneCarattere"/>
    <w:uiPriority w:val="99"/>
    <w:unhideWhenUsed/>
    <w:rsid w:val="007561D4"/>
    <w:pPr>
      <w:tabs>
        <w:tab w:val="center" w:pos="4819"/>
        <w:tab w:val="right" w:pos="9638"/>
      </w:tabs>
    </w:pPr>
  </w:style>
  <w:style w:type="character" w:customStyle="1" w:styleId="IntestazioneCarattere">
    <w:name w:val="Intestazione Carattere"/>
    <w:basedOn w:val="Carpredefinitoparagrafo"/>
    <w:link w:val="Intestazione"/>
    <w:uiPriority w:val="99"/>
    <w:rsid w:val="007561D4"/>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7561D4"/>
    <w:pPr>
      <w:tabs>
        <w:tab w:val="center" w:pos="4819"/>
        <w:tab w:val="right" w:pos="9638"/>
      </w:tabs>
    </w:pPr>
  </w:style>
  <w:style w:type="character" w:customStyle="1" w:styleId="PidipaginaCarattere">
    <w:name w:val="Piè di pagina Carattere"/>
    <w:basedOn w:val="Carpredefinitoparagrafo"/>
    <w:link w:val="Pidipagina"/>
    <w:uiPriority w:val="99"/>
    <w:rsid w:val="007561D4"/>
    <w:rPr>
      <w:rFonts w:ascii="Times New Roman" w:eastAsia="Times New Roman" w:hAnsi="Times New Roman" w:cs="Times New Roman"/>
      <w:sz w:val="24"/>
      <w:szCs w:val="24"/>
      <w:lang w:eastAsia="it-CH"/>
    </w:rPr>
  </w:style>
  <w:style w:type="table" w:styleId="Grigliatabella">
    <w:name w:val="Table Grid"/>
    <w:basedOn w:val="Tabellanormale"/>
    <w:uiPriority w:val="39"/>
    <w:rsid w:val="00756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949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49BA"/>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321</Words>
  <Characters>1832</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2017-04-18T07:23:00Z</cp:lastPrinted>
  <dcterms:created xsi:type="dcterms:W3CDTF">2017-04-18T07:25:00Z</dcterms:created>
  <dcterms:modified xsi:type="dcterms:W3CDTF">2017-04-18T07:25:00Z</dcterms:modified>
</cp:coreProperties>
</file>