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90" w:rsidRDefault="00A5663E">
      <w:pPr>
        <w:pStyle w:val="FFHSHaupttitel"/>
        <w:spacing w:after="0" w:line="240" w:lineRule="auto"/>
        <w:jc w:val="both"/>
        <w:outlineLvl w:val="0"/>
        <w:rPr>
          <w:rFonts w:ascii="Arial" w:hAnsi="Arial" w:cs="Arial"/>
          <w:sz w:val="28"/>
          <w:szCs w:val="28"/>
          <w:lang w:val="it-IT"/>
        </w:rPr>
      </w:pPr>
      <w:r>
        <w:rPr>
          <w:rFonts w:ascii="Arial" w:hAnsi="Arial" w:cs="Arial"/>
          <w:sz w:val="28"/>
          <w:szCs w:val="24"/>
          <w:lang w:val="it-CH"/>
        </w:rPr>
        <w:t xml:space="preserve">Richiesta di un credito annuo di 1'360'000 franchi per le prestazioni della </w:t>
      </w:r>
      <w:r>
        <w:rPr>
          <w:rFonts w:ascii="Arial" w:hAnsi="Arial" w:cs="Arial"/>
          <w:sz w:val="28"/>
          <w:szCs w:val="28"/>
          <w:lang w:val="it-IT"/>
        </w:rPr>
        <w:t xml:space="preserve">Scuola universitaria professionale della Svizzera italiana (SUPSI) </w:t>
      </w:r>
      <w:r>
        <w:rPr>
          <w:rFonts w:ascii="Arial" w:hAnsi="Arial" w:cs="Arial"/>
          <w:sz w:val="28"/>
          <w:szCs w:val="24"/>
          <w:lang w:val="it-CH"/>
        </w:rPr>
        <w:t xml:space="preserve">nel settore della microbiologia applicata </w:t>
      </w:r>
      <w:r>
        <w:rPr>
          <w:rFonts w:ascii="Arial" w:hAnsi="Arial" w:cs="Arial"/>
          <w:sz w:val="28"/>
          <w:szCs w:val="28"/>
          <w:lang w:val="it-IT"/>
        </w:rPr>
        <w:t xml:space="preserve">per il periodo 2025-2028 </w:t>
      </w:r>
    </w:p>
    <w:p w:rsidR="001D5790" w:rsidRDefault="001D5790">
      <w:pPr>
        <w:pStyle w:val="StandardRisoluzionedelConsigliodiStato"/>
        <w:ind w:right="-1"/>
        <w:rPr>
          <w:rFonts w:cs="Arial"/>
        </w:rPr>
      </w:pPr>
    </w:p>
    <w:p w:rsidR="001D5790" w:rsidRDefault="001D5790">
      <w:pPr>
        <w:pStyle w:val="StandardRisoluzionedelConsigliodiStato"/>
        <w:ind w:right="-1"/>
        <w:rPr>
          <w:rFonts w:cs="Arial"/>
        </w:rPr>
      </w:pPr>
    </w:p>
    <w:p w:rsidR="001D5790" w:rsidRDefault="00A5663E">
      <w:pPr>
        <w:pStyle w:val="StandardRisoluzionedelConsigliodiStato"/>
        <w:ind w:right="-1"/>
        <w:rPr>
          <w:rFonts w:cs="Arial"/>
        </w:rPr>
      </w:pPr>
      <w:r>
        <w:rPr>
          <w:rFonts w:cs="Arial"/>
        </w:rPr>
        <w:t>Signor Presidente,</w:t>
      </w:r>
    </w:p>
    <w:p w:rsidR="001D5790" w:rsidRDefault="00A5663E">
      <w:pPr>
        <w:rPr>
          <w:rFonts w:cs="Arial"/>
          <w:sz w:val="24"/>
        </w:rPr>
      </w:pPr>
      <w:r>
        <w:rPr>
          <w:rFonts w:cs="Arial"/>
          <w:sz w:val="24"/>
        </w:rPr>
        <w:t>signore e signori deputati,</w:t>
      </w:r>
    </w:p>
    <w:p w:rsidR="001D5790" w:rsidRDefault="001D5790">
      <w:pPr>
        <w:rPr>
          <w:rFonts w:cs="Arial"/>
          <w:sz w:val="24"/>
        </w:rPr>
      </w:pPr>
    </w:p>
    <w:p w:rsidR="001D5790" w:rsidRDefault="00A5663E">
      <w:pPr>
        <w:rPr>
          <w:rFonts w:cs="Arial"/>
          <w:sz w:val="24"/>
        </w:rPr>
      </w:pPr>
      <w:r>
        <w:rPr>
          <w:rFonts w:cs="Arial"/>
          <w:sz w:val="24"/>
        </w:rPr>
        <w:t xml:space="preserve">con il presente messaggio sottoponiamo alla vostra attenzione la richiesta di un credito annuale di </w:t>
      </w:r>
      <w:r w:rsidR="002822F3">
        <w:rPr>
          <w:rFonts w:cs="Arial"/>
          <w:sz w:val="24"/>
        </w:rPr>
        <w:t xml:space="preserve">fr. </w:t>
      </w:r>
      <w:r>
        <w:rPr>
          <w:rFonts w:cs="Arial"/>
          <w:sz w:val="24"/>
        </w:rPr>
        <w:t>1'360'000</w:t>
      </w:r>
      <w:r w:rsidR="002822F3">
        <w:rPr>
          <w:rFonts w:cs="Arial"/>
          <w:sz w:val="24"/>
        </w:rPr>
        <w:t>.-</w:t>
      </w:r>
      <w:r>
        <w:rPr>
          <w:rFonts w:cs="Arial"/>
          <w:sz w:val="24"/>
        </w:rPr>
        <w:t xml:space="preserve">, invariato rispetto all’ultimo rinnovo, per le prestazioni della Scuola universitaria professionale della Svizzera italiana (SUPSI) nel settore della microbiologia applicata per il periodo 2025-2028.  </w:t>
      </w:r>
    </w:p>
    <w:p w:rsidR="001D5790" w:rsidRDefault="001D5790">
      <w:pPr>
        <w:rPr>
          <w:rFonts w:cs="Arial"/>
          <w:sz w:val="24"/>
        </w:rPr>
      </w:pPr>
    </w:p>
    <w:p w:rsidR="001D5790" w:rsidRDefault="001D5790">
      <w:pPr>
        <w:rPr>
          <w:rFonts w:cs="Arial"/>
          <w:sz w:val="24"/>
        </w:rPr>
      </w:pPr>
    </w:p>
    <w:p w:rsidR="001D5790" w:rsidRDefault="00A5663E">
      <w:pPr>
        <w:pStyle w:val="Paragrafoelenco"/>
        <w:numPr>
          <w:ilvl w:val="0"/>
          <w:numId w:val="18"/>
        </w:numPr>
        <w:ind w:left="567" w:hanging="567"/>
        <w:rPr>
          <w:rFonts w:cs="Arial"/>
          <w:b/>
          <w:sz w:val="24"/>
          <w:szCs w:val="24"/>
        </w:rPr>
      </w:pPr>
      <w:r>
        <w:rPr>
          <w:rFonts w:cs="Arial"/>
          <w:b/>
          <w:sz w:val="24"/>
          <w:szCs w:val="24"/>
        </w:rPr>
        <w:t>INTRODUZIONE</w:t>
      </w:r>
    </w:p>
    <w:p w:rsidR="001D5790" w:rsidRDefault="001D5790">
      <w:pPr>
        <w:rPr>
          <w:rFonts w:cs="Arial"/>
          <w:sz w:val="24"/>
          <w:szCs w:val="24"/>
        </w:rPr>
      </w:pPr>
    </w:p>
    <w:p w:rsidR="001D5790" w:rsidRDefault="00A5663E">
      <w:pPr>
        <w:pStyle w:val="StandardRisoluzionedelConsigliodiStato"/>
        <w:ind w:right="-1"/>
        <w:rPr>
          <w:rFonts w:cs="Arial"/>
          <w:szCs w:val="24"/>
        </w:rPr>
      </w:pPr>
      <w:r>
        <w:rPr>
          <w:rFonts w:cs="Arial"/>
          <w:szCs w:val="24"/>
        </w:rPr>
        <w:t xml:space="preserve">A seguito dell’integrazione nell’Ente ospedaliero cantonale (EOC) delle prestazioni di analisi sanitarie in precedenza svolte presso l’ex Istituto cantonale di microbiologia (ICM), avvenuta a inizio 2013, e il conseguente scioglimento dell’ICM, tramite il </w:t>
      </w:r>
      <w:r w:rsidR="00FA4BF0">
        <w:rPr>
          <w:rFonts w:cs="Arial"/>
          <w:szCs w:val="24"/>
        </w:rPr>
        <w:t>m</w:t>
      </w:r>
      <w:r>
        <w:rPr>
          <w:rFonts w:cs="Arial"/>
          <w:szCs w:val="24"/>
        </w:rPr>
        <w:t xml:space="preserve">essaggio n. 6794 del 7 maggio 2013, approvato il 26 novembre 2013, era stata stipulata </w:t>
      </w:r>
      <w:r>
        <w:rPr>
          <w:rFonts w:cs="Arial"/>
        </w:rPr>
        <w:t xml:space="preserve">con la SUPSI </w:t>
      </w:r>
      <w:r>
        <w:rPr>
          <w:rFonts w:cs="Arial"/>
          <w:szCs w:val="24"/>
        </w:rPr>
        <w:t xml:space="preserve">una Convenzione per il periodo 2014-2021 per assicurare la prosecuzione delle prestazioni d’interesse pubblico nell’ambito della microbiologia applicata. Successivamente la collaborazione è stata rinnovata con una nuova convenzione per il periodo 2022-2024, tramite il </w:t>
      </w:r>
      <w:r w:rsidR="00FA4BF0">
        <w:rPr>
          <w:rFonts w:cs="Arial"/>
          <w:szCs w:val="24"/>
        </w:rPr>
        <w:t>m</w:t>
      </w:r>
      <w:r>
        <w:rPr>
          <w:rFonts w:cs="Arial"/>
          <w:szCs w:val="24"/>
        </w:rPr>
        <w:t xml:space="preserve">essaggio n. 8093 del 1° dicembre 2021. </w:t>
      </w:r>
    </w:p>
    <w:p w:rsidR="001D5790" w:rsidRDefault="001D5790">
      <w:pPr>
        <w:pStyle w:val="StandardRisoluzionedelConsigliodiStato"/>
        <w:ind w:right="-1"/>
        <w:rPr>
          <w:rFonts w:cs="Arial"/>
          <w:szCs w:val="24"/>
        </w:rPr>
      </w:pPr>
    </w:p>
    <w:p w:rsidR="001D5790" w:rsidRDefault="00A5663E">
      <w:pPr>
        <w:pStyle w:val="StandardRisoluzionedelConsigliodiStato"/>
        <w:ind w:right="-1"/>
        <w:rPr>
          <w:rFonts w:cs="Arial"/>
          <w:szCs w:val="24"/>
        </w:rPr>
      </w:pPr>
      <w:r>
        <w:rPr>
          <w:rFonts w:cs="Arial"/>
          <w:szCs w:val="24"/>
        </w:rPr>
        <w:t xml:space="preserve">La scelta di proporre per il rinnovo della collaborazione una convenzione triennale 2022-2024 derivava dalla volontà di allineare la delega per le attività di microbiologia applicata alla pianificazione universitaria cantonale proposta con il </w:t>
      </w:r>
      <w:r w:rsidR="00FA4BF0">
        <w:rPr>
          <w:rFonts w:cs="Arial"/>
          <w:szCs w:val="24"/>
        </w:rPr>
        <w:t>m</w:t>
      </w:r>
      <w:r>
        <w:rPr>
          <w:rFonts w:cs="Arial"/>
          <w:szCs w:val="24"/>
        </w:rPr>
        <w:t>essaggio n. 7830 sulla politica universitaria cantonale 2021-2024, approvato il 17 dicembre 2020. Con la medesima finalità era stata adottata una convenzione quinquennale per le prestazioni della Scuola universitaria professionale della Svizzera italiana (SUPSI) nei settori delle acque, dei pericoli naturali, della geologia, dell’energia, dei materiali e costruzioni, dello sviluppo sostenibile e della comunicazione per il periodo 2020-2024 (</w:t>
      </w:r>
      <w:r w:rsidR="00FA4BF0">
        <w:rPr>
          <w:rFonts w:cs="Arial"/>
          <w:szCs w:val="24"/>
        </w:rPr>
        <w:t>m</w:t>
      </w:r>
      <w:r>
        <w:rPr>
          <w:rFonts w:cs="Arial"/>
          <w:szCs w:val="24"/>
        </w:rPr>
        <w:t xml:space="preserve">essaggio </w:t>
      </w:r>
      <w:r>
        <w:rPr>
          <w:rFonts w:cs="Arial"/>
          <w:szCs w:val="24"/>
        </w:rPr>
        <w:br/>
        <w:t xml:space="preserve">n. 7756, approvato il 17 febbraio 2020). </w:t>
      </w:r>
    </w:p>
    <w:p w:rsidR="001D5790" w:rsidRDefault="001D5790">
      <w:pPr>
        <w:pStyle w:val="StandardRisoluzionedelConsigliodiStato"/>
        <w:ind w:right="-1"/>
        <w:rPr>
          <w:rFonts w:cs="Arial"/>
          <w:szCs w:val="24"/>
        </w:rPr>
      </w:pPr>
    </w:p>
    <w:p w:rsidR="001D5790" w:rsidRDefault="00A5663E">
      <w:pPr>
        <w:pStyle w:val="StandardRisoluzionedelConsigliodiStato"/>
        <w:ind w:right="-1"/>
        <w:rPr>
          <w:rFonts w:cs="Arial"/>
          <w:szCs w:val="24"/>
        </w:rPr>
      </w:pPr>
      <w:r>
        <w:rPr>
          <w:rFonts w:cs="Arial"/>
          <w:szCs w:val="24"/>
        </w:rPr>
        <w:t>Grazie al riallineamento temporale, ora è pertanto possibile proporre il rinnovo con identico ritmo quadriennale delle tre convenzioni negli ambiti di competenza rispettivamente del Dipartimento dell’educazione, della cultura e dello sport (</w:t>
      </w:r>
      <w:r w:rsidR="00FA4BF0">
        <w:rPr>
          <w:rFonts w:cs="Arial"/>
          <w:szCs w:val="24"/>
        </w:rPr>
        <w:t>m</w:t>
      </w:r>
      <w:r>
        <w:rPr>
          <w:rFonts w:cs="Arial"/>
          <w:szCs w:val="24"/>
        </w:rPr>
        <w:t>essaggio n. 8438 del 5 giugno 2024), del Dipartimento del territorio (</w:t>
      </w:r>
      <w:r w:rsidR="00FA4BF0">
        <w:rPr>
          <w:rFonts w:cs="Arial"/>
          <w:szCs w:val="24"/>
        </w:rPr>
        <w:t>m</w:t>
      </w:r>
      <w:r>
        <w:rPr>
          <w:rFonts w:cs="Arial"/>
          <w:szCs w:val="24"/>
        </w:rPr>
        <w:t>essaggio n. 8427 del 15 maggio 2024) e del Dipartimento della sanità e della socialità.</w:t>
      </w:r>
    </w:p>
    <w:p w:rsidR="001D5790" w:rsidRDefault="001D5790">
      <w:pPr>
        <w:pStyle w:val="StandardRisoluzionedelConsigliodiStato"/>
        <w:ind w:right="-1"/>
        <w:rPr>
          <w:rFonts w:cs="Arial"/>
          <w:szCs w:val="24"/>
        </w:rPr>
      </w:pPr>
    </w:p>
    <w:p w:rsidR="001D5790" w:rsidRDefault="00A5663E">
      <w:pPr>
        <w:pStyle w:val="StandardRisoluzionedelConsigliodiStato"/>
        <w:ind w:right="-1"/>
        <w:rPr>
          <w:rFonts w:cs="Arial"/>
          <w:szCs w:val="24"/>
        </w:rPr>
      </w:pPr>
      <w:r>
        <w:rPr>
          <w:rFonts w:cs="Arial"/>
          <w:szCs w:val="24"/>
        </w:rPr>
        <w:t xml:space="preserve">Le prestazioni fornite dalla SUPSI con questo credito si integrano pienamente negli obiettivi e nei compiti delineati nel citato, recente messaggio di politica universitaria </w:t>
      </w:r>
      <w:r>
        <w:rPr>
          <w:rFonts w:cs="Arial"/>
          <w:szCs w:val="24"/>
        </w:rPr>
        <w:lastRenderedPageBreak/>
        <w:t>cantonale, rappresentando un valore aggiunto significativo in ambito di ricerca, formazione di base e continua. Esse garantiscono concretezza, territorialità, applicabilità e multidisciplinarità. Questi valori (multidisciplinarità, innovazione, concretezza e sostenibilità nella sua accezione più ampia) caratterizzano anche la convenzione tra il Dipartimento del territorio e la SUPSI riguardante la delega di prestazioni nei settori delle acque, dei pericoli naturali, della geologia, dell’energia, dei materiali e costruzioni, dello sviluppo sostenibile e della comunicazione. Questa delega permette di sviluppare sinergicamente alcuni compiti del presente mandato, adottando un approccio sistemico che mette in rete competenze, capacità di azione e contatti nel contesto accademico, aziendale e politico-istituzionale.</w:t>
      </w:r>
    </w:p>
    <w:p w:rsidR="001D5790" w:rsidRDefault="001D5790">
      <w:pPr>
        <w:pStyle w:val="StandardRisoluzionedelConsigliodiStato"/>
        <w:ind w:right="-1"/>
        <w:rPr>
          <w:rFonts w:cs="Arial"/>
          <w:szCs w:val="24"/>
        </w:rPr>
      </w:pPr>
    </w:p>
    <w:p w:rsidR="001D5790" w:rsidRDefault="00A5663E">
      <w:pPr>
        <w:pStyle w:val="StandardRisoluzionedelConsigliodiStato"/>
        <w:ind w:right="-1"/>
        <w:rPr>
          <w:rFonts w:cs="Arial"/>
          <w:szCs w:val="24"/>
        </w:rPr>
      </w:pPr>
      <w:r>
        <w:rPr>
          <w:rFonts w:cs="Arial"/>
          <w:szCs w:val="24"/>
        </w:rPr>
        <w:t>L'attuale criterio generale di suddivisione dei compiti attribuisce all'Amministrazione cantonale le decisioni strategiche, mentre assegna alla struttura di ricerca un ruolo di supporto tecnico-scientifico. Questo supporto si concretizza nella raccolta sistematica, nella valutazione e nella messa a disposizione dei dati. In questo modo, il cittadino può fare riferimento a un unico e chiaro interlocutore, identificando facilmente l'autorità responsabile per una determinata decisione.</w:t>
      </w:r>
    </w:p>
    <w:p w:rsidR="001D5790" w:rsidRDefault="001D5790">
      <w:pPr>
        <w:pStyle w:val="StandardRisoluzionedelConsigliodiStato"/>
        <w:ind w:right="-1"/>
        <w:rPr>
          <w:rFonts w:cs="Arial"/>
          <w:szCs w:val="24"/>
        </w:rPr>
      </w:pPr>
    </w:p>
    <w:p w:rsidR="001D5790" w:rsidRDefault="00A5663E">
      <w:pPr>
        <w:pStyle w:val="StandardRisoluzionedelConsigliodiStato"/>
        <w:ind w:right="-1"/>
        <w:rPr>
          <w:rFonts w:cs="Arial"/>
          <w:szCs w:val="24"/>
        </w:rPr>
      </w:pPr>
      <w:r>
        <w:rPr>
          <w:rFonts w:cs="Arial"/>
          <w:szCs w:val="24"/>
        </w:rPr>
        <w:t>Constatata la bontà dell’accordo preso e confermata la necessità per il Cantone di rinnovare questa delega di compiti pubblici, che consente di garantire in modo efficace prestazioni d’interesse pubblico in un ambito fondamentale per la salute della popolazione, vi sottoponiamo la proposta di credito per le prestazioni della Scuola universitaria professionale della Svizzera italiana (SUPSI) nel settore della microbiologia applicata per il periodo 2025-2028.</w:t>
      </w:r>
    </w:p>
    <w:p w:rsidR="001D5790" w:rsidRDefault="001D5790">
      <w:pPr>
        <w:pStyle w:val="StandardRisoluzionedelConsigliodiStato"/>
        <w:tabs>
          <w:tab w:val="left" w:pos="567"/>
        </w:tabs>
        <w:ind w:right="-1"/>
        <w:rPr>
          <w:rFonts w:cs="Arial"/>
          <w:szCs w:val="24"/>
        </w:rPr>
      </w:pPr>
    </w:p>
    <w:p w:rsidR="001D5790" w:rsidRDefault="001D5790">
      <w:pPr>
        <w:pStyle w:val="StandardRisoluzionedelConsigliodiStato"/>
        <w:tabs>
          <w:tab w:val="left" w:pos="567"/>
        </w:tabs>
        <w:ind w:right="-1"/>
        <w:rPr>
          <w:szCs w:val="24"/>
        </w:rPr>
      </w:pPr>
    </w:p>
    <w:p w:rsidR="001D5790" w:rsidRDefault="00A5663E">
      <w:pPr>
        <w:pStyle w:val="Paragrafoelenco"/>
        <w:numPr>
          <w:ilvl w:val="0"/>
          <w:numId w:val="18"/>
        </w:numPr>
        <w:tabs>
          <w:tab w:val="left" w:pos="567"/>
        </w:tabs>
        <w:ind w:left="567" w:hanging="567"/>
        <w:rPr>
          <w:rFonts w:cs="Arial"/>
          <w:b/>
          <w:sz w:val="24"/>
          <w:szCs w:val="24"/>
        </w:rPr>
      </w:pPr>
      <w:r>
        <w:rPr>
          <w:rFonts w:cs="Arial"/>
          <w:b/>
          <w:caps/>
          <w:sz w:val="24"/>
          <w:szCs w:val="24"/>
        </w:rPr>
        <w:t xml:space="preserve">Valutazione dell’attività 2014-2024 </w:t>
      </w:r>
    </w:p>
    <w:p w:rsidR="001D5790" w:rsidRDefault="001D5790">
      <w:pPr>
        <w:tabs>
          <w:tab w:val="left" w:pos="567"/>
        </w:tabs>
        <w:rPr>
          <w:rFonts w:cs="Arial"/>
          <w:sz w:val="24"/>
          <w:szCs w:val="24"/>
        </w:rPr>
      </w:pPr>
    </w:p>
    <w:p w:rsidR="001D5790" w:rsidRDefault="00A5663E">
      <w:pPr>
        <w:tabs>
          <w:tab w:val="left" w:pos="567"/>
        </w:tabs>
        <w:rPr>
          <w:rFonts w:cs="Arial"/>
          <w:sz w:val="24"/>
          <w:szCs w:val="24"/>
        </w:rPr>
      </w:pPr>
      <w:r>
        <w:rPr>
          <w:rFonts w:cs="Arial"/>
          <w:sz w:val="24"/>
          <w:szCs w:val="24"/>
        </w:rPr>
        <w:t>Nel 2023, l'Istituto microbiologia (IM) ha celebrato il suo decimo anno di attività nella SUPSI: sette anni come Laboratorio di microbiologia applicata e, dal 2021, con lo statuto di Istituto di microbiologia. Durante questo periodo, l'IM ha registrato una crescita significativa, aumentando il numero di progetti competitivi e i finanziamenti da terzi. Questo sviluppo ha portato a quadruplicare sia i ricavi sia il numero di collaboratori.</w:t>
      </w:r>
    </w:p>
    <w:p w:rsidR="001D5790" w:rsidRDefault="001D5790">
      <w:pPr>
        <w:rPr>
          <w:rFonts w:cs="Arial"/>
          <w:sz w:val="24"/>
          <w:szCs w:val="24"/>
        </w:rPr>
      </w:pPr>
    </w:p>
    <w:p w:rsidR="001D5790" w:rsidRDefault="00A5663E">
      <w:pPr>
        <w:rPr>
          <w:rFonts w:cs="Arial"/>
          <w:sz w:val="24"/>
          <w:szCs w:val="24"/>
        </w:rPr>
      </w:pPr>
      <w:r>
        <w:rPr>
          <w:rFonts w:cs="Arial"/>
          <w:sz w:val="24"/>
          <w:szCs w:val="24"/>
        </w:rPr>
        <w:t>Parallelamente, l'IM negli anni di attività 2014-2023 è riuscito a ridurre la dipendenza dal finanziamento cantonale, passando dal 93% del 2014 a circa il 30% nel 2023. Questo risultato è stato possibile grazie all'acquisizione di progetti competitivi nazionali, come quelli del Fondo nazionale svizzero per la ricerca scientifica e Innosuisse, e internazionali, come i fondi europei.</w:t>
      </w:r>
    </w:p>
    <w:p w:rsidR="001D5790" w:rsidRDefault="001D5790">
      <w:pPr>
        <w:rPr>
          <w:rFonts w:cs="Arial"/>
          <w:sz w:val="24"/>
          <w:szCs w:val="24"/>
        </w:rPr>
      </w:pPr>
    </w:p>
    <w:p w:rsidR="001D5790" w:rsidRDefault="001D5790">
      <w:pPr>
        <w:rPr>
          <w:rFonts w:cs="Arial"/>
          <w:sz w:val="24"/>
          <w:szCs w:val="24"/>
        </w:rPr>
      </w:pPr>
    </w:p>
    <w:p w:rsidR="001D5790" w:rsidRDefault="001D5790">
      <w:pPr>
        <w:rPr>
          <w:rFonts w:cs="Arial"/>
          <w:sz w:val="24"/>
          <w:szCs w:val="24"/>
        </w:rPr>
      </w:pPr>
    </w:p>
    <w:p w:rsidR="001D5790" w:rsidRDefault="001D5790">
      <w:pPr>
        <w:rPr>
          <w:rFonts w:cs="Arial"/>
          <w:sz w:val="24"/>
          <w:szCs w:val="24"/>
        </w:rPr>
      </w:pPr>
    </w:p>
    <w:p w:rsidR="001D5790" w:rsidRDefault="001D5790">
      <w:pPr>
        <w:rPr>
          <w:rFonts w:cs="Arial"/>
          <w:sz w:val="24"/>
          <w:szCs w:val="24"/>
        </w:rPr>
      </w:pPr>
    </w:p>
    <w:p w:rsidR="001D5790" w:rsidRDefault="001D5790">
      <w:pPr>
        <w:rPr>
          <w:rFonts w:cs="Arial"/>
          <w:sz w:val="24"/>
          <w:szCs w:val="24"/>
        </w:rPr>
      </w:pPr>
    </w:p>
    <w:p w:rsidR="001D5790" w:rsidRDefault="001D5790">
      <w:pPr>
        <w:rPr>
          <w:rFonts w:cs="Arial"/>
          <w:sz w:val="24"/>
          <w:szCs w:val="24"/>
        </w:rPr>
      </w:pPr>
    </w:p>
    <w:p w:rsidR="001D5790" w:rsidRDefault="001D5790">
      <w:pPr>
        <w:rPr>
          <w:rFonts w:cs="Arial"/>
          <w:sz w:val="24"/>
          <w:szCs w:val="24"/>
        </w:rPr>
      </w:pPr>
    </w:p>
    <w:p w:rsidR="001D5790" w:rsidRDefault="001D5790">
      <w:pPr>
        <w:rPr>
          <w:rFonts w:cs="Arial"/>
          <w:sz w:val="24"/>
          <w:szCs w:val="24"/>
        </w:rPr>
      </w:pPr>
    </w:p>
    <w:p w:rsidR="001D5790" w:rsidRDefault="001D5790">
      <w:pPr>
        <w:rPr>
          <w:rFonts w:cs="Arial"/>
          <w:sz w:val="24"/>
          <w:szCs w:val="24"/>
        </w:rPr>
      </w:pPr>
    </w:p>
    <w:p w:rsidR="001D5790" w:rsidRDefault="00A5663E">
      <w:pPr>
        <w:rPr>
          <w:rFonts w:cs="Arial"/>
          <w:i/>
          <w:sz w:val="24"/>
          <w:szCs w:val="24"/>
        </w:rPr>
      </w:pPr>
      <w:r>
        <w:rPr>
          <w:rFonts w:cs="Arial"/>
          <w:i/>
          <w:sz w:val="24"/>
          <w:szCs w:val="24"/>
          <w:u w:val="single"/>
        </w:rPr>
        <w:lastRenderedPageBreak/>
        <w:t>Grafico 1</w:t>
      </w:r>
      <w:r>
        <w:rPr>
          <w:rFonts w:cs="Arial"/>
          <w:i/>
          <w:sz w:val="24"/>
          <w:szCs w:val="24"/>
        </w:rPr>
        <w:t xml:space="preserve"> Fonti di finanziamento dell’attività di microbiologia applicata </w:t>
      </w:r>
    </w:p>
    <w:p w:rsidR="001D5790" w:rsidRDefault="001D5790">
      <w:pPr>
        <w:pStyle w:val="StandardRisoluzionedelConsigliodiStato"/>
        <w:ind w:right="-1"/>
        <w:rPr>
          <w:rFonts w:cs="Arial"/>
          <w:szCs w:val="24"/>
        </w:rPr>
      </w:pPr>
    </w:p>
    <w:p w:rsidR="001D5790" w:rsidRDefault="00A5663E">
      <w:pPr>
        <w:pStyle w:val="StandardRisoluzionedelConsigliodiStato"/>
        <w:ind w:right="-1"/>
        <w:rPr>
          <w:rFonts w:cs="Arial"/>
          <w:szCs w:val="24"/>
        </w:rPr>
      </w:pPr>
      <w:r>
        <w:rPr>
          <w:rFonts w:cs="Arial"/>
          <w:noProof/>
          <w:szCs w:val="24"/>
          <w:lang w:eastAsia="it-CH"/>
        </w:rPr>
        <w:drawing>
          <wp:inline distT="0" distB="0" distL="0" distR="0">
            <wp:extent cx="6022975" cy="3719953"/>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22975" cy="3719953"/>
                    </a:xfrm>
                    <a:prstGeom prst="rect">
                      <a:avLst/>
                    </a:prstGeom>
                    <a:noFill/>
                    <a:ln>
                      <a:noFill/>
                    </a:ln>
                  </pic:spPr>
                </pic:pic>
              </a:graphicData>
            </a:graphic>
          </wp:inline>
        </w:drawing>
      </w:r>
    </w:p>
    <w:p w:rsidR="001D5790" w:rsidRDefault="001D5790">
      <w:pPr>
        <w:pStyle w:val="StandardRisoluzionedelConsigliodiStato"/>
        <w:ind w:right="-1"/>
        <w:rPr>
          <w:rFonts w:cs="Arial"/>
          <w:szCs w:val="24"/>
        </w:rPr>
      </w:pPr>
    </w:p>
    <w:p w:rsidR="001D5790" w:rsidRDefault="001D5790">
      <w:pPr>
        <w:rPr>
          <w:rFonts w:cs="Arial"/>
          <w:sz w:val="24"/>
          <w:szCs w:val="24"/>
        </w:rPr>
      </w:pPr>
    </w:p>
    <w:p w:rsidR="001D5790" w:rsidRDefault="00A5663E">
      <w:pPr>
        <w:rPr>
          <w:rFonts w:cs="Arial"/>
          <w:sz w:val="24"/>
          <w:szCs w:val="24"/>
        </w:rPr>
      </w:pPr>
      <w:r>
        <w:rPr>
          <w:rFonts w:cs="Arial"/>
          <w:sz w:val="24"/>
          <w:szCs w:val="24"/>
        </w:rPr>
        <w:t>Dal punto di vista amministrativo, a settembre 2023 si è proceduto al rinnovo della direzione dell’IM, con la designazione del prof. dr. med. vet. Francesco Origgi, che, dal 1° marzo 2024, ha sostituito lo storico direttore prof. Mauro Tonolla. Questa nomina consente all’IM di rafforzare il settore della microbiologia veterinaria e quindi di posizionarsi ancora meglio nell'ambito One Health, affrontando le problematiche eme</w:t>
      </w:r>
      <w:r w:rsidR="0033074B">
        <w:rPr>
          <w:rFonts w:cs="Arial"/>
          <w:sz w:val="24"/>
          <w:szCs w:val="24"/>
        </w:rPr>
        <w:t xml:space="preserve">rgenti legate alle zoonosi, in </w:t>
      </w:r>
      <w:r>
        <w:rPr>
          <w:rFonts w:cs="Arial"/>
          <w:sz w:val="24"/>
          <w:szCs w:val="24"/>
        </w:rPr>
        <w:t>sinergia con gli Uffici del medico cantonale (UMC), del veterinario cantonale (UVC) e del Laboratorio cantonale (LC).</w:t>
      </w:r>
    </w:p>
    <w:p w:rsidR="001D5790" w:rsidRDefault="001D5790">
      <w:pPr>
        <w:rPr>
          <w:rFonts w:cs="Arial"/>
          <w:sz w:val="24"/>
          <w:szCs w:val="24"/>
        </w:rPr>
      </w:pPr>
    </w:p>
    <w:p w:rsidR="001D5790" w:rsidRDefault="00A5663E">
      <w:pPr>
        <w:rPr>
          <w:rFonts w:cs="Arial"/>
          <w:sz w:val="24"/>
          <w:szCs w:val="24"/>
        </w:rPr>
      </w:pPr>
      <w:r>
        <w:rPr>
          <w:rFonts w:cs="Arial"/>
          <w:sz w:val="24"/>
          <w:szCs w:val="24"/>
        </w:rPr>
        <w:t>La seconda procedura di valutazione della ricerca (PVR) del 2022 (audit esterno) ha valutato molto positivamente l’evoluzione dell’Istituto con il raggiungimento degli obiettivi posti durante la prima PVR del 2016 ed ha raccomandato all'Istituto alcune misure per il futuro, in particolare quelle di pianificare in anticipo la successione del direttore e di potenziare l'interazione tra il personale di Mendrisio e Bellinzona, di nominare ulteriori ricercatori a tempo pieno, di migliorare il sito web per accrescere la visibilità nazionale e internazionale, di incrementare le pubblicazioni ad accesso aperto e migliorare l'indice H dei ricercatori, di aumentare il numero di studenti formati per creare una base di ricerca e sviluppo, di focalizzarsi sullo sviluppo professionale dei capi-settore attraverso pubblicazioni, programmi scientifici e progetti finanziati, e di consolidare la strategia One Health sviluppando ulteriormente aree come la biosicurezza, la resistenza agli antibiotici e i microinquinanti.</w:t>
      </w:r>
    </w:p>
    <w:p w:rsidR="001D5790" w:rsidRDefault="001D5790">
      <w:pPr>
        <w:rPr>
          <w:rFonts w:cs="Arial"/>
          <w:sz w:val="24"/>
          <w:szCs w:val="24"/>
        </w:rPr>
      </w:pPr>
    </w:p>
    <w:p w:rsidR="001D5790" w:rsidRDefault="00A5663E">
      <w:pPr>
        <w:rPr>
          <w:rFonts w:cs="Arial"/>
          <w:b/>
          <w:sz w:val="24"/>
          <w:szCs w:val="24"/>
        </w:rPr>
      </w:pPr>
      <w:r>
        <w:rPr>
          <w:rFonts w:cs="Arial"/>
          <w:b/>
          <w:sz w:val="24"/>
          <w:szCs w:val="24"/>
        </w:rPr>
        <w:t>Pandemia da SARS-CoV-2</w:t>
      </w:r>
    </w:p>
    <w:p w:rsidR="001D5790" w:rsidRDefault="00A5663E">
      <w:pPr>
        <w:rPr>
          <w:rFonts w:cs="Arial"/>
          <w:sz w:val="24"/>
          <w:szCs w:val="24"/>
        </w:rPr>
      </w:pPr>
      <w:r>
        <w:rPr>
          <w:rFonts w:cs="Arial"/>
          <w:sz w:val="24"/>
          <w:szCs w:val="24"/>
        </w:rPr>
        <w:t xml:space="preserve">All'inizio della pandemia in Svizzera, nella primavera del 2020, l’IM ha rapidamente validato i metodi di individuazione del virus SARS-CoV-2 su superfici e nelle acque grazie </w:t>
      </w:r>
      <w:r>
        <w:rPr>
          <w:rFonts w:cs="Arial"/>
          <w:sz w:val="24"/>
          <w:szCs w:val="24"/>
        </w:rPr>
        <w:lastRenderedPageBreak/>
        <w:t>alla prontezza dei settori biosicurezza e igiene e ambiente. Ciò ha permesso di rispondere tempestivamente alle richieste di analisi da parte dell'Ufficio della protezione delle acque e dell'approvvigionamento idrico e dell'Ufficio della gestione dei rischi ambientali e del suolo. Successivamente, le analisi si sono concentrate sulle acque reflue degli impianti di depurazione ed hanno permesso all’UMC di seguire in modo capillare l’evoluzione della presenza del virus SARS-CoV-2 sul territorio ticinese. Le analisi, proseguite su più punti fino a giugno 2023, hanno permesso di estrapolare preziose informazioni sulla diffusione del virus nella popolazione, soprattutto quando il numero di test clinici specifici diminuiva. Dopo giugno 2023, il programma è stato ridimensionato dall’Ufficio federale della sanità pubblica (UFSP), mantenendo solo il controllo dell’impianto di depurazione di Bioggio come sentinella per il Ticino e centralizzando le analisi presso l’EAWAG (l'Istituto federale svizzero di scienza e tecnologia dell'acqua) per un sistema unificato a livello svizzero. Ciononostante, i metodi e le procedure sviluppate sono mantenuti aggiornati per assicurare un elevato grado di prontezza d’analisi nel caso di nuove insorgenze pandemiche.</w:t>
      </w:r>
    </w:p>
    <w:p w:rsidR="001D5790" w:rsidRDefault="001D5790">
      <w:pPr>
        <w:rPr>
          <w:rFonts w:cs="Arial"/>
          <w:sz w:val="24"/>
          <w:szCs w:val="24"/>
        </w:rPr>
      </w:pPr>
    </w:p>
    <w:p w:rsidR="001D5790" w:rsidRDefault="00A5663E">
      <w:pPr>
        <w:rPr>
          <w:rFonts w:cs="Arial"/>
          <w:b/>
          <w:sz w:val="24"/>
          <w:szCs w:val="24"/>
        </w:rPr>
      </w:pPr>
      <w:r>
        <w:rPr>
          <w:rFonts w:cs="Arial"/>
          <w:b/>
          <w:sz w:val="24"/>
          <w:szCs w:val="24"/>
        </w:rPr>
        <w:t>Virus del Nilo occidentale (West Nile Virus, WNV) in Ticino</w:t>
      </w:r>
    </w:p>
    <w:p w:rsidR="001D5790" w:rsidRDefault="00A5663E">
      <w:pPr>
        <w:rPr>
          <w:rFonts w:cs="Arial"/>
          <w:sz w:val="24"/>
          <w:szCs w:val="24"/>
        </w:rPr>
      </w:pPr>
      <w:r>
        <w:rPr>
          <w:rFonts w:cs="Arial"/>
          <w:sz w:val="24"/>
          <w:szCs w:val="24"/>
        </w:rPr>
        <w:t xml:space="preserve">La febbre del Nilo occidentale è una malattia virale che colpisce principalmente gli uccelli ma il virus può essere trasmesso anche agli esseri umani e ad altri mammiferi attraverso le punture di zanzare del genere </w:t>
      </w:r>
      <w:r>
        <w:rPr>
          <w:i/>
          <w:sz w:val="24"/>
        </w:rPr>
        <w:t>Culex</w:t>
      </w:r>
      <w:r>
        <w:rPr>
          <w:rFonts w:cs="Arial"/>
          <w:sz w:val="24"/>
          <w:szCs w:val="24"/>
        </w:rPr>
        <w:t>. La trasmissione diretta tra persone o da animali all'uomo non è possibile, ma può avvenire tramite trasfusioni sanguigne, donazioni di organi o da madre a figlio durante la gravidanza. La maggior parte delle persone infette non manifesta sintomi, mentre il 25% presenta da sintomi simil-influenzali a disturbi neurologici. Le complicazioni gravi sono rare e si verificano principalmente negli anziani. Questo virus è ben presente in 14 regioni italiane, tra le quali Piemonte, Lombardia ed Emilia Romagna e nel 2023 si sono riscontrati più di 300 casi umani con 27 decessi</w:t>
      </w:r>
      <w:r>
        <w:rPr>
          <w:rStyle w:val="Rimandonotaapidipagina"/>
          <w:rFonts w:cs="Arial"/>
          <w:sz w:val="24"/>
          <w:szCs w:val="24"/>
        </w:rPr>
        <w:footnoteReference w:id="2"/>
      </w:r>
      <w:r>
        <w:rPr>
          <w:rFonts w:cs="Arial"/>
          <w:sz w:val="24"/>
          <w:szCs w:val="24"/>
        </w:rPr>
        <w:t xml:space="preserve">. Questa situazione pone il Ticino in una condizione di pre-allerta per evitare l’insorgenza di casi autoctoni con ricadute in ambito sanitario e donazioni di sangue. </w:t>
      </w:r>
    </w:p>
    <w:p w:rsidR="001D5790" w:rsidRDefault="001D5790">
      <w:pPr>
        <w:rPr>
          <w:rFonts w:cs="Arial"/>
          <w:sz w:val="24"/>
          <w:szCs w:val="24"/>
        </w:rPr>
      </w:pPr>
    </w:p>
    <w:p w:rsidR="001D5790" w:rsidRDefault="00A5663E">
      <w:pPr>
        <w:rPr>
          <w:rFonts w:cs="Arial"/>
          <w:sz w:val="24"/>
          <w:szCs w:val="24"/>
        </w:rPr>
      </w:pPr>
      <w:r>
        <w:rPr>
          <w:rFonts w:cs="Arial"/>
          <w:sz w:val="24"/>
          <w:szCs w:val="24"/>
        </w:rPr>
        <w:t xml:space="preserve">Il Settore Biosicurezza monitora regolarmente i virus nelle zanzare invasive e autoctone in Ticino. Nell'agosto 2022, il virus del Nilo occidentale è stato rilevato per la prima volta in Svizzera, nelle zanzare autoctone nel Bellinzonese e nel Mendrisiotto, con conferme anche nel 2023. L'UFSP, interessato a questo patogeno, ha richiesto riunioni regolari con i ricercatori dell'IM per aggiornamenti sulla situazione, portando alla formazione del Gruppo West Nile, ora parte dell'Organo sussidiario One Health dell'Ufficio federale della sicurezza alimentare e di veterinaria (USAV). Questo gruppo supporta la prevenzione e la lotta ai rischi sanitari a livello federale, promuovendo la collaborazione interdisciplinare. Agli incontri partecipano anche il medico e il veterinario cantonali e rappresentanti degli uffici federali (UFSP, USAV, UFAM). Questo monitoraggio sistematico di tutto il territorio ticinese viene attualmente affiancato a tecniche molecolari all’avanguardia (genomica, trascrittomica, proteomica) che possono consentire di individuare patogeni che ancora non sono stati rilevati sul nostro territorio. L’implementazione delle analisi istopatologiche (patologia) consentirà in futuro di integrare le tecniche molecolari con una metodologia che potrà rilevare “l’impronta digitale” patologica (fenotipo patologico) tipicamente associata a categorie di agenti patogeni specifici, e quindi riconoscibile anche per quelli non ancora caratterizzati, ma appartenenti allo stesso gruppo. Questo consentirà, in futuro, di orientare </w:t>
      </w:r>
      <w:r>
        <w:rPr>
          <w:rFonts w:cs="Arial"/>
          <w:sz w:val="24"/>
          <w:szCs w:val="24"/>
        </w:rPr>
        <w:lastRenderedPageBreak/>
        <w:t>in modo più preciso l’indagine microbiologica anche nei confronti di organismi ancora del tutto sconosciuti che potrebbero apparire in futuro nel territorio ticinese.</w:t>
      </w:r>
    </w:p>
    <w:p w:rsidR="001D5790" w:rsidRDefault="001D5790">
      <w:pPr>
        <w:rPr>
          <w:rFonts w:cs="Arial"/>
          <w:sz w:val="24"/>
          <w:szCs w:val="24"/>
        </w:rPr>
      </w:pPr>
    </w:p>
    <w:p w:rsidR="001D5790" w:rsidRDefault="00A5663E">
      <w:pPr>
        <w:rPr>
          <w:rFonts w:cs="Arial"/>
          <w:b/>
          <w:sz w:val="24"/>
          <w:szCs w:val="24"/>
        </w:rPr>
      </w:pPr>
      <w:r>
        <w:rPr>
          <w:rFonts w:cs="Arial"/>
          <w:b/>
          <w:sz w:val="24"/>
          <w:szCs w:val="24"/>
        </w:rPr>
        <w:t>Convegni scientifici</w:t>
      </w:r>
    </w:p>
    <w:p w:rsidR="001D5790" w:rsidRDefault="00A5663E">
      <w:pPr>
        <w:rPr>
          <w:rFonts w:cs="Arial"/>
          <w:sz w:val="24"/>
          <w:szCs w:val="24"/>
        </w:rPr>
      </w:pPr>
      <w:r>
        <w:rPr>
          <w:rFonts w:cs="Arial"/>
          <w:sz w:val="24"/>
          <w:szCs w:val="24"/>
        </w:rPr>
        <w:t xml:space="preserve">Tra il 28 e il 30 novembre 2022, il Settore Ecologia dei vettori ha organizzato al Campus SUPSI di Mendrisio il 10° workshop dell’EMCA (European mosquito control association) sulle "migliori pratiche per il controllo delle zanzare in Europa", con oltre cento partecipanti e un corso di formazione sull' "identificazione delle uova di zanzare del genere </w:t>
      </w:r>
      <w:r>
        <w:rPr>
          <w:i/>
          <w:sz w:val="24"/>
        </w:rPr>
        <w:t>Aedes</w:t>
      </w:r>
      <w:r>
        <w:rPr>
          <w:rFonts w:cs="Arial"/>
          <w:sz w:val="24"/>
          <w:szCs w:val="24"/>
        </w:rPr>
        <w:t>". L'evento ha visto interventi di rappresentanti del Centro europeo per la prevenzione e il controllo delle malattie, dell’Autorità europea per la sicurezza alimentare e dell’Organizzazione mondiale della sanità. A gennaio 2023, il campus SUPSI ha ospitato lo "Swiss Microbial Ecology (SME23) Meeting", con centinaia di ricercatori e rappresentanti commerciali, focalizzandosi sulle ricerche di ecologia microbica. Il 31 maggio 2023, l’IM ha partecipato a un evento dell'UMC sulla problematica delle arbovirosi trasmesse dalle zanzare. Ad inizio giugno 2024, l’IM e l’UMC hanno organizzato il convegno annuale della Società Svizzera di Medicina tropicale e Parassitologia. Inoltre, ad agosto 2023, il Centro Biologia Alpina di Piora (CBA) ha ospitato una settimana di workshop sul progetto "Cadagno Meromittico", finanziato dal SNF (Fondo nazionale svizzero per la ricerca), ponendo le basi per una mostra sul Lago di Cadagno prevista per il 2024 e promuovendo il dialogo tra ricercatori e società.</w:t>
      </w:r>
    </w:p>
    <w:p w:rsidR="001D5790" w:rsidRDefault="001D5790">
      <w:pPr>
        <w:rPr>
          <w:rFonts w:cs="Arial"/>
          <w:sz w:val="24"/>
          <w:szCs w:val="24"/>
        </w:rPr>
      </w:pPr>
    </w:p>
    <w:p w:rsidR="001D5790" w:rsidRDefault="00A5663E">
      <w:pPr>
        <w:rPr>
          <w:rFonts w:cs="Arial"/>
          <w:b/>
          <w:sz w:val="24"/>
          <w:szCs w:val="24"/>
        </w:rPr>
      </w:pPr>
      <w:r>
        <w:rPr>
          <w:rFonts w:cs="Arial"/>
          <w:b/>
          <w:sz w:val="24"/>
          <w:szCs w:val="24"/>
        </w:rPr>
        <w:t>Stazioni di Ricerca e Educazione Ambientale</w:t>
      </w:r>
    </w:p>
    <w:p w:rsidR="001D5790" w:rsidRDefault="00A5663E">
      <w:pPr>
        <w:rPr>
          <w:rFonts w:cs="Arial"/>
          <w:sz w:val="24"/>
          <w:szCs w:val="24"/>
        </w:rPr>
      </w:pPr>
      <w:r>
        <w:rPr>
          <w:rFonts w:cs="Arial"/>
          <w:sz w:val="24"/>
          <w:szCs w:val="24"/>
        </w:rPr>
        <w:t>Nel 2023, l'associazione della Fondazione Alpina Scienze della Vita di Olivone (FASV) con la SUPSI e l'inaugurazione del San Bernardino Lab, composto da SUPSI, Alta Scuola Pedagogica e Università di Scienze Applicate dei Grigioni, hanno rafforzato la presenza scientifica nelle zone montane. Assieme al CBA, queste iniziative permettono di ampliare le attività della SUPSI nei valichi alpini del San Gottardo, del Lucomagno e del San Bernardino. Le tre stazioni hanno attività complementari: la FASV si focalizza sulle scuole dell’obbligo e medio-superiori; il San Bernardino Lab su collaborazioni tra SUPSI e scuole professionali e pedagogiche dei Grigioni; il CBA, catalizzato dall’IM, si concentra sulla ricerca scientifica e sull’insegnamento a livello universitario. Il CBA ospita anche “Summer school” nazionali e internazionali, come il corso “Biology week 2023: Microbiologia e ambiente” per liceali, organizzato dalla SUPSI con il patrocinio dell’Accademia svizzera di scienze naturali (SCNAT). Inoltre, il 4 e 5 ottobre 2023, un workshop partecipativo nell’ambito del progetto finanziato dal Fondo nazionale svizzero per la ricerca scientifica MicRisk2030</w:t>
      </w:r>
      <w:r>
        <w:rPr>
          <w:rStyle w:val="Rimandonotaapidipagina"/>
          <w:rFonts w:cs="Arial"/>
          <w:sz w:val="24"/>
          <w:szCs w:val="24"/>
        </w:rPr>
        <w:footnoteReference w:id="3"/>
      </w:r>
      <w:r>
        <w:rPr>
          <w:rFonts w:cs="Arial"/>
          <w:sz w:val="24"/>
          <w:szCs w:val="24"/>
        </w:rPr>
        <w:t xml:space="preserve"> a Magadino ha coinvolto vari stakeholder per discutere l'uso di agenti biologici nel controllo degli insetti nocivi e promuovere l'approccio One Health nel Cantone Ticino.</w:t>
      </w:r>
    </w:p>
    <w:p w:rsidR="001D5790" w:rsidRDefault="001D5790">
      <w:pPr>
        <w:rPr>
          <w:rFonts w:cs="Arial"/>
          <w:sz w:val="24"/>
          <w:szCs w:val="24"/>
        </w:rPr>
      </w:pPr>
    </w:p>
    <w:p w:rsidR="001D5790" w:rsidRDefault="00A5663E">
      <w:pPr>
        <w:rPr>
          <w:rFonts w:cs="Arial"/>
          <w:b/>
          <w:sz w:val="24"/>
          <w:szCs w:val="24"/>
        </w:rPr>
      </w:pPr>
      <w:r>
        <w:rPr>
          <w:rFonts w:cs="Arial"/>
          <w:b/>
          <w:sz w:val="24"/>
          <w:szCs w:val="24"/>
        </w:rPr>
        <w:t>Prontezza in caso di allarme biosicurezza</w:t>
      </w:r>
    </w:p>
    <w:p w:rsidR="001D5790" w:rsidRDefault="00A5663E">
      <w:pPr>
        <w:pStyle w:val="StandardRisoluzionedelConsigliodiStato"/>
        <w:ind w:right="-1"/>
        <w:rPr>
          <w:rFonts w:cs="Arial"/>
          <w:szCs w:val="24"/>
        </w:rPr>
      </w:pPr>
      <w:r>
        <w:rPr>
          <w:rFonts w:cs="Arial"/>
          <w:szCs w:val="24"/>
        </w:rPr>
        <w:t xml:space="preserve">Le attività del laboratorio di biosicurezza (Laboratorio regionale sud di biosicurezza, come da mandato attribuito dalla Confederazione al Cantone nel 2010), in precedenza svolte presso l’ICM, si inseriscono in un’ottica di protezione sanitaria della popolazione non solo nei casi di allarme bioterroristico (p.es. casi di buste sospette per antrace), ma anche nel caso di analisi di campioni ambientali contaminati pericolosi per l’essere umano o per gli animali, o di agenti patogeni trasmessi da organismi vettori come le zecche o le zanzare. Il relativo lavoro di laboratorio consiste principalmente nel mantenimento di un grado di </w:t>
      </w:r>
      <w:r>
        <w:rPr>
          <w:rFonts w:cs="Arial"/>
          <w:szCs w:val="24"/>
        </w:rPr>
        <w:lastRenderedPageBreak/>
        <w:t>preparazione microbiologica atto a garantire un pronto intervento in caso di necessità. Il laboratorio ha garantito in un paio di occasioni la prontezza d’intervento tramite delle analisi di biosicurezza.</w:t>
      </w:r>
    </w:p>
    <w:p w:rsidR="001D5790" w:rsidRDefault="001D5790">
      <w:pPr>
        <w:rPr>
          <w:rFonts w:cs="Arial"/>
          <w:sz w:val="24"/>
          <w:szCs w:val="24"/>
        </w:rPr>
      </w:pPr>
    </w:p>
    <w:p w:rsidR="001D5790" w:rsidRDefault="00A5663E">
      <w:pPr>
        <w:rPr>
          <w:rFonts w:cs="Arial"/>
          <w:b/>
          <w:sz w:val="24"/>
          <w:szCs w:val="24"/>
        </w:rPr>
      </w:pPr>
      <w:r>
        <w:rPr>
          <w:rFonts w:cs="Arial"/>
          <w:b/>
          <w:sz w:val="24"/>
          <w:szCs w:val="24"/>
        </w:rPr>
        <w:t xml:space="preserve">Andamento finanziario </w:t>
      </w:r>
    </w:p>
    <w:p w:rsidR="001D5790" w:rsidRDefault="00A5663E">
      <w:pPr>
        <w:rPr>
          <w:rFonts w:cs="Arial"/>
          <w:sz w:val="24"/>
          <w:szCs w:val="24"/>
        </w:rPr>
      </w:pPr>
      <w:r>
        <w:rPr>
          <w:rFonts w:cs="Arial"/>
          <w:sz w:val="24"/>
          <w:szCs w:val="24"/>
        </w:rPr>
        <w:t xml:space="preserve">Fin dalla sua integrazione nella SUPSI nel 2014, l'Istituto microbiologia (IM) ha mantenuto una situazione finanziaria stabile grazie alle condizioni definite durante il passaggio dall'Amministrazione cantonale. L’accordo con il Cantone ha garantito il finanziamento quasi completo dei servizi richiesti dal DSS, con un contributo annuo di </w:t>
      </w:r>
      <w:r w:rsidR="00FA4BF0">
        <w:rPr>
          <w:rFonts w:cs="Arial"/>
          <w:sz w:val="24"/>
          <w:szCs w:val="24"/>
        </w:rPr>
        <w:t xml:space="preserve">fr. </w:t>
      </w:r>
      <w:r>
        <w:rPr>
          <w:rFonts w:cs="Arial"/>
          <w:sz w:val="24"/>
          <w:szCs w:val="24"/>
        </w:rPr>
        <w:t>991'500</w:t>
      </w:r>
      <w:r w:rsidR="00FA4BF0">
        <w:rPr>
          <w:rFonts w:cs="Arial"/>
          <w:sz w:val="24"/>
          <w:szCs w:val="24"/>
        </w:rPr>
        <w:t>.-</w:t>
      </w:r>
      <w:r>
        <w:rPr>
          <w:rFonts w:cs="Arial"/>
          <w:sz w:val="24"/>
          <w:szCs w:val="24"/>
        </w:rPr>
        <w:t xml:space="preserve">, leggermente aggiornato negli anni. Nel 2016, il budget è stato aumentato di </w:t>
      </w:r>
      <w:r w:rsidR="00FA4BF0">
        <w:rPr>
          <w:rFonts w:cs="Arial"/>
          <w:sz w:val="24"/>
          <w:szCs w:val="24"/>
        </w:rPr>
        <w:t xml:space="preserve">fr. </w:t>
      </w:r>
      <w:r>
        <w:rPr>
          <w:rFonts w:cs="Arial"/>
          <w:sz w:val="24"/>
          <w:szCs w:val="24"/>
        </w:rPr>
        <w:t>230'000</w:t>
      </w:r>
      <w:r w:rsidR="00FA4BF0">
        <w:rPr>
          <w:rFonts w:cs="Arial"/>
          <w:sz w:val="24"/>
          <w:szCs w:val="24"/>
        </w:rPr>
        <w:t>.-</w:t>
      </w:r>
      <w:r>
        <w:rPr>
          <w:rFonts w:cs="Arial"/>
          <w:sz w:val="24"/>
          <w:szCs w:val="24"/>
        </w:rPr>
        <w:t xml:space="preserve"> per includere il coordinamento della lotta alla zanzara tigre, riprendendo il compito sin lì svolto dalla Fondazione Bolle di Magadino e il relativo contributo finanziario. D’altro canto, vi sono state riduzioni di </w:t>
      </w:r>
      <w:r w:rsidR="00FA4BF0">
        <w:rPr>
          <w:rFonts w:cs="Arial"/>
          <w:sz w:val="24"/>
          <w:szCs w:val="24"/>
        </w:rPr>
        <w:t xml:space="preserve">fr. </w:t>
      </w:r>
      <w:r>
        <w:rPr>
          <w:rFonts w:cs="Arial"/>
          <w:sz w:val="24"/>
          <w:szCs w:val="24"/>
        </w:rPr>
        <w:t>40'000</w:t>
      </w:r>
      <w:r w:rsidR="00FA4BF0">
        <w:rPr>
          <w:rFonts w:cs="Arial"/>
          <w:sz w:val="24"/>
          <w:szCs w:val="24"/>
        </w:rPr>
        <w:t>.-</w:t>
      </w:r>
      <w:r>
        <w:rPr>
          <w:rFonts w:cs="Arial"/>
          <w:sz w:val="24"/>
          <w:szCs w:val="24"/>
        </w:rPr>
        <w:t xml:space="preserve"> nel 2018 e di </w:t>
      </w:r>
      <w:r w:rsidR="00FA4BF0">
        <w:rPr>
          <w:rFonts w:cs="Arial"/>
          <w:sz w:val="24"/>
          <w:szCs w:val="24"/>
        </w:rPr>
        <w:t xml:space="preserve">fr. </w:t>
      </w:r>
      <w:r>
        <w:rPr>
          <w:rFonts w:cs="Arial"/>
          <w:sz w:val="24"/>
          <w:szCs w:val="24"/>
        </w:rPr>
        <w:t>20'000</w:t>
      </w:r>
      <w:r w:rsidR="00FA4BF0">
        <w:rPr>
          <w:rFonts w:cs="Arial"/>
          <w:sz w:val="24"/>
          <w:szCs w:val="24"/>
        </w:rPr>
        <w:t>.-</w:t>
      </w:r>
      <w:r>
        <w:rPr>
          <w:rFonts w:cs="Arial"/>
          <w:sz w:val="24"/>
          <w:szCs w:val="24"/>
        </w:rPr>
        <w:t xml:space="preserve"> nel 2021, con la diminuzione del contributo del Cantone al finanziamento di progetti di ricerca grazie all'aumento dei fondi provenienti da enti terzi.</w:t>
      </w:r>
    </w:p>
    <w:p w:rsidR="001D5790" w:rsidRDefault="001D5790">
      <w:pPr>
        <w:rPr>
          <w:rFonts w:cs="Arial"/>
          <w:sz w:val="24"/>
          <w:szCs w:val="24"/>
        </w:rPr>
      </w:pPr>
    </w:p>
    <w:p w:rsidR="001D5790" w:rsidRDefault="00A5663E">
      <w:pPr>
        <w:rPr>
          <w:rFonts w:cs="Arial"/>
          <w:sz w:val="24"/>
          <w:szCs w:val="24"/>
        </w:rPr>
      </w:pPr>
      <w:r>
        <w:rPr>
          <w:rFonts w:cs="Arial"/>
          <w:sz w:val="24"/>
          <w:szCs w:val="24"/>
        </w:rPr>
        <w:t>L'integrazione nell'ambito universitario ha favorito lo sviluppo di nuove aree di ricerca e una notevole crescita delle attività, riflettendosi nell'incremento del personale e dei ricavi, che sono più che triplicati nell'ultimo decennio, raggiungendo circa 3,8 milioni di franchi nel 2023. Questo aumento è dovuto principalmente ai finanziamenti da terzi per la ricerca, all'integrazione del Gruppo Operativo Zanzara Tigre e del Laboratorio Biotecnologie Ambientali (BET).</w:t>
      </w:r>
    </w:p>
    <w:p w:rsidR="001D5790" w:rsidRDefault="001D5790">
      <w:pPr>
        <w:rPr>
          <w:rFonts w:cs="Arial"/>
          <w:sz w:val="24"/>
          <w:szCs w:val="24"/>
        </w:rPr>
      </w:pPr>
    </w:p>
    <w:p w:rsidR="001D5790" w:rsidRDefault="00A5663E">
      <w:pPr>
        <w:rPr>
          <w:rFonts w:cs="Arial"/>
          <w:sz w:val="24"/>
          <w:szCs w:val="24"/>
        </w:rPr>
      </w:pPr>
      <w:r>
        <w:rPr>
          <w:rFonts w:cs="Arial"/>
          <w:sz w:val="24"/>
          <w:szCs w:val="24"/>
        </w:rPr>
        <w:t>Nonostante l'aumento dei costi, principalmente dovuti agli stipendi del personale e al consumo di materiali, i tassi di autofinanziamento sono rimasti elevati, attestandosi intorno al 100% nel 2023. Anche escludendo il contributo gestionale e i sussidi cantonali, il tasso di autofinanziamento si attesta intorno all'80%, superando gli obiettivi stabiliti dalla SUPSI.</w:t>
      </w:r>
    </w:p>
    <w:p w:rsidR="001D5790" w:rsidRDefault="001D5790">
      <w:pPr>
        <w:rPr>
          <w:rFonts w:cs="Arial"/>
          <w:sz w:val="24"/>
          <w:szCs w:val="24"/>
        </w:rPr>
      </w:pPr>
    </w:p>
    <w:p w:rsidR="001D5790" w:rsidRDefault="00A5663E">
      <w:pPr>
        <w:rPr>
          <w:rFonts w:cs="Arial"/>
          <w:sz w:val="24"/>
          <w:szCs w:val="24"/>
        </w:rPr>
      </w:pPr>
      <w:r>
        <w:rPr>
          <w:rFonts w:cs="Arial"/>
          <w:sz w:val="24"/>
          <w:szCs w:val="24"/>
        </w:rPr>
        <w:t xml:space="preserve">Il finanziamento del mandato DSS, che rappresentava il 93-96% del finanziamento totale nei primi anni, si è ridotto al 29% nel 2023 grazie all'aumento dei finanziamenti da fondi competitivi. Dal 2019 al 2023, i ricavi sono raddoppiati, passando da </w:t>
      </w:r>
      <w:r w:rsidR="00FA4BF0">
        <w:rPr>
          <w:rFonts w:cs="Arial"/>
          <w:sz w:val="24"/>
          <w:szCs w:val="24"/>
        </w:rPr>
        <w:t>fr. 1'900'000.- a fr. 3'800'000.-</w:t>
      </w:r>
      <w:r>
        <w:rPr>
          <w:rFonts w:cs="Arial"/>
          <w:sz w:val="24"/>
          <w:szCs w:val="24"/>
        </w:rPr>
        <w:t>, mentre i costi sono aumentati principalmente per l'incremento del personale, passato da 29 collaboratori (22 UTP) nel 2019 a 44 (36,8 UTP) nel 2023.</w:t>
      </w:r>
    </w:p>
    <w:p w:rsidR="001D5790" w:rsidRDefault="001D5790">
      <w:pPr>
        <w:rPr>
          <w:rFonts w:cs="Arial"/>
          <w:sz w:val="24"/>
          <w:szCs w:val="24"/>
        </w:rPr>
      </w:pPr>
    </w:p>
    <w:p w:rsidR="001D5790" w:rsidRDefault="00A5663E">
      <w:pPr>
        <w:rPr>
          <w:rFonts w:cs="Arial"/>
          <w:sz w:val="24"/>
          <w:szCs w:val="24"/>
        </w:rPr>
      </w:pPr>
      <w:r>
        <w:rPr>
          <w:rFonts w:cs="Arial"/>
          <w:sz w:val="24"/>
          <w:szCs w:val="24"/>
        </w:rPr>
        <w:t>Nel 2022 e 2023, l'IM ha riscontrato disavanzi rispettivamente di 53'360 franchi e 174'196 franchi rispetto alle cifre preventivate, principalmente a causa del monitoraggio delle zanzare e delle necessarie analisi specifiche. L'aumento delle attività di supporto scientifico e dell'analisi del virus SARS-CoV-2 nelle acque reflue ha contribuito all'incremento dei costi, sebbene questi disavanzi rientrino nell'intervallo del 10% previsto nella convenzione per il mandato cantonale DSS.</w:t>
      </w:r>
    </w:p>
    <w:p w:rsidR="001D5790" w:rsidRDefault="001D5790">
      <w:pPr>
        <w:rPr>
          <w:rFonts w:cs="Arial"/>
          <w:sz w:val="24"/>
          <w:szCs w:val="24"/>
        </w:rPr>
      </w:pPr>
    </w:p>
    <w:p w:rsidR="001D5790" w:rsidRDefault="00A5663E">
      <w:pPr>
        <w:rPr>
          <w:rFonts w:cs="Arial"/>
          <w:b/>
          <w:sz w:val="24"/>
          <w:szCs w:val="24"/>
        </w:rPr>
      </w:pPr>
      <w:r>
        <w:rPr>
          <w:rFonts w:cs="Arial"/>
          <w:b/>
          <w:sz w:val="24"/>
          <w:szCs w:val="24"/>
        </w:rPr>
        <w:t>Risorse umane</w:t>
      </w:r>
    </w:p>
    <w:p w:rsidR="001D5790" w:rsidRDefault="00A5663E">
      <w:pPr>
        <w:rPr>
          <w:rFonts w:cs="Arial"/>
          <w:sz w:val="24"/>
          <w:szCs w:val="24"/>
        </w:rPr>
      </w:pPr>
      <w:r>
        <w:rPr>
          <w:rFonts w:cs="Arial"/>
          <w:sz w:val="24"/>
          <w:szCs w:val="24"/>
        </w:rPr>
        <w:t>Dopo l'integrazione nella SUPSI come LMA nel 2014, l'Istituto microbiologia (IM) ha visto un significativo aumento delle risorse umane. Nel 2014, il personale accademico era composto da 12 unità tra ricercatori, collaboratori scientifici e assistenti, principalmente impegnati nella ricerca e nei servizi. Nel tempo, il numero di collaboratori è cresciuto gradualmente, stabilizzandosi tra il 2021 e il 2024 con un totale di 44-46 collaboratori e valori di equivalenti a tempo pieno (UTP) tra 35 e 38.6. Questo gruppo comprende professionisti con competenze diverse, tra cui un professore, ricercatori senior, docenti-</w:t>
      </w:r>
      <w:r>
        <w:rPr>
          <w:rFonts w:cs="Arial"/>
          <w:sz w:val="24"/>
          <w:szCs w:val="24"/>
        </w:rPr>
        <w:lastRenderedPageBreak/>
        <w:t>ricercatori, collaboratori scientifici e amministrativi, dottorandi e assistenti, specializzati in biologia, chimica, biochimica, microbiologia, ingegneria e bioinformatica.</w:t>
      </w:r>
    </w:p>
    <w:p w:rsidR="001D5790" w:rsidRDefault="001D5790">
      <w:pPr>
        <w:rPr>
          <w:rFonts w:cs="Arial"/>
          <w:sz w:val="24"/>
          <w:szCs w:val="24"/>
        </w:rPr>
      </w:pPr>
    </w:p>
    <w:p w:rsidR="001D5790" w:rsidRDefault="00A5663E">
      <w:pPr>
        <w:rPr>
          <w:rFonts w:cs="Arial"/>
          <w:sz w:val="24"/>
          <w:szCs w:val="24"/>
        </w:rPr>
      </w:pPr>
      <w:r>
        <w:rPr>
          <w:rFonts w:cs="Arial"/>
          <w:sz w:val="24"/>
          <w:szCs w:val="24"/>
        </w:rPr>
        <w:t>L'IM può vantare un personale altamente qualificato: circa il 44% dei collaboratori ha conseguito un dottorato di ricerca, mentre circa il 24% ha una laurea universitaria (BSc e/o MSc). Inoltre, circa il 20% dei collaboratori possiede altri diplomi di formazione professionale, mentre la percentuale di dottorandi, stagisti e apprendisti varia tra il 13% e il 26% a seconda degli anni.</w:t>
      </w:r>
    </w:p>
    <w:p w:rsidR="001D5790" w:rsidRDefault="001D5790">
      <w:pPr>
        <w:rPr>
          <w:rFonts w:cs="Arial"/>
          <w:sz w:val="24"/>
          <w:szCs w:val="24"/>
        </w:rPr>
      </w:pPr>
    </w:p>
    <w:p w:rsidR="001D5790" w:rsidRDefault="001D5790">
      <w:pPr>
        <w:rPr>
          <w:rFonts w:cs="Arial"/>
          <w:sz w:val="24"/>
          <w:szCs w:val="24"/>
        </w:rPr>
      </w:pPr>
    </w:p>
    <w:p w:rsidR="001D5790" w:rsidRDefault="00A5663E">
      <w:pPr>
        <w:rPr>
          <w:rFonts w:cs="Arial"/>
          <w:i/>
          <w:sz w:val="24"/>
          <w:szCs w:val="24"/>
        </w:rPr>
      </w:pPr>
      <w:r>
        <w:rPr>
          <w:rFonts w:cs="Arial"/>
          <w:i/>
          <w:sz w:val="24"/>
          <w:szCs w:val="24"/>
          <w:u w:val="single"/>
        </w:rPr>
        <w:t>Grafico 2</w:t>
      </w:r>
      <w:r>
        <w:rPr>
          <w:rFonts w:cs="Arial"/>
          <w:i/>
          <w:sz w:val="24"/>
          <w:szCs w:val="24"/>
        </w:rPr>
        <w:t xml:space="preserve"> Personale attivo presso l’Istituto microbiologia</w:t>
      </w:r>
    </w:p>
    <w:p w:rsidR="001D5790" w:rsidRDefault="001D5790">
      <w:pPr>
        <w:pStyle w:val="StandardRisoluzionedelConsigliodiStato"/>
        <w:ind w:right="-1"/>
        <w:rPr>
          <w:rFonts w:cs="Arial"/>
          <w:szCs w:val="24"/>
        </w:rPr>
      </w:pPr>
    </w:p>
    <w:p w:rsidR="001D5790" w:rsidRDefault="00A5663E">
      <w:pPr>
        <w:pStyle w:val="StandardRisoluzionedelConsigliodiStato"/>
        <w:ind w:right="-1"/>
        <w:rPr>
          <w:rFonts w:cs="Arial"/>
          <w:szCs w:val="24"/>
        </w:rPr>
      </w:pPr>
      <w:r>
        <w:rPr>
          <w:noProof/>
          <w:lang w:eastAsia="it-CH"/>
        </w:rPr>
        <w:drawing>
          <wp:inline distT="0" distB="0" distL="0" distR="0">
            <wp:extent cx="6022975" cy="3254375"/>
            <wp:effectExtent l="0" t="0" r="15875" b="3175"/>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D5790" w:rsidRDefault="001D5790">
      <w:pPr>
        <w:rPr>
          <w:rFonts w:cs="Arial"/>
          <w:sz w:val="24"/>
          <w:szCs w:val="24"/>
        </w:rPr>
      </w:pPr>
    </w:p>
    <w:p w:rsidR="001D5790" w:rsidRDefault="00A5663E">
      <w:pPr>
        <w:pStyle w:val="StandardRisoluzionedelConsigliodiStato"/>
        <w:ind w:right="-1"/>
        <w:rPr>
          <w:rFonts w:cs="Arial"/>
          <w:b/>
          <w:caps/>
          <w:szCs w:val="24"/>
        </w:rPr>
      </w:pPr>
      <w:r>
        <w:rPr>
          <w:rFonts w:cs="Arial"/>
          <w:szCs w:val="24"/>
        </w:rPr>
        <w:t xml:space="preserve">In conclusione si può affermare che i rilevanti compiti pubblici nel settore della microbiologia applicata hanno potuto continuare a essere svolti nel nostro Cantone, mantenendo una diretta collaborazione e consolidando i legami con enti cantonali e federali, in particolare - a livello cantonale - con l’Ufficio del veterinario cantonale, il Laboratorio cantonale, l’Ufficio di sanità, l’Ufficio del medico cantonale, la Sezione della protezione dell’aria dell’acqua e del suolo (SPAAS) e la Fondazione Centro di biologia alpina di Piora e - a livello nazionale - con l’Ufficio federale dell’ambiente, l’Ufficio federale della sanità pubblica, l’Ufficio federale di sicurezza alimentare e veterinaria, le Università di Ginevra e Zurigo, il Politecnico federale di Zurigo, l'Istituto federale svizzero di scienza e tecnologia dell'acqua (EAWAG), l’Istituto tropicale svizzero di Basilea (Swiss TPH) e altri ancora. </w:t>
      </w:r>
      <w:r>
        <w:rPr>
          <w:rFonts w:cs="Arial"/>
          <w:b/>
          <w:caps/>
          <w:szCs w:val="24"/>
        </w:rPr>
        <w:br w:type="page"/>
      </w:r>
    </w:p>
    <w:p w:rsidR="001D5790" w:rsidRDefault="00A5663E">
      <w:pPr>
        <w:pStyle w:val="Paragrafoelenco"/>
        <w:numPr>
          <w:ilvl w:val="0"/>
          <w:numId w:val="18"/>
        </w:numPr>
        <w:ind w:left="567" w:hanging="567"/>
        <w:rPr>
          <w:rFonts w:cs="Arial"/>
          <w:b/>
          <w:caps/>
          <w:sz w:val="24"/>
          <w:szCs w:val="24"/>
        </w:rPr>
      </w:pPr>
      <w:r>
        <w:rPr>
          <w:rFonts w:cs="Arial"/>
          <w:b/>
          <w:caps/>
          <w:sz w:val="24"/>
          <w:szCs w:val="24"/>
        </w:rPr>
        <w:lastRenderedPageBreak/>
        <w:t xml:space="preserve">aspetti istituzionali RILEVANTI </w:t>
      </w:r>
    </w:p>
    <w:p w:rsidR="001D5790" w:rsidRDefault="001D5790">
      <w:pPr>
        <w:pStyle w:val="StandardRisoluzionedelConsigliodiStato"/>
        <w:ind w:right="-1"/>
        <w:rPr>
          <w:rFonts w:cs="Arial"/>
          <w:szCs w:val="24"/>
        </w:rPr>
      </w:pPr>
    </w:p>
    <w:tbl>
      <w:tblPr>
        <w:tblStyle w:val="Grigliatabella"/>
        <w:tblW w:w="9634" w:type="dxa"/>
        <w:tblLook w:val="04A0" w:firstRow="1" w:lastRow="0" w:firstColumn="1" w:lastColumn="0" w:noHBand="0" w:noVBand="1"/>
      </w:tblPr>
      <w:tblGrid>
        <w:gridCol w:w="846"/>
        <w:gridCol w:w="8788"/>
      </w:tblGrid>
      <w:tr w:rsidR="001D5790">
        <w:tc>
          <w:tcPr>
            <w:tcW w:w="846" w:type="dxa"/>
          </w:tcPr>
          <w:p w:rsidR="001D5790" w:rsidRDefault="00A5663E">
            <w:pPr>
              <w:spacing w:before="60" w:after="60"/>
              <w:rPr>
                <w:rFonts w:cs="Arial"/>
              </w:rPr>
            </w:pPr>
            <w:r>
              <w:rPr>
                <w:rFonts w:cs="Arial"/>
              </w:rPr>
              <w:t>2012</w:t>
            </w:r>
          </w:p>
        </w:tc>
        <w:tc>
          <w:tcPr>
            <w:tcW w:w="8788" w:type="dxa"/>
          </w:tcPr>
          <w:p w:rsidR="001D5790" w:rsidRDefault="00A5663E">
            <w:pPr>
              <w:spacing w:before="60" w:after="60"/>
              <w:rPr>
                <w:rFonts w:cs="Arial"/>
              </w:rPr>
            </w:pPr>
            <w:r>
              <w:rPr>
                <w:rFonts w:cs="Arial"/>
              </w:rPr>
              <w:t>Scioglimento dell’Istituto cantonale microbiologia (ICM) al 31 dicembre 2012</w:t>
            </w:r>
          </w:p>
          <w:p w:rsidR="001D5790" w:rsidRDefault="00A5663E">
            <w:pPr>
              <w:spacing w:before="60" w:after="60"/>
              <w:rPr>
                <w:rFonts w:cs="Arial"/>
              </w:rPr>
            </w:pPr>
            <w:r>
              <w:rPr>
                <w:rFonts w:cs="Arial"/>
              </w:rPr>
              <w:t xml:space="preserve">Elaborazione DSS-SUPSI della </w:t>
            </w:r>
            <w:r>
              <w:rPr>
                <w:rFonts w:cs="Arial"/>
                <w:i/>
              </w:rPr>
              <w:t>Strategia per l’integrazione delle attività di microbiologia ambientale e biosicurezza dell’ex ICM nel DACD della SUPSI</w:t>
            </w:r>
            <w:r>
              <w:rPr>
                <w:rFonts w:cs="Arial"/>
              </w:rPr>
              <w:t xml:space="preserve"> (6 dicembre 2012)</w:t>
            </w:r>
          </w:p>
          <w:p w:rsidR="001D5790" w:rsidRDefault="00A5663E">
            <w:pPr>
              <w:spacing w:before="60" w:after="60"/>
              <w:rPr>
                <w:rFonts w:cs="Arial"/>
                <w:i/>
              </w:rPr>
            </w:pPr>
            <w:r>
              <w:rPr>
                <w:rFonts w:cs="Arial"/>
              </w:rPr>
              <w:t xml:space="preserve">Obiettivo: passaggio da Laboratorio a Istituto nel 2020 con 10-15 unità a tempo pieno e un volume di attività di ricerca di </w:t>
            </w:r>
            <w:r w:rsidR="00520AB3">
              <w:rPr>
                <w:rFonts w:cs="Arial"/>
              </w:rPr>
              <w:t>fr. 1'500'000.-</w:t>
            </w:r>
          </w:p>
        </w:tc>
      </w:tr>
      <w:tr w:rsidR="001D5790">
        <w:tc>
          <w:tcPr>
            <w:tcW w:w="846" w:type="dxa"/>
          </w:tcPr>
          <w:p w:rsidR="001D5790" w:rsidRDefault="00A5663E">
            <w:pPr>
              <w:spacing w:before="60" w:after="60"/>
              <w:rPr>
                <w:rFonts w:cs="Arial"/>
              </w:rPr>
            </w:pPr>
            <w:r>
              <w:rPr>
                <w:rFonts w:cs="Arial"/>
              </w:rPr>
              <w:t>2013</w:t>
            </w:r>
          </w:p>
        </w:tc>
        <w:tc>
          <w:tcPr>
            <w:tcW w:w="8788" w:type="dxa"/>
          </w:tcPr>
          <w:p w:rsidR="001D5790" w:rsidRDefault="00A5663E">
            <w:pPr>
              <w:spacing w:before="60" w:after="60"/>
              <w:rPr>
                <w:rFonts w:cs="Arial"/>
              </w:rPr>
            </w:pPr>
            <w:r>
              <w:rPr>
                <w:rFonts w:cs="Arial"/>
                <w:i/>
              </w:rPr>
              <w:t>Messaggio n. 6794 sull’integrazione in SUPSI della microbiologia applicata</w:t>
            </w:r>
            <w:r>
              <w:rPr>
                <w:rFonts w:cs="Arial"/>
              </w:rPr>
              <w:t xml:space="preserve"> (7 maggio 2013), approvato con </w:t>
            </w:r>
            <w:r>
              <w:rPr>
                <w:rFonts w:cs="Arial"/>
                <w:i/>
              </w:rPr>
              <w:t>DL 26 novembre 2013</w:t>
            </w:r>
            <w:r>
              <w:rPr>
                <w:rFonts w:cs="Arial"/>
              </w:rPr>
              <w:t xml:space="preserve"> unitamente alla </w:t>
            </w:r>
            <w:r>
              <w:rPr>
                <w:rFonts w:cs="Arial"/>
                <w:i/>
              </w:rPr>
              <w:t>Convenzione 2014-2021 con la SUPSI</w:t>
            </w:r>
            <w:r>
              <w:rPr>
                <w:rFonts w:cs="Arial"/>
              </w:rPr>
              <w:t xml:space="preserve"> sulla ricerca, la consulenza e la fornitura di ulteriori prestazioni nel campo della microbiologia ambientale e della biosicurezza</w:t>
            </w:r>
          </w:p>
        </w:tc>
      </w:tr>
      <w:tr w:rsidR="001D5790">
        <w:tc>
          <w:tcPr>
            <w:tcW w:w="846" w:type="dxa"/>
          </w:tcPr>
          <w:p w:rsidR="001D5790" w:rsidRDefault="00A5663E">
            <w:pPr>
              <w:spacing w:before="60" w:after="60"/>
              <w:rPr>
                <w:rFonts w:cs="Arial"/>
              </w:rPr>
            </w:pPr>
            <w:r>
              <w:rPr>
                <w:rFonts w:cs="Arial"/>
              </w:rPr>
              <w:t>2014</w:t>
            </w:r>
          </w:p>
        </w:tc>
        <w:tc>
          <w:tcPr>
            <w:tcW w:w="8788" w:type="dxa"/>
          </w:tcPr>
          <w:p w:rsidR="001D5790" w:rsidRDefault="00A5663E">
            <w:pPr>
              <w:spacing w:before="60" w:after="60"/>
              <w:rPr>
                <w:rFonts w:cs="Arial"/>
              </w:rPr>
            </w:pPr>
            <w:r>
              <w:rPr>
                <w:rFonts w:cs="Arial"/>
              </w:rPr>
              <w:t>Passaggio alla SUPSI di 4.7 unità a tempo pieno (+ 4 stagiaires) in precedenza attive nello svolgimento dei compiti di microbiologia applicata presso il disciolto ICM</w:t>
            </w:r>
          </w:p>
          <w:p w:rsidR="001D5790" w:rsidRDefault="00A5663E">
            <w:pPr>
              <w:spacing w:before="60" w:after="60"/>
              <w:rPr>
                <w:rFonts w:cs="Arial"/>
                <w:i/>
              </w:rPr>
            </w:pPr>
            <w:r>
              <w:rPr>
                <w:rFonts w:cs="Arial"/>
              </w:rPr>
              <w:t xml:space="preserve">Conferma da parte della Confederazione della gestione tramite LMA della SUPSI del </w:t>
            </w:r>
            <w:r>
              <w:rPr>
                <w:rFonts w:cs="Arial"/>
                <w:i/>
              </w:rPr>
              <w:t>Laboratorio Regionale Sud di Biosicurezza (LR Sud)</w:t>
            </w:r>
            <w:r>
              <w:rPr>
                <w:rFonts w:cs="Arial"/>
              </w:rPr>
              <w:t xml:space="preserve"> in precedenza affidata all’ICM</w:t>
            </w:r>
          </w:p>
          <w:p w:rsidR="001D5790" w:rsidRDefault="00A5663E">
            <w:pPr>
              <w:spacing w:before="60" w:after="60"/>
              <w:rPr>
                <w:rFonts w:cs="Arial"/>
              </w:rPr>
            </w:pPr>
            <w:r>
              <w:rPr>
                <w:rFonts w:cs="Arial"/>
              </w:rPr>
              <w:t xml:space="preserve">Prosecuzione del supporto al </w:t>
            </w:r>
            <w:r>
              <w:rPr>
                <w:rFonts w:cs="Arial"/>
                <w:i/>
              </w:rPr>
              <w:t>Centro Biologia Alpina (CBA)</w:t>
            </w:r>
            <w:r>
              <w:rPr>
                <w:rFonts w:cs="Arial"/>
              </w:rPr>
              <w:t>, corsi universitari, continuità nelle ricerche</w:t>
            </w:r>
          </w:p>
          <w:p w:rsidR="001D5790" w:rsidRDefault="00A5663E">
            <w:pPr>
              <w:spacing w:before="60" w:after="60"/>
              <w:rPr>
                <w:rFonts w:cs="Arial"/>
              </w:rPr>
            </w:pPr>
            <w:r>
              <w:rPr>
                <w:rFonts w:cs="Arial"/>
              </w:rPr>
              <w:t>Obiettivo: futuro centro di microbiologia applicata con compiti di ricerca e insegnamento</w:t>
            </w:r>
          </w:p>
        </w:tc>
      </w:tr>
      <w:tr w:rsidR="001D5790">
        <w:tc>
          <w:tcPr>
            <w:tcW w:w="846" w:type="dxa"/>
          </w:tcPr>
          <w:p w:rsidR="001D5790" w:rsidRDefault="00A5663E">
            <w:pPr>
              <w:spacing w:before="60" w:after="60"/>
              <w:rPr>
                <w:rFonts w:cs="Arial"/>
              </w:rPr>
            </w:pPr>
            <w:r>
              <w:rPr>
                <w:rFonts w:cs="Arial"/>
              </w:rPr>
              <w:t>2015</w:t>
            </w:r>
          </w:p>
        </w:tc>
        <w:tc>
          <w:tcPr>
            <w:tcW w:w="8788" w:type="dxa"/>
          </w:tcPr>
          <w:p w:rsidR="001D5790" w:rsidRDefault="00A5663E">
            <w:pPr>
              <w:spacing w:before="60" w:after="60"/>
              <w:rPr>
                <w:rFonts w:cs="Arial"/>
              </w:rPr>
            </w:pPr>
            <w:r>
              <w:rPr>
                <w:rFonts w:cs="Arial"/>
              </w:rPr>
              <w:t>Consolidamento dei compiti pubblici conferiti dal Cantone, ricerca di sinergie all’interno della SUPSI e di mandati di ricerca finanziati da terzi</w:t>
            </w:r>
          </w:p>
        </w:tc>
      </w:tr>
      <w:tr w:rsidR="001D5790">
        <w:tc>
          <w:tcPr>
            <w:tcW w:w="846" w:type="dxa"/>
          </w:tcPr>
          <w:p w:rsidR="001D5790" w:rsidRDefault="00A5663E">
            <w:pPr>
              <w:spacing w:before="60" w:after="60"/>
              <w:rPr>
                <w:rFonts w:cs="Arial"/>
              </w:rPr>
            </w:pPr>
            <w:r>
              <w:rPr>
                <w:rFonts w:cs="Arial"/>
              </w:rPr>
              <w:t>2016</w:t>
            </w:r>
          </w:p>
        </w:tc>
        <w:tc>
          <w:tcPr>
            <w:tcW w:w="8788" w:type="dxa"/>
          </w:tcPr>
          <w:p w:rsidR="001D5790" w:rsidRDefault="00A5663E">
            <w:pPr>
              <w:spacing w:before="60" w:after="60"/>
              <w:rPr>
                <w:rFonts w:cs="Arial"/>
              </w:rPr>
            </w:pPr>
            <w:r>
              <w:rPr>
                <w:rFonts w:cs="Arial"/>
              </w:rPr>
              <w:t xml:space="preserve">Passaggio dei 5-6 collaboratori del </w:t>
            </w:r>
            <w:r>
              <w:rPr>
                <w:rFonts w:cs="Arial"/>
                <w:i/>
              </w:rPr>
              <w:t>Gruppo Operativo Zanzara tigre (GOZt)</w:t>
            </w:r>
            <w:r>
              <w:rPr>
                <w:rFonts w:cs="Arial"/>
              </w:rPr>
              <w:t xml:space="preserve"> dalla </w:t>
            </w:r>
            <w:r>
              <w:rPr>
                <w:rFonts w:cs="Arial"/>
                <w:i/>
              </w:rPr>
              <w:t>Fondazione Bolle di Magadino</w:t>
            </w:r>
            <w:r>
              <w:rPr>
                <w:rFonts w:cs="Arial"/>
              </w:rPr>
              <w:t xml:space="preserve"> al LMA, con conseguente aggiornamento della Convenzione 2014-2021 (aggiunta di fr. 180'000.- in precedenza attribuiti alla </w:t>
            </w:r>
            <w:r>
              <w:rPr>
                <w:rFonts w:cs="Arial"/>
                <w:i/>
              </w:rPr>
              <w:t>Fondazione Bolle di Magadino</w:t>
            </w:r>
            <w:r>
              <w:rPr>
                <w:rFonts w:cs="Arial"/>
              </w:rPr>
              <w:t xml:space="preserve"> e di fr. 50’000.- in precedenza conferiti alla SUPSI tramite Convenzione DT sull’</w:t>
            </w:r>
            <w:r>
              <w:rPr>
                <w:rFonts w:cs="Arial"/>
                <w:i/>
              </w:rPr>
              <w:t>Istituto scienze della terra</w:t>
            </w:r>
            <w:r>
              <w:rPr>
                <w:rFonts w:cs="Arial"/>
              </w:rPr>
              <w:t>)</w:t>
            </w:r>
          </w:p>
          <w:p w:rsidR="001D5790" w:rsidRDefault="00A5663E">
            <w:pPr>
              <w:spacing w:before="60" w:after="60"/>
              <w:rPr>
                <w:rFonts w:cs="Arial"/>
              </w:rPr>
            </w:pPr>
            <w:r>
              <w:rPr>
                <w:rFonts w:cs="Arial"/>
              </w:rPr>
              <w:t>Procedura di valutazione della ricerca (PVR): audit esterno del LMA dopo il 1° quadriennio in SUPSI</w:t>
            </w:r>
          </w:p>
        </w:tc>
      </w:tr>
      <w:tr w:rsidR="001D5790">
        <w:tc>
          <w:tcPr>
            <w:tcW w:w="846" w:type="dxa"/>
          </w:tcPr>
          <w:p w:rsidR="001D5790" w:rsidRDefault="00A5663E">
            <w:pPr>
              <w:spacing w:before="60" w:after="60"/>
              <w:rPr>
                <w:rFonts w:cs="Arial"/>
              </w:rPr>
            </w:pPr>
            <w:r>
              <w:rPr>
                <w:rFonts w:cs="Arial"/>
              </w:rPr>
              <w:t>2017</w:t>
            </w:r>
          </w:p>
        </w:tc>
        <w:tc>
          <w:tcPr>
            <w:tcW w:w="8788" w:type="dxa"/>
          </w:tcPr>
          <w:p w:rsidR="001D5790" w:rsidRDefault="00A5663E">
            <w:pPr>
              <w:spacing w:before="60" w:after="60"/>
              <w:rPr>
                <w:rFonts w:cs="Arial"/>
              </w:rPr>
            </w:pPr>
            <w:r>
              <w:rPr>
                <w:rFonts w:cs="Arial"/>
              </w:rPr>
              <w:t>Rivalutazione del finanziamento del compito 4 (Identificazione e tipizzazione di organismi) per il 2° quadriennio di validità della Convenzione, con riduzione di fr.</w:t>
            </w:r>
            <w:r w:rsidR="00520AB3">
              <w:rPr>
                <w:rFonts w:cs="Arial"/>
              </w:rPr>
              <w:t> </w:t>
            </w:r>
            <w:r>
              <w:rPr>
                <w:rFonts w:cs="Arial"/>
              </w:rPr>
              <w:t>60’000.-</w:t>
            </w:r>
          </w:p>
          <w:p w:rsidR="001D5790" w:rsidRDefault="00A5663E">
            <w:pPr>
              <w:spacing w:before="60" w:after="60"/>
              <w:rPr>
                <w:rFonts w:cs="Arial"/>
              </w:rPr>
            </w:pPr>
            <w:r>
              <w:rPr>
                <w:rFonts w:cs="Arial"/>
              </w:rPr>
              <w:t>Procedura di valutazione della ricerca (PVR): rapporto LMA, verifica esterna e conferma del raggiungimento degli obiettivi posti nell’audit del 2016</w:t>
            </w:r>
          </w:p>
        </w:tc>
      </w:tr>
      <w:tr w:rsidR="001D5790">
        <w:tc>
          <w:tcPr>
            <w:tcW w:w="846" w:type="dxa"/>
          </w:tcPr>
          <w:p w:rsidR="001D5790" w:rsidRDefault="00A5663E">
            <w:pPr>
              <w:spacing w:before="60" w:after="60"/>
              <w:rPr>
                <w:rFonts w:cs="Arial"/>
              </w:rPr>
            </w:pPr>
            <w:r>
              <w:rPr>
                <w:rFonts w:cs="Arial"/>
              </w:rPr>
              <w:t>2018</w:t>
            </w:r>
          </w:p>
        </w:tc>
        <w:tc>
          <w:tcPr>
            <w:tcW w:w="8788" w:type="dxa"/>
          </w:tcPr>
          <w:p w:rsidR="001D5790" w:rsidRDefault="00A5663E">
            <w:pPr>
              <w:spacing w:before="60" w:after="60"/>
              <w:rPr>
                <w:rFonts w:cs="Arial"/>
              </w:rPr>
            </w:pPr>
            <w:r>
              <w:rPr>
                <w:rFonts w:cs="Arial"/>
              </w:rPr>
              <w:t>Ulteriore riduzione di fr. 60’000.- del finanziamento del compito 4, in parte riversati sui compiti 2 e 3 (fr. 20’000.- ognuno)</w:t>
            </w:r>
          </w:p>
        </w:tc>
      </w:tr>
      <w:tr w:rsidR="001D5790">
        <w:tc>
          <w:tcPr>
            <w:tcW w:w="846" w:type="dxa"/>
          </w:tcPr>
          <w:p w:rsidR="001D5790" w:rsidRDefault="00A5663E">
            <w:pPr>
              <w:spacing w:before="60" w:after="60"/>
              <w:rPr>
                <w:rFonts w:cs="Arial"/>
              </w:rPr>
            </w:pPr>
            <w:r>
              <w:rPr>
                <w:rFonts w:cs="Arial"/>
              </w:rPr>
              <w:t>2019</w:t>
            </w:r>
          </w:p>
        </w:tc>
        <w:tc>
          <w:tcPr>
            <w:tcW w:w="8788" w:type="dxa"/>
          </w:tcPr>
          <w:p w:rsidR="001D5790" w:rsidRDefault="00A5663E">
            <w:pPr>
              <w:spacing w:before="60" w:after="60"/>
              <w:rPr>
                <w:rFonts w:cs="Arial"/>
              </w:rPr>
            </w:pPr>
            <w:r>
              <w:rPr>
                <w:rFonts w:cs="Arial"/>
              </w:rPr>
              <w:t>Definizione dell’apporto LMA nella strategia “</w:t>
            </w:r>
            <w:r>
              <w:rPr>
                <w:rFonts w:cs="Arial"/>
                <w:i/>
              </w:rPr>
              <w:t>One Health</w:t>
            </w:r>
            <w:r>
              <w:rPr>
                <w:rFonts w:cs="Arial"/>
              </w:rPr>
              <w:t>”</w:t>
            </w:r>
          </w:p>
          <w:p w:rsidR="001D5790" w:rsidRDefault="00A5663E">
            <w:pPr>
              <w:spacing w:before="60" w:after="60"/>
              <w:rPr>
                <w:rFonts w:cs="Arial"/>
              </w:rPr>
            </w:pPr>
            <w:r>
              <w:rPr>
                <w:rFonts w:cs="Arial"/>
              </w:rPr>
              <w:t xml:space="preserve">Valutazione dello sviluppo delle </w:t>
            </w:r>
            <w:r>
              <w:rPr>
                <w:rFonts w:cs="Arial"/>
                <w:i/>
              </w:rPr>
              <w:t>Life Sciences</w:t>
            </w:r>
            <w:r>
              <w:rPr>
                <w:rFonts w:cs="Arial"/>
              </w:rPr>
              <w:t xml:space="preserve"> in SUPSI</w:t>
            </w:r>
          </w:p>
        </w:tc>
      </w:tr>
      <w:tr w:rsidR="001D5790">
        <w:tc>
          <w:tcPr>
            <w:tcW w:w="846" w:type="dxa"/>
          </w:tcPr>
          <w:p w:rsidR="001D5790" w:rsidRDefault="00A5663E">
            <w:pPr>
              <w:spacing w:before="60" w:after="60"/>
              <w:rPr>
                <w:rFonts w:cs="Arial"/>
              </w:rPr>
            </w:pPr>
            <w:r>
              <w:rPr>
                <w:rFonts w:cs="Arial"/>
              </w:rPr>
              <w:t>2020</w:t>
            </w:r>
          </w:p>
        </w:tc>
        <w:tc>
          <w:tcPr>
            <w:tcW w:w="8788" w:type="dxa"/>
          </w:tcPr>
          <w:p w:rsidR="001D5790" w:rsidRDefault="00A5663E">
            <w:pPr>
              <w:spacing w:before="60" w:after="60"/>
              <w:rPr>
                <w:rFonts w:cs="Arial"/>
              </w:rPr>
            </w:pPr>
            <w:r>
              <w:rPr>
                <w:rFonts w:cs="Arial"/>
              </w:rPr>
              <w:t>A seguito della pandemia, attivazione del LMA da parte del Cantone per tipizzazioni relative al Covid-19 in campioni ambientali (acque, superfici, aria)</w:t>
            </w:r>
          </w:p>
        </w:tc>
      </w:tr>
      <w:tr w:rsidR="001D5790">
        <w:tc>
          <w:tcPr>
            <w:tcW w:w="846" w:type="dxa"/>
          </w:tcPr>
          <w:p w:rsidR="001D5790" w:rsidRDefault="00A5663E">
            <w:pPr>
              <w:spacing w:before="60" w:after="60"/>
              <w:rPr>
                <w:rFonts w:cs="Arial"/>
              </w:rPr>
            </w:pPr>
            <w:r>
              <w:rPr>
                <w:rFonts w:cs="Arial"/>
              </w:rPr>
              <w:t>2021</w:t>
            </w:r>
          </w:p>
        </w:tc>
        <w:tc>
          <w:tcPr>
            <w:tcW w:w="8788" w:type="dxa"/>
          </w:tcPr>
          <w:p w:rsidR="001D5790" w:rsidRDefault="00A5663E">
            <w:pPr>
              <w:spacing w:before="60" w:after="60"/>
              <w:rPr>
                <w:rFonts w:cs="Arial"/>
              </w:rPr>
            </w:pPr>
            <w:r>
              <w:rPr>
                <w:rFonts w:cs="Arial"/>
              </w:rPr>
              <w:t xml:space="preserve">Integrazione nel LMA del laboratorio </w:t>
            </w:r>
            <w:r>
              <w:rPr>
                <w:rFonts w:cs="Arial"/>
                <w:i/>
              </w:rPr>
              <w:t>Bio Environmental Technologies (BET)</w:t>
            </w:r>
            <w:r>
              <w:rPr>
                <w:rFonts w:cs="Arial"/>
              </w:rPr>
              <w:t>, proveniente dal Dipartimento tecnologie innovative (DTI) della SUPSI</w:t>
            </w:r>
          </w:p>
          <w:p w:rsidR="001D5790" w:rsidRDefault="00A5663E">
            <w:pPr>
              <w:spacing w:before="60" w:after="60"/>
              <w:rPr>
                <w:rFonts w:cs="Arial"/>
              </w:rPr>
            </w:pPr>
            <w:r>
              <w:rPr>
                <w:rFonts w:cs="Arial"/>
              </w:rPr>
              <w:t>Trasferimento a Mendrisio nel Campus SUPSI del DACD di parte dell’attività LMA</w:t>
            </w:r>
          </w:p>
          <w:p w:rsidR="001D5790" w:rsidRDefault="00A5663E">
            <w:pPr>
              <w:spacing w:before="60" w:after="60"/>
              <w:rPr>
                <w:rFonts w:cs="Arial"/>
              </w:rPr>
            </w:pPr>
            <w:r>
              <w:rPr>
                <w:rFonts w:cs="Arial"/>
              </w:rPr>
              <w:t>Modifica di statuto all’interno della SUPSI con conferimento del titolo di Istituto</w:t>
            </w:r>
          </w:p>
        </w:tc>
      </w:tr>
      <w:tr w:rsidR="001D5790">
        <w:tc>
          <w:tcPr>
            <w:tcW w:w="846" w:type="dxa"/>
          </w:tcPr>
          <w:p w:rsidR="001D5790" w:rsidRDefault="00A5663E">
            <w:pPr>
              <w:spacing w:before="60" w:after="60"/>
              <w:rPr>
                <w:rFonts w:cs="Arial"/>
              </w:rPr>
            </w:pPr>
            <w:r>
              <w:rPr>
                <w:rFonts w:cs="Arial"/>
              </w:rPr>
              <w:t>2022</w:t>
            </w:r>
          </w:p>
        </w:tc>
        <w:tc>
          <w:tcPr>
            <w:tcW w:w="8788" w:type="dxa"/>
          </w:tcPr>
          <w:p w:rsidR="001D5790" w:rsidRDefault="00A5663E">
            <w:pPr>
              <w:spacing w:before="60" w:after="60"/>
              <w:rPr>
                <w:rFonts w:cs="Arial"/>
              </w:rPr>
            </w:pPr>
            <w:r>
              <w:rPr>
                <w:rFonts w:cs="Arial"/>
              </w:rPr>
              <w:t xml:space="preserve">Seconda procedura di valutazione </w:t>
            </w:r>
          </w:p>
        </w:tc>
      </w:tr>
      <w:tr w:rsidR="001D5790">
        <w:tc>
          <w:tcPr>
            <w:tcW w:w="846" w:type="dxa"/>
          </w:tcPr>
          <w:p w:rsidR="001D5790" w:rsidRDefault="00A5663E">
            <w:pPr>
              <w:spacing w:before="60" w:after="60"/>
              <w:rPr>
                <w:rFonts w:cs="Arial"/>
              </w:rPr>
            </w:pPr>
            <w:r>
              <w:rPr>
                <w:rFonts w:cs="Arial"/>
              </w:rPr>
              <w:t>2024</w:t>
            </w:r>
          </w:p>
        </w:tc>
        <w:tc>
          <w:tcPr>
            <w:tcW w:w="8788" w:type="dxa"/>
          </w:tcPr>
          <w:p w:rsidR="001D5790" w:rsidRDefault="00A5663E">
            <w:pPr>
              <w:spacing w:before="60" w:after="60"/>
              <w:rPr>
                <w:rFonts w:cs="Arial"/>
              </w:rPr>
            </w:pPr>
            <w:r>
              <w:rPr>
                <w:rFonts w:cs="Arial"/>
              </w:rPr>
              <w:t>Entrata in funzione del nuovo direttore dell’IM Prof. Dr. Med. Vet. Francesco Origgi</w:t>
            </w:r>
          </w:p>
        </w:tc>
      </w:tr>
    </w:tbl>
    <w:p w:rsidR="001D5790" w:rsidRDefault="001D5790">
      <w:pPr>
        <w:rPr>
          <w:rFonts w:cs="Arial"/>
          <w:b/>
          <w:sz w:val="24"/>
          <w:szCs w:val="24"/>
        </w:rPr>
      </w:pPr>
    </w:p>
    <w:p w:rsidR="001D5790" w:rsidRDefault="00A5663E">
      <w:pPr>
        <w:pStyle w:val="Paragrafoelenco"/>
        <w:numPr>
          <w:ilvl w:val="0"/>
          <w:numId w:val="18"/>
        </w:numPr>
        <w:ind w:left="567" w:hanging="567"/>
        <w:rPr>
          <w:rFonts w:cs="Arial"/>
          <w:b/>
          <w:sz w:val="24"/>
          <w:szCs w:val="24"/>
        </w:rPr>
      </w:pPr>
      <w:r>
        <w:rPr>
          <w:rFonts w:cs="Arial"/>
          <w:b/>
          <w:sz w:val="24"/>
          <w:szCs w:val="24"/>
        </w:rPr>
        <w:lastRenderedPageBreak/>
        <w:t xml:space="preserve">NOVITÀ PREVISTE CON IL RINNOVO 2025-2028 </w:t>
      </w:r>
    </w:p>
    <w:p w:rsidR="001D5790" w:rsidRDefault="001D5790">
      <w:pPr>
        <w:rPr>
          <w:rFonts w:cs="Arial"/>
          <w:sz w:val="24"/>
          <w:szCs w:val="24"/>
        </w:rPr>
      </w:pPr>
    </w:p>
    <w:p w:rsidR="001D5790" w:rsidRDefault="00A5663E">
      <w:pPr>
        <w:rPr>
          <w:rFonts w:cs="Arial"/>
          <w:sz w:val="24"/>
          <w:szCs w:val="24"/>
        </w:rPr>
      </w:pPr>
      <w:r>
        <w:rPr>
          <w:rFonts w:cs="Arial"/>
          <w:sz w:val="24"/>
          <w:szCs w:val="24"/>
        </w:rPr>
        <w:t>L'importanza dei legami tra la salute umana, la salute animale e l'ambiente sta guadagnando sempre più attenzione in ambito scientifico, politico e sociale. Una revisione congiunta condotta dalla Conferenza sulla Diversità Biologica dell’ONU e dall'Organizzazione Mondiale della Sanità (OMS) offre una panoramica completa della complessità delle interazioni tra biodiversità e salute umana, evidenziando le opportunità e le sfide all'interfaccia tra scienza e politica.</w:t>
      </w:r>
    </w:p>
    <w:p w:rsidR="001D5790" w:rsidRDefault="001D5790">
      <w:pPr>
        <w:rPr>
          <w:rFonts w:cs="Arial"/>
          <w:sz w:val="24"/>
          <w:szCs w:val="24"/>
        </w:rPr>
      </w:pPr>
    </w:p>
    <w:p w:rsidR="001D5790" w:rsidRDefault="00A5663E">
      <w:pPr>
        <w:rPr>
          <w:rFonts w:cs="Arial"/>
          <w:sz w:val="24"/>
          <w:szCs w:val="24"/>
        </w:rPr>
      </w:pPr>
      <w:r>
        <w:rPr>
          <w:rFonts w:cs="Arial"/>
          <w:sz w:val="24"/>
          <w:szCs w:val="24"/>
        </w:rPr>
        <w:t>Per affrontare le interconnessioni tra il mondo naturale e la salute umana in modo più integrato, sono emersi vari quadri di riferimento. Tra questi, l'approccio One Health è particolarmente rilevante, in quanto considera gli impatti sulla salute umana, animale ed ecosistemica e promuove un'azione coordinata tra queste dimensioni. Questo approccio, strettamente allineato con il quadro ecosistemico della Convenzione sulla biodiversità, è raccomandato per affrontare le sfide scientifiche e politiche con un'ottica integrativa.</w:t>
      </w:r>
    </w:p>
    <w:p w:rsidR="001D5790" w:rsidRDefault="001D5790">
      <w:pPr>
        <w:rPr>
          <w:rFonts w:cs="Arial"/>
          <w:sz w:val="24"/>
          <w:szCs w:val="24"/>
        </w:rPr>
      </w:pPr>
    </w:p>
    <w:p w:rsidR="001D5790" w:rsidRDefault="00A5663E">
      <w:pPr>
        <w:rPr>
          <w:rFonts w:cs="Arial"/>
          <w:sz w:val="24"/>
          <w:szCs w:val="24"/>
        </w:rPr>
      </w:pPr>
      <w:r>
        <w:rPr>
          <w:rFonts w:cs="Arial"/>
          <w:sz w:val="24"/>
          <w:szCs w:val="24"/>
        </w:rPr>
        <w:t>L'IM, riconosciuto a livello locale e nazionale per la sua esperienza nella lotta ai vettori, sta assumendo un ruolo di rilievo nell'ambito One Health grazie a importanti collaborazioni con istituti accademici e di ricerca. Un ulteriore sviluppo potrà giungere dall’inclusione dello studio delle patologie indotte da questi patogeni negli animali selvatici. Questa prospettiva si inquadra, in ottica One Health, nella cosiddetta “disease ecology”</w:t>
      </w:r>
      <w:r>
        <w:rPr>
          <w:rStyle w:val="Rimandonotaapidipagina"/>
          <w:rFonts w:cs="Arial"/>
          <w:sz w:val="24"/>
          <w:szCs w:val="24"/>
        </w:rPr>
        <w:footnoteReference w:id="4"/>
      </w:r>
      <w:r>
        <w:rPr>
          <w:rFonts w:cs="Arial"/>
          <w:sz w:val="24"/>
          <w:szCs w:val="24"/>
        </w:rPr>
        <w:t>, e cioè l’analisi di come il significato clinico del patogeno varia in funzione del contesto ambientale e di ospite in cui si viene a trovare. Tra i progetti principali giova menzionare:</w:t>
      </w:r>
    </w:p>
    <w:p w:rsidR="001D5790" w:rsidRDefault="00A5663E">
      <w:pPr>
        <w:pStyle w:val="Paragrafoelenco"/>
        <w:numPr>
          <w:ilvl w:val="0"/>
          <w:numId w:val="24"/>
        </w:numPr>
        <w:rPr>
          <w:rFonts w:cs="Arial"/>
          <w:sz w:val="24"/>
          <w:szCs w:val="24"/>
        </w:rPr>
      </w:pPr>
      <w:r>
        <w:rPr>
          <w:rFonts w:cs="Arial"/>
          <w:sz w:val="24"/>
          <w:szCs w:val="24"/>
        </w:rPr>
        <w:t xml:space="preserve">Progetto sui Virus Emergenti: sottoposto in collaborazione con l'Istituto di Ricerca in Biomedicina (IRB) di Bellinzona e il Servizio Trasfusionale della Croce Rossa della Svizzera Italiana (STSI), mira a valutare il rischio di esposizione della popolazione ticinese a virus emergenti trasmessi da zecche e zanzare; </w:t>
      </w:r>
    </w:p>
    <w:p w:rsidR="001D5790" w:rsidRDefault="00A5663E">
      <w:pPr>
        <w:pStyle w:val="Paragrafoelenco"/>
        <w:numPr>
          <w:ilvl w:val="0"/>
          <w:numId w:val="24"/>
        </w:numPr>
        <w:rPr>
          <w:rFonts w:cs="Arial"/>
          <w:sz w:val="24"/>
          <w:szCs w:val="24"/>
        </w:rPr>
      </w:pPr>
      <w:r>
        <w:rPr>
          <w:rFonts w:cs="Arial"/>
          <w:sz w:val="24"/>
          <w:szCs w:val="24"/>
        </w:rPr>
        <w:t xml:space="preserve">Strategia Nazionale di Lotta ai Vettori: in collaborazione con l'Istituto tropicale svizzero (Swiss TPH), sarà sottoposto all’Ufficio federale della sicurezza alimentare e di veterinaria per sviluppare una strategia nazionale contro i vettori e i patogeni che trasportano; </w:t>
      </w:r>
    </w:p>
    <w:p w:rsidR="001D5790" w:rsidRDefault="00A5663E">
      <w:pPr>
        <w:pStyle w:val="Paragrafoelenco"/>
        <w:numPr>
          <w:ilvl w:val="0"/>
          <w:numId w:val="24"/>
        </w:numPr>
        <w:rPr>
          <w:rFonts w:cs="Arial"/>
          <w:sz w:val="24"/>
          <w:szCs w:val="24"/>
        </w:rPr>
      </w:pPr>
      <w:r>
        <w:rPr>
          <w:rFonts w:cs="Arial"/>
          <w:sz w:val="24"/>
          <w:szCs w:val="24"/>
        </w:rPr>
        <w:t>Progetto NCCR-Bastion: in collaborazione con le principali realtà scientifiche nazionali, questo progetto mira a definire e sviluppare barriere contro le infezioni sostenute da agenti microbici, inclusi quelli veicolati da vettori.</w:t>
      </w:r>
    </w:p>
    <w:p w:rsidR="001D5790" w:rsidRDefault="00A5663E">
      <w:pPr>
        <w:pStyle w:val="Paragrafoelenco"/>
        <w:ind w:left="360"/>
        <w:rPr>
          <w:rFonts w:cs="Arial"/>
          <w:sz w:val="24"/>
          <w:szCs w:val="24"/>
        </w:rPr>
      </w:pPr>
      <w:r>
        <w:rPr>
          <w:rFonts w:cs="Arial"/>
          <w:sz w:val="24"/>
          <w:szCs w:val="24"/>
        </w:rPr>
        <w:t xml:space="preserve"> </w:t>
      </w:r>
    </w:p>
    <w:p w:rsidR="001D5790" w:rsidRDefault="00A5663E">
      <w:pPr>
        <w:rPr>
          <w:rFonts w:cs="Arial"/>
          <w:sz w:val="24"/>
          <w:szCs w:val="24"/>
        </w:rPr>
      </w:pPr>
      <w:r>
        <w:rPr>
          <w:rFonts w:cs="Arial"/>
          <w:sz w:val="24"/>
          <w:szCs w:val="24"/>
        </w:rPr>
        <w:t>L'attività di ricerca ha creato sinergie interne al DACD della SUPSI, collaborando con l'Istituto materiali e costruzioni per la biodegradazione delle opere d'arte e l'igiene nell'ambiente costruito. Con l'Istituto scienze della Terra, le collaborazioni riguardano idrobiologia, limnologia, resistenze agli antibiotici nell'ambiente e microplastiche. L'Istituto design partecipa a progetti di sensibilizzazione sulla biologia e microbiologia alpina. Inoltre, si sono sviluppate collaborazioni interdipartimentali con il Dipartimento tecnologie innovative per dispositivi elettronici e progetti MeDiTech, e con il DEASS, l’USI e l’EOC per progetti legati alla sanità, come Corona-Immunitas.</w:t>
      </w:r>
    </w:p>
    <w:p w:rsidR="001D5790" w:rsidRDefault="001D5790">
      <w:pPr>
        <w:rPr>
          <w:rFonts w:cs="Arial"/>
          <w:sz w:val="24"/>
          <w:szCs w:val="24"/>
        </w:rPr>
      </w:pPr>
    </w:p>
    <w:p w:rsidR="001D5790" w:rsidRDefault="00A5663E">
      <w:pPr>
        <w:rPr>
          <w:rFonts w:cs="Arial"/>
          <w:sz w:val="24"/>
          <w:szCs w:val="24"/>
        </w:rPr>
      </w:pPr>
      <w:r>
        <w:rPr>
          <w:rFonts w:cs="Arial"/>
          <w:sz w:val="24"/>
          <w:szCs w:val="24"/>
        </w:rPr>
        <w:lastRenderedPageBreak/>
        <w:t>Il posizionamento One Health dell'IM è in linea e concorre a realizzare gli obiettivi strategici del programma di legislatura del Consiglio di Stato 2023-2027, in particolare per quanto riguarda l'adattamento ai cambiamenti climatici, la qualità della vita, la promozione della salute, la prevenzione delle malattie infettive legate al cambiamento climatico, la lotta all'antibiotico-resistenza e il miglioramento del sistema sanitario (cfr. in particolare Programma di legislatura 2023-2027, asse strategico 3, obiettivo 23, azione 23.4). Inoltre, il concetto è espresso anche nel documento "Prospettiva 2040" del Cantone.</w:t>
      </w:r>
    </w:p>
    <w:p w:rsidR="001D5790" w:rsidRDefault="001D5790">
      <w:pPr>
        <w:rPr>
          <w:rFonts w:cs="Arial"/>
          <w:sz w:val="24"/>
          <w:szCs w:val="24"/>
        </w:rPr>
      </w:pPr>
    </w:p>
    <w:p w:rsidR="001D5790" w:rsidRDefault="00A5663E">
      <w:pPr>
        <w:rPr>
          <w:rFonts w:cs="Arial"/>
          <w:sz w:val="24"/>
          <w:szCs w:val="24"/>
        </w:rPr>
      </w:pPr>
      <w:r>
        <w:rPr>
          <w:rFonts w:cs="Arial"/>
          <w:sz w:val="24"/>
          <w:szCs w:val="24"/>
        </w:rPr>
        <w:t>I compiti pubblici delegati alla SUPSI in ambito della microbiologia applicata, in parte rivisti nel corso del tempo in base alle esigenze dei servizi cantonali, sono tutti confermati.</w:t>
      </w:r>
    </w:p>
    <w:p w:rsidR="001D5790" w:rsidRDefault="001D5790">
      <w:pPr>
        <w:rPr>
          <w:rFonts w:cs="Arial"/>
          <w:sz w:val="24"/>
          <w:szCs w:val="24"/>
        </w:rPr>
      </w:pPr>
    </w:p>
    <w:p w:rsidR="001D5790" w:rsidRDefault="00A5663E">
      <w:pPr>
        <w:rPr>
          <w:rFonts w:cs="Arial"/>
          <w:sz w:val="24"/>
          <w:szCs w:val="24"/>
        </w:rPr>
      </w:pPr>
      <w:r>
        <w:rPr>
          <w:rFonts w:cs="Arial"/>
          <w:sz w:val="24"/>
          <w:szCs w:val="24"/>
        </w:rPr>
        <w:t>Nelle schede annesse si trova il dettaglio dei compiti delegati nonché la contabilità analitica che giustifica i relativi importi.</w:t>
      </w:r>
    </w:p>
    <w:p w:rsidR="001D5790" w:rsidRDefault="001D5790">
      <w:pPr>
        <w:rPr>
          <w:rFonts w:cs="Arial"/>
          <w:sz w:val="24"/>
          <w:szCs w:val="24"/>
        </w:rPr>
      </w:pPr>
    </w:p>
    <w:p w:rsidR="001D5790" w:rsidRDefault="00A5663E">
      <w:pPr>
        <w:spacing w:after="120"/>
        <w:rPr>
          <w:rFonts w:cs="Arial"/>
          <w:sz w:val="24"/>
          <w:szCs w:val="24"/>
          <w:u w:val="single"/>
        </w:rPr>
      </w:pPr>
      <w:r>
        <w:rPr>
          <w:rFonts w:cs="Arial"/>
          <w:sz w:val="24"/>
          <w:szCs w:val="24"/>
          <w:u w:val="single"/>
        </w:rPr>
        <w:t>Laboratorio Regionale Sud (LR Sud) per la biosicurezza (compito 1)</w:t>
      </w:r>
    </w:p>
    <w:p w:rsidR="001D5790" w:rsidRDefault="00A5663E">
      <w:pPr>
        <w:rPr>
          <w:rFonts w:cs="Arial"/>
          <w:sz w:val="24"/>
          <w:szCs w:val="24"/>
        </w:rPr>
      </w:pPr>
      <w:r>
        <w:rPr>
          <w:rFonts w:cs="Arial"/>
          <w:sz w:val="24"/>
          <w:szCs w:val="24"/>
        </w:rPr>
        <w:t>Il Settore Biosicurezza dell'IM integra il Laboratorio Regionale Sud delle Alpi (LR Sud) e si occupa di proteggere l'essere umano, gli animali e l'ambiente dai pericoli biologici, principalmente costituiti da microrganismi come virus e batteri. Il settore ha potenziato le attività di rilevamento e identificazione di agenti patogeni e altamente patogeni (gruppo di rischio 3) in campioni ambientali, specialmente in organismi vettori.</w:t>
      </w:r>
    </w:p>
    <w:p w:rsidR="001D5790" w:rsidRDefault="001D5790">
      <w:pPr>
        <w:rPr>
          <w:rFonts w:cs="Arial"/>
          <w:sz w:val="24"/>
          <w:szCs w:val="24"/>
        </w:rPr>
      </w:pPr>
    </w:p>
    <w:p w:rsidR="001D5790" w:rsidRDefault="00A5663E">
      <w:pPr>
        <w:rPr>
          <w:rFonts w:cs="Arial"/>
          <w:sz w:val="24"/>
          <w:szCs w:val="24"/>
        </w:rPr>
      </w:pPr>
      <w:r>
        <w:rPr>
          <w:rFonts w:cs="Arial"/>
          <w:sz w:val="24"/>
          <w:szCs w:val="24"/>
        </w:rPr>
        <w:t>Le nuove sfide nel campo della sicurezza biologica, come il virus SARS-CoV-2 e il bioterrorismo, richiedono prontezza d’intervento e aggiornamento continuo delle procedure. Il Settore Biosicurezza e il Settore Igiene e Ambiente sono in prima linea per affrontare questi rischi biologici imprevedibili.</w:t>
      </w:r>
    </w:p>
    <w:p w:rsidR="001D5790" w:rsidRDefault="001D5790">
      <w:pPr>
        <w:rPr>
          <w:rFonts w:cs="Arial"/>
          <w:sz w:val="24"/>
          <w:szCs w:val="24"/>
        </w:rPr>
      </w:pPr>
    </w:p>
    <w:p w:rsidR="001D5790" w:rsidRDefault="00A5663E">
      <w:pPr>
        <w:rPr>
          <w:rFonts w:cs="Arial"/>
          <w:sz w:val="24"/>
          <w:szCs w:val="24"/>
        </w:rPr>
      </w:pPr>
      <w:r>
        <w:rPr>
          <w:rFonts w:cs="Arial"/>
          <w:sz w:val="24"/>
          <w:szCs w:val="24"/>
        </w:rPr>
        <w:t>Per il futuro, è cruciale che l'IM mantenga una rete di analisi sul territorio ticinese per diversi patogeni, resti aggiornato sugli sviluppi dell'epidemiologia ambientale e rafforzi le collaborazioni nazionali e internazionali.</w:t>
      </w:r>
    </w:p>
    <w:p w:rsidR="001D5790" w:rsidRDefault="001D5790">
      <w:pPr>
        <w:rPr>
          <w:rFonts w:cs="Arial"/>
          <w:sz w:val="24"/>
          <w:szCs w:val="24"/>
        </w:rPr>
      </w:pPr>
    </w:p>
    <w:p w:rsidR="001D5790" w:rsidRDefault="00A5663E">
      <w:pPr>
        <w:spacing w:after="120"/>
        <w:rPr>
          <w:rFonts w:cs="Arial"/>
          <w:sz w:val="24"/>
          <w:szCs w:val="24"/>
          <w:u w:val="single"/>
        </w:rPr>
      </w:pPr>
      <w:r>
        <w:rPr>
          <w:rFonts w:cs="Arial"/>
          <w:sz w:val="24"/>
          <w:szCs w:val="24"/>
          <w:u w:val="single"/>
        </w:rPr>
        <w:t>Monitoraggio microbiologico dell’ambiente a tutela della salvaguardia della biodiversità (compito 2)</w:t>
      </w:r>
    </w:p>
    <w:p w:rsidR="001D5790" w:rsidRDefault="00A5663E">
      <w:pPr>
        <w:rPr>
          <w:rFonts w:cs="Arial"/>
          <w:sz w:val="24"/>
          <w:szCs w:val="24"/>
        </w:rPr>
      </w:pPr>
      <w:r>
        <w:rPr>
          <w:rFonts w:cs="Arial"/>
          <w:sz w:val="24"/>
          <w:szCs w:val="24"/>
        </w:rPr>
        <w:t>Il Settore Microbiologia ambientale si è evoluto e ora comprende due ambiti.</w:t>
      </w:r>
    </w:p>
    <w:p w:rsidR="001D5790" w:rsidRDefault="001D5790">
      <w:pPr>
        <w:rPr>
          <w:rFonts w:cs="Arial"/>
          <w:sz w:val="24"/>
          <w:szCs w:val="24"/>
        </w:rPr>
      </w:pPr>
    </w:p>
    <w:p w:rsidR="001D5790" w:rsidRDefault="00A5663E">
      <w:pPr>
        <w:rPr>
          <w:rFonts w:cs="Arial"/>
          <w:sz w:val="24"/>
          <w:szCs w:val="24"/>
        </w:rPr>
      </w:pPr>
      <w:r>
        <w:rPr>
          <w:rFonts w:cs="Arial"/>
          <w:sz w:val="24"/>
          <w:szCs w:val="24"/>
        </w:rPr>
        <w:t>Un primo ambito (ambiente naturale) si concentra sugli ecosistemi acquatici e sulla biodiversità microbica nonché sull'influenza dei microrganismi sul riciclaggio delle sostanze e sul loro ruolo di inquinanti indesiderati. Compito importante è poi il coordinamento, il sostegno e la promozione della ricerca e dell'insegnamento presso il CBA di Piora. Il finanziamento dell’attività del CBA nel periodo 2014-2021 è stato assicurato da Swisslos e dal 2022 è integrato in quello di gestione all’USI (definito nel contratto di prestazione tra Cantone e USI per il periodo 2025-2028), sulla base di un accordo di collaborazione stipulato tra le parti.  Con il rinnovo della convenzione per la microbiologia applicata, l’Istituto microbiologia continuerà ad assicurare il sostegno alla parte scientifica tramite le specifiche prestazioni indicate nel compito 2.</w:t>
      </w:r>
    </w:p>
    <w:p w:rsidR="001D5790" w:rsidRDefault="001D5790">
      <w:pPr>
        <w:rPr>
          <w:rFonts w:cs="Arial"/>
          <w:sz w:val="24"/>
          <w:szCs w:val="24"/>
        </w:rPr>
      </w:pPr>
    </w:p>
    <w:p w:rsidR="001D5790" w:rsidRDefault="00A5663E">
      <w:pPr>
        <w:rPr>
          <w:rFonts w:cs="Arial"/>
          <w:sz w:val="24"/>
          <w:szCs w:val="24"/>
        </w:rPr>
      </w:pPr>
      <w:r>
        <w:rPr>
          <w:rFonts w:cs="Arial"/>
          <w:sz w:val="24"/>
          <w:szCs w:val="24"/>
        </w:rPr>
        <w:t xml:space="preserve">Il secondo ambito (indagini e perizie di microbiologia ambientale) si occupa del monitoraggio regolare microbiologico e fisico-chimico di laghi alpini e quindi svolge campagne di monitoraggio sui corsi d’acqua dell’arco alpino allo scopo di avere delle </w:t>
      </w:r>
      <w:r>
        <w:rPr>
          <w:rFonts w:cs="Arial"/>
          <w:sz w:val="24"/>
          <w:szCs w:val="24"/>
        </w:rPr>
        <w:lastRenderedPageBreak/>
        <w:t xml:space="preserve">banche dati per la valutazione dell’adattamento dell’ambiente acquatico ai cambiamenti climatici. </w:t>
      </w:r>
    </w:p>
    <w:p w:rsidR="001D5790" w:rsidRDefault="001D5790">
      <w:pPr>
        <w:rPr>
          <w:rFonts w:cs="Arial"/>
          <w:sz w:val="24"/>
          <w:szCs w:val="24"/>
        </w:rPr>
      </w:pPr>
    </w:p>
    <w:p w:rsidR="001D5790" w:rsidRDefault="00A5663E">
      <w:pPr>
        <w:spacing w:after="120"/>
        <w:rPr>
          <w:rFonts w:cs="Arial"/>
          <w:sz w:val="24"/>
          <w:szCs w:val="24"/>
          <w:u w:val="single"/>
        </w:rPr>
      </w:pPr>
      <w:r>
        <w:rPr>
          <w:rFonts w:cs="Arial"/>
          <w:sz w:val="24"/>
          <w:szCs w:val="24"/>
          <w:u w:val="single"/>
        </w:rPr>
        <w:t>Sorveglianza e controllo delle zanzare invasive potenziali vettori di malattie infettive (compito 3)</w:t>
      </w:r>
    </w:p>
    <w:p w:rsidR="001D5790" w:rsidRDefault="00A5663E">
      <w:pPr>
        <w:rPr>
          <w:rFonts w:cs="Arial"/>
          <w:sz w:val="24"/>
          <w:szCs w:val="24"/>
        </w:rPr>
      </w:pPr>
      <w:r>
        <w:rPr>
          <w:rFonts w:cs="Arial"/>
          <w:sz w:val="24"/>
          <w:szCs w:val="24"/>
        </w:rPr>
        <w:t xml:space="preserve">Il Settore Vettori ha confermato l’incremento d’attività dovuto all’espansione della zanzara tigre verso nord. Gli aspetti di gestione di monitoraggio e lotta in collaborazione con gli 83 Comuni ticinesi coinvolti (più del 90% di tutta la popolazione cantonale) sono adattati costantemente all’evoluzione della situazione grazie al dialogo con gli uffici tecnici comunali e le protezioni civili regionali, enti che riescono ad agire rapidamente sul suolo pubblico. </w:t>
      </w:r>
    </w:p>
    <w:p w:rsidR="001D5790" w:rsidRDefault="001D5790">
      <w:pPr>
        <w:rPr>
          <w:rFonts w:cs="Arial"/>
          <w:sz w:val="24"/>
          <w:szCs w:val="24"/>
        </w:rPr>
      </w:pPr>
    </w:p>
    <w:p w:rsidR="001D5790" w:rsidRDefault="00A5663E">
      <w:pPr>
        <w:rPr>
          <w:rFonts w:cs="Arial"/>
          <w:sz w:val="24"/>
          <w:szCs w:val="24"/>
        </w:rPr>
      </w:pPr>
      <w:r>
        <w:rPr>
          <w:rFonts w:cs="Arial"/>
          <w:sz w:val="24"/>
          <w:szCs w:val="24"/>
        </w:rPr>
        <w:t xml:space="preserve">V’è pure stato un rafforzamento della collaborazione con l’Ufficio del medico cantonale per gli aspetti di sorveglianza sanitaria e per interventi di disinfestazione mirata nel caso della presenza di pazienti infetti da arbovirus in zone urbane ticinesi con presenza di zanzara tigre. Infatti, i casi importati di Dengue sono in aumento anche a causa di una vasta epidemia in corso in Sud America con più di 4 milioni di casi registrati quest’anno (fino a fine aprile) in Brasile. Inoltre, pure l’Ente ospedaliero cantonale sta elaborando procedure di gestione dei pazienti viremici in ambito ospedaliero. L’ottimo clima sinergico e la buona collaborazione tra le parti fa sì che il sistema ticinese sia citato e seguito come modello di approccio One Health a livello nazionale. </w:t>
      </w:r>
    </w:p>
    <w:p w:rsidR="001D5790" w:rsidRDefault="001D5790">
      <w:pPr>
        <w:rPr>
          <w:rFonts w:cs="Arial"/>
          <w:sz w:val="24"/>
          <w:szCs w:val="24"/>
        </w:rPr>
      </w:pPr>
    </w:p>
    <w:p w:rsidR="001D5790" w:rsidRDefault="00A5663E">
      <w:pPr>
        <w:rPr>
          <w:rFonts w:cs="Arial"/>
          <w:sz w:val="24"/>
          <w:szCs w:val="24"/>
        </w:rPr>
      </w:pPr>
      <w:r>
        <w:rPr>
          <w:rFonts w:cs="Arial"/>
          <w:sz w:val="24"/>
          <w:szCs w:val="24"/>
        </w:rPr>
        <w:t>La costante ricerca di soluzioni che possano diminuire la densità della zanzara tigre su suolo ticinese ha portato all’avvio di una sperimentazione della tecnica di rilascio di maschi sterili (tecnica SIT, sterile insect technique). Si tratta della prima sperimentazione di questo tipo in Svizzera che ha suscitato un generale interesse e che, visti i promettenti risultati preliminari, verrà proseguita ed affinata nelle prossime stagioni estive.</w:t>
      </w:r>
    </w:p>
    <w:p w:rsidR="001D5790" w:rsidRDefault="001D5790">
      <w:pPr>
        <w:rPr>
          <w:rFonts w:cs="Arial"/>
          <w:sz w:val="24"/>
          <w:szCs w:val="24"/>
        </w:rPr>
      </w:pPr>
    </w:p>
    <w:p w:rsidR="001D5790" w:rsidRDefault="00A5663E">
      <w:pPr>
        <w:spacing w:after="120"/>
        <w:rPr>
          <w:rFonts w:cs="Arial"/>
          <w:sz w:val="24"/>
          <w:szCs w:val="24"/>
          <w:u w:val="single"/>
        </w:rPr>
      </w:pPr>
      <w:r>
        <w:rPr>
          <w:rFonts w:cs="Arial"/>
          <w:sz w:val="24"/>
          <w:szCs w:val="24"/>
          <w:u w:val="single"/>
        </w:rPr>
        <w:t>Caratterizzazione degli organismi microbici e del loro possibile impatto sulla salute ambientale, animale ed umana (One Health) (compito 4)</w:t>
      </w:r>
    </w:p>
    <w:p w:rsidR="001D5790" w:rsidRDefault="00A5663E">
      <w:pPr>
        <w:rPr>
          <w:rFonts w:cs="Arial"/>
          <w:sz w:val="24"/>
          <w:szCs w:val="24"/>
        </w:rPr>
      </w:pPr>
      <w:r>
        <w:rPr>
          <w:rFonts w:cs="Arial"/>
          <w:sz w:val="24"/>
          <w:szCs w:val="24"/>
        </w:rPr>
        <w:t>Il Settore Identificazioni e tipizzazioni si occupa della caratterizzazione di organismi isolati da ambienti diversi tramite metodi di microbiologia classica, di biologia molecolare e di proteomica. L'applicazione della spettrometria di massa MALDI-TOF, il mantenimento e l’aggiornamento delle relative banche dati rappresentano compiti importanti che assicurano tramite l’IM il servizio necessario agli enti cantonali, alla SUPSI e a richiedenti esterni a livello regionale e nazionale. Al settore afferiscono pure le metodologie legate alla genomica, metagenomica e trascrittomica implementate dal 2018, sempre più utilizzate nella diagnostica e al servizio dei progetti di ricerca.</w:t>
      </w:r>
    </w:p>
    <w:p w:rsidR="001D5790" w:rsidRDefault="001D5790">
      <w:pPr>
        <w:rPr>
          <w:rFonts w:cs="Arial"/>
          <w:sz w:val="24"/>
          <w:szCs w:val="24"/>
        </w:rPr>
      </w:pPr>
    </w:p>
    <w:p w:rsidR="001D5790" w:rsidRDefault="00A5663E">
      <w:pPr>
        <w:rPr>
          <w:rFonts w:cs="Arial"/>
          <w:sz w:val="24"/>
          <w:szCs w:val="24"/>
        </w:rPr>
      </w:pPr>
      <w:r>
        <w:rPr>
          <w:rFonts w:cs="Arial"/>
          <w:sz w:val="24"/>
          <w:szCs w:val="24"/>
        </w:rPr>
        <w:t xml:space="preserve">Il concetto di epidemiologia ambientale che presuppone lo sviluppo e la validazione di metodi specifici per il rilevamento di patogeni nei campioni ambientali (p.es. il virus SARS-CoV-2 nelle acque reflue) al servizio di Cantone e Confederazione ha assunto un’importanza rilevante quale approccio complementare per far fronte alla crisi pandemica. Accanto al monitoraggio delle resistenze agli antibiotici in ambito ambientale al rilevamento di patogeni in campioni ambientali e in animali vettori, questo approccio fornisce informazioni preziose per una migliore gestione sanitaria globale in prospettiva One Health. Molte delle metodologie sviluppate nell’ambito di questo compito sono diventate parti integranti dei compiti di Biosicurezza, Microbiologia ambientale e Vettori per progetti </w:t>
      </w:r>
      <w:r>
        <w:rPr>
          <w:rFonts w:cs="Arial"/>
          <w:sz w:val="24"/>
          <w:szCs w:val="24"/>
        </w:rPr>
        <w:lastRenderedPageBreak/>
        <w:t>e mandati di servizio. Il tasso di rinnovo delle metodiche analitiche e la rapida evoluzione della tecnica, infatti, rendono imperativo poter far capo a un aggiornamento costante e alla validazione di metodi a garanzia di un elevato grado di qualità dei servizi offerti al Cantone.</w:t>
      </w:r>
    </w:p>
    <w:p w:rsidR="001D5790" w:rsidRDefault="001D5790">
      <w:pPr>
        <w:rPr>
          <w:rFonts w:cs="Arial"/>
          <w:sz w:val="24"/>
          <w:szCs w:val="24"/>
        </w:rPr>
      </w:pPr>
    </w:p>
    <w:p w:rsidR="001D5790" w:rsidRDefault="001D5790">
      <w:pPr>
        <w:rPr>
          <w:rFonts w:cs="Arial"/>
          <w:sz w:val="24"/>
          <w:szCs w:val="24"/>
        </w:rPr>
      </w:pPr>
    </w:p>
    <w:p w:rsidR="001D5790" w:rsidRDefault="00A5663E">
      <w:pPr>
        <w:pStyle w:val="Paragrafoelenco"/>
        <w:numPr>
          <w:ilvl w:val="0"/>
          <w:numId w:val="18"/>
        </w:numPr>
        <w:ind w:left="567" w:hanging="567"/>
        <w:rPr>
          <w:rFonts w:cs="Arial"/>
          <w:b/>
          <w:sz w:val="24"/>
          <w:szCs w:val="24"/>
        </w:rPr>
      </w:pPr>
      <w:r>
        <w:rPr>
          <w:rFonts w:cs="Arial"/>
          <w:b/>
          <w:sz w:val="24"/>
          <w:szCs w:val="24"/>
        </w:rPr>
        <w:t>CONSEGUENZE DI NATURA FINANZIARIA</w:t>
      </w:r>
    </w:p>
    <w:p w:rsidR="001D5790" w:rsidRDefault="001D5790">
      <w:pPr>
        <w:rPr>
          <w:rFonts w:cs="Arial"/>
          <w:sz w:val="24"/>
          <w:szCs w:val="24"/>
        </w:rPr>
      </w:pPr>
    </w:p>
    <w:p w:rsidR="001D5790" w:rsidRDefault="00A5663E">
      <w:pPr>
        <w:rPr>
          <w:rFonts w:cs="Arial"/>
          <w:sz w:val="24"/>
          <w:szCs w:val="24"/>
        </w:rPr>
      </w:pPr>
      <w:r>
        <w:rPr>
          <w:rFonts w:cs="Arial"/>
          <w:sz w:val="24"/>
          <w:szCs w:val="24"/>
        </w:rPr>
        <w:t>Nel rinnovo della Convenzione per il periodo 2025-2028 è previsto di mantenere immutato il contributo globale annuo di fr. 1'360'000.- concesso nel 2020 e definito nel dettaglio nelle schede annesse.</w:t>
      </w:r>
    </w:p>
    <w:p w:rsidR="001D5790" w:rsidRDefault="001D5790">
      <w:pPr>
        <w:rPr>
          <w:rFonts w:cs="Arial"/>
          <w:sz w:val="24"/>
          <w:szCs w:val="24"/>
        </w:rPr>
      </w:pPr>
    </w:p>
    <w:tbl>
      <w:tblPr>
        <w:tblW w:w="5000" w:type="pct"/>
        <w:tblCellMar>
          <w:left w:w="70" w:type="dxa"/>
          <w:right w:w="70" w:type="dxa"/>
        </w:tblCellMar>
        <w:tblLook w:val="04A0" w:firstRow="1" w:lastRow="0" w:firstColumn="1" w:lastColumn="0" w:noHBand="0" w:noVBand="1"/>
      </w:tblPr>
      <w:tblGrid>
        <w:gridCol w:w="8070"/>
        <w:gridCol w:w="1395"/>
      </w:tblGrid>
      <w:tr w:rsidR="001D5790" w:rsidTr="005167D6">
        <w:trPr>
          <w:trHeight w:val="315"/>
        </w:trPr>
        <w:tc>
          <w:tcPr>
            <w:tcW w:w="4263" w:type="pct"/>
            <w:tcBorders>
              <w:top w:val="single" w:sz="8" w:space="0" w:color="5B9BD5"/>
              <w:left w:val="single" w:sz="8" w:space="0" w:color="5B9BD5"/>
              <w:bottom w:val="single" w:sz="8" w:space="0" w:color="5B9BD5"/>
              <w:right w:val="nil"/>
            </w:tcBorders>
            <w:shd w:val="clear" w:color="000000" w:fill="5B9BD5"/>
            <w:vAlign w:val="center"/>
            <w:hideMark/>
          </w:tcPr>
          <w:p w:rsidR="001D5790" w:rsidRDefault="00A5663E">
            <w:pPr>
              <w:suppressAutoHyphens w:val="0"/>
              <w:jc w:val="center"/>
              <w:rPr>
                <w:rFonts w:eastAsia="Times New Roman" w:cs="Arial"/>
                <w:b/>
                <w:bCs/>
                <w:color w:val="FFFFFF"/>
                <w:lang w:eastAsia="it-CH"/>
              </w:rPr>
            </w:pPr>
            <w:r>
              <w:rPr>
                <w:rFonts w:eastAsia="Times New Roman" w:cs="Arial"/>
                <w:b/>
                <w:bCs/>
                <w:color w:val="FFFFFF"/>
                <w:lang w:val="it-IT" w:eastAsia="it-CH"/>
              </w:rPr>
              <w:t>Compito</w:t>
            </w:r>
          </w:p>
        </w:tc>
        <w:tc>
          <w:tcPr>
            <w:tcW w:w="737" w:type="pct"/>
            <w:tcBorders>
              <w:top w:val="single" w:sz="8" w:space="0" w:color="5B9BD5"/>
              <w:left w:val="nil"/>
              <w:bottom w:val="single" w:sz="8" w:space="0" w:color="5B9BD5"/>
              <w:right w:val="single" w:sz="8" w:space="0" w:color="5B9BD5"/>
            </w:tcBorders>
            <w:shd w:val="clear" w:color="000000" w:fill="5B9BD5"/>
            <w:vAlign w:val="center"/>
            <w:hideMark/>
          </w:tcPr>
          <w:p w:rsidR="001D5790" w:rsidRDefault="00A5663E" w:rsidP="005167D6">
            <w:pPr>
              <w:suppressAutoHyphens w:val="0"/>
              <w:jc w:val="center"/>
              <w:rPr>
                <w:rFonts w:eastAsia="Times New Roman" w:cs="Arial"/>
                <w:b/>
                <w:bCs/>
                <w:color w:val="FFFFFF"/>
                <w:lang w:eastAsia="it-CH"/>
              </w:rPr>
            </w:pPr>
            <w:r>
              <w:rPr>
                <w:rFonts w:eastAsia="Times New Roman" w:cs="Arial"/>
                <w:b/>
                <w:bCs/>
                <w:color w:val="FFFFFF"/>
                <w:lang w:val="it-IT" w:eastAsia="it-CH"/>
              </w:rPr>
              <w:t>Costi</w:t>
            </w:r>
            <w:r w:rsidR="001A358B">
              <w:rPr>
                <w:rFonts w:eastAsia="Times New Roman" w:cs="Arial"/>
                <w:b/>
                <w:bCs/>
                <w:color w:val="FFFFFF"/>
                <w:lang w:val="it-IT" w:eastAsia="it-CH"/>
              </w:rPr>
              <w:t xml:space="preserve"> (in fr.)</w:t>
            </w:r>
          </w:p>
        </w:tc>
      </w:tr>
      <w:tr w:rsidR="001D5790" w:rsidTr="005167D6">
        <w:trPr>
          <w:trHeight w:val="315"/>
        </w:trPr>
        <w:tc>
          <w:tcPr>
            <w:tcW w:w="4263" w:type="pct"/>
            <w:tcBorders>
              <w:top w:val="nil"/>
              <w:left w:val="single" w:sz="8" w:space="0" w:color="9CC2E5"/>
              <w:bottom w:val="single" w:sz="8" w:space="0" w:color="9CC2E5"/>
              <w:right w:val="single" w:sz="8" w:space="0" w:color="9CC2E5"/>
            </w:tcBorders>
            <w:shd w:val="clear" w:color="000000" w:fill="DEEAF6"/>
            <w:vAlign w:val="center"/>
            <w:hideMark/>
          </w:tcPr>
          <w:p w:rsidR="001D5790" w:rsidRDefault="00A5663E">
            <w:pPr>
              <w:suppressAutoHyphens w:val="0"/>
              <w:jc w:val="left"/>
              <w:rPr>
                <w:rFonts w:eastAsia="Times New Roman" w:cs="Arial"/>
                <w:b/>
                <w:bCs/>
                <w:color w:val="000000"/>
                <w:lang w:eastAsia="it-CH"/>
              </w:rPr>
            </w:pPr>
            <w:r>
              <w:rPr>
                <w:rFonts w:eastAsia="Times New Roman" w:cs="Arial"/>
                <w:b/>
                <w:bCs/>
                <w:color w:val="000000"/>
                <w:lang w:val="it-IT" w:eastAsia="it-CH"/>
              </w:rPr>
              <w:t xml:space="preserve">Compito 1: </w:t>
            </w:r>
            <w:r>
              <w:rPr>
                <w:rFonts w:eastAsia="Times New Roman" w:cs="Arial"/>
                <w:color w:val="000000"/>
                <w:lang w:val="it-IT" w:eastAsia="it-CH"/>
              </w:rPr>
              <w:t>Laboratorio Regionale Sud (LR Sud) per la biosicurezza</w:t>
            </w:r>
          </w:p>
        </w:tc>
        <w:tc>
          <w:tcPr>
            <w:tcW w:w="737" w:type="pct"/>
            <w:tcBorders>
              <w:top w:val="nil"/>
              <w:left w:val="nil"/>
              <w:bottom w:val="single" w:sz="8" w:space="0" w:color="9CC2E5"/>
              <w:right w:val="single" w:sz="8" w:space="0" w:color="9CC2E5"/>
            </w:tcBorders>
            <w:shd w:val="clear" w:color="000000" w:fill="DEEAF6"/>
            <w:vAlign w:val="center"/>
            <w:hideMark/>
          </w:tcPr>
          <w:p w:rsidR="001D5790" w:rsidRDefault="00A5663E">
            <w:pPr>
              <w:suppressAutoHyphens w:val="0"/>
              <w:jc w:val="right"/>
              <w:rPr>
                <w:rFonts w:eastAsia="Times New Roman" w:cs="Arial"/>
                <w:color w:val="000000"/>
                <w:lang w:eastAsia="it-CH"/>
              </w:rPr>
            </w:pPr>
            <w:r>
              <w:rPr>
                <w:rFonts w:eastAsia="Times New Roman" w:cs="Arial"/>
                <w:color w:val="000000"/>
                <w:lang w:val="it-IT" w:eastAsia="it-CH"/>
              </w:rPr>
              <w:t>275'000</w:t>
            </w:r>
          </w:p>
        </w:tc>
      </w:tr>
      <w:tr w:rsidR="001D5790" w:rsidTr="005167D6">
        <w:trPr>
          <w:trHeight w:val="525"/>
        </w:trPr>
        <w:tc>
          <w:tcPr>
            <w:tcW w:w="4263" w:type="pct"/>
            <w:tcBorders>
              <w:top w:val="nil"/>
              <w:left w:val="single" w:sz="8" w:space="0" w:color="9CC2E5"/>
              <w:bottom w:val="single" w:sz="8" w:space="0" w:color="9CC2E5"/>
              <w:right w:val="single" w:sz="8" w:space="0" w:color="9CC2E5"/>
            </w:tcBorders>
            <w:shd w:val="clear" w:color="auto" w:fill="auto"/>
            <w:vAlign w:val="center"/>
            <w:hideMark/>
          </w:tcPr>
          <w:p w:rsidR="001D5790" w:rsidRDefault="00A5663E">
            <w:pPr>
              <w:suppressAutoHyphens w:val="0"/>
              <w:jc w:val="left"/>
              <w:rPr>
                <w:rFonts w:eastAsia="Times New Roman" w:cs="Arial"/>
                <w:b/>
                <w:bCs/>
                <w:color w:val="000000"/>
                <w:lang w:eastAsia="it-CH"/>
              </w:rPr>
            </w:pPr>
            <w:r>
              <w:rPr>
                <w:rFonts w:eastAsia="Times New Roman" w:cs="Arial"/>
                <w:b/>
                <w:bCs/>
                <w:color w:val="000000"/>
                <w:lang w:eastAsia="it-CH"/>
              </w:rPr>
              <w:t xml:space="preserve">Compito 2: </w:t>
            </w:r>
            <w:r>
              <w:rPr>
                <w:rFonts w:eastAsia="Times New Roman" w:cs="Arial"/>
                <w:color w:val="000000"/>
                <w:lang w:eastAsia="it-CH"/>
              </w:rPr>
              <w:t xml:space="preserve">Monitoraggio microbiologico dell’ambiente a tutela e salvaguardia della biodiversità </w:t>
            </w:r>
          </w:p>
        </w:tc>
        <w:tc>
          <w:tcPr>
            <w:tcW w:w="737" w:type="pct"/>
            <w:tcBorders>
              <w:top w:val="nil"/>
              <w:left w:val="nil"/>
              <w:bottom w:val="single" w:sz="8" w:space="0" w:color="9CC2E5"/>
              <w:right w:val="single" w:sz="8" w:space="0" w:color="9CC2E5"/>
            </w:tcBorders>
            <w:shd w:val="clear" w:color="auto" w:fill="auto"/>
            <w:vAlign w:val="center"/>
            <w:hideMark/>
          </w:tcPr>
          <w:p w:rsidR="001D5790" w:rsidRDefault="00A5663E">
            <w:pPr>
              <w:suppressAutoHyphens w:val="0"/>
              <w:jc w:val="right"/>
              <w:rPr>
                <w:rFonts w:eastAsia="Times New Roman" w:cs="Arial"/>
                <w:color w:val="000000"/>
                <w:lang w:eastAsia="it-CH"/>
              </w:rPr>
            </w:pPr>
            <w:r>
              <w:rPr>
                <w:rFonts w:eastAsia="Times New Roman" w:cs="Arial"/>
                <w:color w:val="000000"/>
                <w:lang w:eastAsia="it-CH"/>
              </w:rPr>
              <w:t>290'000</w:t>
            </w:r>
          </w:p>
        </w:tc>
      </w:tr>
      <w:tr w:rsidR="001D5790" w:rsidTr="005167D6">
        <w:trPr>
          <w:trHeight w:val="525"/>
        </w:trPr>
        <w:tc>
          <w:tcPr>
            <w:tcW w:w="4263" w:type="pct"/>
            <w:tcBorders>
              <w:top w:val="nil"/>
              <w:left w:val="single" w:sz="8" w:space="0" w:color="9CC2E5"/>
              <w:bottom w:val="single" w:sz="8" w:space="0" w:color="9CC2E5"/>
              <w:right w:val="single" w:sz="8" w:space="0" w:color="9CC2E5"/>
            </w:tcBorders>
            <w:shd w:val="clear" w:color="000000" w:fill="DEEAF6"/>
            <w:vAlign w:val="center"/>
            <w:hideMark/>
          </w:tcPr>
          <w:p w:rsidR="001D5790" w:rsidRDefault="00A5663E">
            <w:pPr>
              <w:suppressAutoHyphens w:val="0"/>
              <w:jc w:val="left"/>
              <w:rPr>
                <w:rFonts w:eastAsia="Times New Roman" w:cs="Arial"/>
                <w:b/>
                <w:bCs/>
                <w:color w:val="000000"/>
                <w:lang w:eastAsia="it-CH"/>
              </w:rPr>
            </w:pPr>
            <w:r>
              <w:rPr>
                <w:rFonts w:eastAsia="Times New Roman" w:cs="Arial"/>
                <w:b/>
                <w:bCs/>
                <w:color w:val="000000"/>
                <w:lang w:eastAsia="it-CH"/>
              </w:rPr>
              <w:t xml:space="preserve">Compito 3: </w:t>
            </w:r>
            <w:r>
              <w:rPr>
                <w:rFonts w:eastAsia="Times New Roman" w:cs="Arial"/>
                <w:color w:val="000000"/>
                <w:lang w:eastAsia="it-CH"/>
              </w:rPr>
              <w:t>Sorveglianza e controllo delle zanzare invasive potenziali vettori di malattie infettive</w:t>
            </w:r>
          </w:p>
        </w:tc>
        <w:tc>
          <w:tcPr>
            <w:tcW w:w="737" w:type="pct"/>
            <w:tcBorders>
              <w:top w:val="nil"/>
              <w:left w:val="nil"/>
              <w:bottom w:val="single" w:sz="8" w:space="0" w:color="9CC2E5"/>
              <w:right w:val="single" w:sz="8" w:space="0" w:color="9CC2E5"/>
            </w:tcBorders>
            <w:shd w:val="clear" w:color="000000" w:fill="DEEAF6"/>
            <w:vAlign w:val="center"/>
            <w:hideMark/>
          </w:tcPr>
          <w:p w:rsidR="001D5790" w:rsidRDefault="00A5663E">
            <w:pPr>
              <w:suppressAutoHyphens w:val="0"/>
              <w:jc w:val="right"/>
              <w:rPr>
                <w:rFonts w:eastAsia="Times New Roman" w:cs="Arial"/>
                <w:color w:val="000000"/>
                <w:lang w:eastAsia="it-CH"/>
              </w:rPr>
            </w:pPr>
            <w:r>
              <w:rPr>
                <w:rFonts w:eastAsia="Times New Roman" w:cs="Arial"/>
                <w:color w:val="000000"/>
                <w:lang w:eastAsia="it-CH"/>
              </w:rPr>
              <w:t>386'500</w:t>
            </w:r>
          </w:p>
        </w:tc>
      </w:tr>
      <w:tr w:rsidR="001D5790" w:rsidTr="005167D6">
        <w:trPr>
          <w:trHeight w:val="525"/>
        </w:trPr>
        <w:tc>
          <w:tcPr>
            <w:tcW w:w="4263" w:type="pct"/>
            <w:tcBorders>
              <w:top w:val="nil"/>
              <w:left w:val="single" w:sz="8" w:space="0" w:color="9CC2E5"/>
              <w:bottom w:val="single" w:sz="8" w:space="0" w:color="9CC2E5"/>
              <w:right w:val="single" w:sz="8" w:space="0" w:color="9CC2E5"/>
            </w:tcBorders>
            <w:shd w:val="clear" w:color="auto" w:fill="auto"/>
            <w:vAlign w:val="center"/>
            <w:hideMark/>
          </w:tcPr>
          <w:p w:rsidR="001D5790" w:rsidRDefault="00A5663E">
            <w:pPr>
              <w:suppressAutoHyphens w:val="0"/>
              <w:jc w:val="left"/>
              <w:rPr>
                <w:rFonts w:eastAsia="Times New Roman" w:cs="Arial"/>
                <w:b/>
                <w:bCs/>
                <w:color w:val="000000"/>
                <w:lang w:eastAsia="it-CH"/>
              </w:rPr>
            </w:pPr>
            <w:r>
              <w:rPr>
                <w:rFonts w:eastAsia="Times New Roman" w:cs="Arial"/>
                <w:b/>
                <w:bCs/>
                <w:color w:val="000000"/>
                <w:lang w:val="it-IT" w:eastAsia="it-CH"/>
              </w:rPr>
              <w:t>Compito 4:</w:t>
            </w:r>
            <w:r>
              <w:rPr>
                <w:rFonts w:eastAsia="Times New Roman" w:cs="Arial"/>
                <w:color w:val="000000"/>
                <w:lang w:val="it-IT" w:eastAsia="it-CH"/>
              </w:rPr>
              <w:t xml:space="preserve"> Caratterizzazione degli organismi microbici e del loro possibile impatto sulla salute ambientale, animale ed umana (One Health)</w:t>
            </w:r>
          </w:p>
        </w:tc>
        <w:tc>
          <w:tcPr>
            <w:tcW w:w="737" w:type="pct"/>
            <w:tcBorders>
              <w:top w:val="nil"/>
              <w:left w:val="nil"/>
              <w:bottom w:val="single" w:sz="8" w:space="0" w:color="9CC2E5"/>
              <w:right w:val="single" w:sz="8" w:space="0" w:color="9CC2E5"/>
            </w:tcBorders>
            <w:shd w:val="clear" w:color="auto" w:fill="auto"/>
            <w:vAlign w:val="center"/>
            <w:hideMark/>
          </w:tcPr>
          <w:p w:rsidR="001D5790" w:rsidRDefault="00A5663E">
            <w:pPr>
              <w:suppressAutoHyphens w:val="0"/>
              <w:jc w:val="right"/>
              <w:rPr>
                <w:rFonts w:eastAsia="Times New Roman" w:cs="Arial"/>
                <w:color w:val="000000"/>
                <w:lang w:eastAsia="it-CH"/>
              </w:rPr>
            </w:pPr>
            <w:r>
              <w:rPr>
                <w:rFonts w:eastAsia="Times New Roman" w:cs="Arial"/>
                <w:color w:val="000000"/>
                <w:lang w:eastAsia="it-CH"/>
              </w:rPr>
              <w:t>190’000</w:t>
            </w:r>
          </w:p>
        </w:tc>
      </w:tr>
      <w:tr w:rsidR="001D5790" w:rsidTr="005167D6">
        <w:trPr>
          <w:trHeight w:val="315"/>
        </w:trPr>
        <w:tc>
          <w:tcPr>
            <w:tcW w:w="4263" w:type="pct"/>
            <w:tcBorders>
              <w:top w:val="nil"/>
              <w:left w:val="single" w:sz="8" w:space="0" w:color="9CC2E5"/>
              <w:bottom w:val="single" w:sz="8" w:space="0" w:color="9CC2E5"/>
              <w:right w:val="single" w:sz="8" w:space="0" w:color="9CC2E5"/>
            </w:tcBorders>
            <w:shd w:val="clear" w:color="000000" w:fill="DEEAF6"/>
            <w:vAlign w:val="center"/>
            <w:hideMark/>
          </w:tcPr>
          <w:p w:rsidR="001D5790" w:rsidRDefault="00A5663E">
            <w:pPr>
              <w:suppressAutoHyphens w:val="0"/>
              <w:jc w:val="left"/>
              <w:rPr>
                <w:rFonts w:eastAsia="Times New Roman" w:cs="Arial"/>
                <w:b/>
                <w:bCs/>
                <w:color w:val="000000"/>
                <w:lang w:eastAsia="it-CH"/>
              </w:rPr>
            </w:pPr>
            <w:r>
              <w:rPr>
                <w:rFonts w:eastAsia="Times New Roman" w:cs="Arial"/>
                <w:b/>
                <w:bCs/>
                <w:color w:val="000000"/>
                <w:lang w:eastAsia="it-CH"/>
              </w:rPr>
              <w:t>Subtotale</w:t>
            </w:r>
          </w:p>
        </w:tc>
        <w:tc>
          <w:tcPr>
            <w:tcW w:w="737" w:type="pct"/>
            <w:tcBorders>
              <w:top w:val="nil"/>
              <w:left w:val="nil"/>
              <w:bottom w:val="single" w:sz="8" w:space="0" w:color="9CC2E5"/>
              <w:right w:val="single" w:sz="8" w:space="0" w:color="9CC2E5"/>
            </w:tcBorders>
            <w:shd w:val="clear" w:color="000000" w:fill="DEEAF6"/>
            <w:vAlign w:val="center"/>
            <w:hideMark/>
          </w:tcPr>
          <w:p w:rsidR="001D5790" w:rsidRDefault="00A5663E">
            <w:pPr>
              <w:suppressAutoHyphens w:val="0"/>
              <w:jc w:val="right"/>
              <w:rPr>
                <w:rFonts w:eastAsia="Times New Roman" w:cs="Arial"/>
                <w:b/>
                <w:bCs/>
                <w:color w:val="000000"/>
                <w:lang w:eastAsia="it-CH"/>
              </w:rPr>
            </w:pPr>
            <w:r>
              <w:rPr>
                <w:rFonts w:eastAsia="Times New Roman" w:cs="Arial"/>
                <w:b/>
                <w:bCs/>
                <w:color w:val="000000"/>
                <w:lang w:eastAsia="it-CH"/>
              </w:rPr>
              <w:t>1'141'500</w:t>
            </w:r>
          </w:p>
        </w:tc>
      </w:tr>
      <w:tr w:rsidR="001D5790" w:rsidTr="005167D6">
        <w:trPr>
          <w:trHeight w:val="780"/>
        </w:trPr>
        <w:tc>
          <w:tcPr>
            <w:tcW w:w="4263" w:type="pct"/>
            <w:tcBorders>
              <w:top w:val="nil"/>
              <w:left w:val="single" w:sz="8" w:space="0" w:color="9CC2E5"/>
              <w:bottom w:val="single" w:sz="8" w:space="0" w:color="9CC2E5"/>
              <w:right w:val="single" w:sz="8" w:space="0" w:color="9CC2E5"/>
            </w:tcBorders>
            <w:shd w:val="clear" w:color="auto" w:fill="auto"/>
            <w:vAlign w:val="center"/>
            <w:hideMark/>
          </w:tcPr>
          <w:p w:rsidR="001D5790" w:rsidRDefault="00A5663E">
            <w:pPr>
              <w:suppressAutoHyphens w:val="0"/>
              <w:jc w:val="left"/>
              <w:rPr>
                <w:rFonts w:eastAsia="Times New Roman" w:cs="Arial"/>
                <w:color w:val="000000"/>
                <w:lang w:eastAsia="it-CH"/>
              </w:rPr>
            </w:pPr>
            <w:r>
              <w:rPr>
                <w:rFonts w:eastAsia="Times New Roman" w:cs="Arial"/>
                <w:color w:val="000000"/>
                <w:lang w:eastAsia="it-CH"/>
              </w:rPr>
              <w:t>Affitto calcolatorio (</w:t>
            </w:r>
            <w:r w:rsidR="004D7BAF">
              <w:rPr>
                <w:rFonts w:eastAsia="Times New Roman" w:cs="Arial"/>
                <w:color w:val="000000"/>
                <w:lang w:eastAsia="it-CH"/>
              </w:rPr>
              <w:t>fr.</w:t>
            </w:r>
            <w:r>
              <w:rPr>
                <w:rFonts w:eastAsia="Times New Roman" w:cs="Arial"/>
                <w:color w:val="000000"/>
                <w:lang w:eastAsia="it-CH"/>
              </w:rPr>
              <w:t xml:space="preserve"> 157'283.40) e spese per pulizia e altre spese di gestione dello stabile computate in base ai costi (pari a </w:t>
            </w:r>
            <w:r w:rsidR="004D7BAF">
              <w:rPr>
                <w:rFonts w:eastAsia="Times New Roman" w:cs="Arial"/>
                <w:color w:val="000000"/>
                <w:lang w:eastAsia="it-CH"/>
              </w:rPr>
              <w:t>fr.</w:t>
            </w:r>
            <w:r>
              <w:rPr>
                <w:rFonts w:eastAsia="Times New Roman" w:cs="Arial"/>
                <w:color w:val="000000"/>
                <w:lang w:eastAsia="it-CH"/>
              </w:rPr>
              <w:t xml:space="preserve"> 61’171.20 nel 2021)</w:t>
            </w:r>
          </w:p>
        </w:tc>
        <w:tc>
          <w:tcPr>
            <w:tcW w:w="737" w:type="pct"/>
            <w:tcBorders>
              <w:top w:val="nil"/>
              <w:left w:val="nil"/>
              <w:bottom w:val="single" w:sz="8" w:space="0" w:color="9CC2E5"/>
              <w:right w:val="single" w:sz="8" w:space="0" w:color="9CC2E5"/>
            </w:tcBorders>
            <w:shd w:val="clear" w:color="auto" w:fill="auto"/>
            <w:vAlign w:val="center"/>
            <w:hideMark/>
          </w:tcPr>
          <w:p w:rsidR="001D5790" w:rsidRDefault="00A5663E">
            <w:pPr>
              <w:suppressAutoHyphens w:val="0"/>
              <w:jc w:val="right"/>
              <w:rPr>
                <w:rFonts w:eastAsia="Times New Roman" w:cs="Arial"/>
                <w:color w:val="000000"/>
                <w:lang w:eastAsia="it-CH"/>
              </w:rPr>
            </w:pPr>
            <w:r>
              <w:rPr>
                <w:rFonts w:eastAsia="Times New Roman" w:cs="Arial"/>
                <w:color w:val="000000"/>
                <w:lang w:eastAsia="it-CH"/>
              </w:rPr>
              <w:t>218'500</w:t>
            </w:r>
          </w:p>
        </w:tc>
      </w:tr>
      <w:tr w:rsidR="001D5790" w:rsidTr="005167D6">
        <w:trPr>
          <w:trHeight w:val="315"/>
        </w:trPr>
        <w:tc>
          <w:tcPr>
            <w:tcW w:w="4263" w:type="pct"/>
            <w:tcBorders>
              <w:top w:val="nil"/>
              <w:left w:val="single" w:sz="8" w:space="0" w:color="9CC2E5"/>
              <w:bottom w:val="single" w:sz="8" w:space="0" w:color="9CC2E5"/>
              <w:right w:val="single" w:sz="8" w:space="0" w:color="9CC2E5"/>
            </w:tcBorders>
            <w:shd w:val="clear" w:color="000000" w:fill="DEEAF6"/>
            <w:vAlign w:val="center"/>
            <w:hideMark/>
          </w:tcPr>
          <w:p w:rsidR="001D5790" w:rsidRDefault="00A5663E">
            <w:pPr>
              <w:suppressAutoHyphens w:val="0"/>
              <w:jc w:val="left"/>
              <w:rPr>
                <w:rFonts w:eastAsia="Times New Roman" w:cs="Arial"/>
                <w:b/>
                <w:bCs/>
                <w:color w:val="000000"/>
                <w:lang w:eastAsia="it-CH"/>
              </w:rPr>
            </w:pPr>
            <w:r>
              <w:rPr>
                <w:rFonts w:eastAsia="Times New Roman" w:cs="Arial"/>
                <w:b/>
                <w:bCs/>
                <w:color w:val="000000"/>
                <w:lang w:eastAsia="it-CH"/>
              </w:rPr>
              <w:t>Totale</w:t>
            </w:r>
          </w:p>
        </w:tc>
        <w:tc>
          <w:tcPr>
            <w:tcW w:w="737" w:type="pct"/>
            <w:tcBorders>
              <w:top w:val="nil"/>
              <w:left w:val="nil"/>
              <w:bottom w:val="single" w:sz="8" w:space="0" w:color="9CC2E5"/>
              <w:right w:val="single" w:sz="8" w:space="0" w:color="9CC2E5"/>
            </w:tcBorders>
            <w:shd w:val="clear" w:color="000000" w:fill="DEEAF6"/>
            <w:vAlign w:val="center"/>
            <w:hideMark/>
          </w:tcPr>
          <w:p w:rsidR="001D5790" w:rsidRDefault="00A5663E">
            <w:pPr>
              <w:suppressAutoHyphens w:val="0"/>
              <w:jc w:val="right"/>
              <w:rPr>
                <w:rFonts w:eastAsia="Times New Roman" w:cs="Arial"/>
                <w:b/>
                <w:bCs/>
                <w:color w:val="000000"/>
                <w:lang w:eastAsia="it-CH"/>
              </w:rPr>
            </w:pPr>
            <w:r>
              <w:rPr>
                <w:rFonts w:eastAsia="Times New Roman" w:cs="Arial"/>
                <w:b/>
                <w:bCs/>
                <w:color w:val="000000"/>
                <w:lang w:eastAsia="it-CH"/>
              </w:rPr>
              <w:t>1'360'000</w:t>
            </w:r>
          </w:p>
        </w:tc>
      </w:tr>
    </w:tbl>
    <w:p w:rsidR="001D5790" w:rsidRDefault="001D5790">
      <w:pPr>
        <w:rPr>
          <w:rFonts w:cs="Arial"/>
          <w:sz w:val="24"/>
          <w:szCs w:val="24"/>
        </w:rPr>
      </w:pPr>
    </w:p>
    <w:p w:rsidR="001D5790" w:rsidRDefault="00A5663E">
      <w:pPr>
        <w:rPr>
          <w:rFonts w:cs="Arial"/>
          <w:sz w:val="24"/>
          <w:szCs w:val="24"/>
        </w:rPr>
      </w:pPr>
      <w:r>
        <w:rPr>
          <w:rFonts w:cs="Arial"/>
          <w:sz w:val="24"/>
          <w:szCs w:val="24"/>
        </w:rPr>
        <w:t xml:space="preserve">Nei singoli compiti sono stati aggiustati alcuni importi in base alle priorità. Per il compito concernente la sorveglianza e controllo delle zanzare invasive potenziali vettori di malattie infettive è stato aumentato il budget di </w:t>
      </w:r>
      <w:r w:rsidR="0066714A">
        <w:rPr>
          <w:rFonts w:cs="Arial"/>
          <w:sz w:val="24"/>
          <w:szCs w:val="24"/>
        </w:rPr>
        <w:t xml:space="preserve">fr. </w:t>
      </w:r>
      <w:r>
        <w:rPr>
          <w:rFonts w:cs="Arial"/>
          <w:sz w:val="24"/>
          <w:szCs w:val="24"/>
        </w:rPr>
        <w:t>10'000</w:t>
      </w:r>
      <w:r w:rsidR="0066714A">
        <w:rPr>
          <w:rFonts w:cs="Arial"/>
          <w:sz w:val="24"/>
          <w:szCs w:val="24"/>
        </w:rPr>
        <w:t>.-</w:t>
      </w:r>
      <w:r>
        <w:rPr>
          <w:rFonts w:cs="Arial"/>
          <w:sz w:val="24"/>
          <w:szCs w:val="24"/>
        </w:rPr>
        <w:t xml:space="preserve">, allo scopo di garantire maggiori risorse per l’elaborazione delle strategie di intervento in caso di pericolo di infezioni trasmesse dalle zanzare (Dengue, West Nile, Chikungunya, Zika,...) nonché per lo sviluppo della strategia del maschio sterile (SIT) per la riduzione del numero delle zanzare sul territorio. Per il compito 4 sono state aumentate le risorse di </w:t>
      </w:r>
      <w:r w:rsidR="0066714A">
        <w:rPr>
          <w:rFonts w:cs="Arial"/>
          <w:sz w:val="24"/>
          <w:szCs w:val="24"/>
        </w:rPr>
        <w:t xml:space="preserve">fr. </w:t>
      </w:r>
      <w:r>
        <w:rPr>
          <w:rFonts w:cs="Arial"/>
          <w:sz w:val="24"/>
          <w:szCs w:val="24"/>
        </w:rPr>
        <w:t>10'000</w:t>
      </w:r>
      <w:r w:rsidR="0066714A">
        <w:rPr>
          <w:rFonts w:cs="Arial"/>
          <w:sz w:val="24"/>
          <w:szCs w:val="24"/>
        </w:rPr>
        <w:t>.-</w:t>
      </w:r>
      <w:r>
        <w:rPr>
          <w:rFonts w:cs="Arial"/>
          <w:sz w:val="24"/>
          <w:szCs w:val="24"/>
        </w:rPr>
        <w:t xml:space="preserve"> per lo sviluppo e l’aggiornamento dei vari metodi molecolari per il rilevamento di batteri, virus e funghi dall’ambiente naturale o costruito. Per incrementare il budget dei compiti 3 e 4, è stato possibile ridurre il budget di </w:t>
      </w:r>
      <w:r w:rsidR="0066714A">
        <w:rPr>
          <w:rFonts w:cs="Arial"/>
          <w:sz w:val="24"/>
          <w:szCs w:val="24"/>
        </w:rPr>
        <w:t xml:space="preserve">fr. </w:t>
      </w:r>
      <w:r>
        <w:rPr>
          <w:rFonts w:cs="Arial"/>
          <w:sz w:val="24"/>
          <w:szCs w:val="24"/>
        </w:rPr>
        <w:t>20'000</w:t>
      </w:r>
      <w:r w:rsidR="0066714A">
        <w:rPr>
          <w:rFonts w:cs="Arial"/>
          <w:sz w:val="24"/>
          <w:szCs w:val="24"/>
        </w:rPr>
        <w:t>.-</w:t>
      </w:r>
      <w:r>
        <w:rPr>
          <w:rFonts w:cs="Arial"/>
          <w:sz w:val="24"/>
          <w:szCs w:val="24"/>
        </w:rPr>
        <w:t xml:space="preserve"> del compito riguardante il monitoraggio microbiologico dell’ambiente a tutela e salvaguardia della biodiversità. </w:t>
      </w:r>
    </w:p>
    <w:p w:rsidR="001D5790" w:rsidRDefault="001D5790">
      <w:pPr>
        <w:tabs>
          <w:tab w:val="left" w:pos="540"/>
        </w:tabs>
        <w:rPr>
          <w:rFonts w:eastAsia="Times New Roman" w:cs="Arial"/>
          <w:sz w:val="24"/>
          <w:szCs w:val="24"/>
          <w:lang w:val="it-IT" w:eastAsia="it-IT"/>
        </w:rPr>
      </w:pPr>
    </w:p>
    <w:p w:rsidR="001D5790" w:rsidRDefault="00A5663E">
      <w:pPr>
        <w:tabs>
          <w:tab w:val="left" w:pos="540"/>
        </w:tabs>
        <w:rPr>
          <w:rFonts w:eastAsia="Times New Roman" w:cs="Arial"/>
          <w:sz w:val="24"/>
          <w:szCs w:val="24"/>
          <w:lang w:val="it-IT" w:eastAsia="it-IT"/>
        </w:rPr>
      </w:pPr>
      <w:r>
        <w:rPr>
          <w:rFonts w:eastAsia="Times New Roman" w:cs="Arial"/>
          <w:sz w:val="24"/>
          <w:szCs w:val="24"/>
          <w:lang w:val="it-IT" w:eastAsia="it-IT"/>
        </w:rPr>
        <w:t xml:space="preserve">Lo stanziamento del credito proposto con l’allegato decreto legislativo richiede l’approvazione da parte della maggioranza assoluta dei membri del Gran Consiglio (cfr. art. 5 cpv. 3 </w:t>
      </w:r>
      <w:r>
        <w:rPr>
          <w:rFonts w:cs="Arial"/>
          <w:sz w:val="24"/>
          <w:szCs w:val="24"/>
        </w:rPr>
        <w:t>della Legge sulla gestione e sul controllo finanziario dello Stato del 20 gennaio 1986</w:t>
      </w:r>
      <w:r>
        <w:rPr>
          <w:rFonts w:eastAsia="Times New Roman" w:cs="Arial"/>
          <w:sz w:val="24"/>
          <w:szCs w:val="24"/>
          <w:lang w:val="it-IT" w:eastAsia="it-IT"/>
        </w:rPr>
        <w:t>).</w:t>
      </w:r>
    </w:p>
    <w:p w:rsidR="007C44D6" w:rsidRDefault="007C44D6">
      <w:pPr>
        <w:tabs>
          <w:tab w:val="left" w:pos="540"/>
        </w:tabs>
        <w:rPr>
          <w:rFonts w:eastAsia="Times New Roman" w:cs="Arial"/>
          <w:sz w:val="24"/>
          <w:szCs w:val="24"/>
          <w:lang w:val="it-IT" w:eastAsia="it-IT"/>
        </w:rPr>
      </w:pPr>
    </w:p>
    <w:p w:rsidR="007C44D6" w:rsidRDefault="007C44D6">
      <w:pPr>
        <w:tabs>
          <w:tab w:val="left" w:pos="540"/>
        </w:tabs>
        <w:rPr>
          <w:rFonts w:eastAsia="Times New Roman" w:cs="Arial"/>
          <w:sz w:val="24"/>
          <w:szCs w:val="24"/>
          <w:lang w:val="it-IT" w:eastAsia="it-IT"/>
        </w:rPr>
      </w:pPr>
    </w:p>
    <w:p w:rsidR="007C44D6" w:rsidRDefault="007C44D6">
      <w:pPr>
        <w:tabs>
          <w:tab w:val="left" w:pos="540"/>
        </w:tabs>
        <w:rPr>
          <w:rFonts w:eastAsia="Times New Roman" w:cs="Arial"/>
          <w:sz w:val="24"/>
          <w:szCs w:val="24"/>
          <w:lang w:val="it-IT" w:eastAsia="it-IT"/>
        </w:rPr>
      </w:pPr>
    </w:p>
    <w:p w:rsidR="007C44D6" w:rsidRDefault="007C44D6">
      <w:pPr>
        <w:tabs>
          <w:tab w:val="left" w:pos="540"/>
        </w:tabs>
        <w:rPr>
          <w:rFonts w:eastAsia="Times New Roman" w:cs="Arial"/>
          <w:sz w:val="24"/>
          <w:szCs w:val="24"/>
          <w:lang w:val="it-IT" w:eastAsia="it-IT"/>
        </w:rPr>
      </w:pPr>
    </w:p>
    <w:p w:rsidR="007C44D6" w:rsidRDefault="007C44D6">
      <w:pPr>
        <w:tabs>
          <w:tab w:val="left" w:pos="540"/>
        </w:tabs>
        <w:rPr>
          <w:rFonts w:eastAsia="Times New Roman" w:cs="Arial"/>
          <w:sz w:val="24"/>
          <w:szCs w:val="24"/>
          <w:lang w:val="it-IT" w:eastAsia="it-IT"/>
        </w:rPr>
      </w:pPr>
    </w:p>
    <w:p w:rsidR="001D5790" w:rsidRDefault="001D5790">
      <w:pPr>
        <w:tabs>
          <w:tab w:val="left" w:pos="540"/>
        </w:tabs>
        <w:rPr>
          <w:rFonts w:eastAsia="Times New Roman" w:cs="Arial"/>
          <w:sz w:val="24"/>
          <w:szCs w:val="24"/>
          <w:lang w:val="it-IT" w:eastAsia="it-IT"/>
        </w:rPr>
      </w:pPr>
    </w:p>
    <w:p w:rsidR="001D5790" w:rsidRDefault="001D5790">
      <w:pPr>
        <w:tabs>
          <w:tab w:val="left" w:pos="540"/>
        </w:tabs>
        <w:rPr>
          <w:rFonts w:eastAsia="Times New Roman" w:cs="Arial"/>
          <w:sz w:val="24"/>
          <w:szCs w:val="24"/>
          <w:lang w:val="it-IT" w:eastAsia="it-IT"/>
        </w:rPr>
      </w:pPr>
    </w:p>
    <w:p w:rsidR="001D5790" w:rsidRDefault="00A5663E">
      <w:pPr>
        <w:ind w:left="567" w:hanging="567"/>
        <w:rPr>
          <w:rFonts w:cs="Arial"/>
          <w:b/>
          <w:sz w:val="24"/>
          <w:szCs w:val="24"/>
        </w:rPr>
      </w:pPr>
      <w:r>
        <w:rPr>
          <w:rFonts w:cs="Arial"/>
          <w:b/>
          <w:sz w:val="24"/>
          <w:szCs w:val="24"/>
        </w:rPr>
        <w:lastRenderedPageBreak/>
        <w:t>VI.</w:t>
      </w:r>
      <w:r>
        <w:rPr>
          <w:rFonts w:cs="Arial"/>
          <w:b/>
          <w:sz w:val="24"/>
          <w:szCs w:val="24"/>
        </w:rPr>
        <w:tab/>
        <w:t>RELAZIONE CON LE LINEE DIRETTIVE E IL PIANO FINANZIARIO</w:t>
      </w:r>
    </w:p>
    <w:p w:rsidR="001D5790" w:rsidRDefault="001D5790">
      <w:pPr>
        <w:ind w:left="567" w:hanging="567"/>
        <w:rPr>
          <w:rFonts w:cs="Arial"/>
          <w:sz w:val="24"/>
          <w:szCs w:val="24"/>
        </w:rPr>
      </w:pPr>
    </w:p>
    <w:p w:rsidR="001D5790" w:rsidRDefault="00A5663E">
      <w:pPr>
        <w:tabs>
          <w:tab w:val="left" w:pos="284"/>
          <w:tab w:val="left" w:pos="3573"/>
          <w:tab w:val="left" w:pos="3715"/>
          <w:tab w:val="left" w:pos="5416"/>
          <w:tab w:val="left" w:pos="7117"/>
          <w:tab w:val="left" w:pos="10236"/>
        </w:tabs>
        <w:rPr>
          <w:rFonts w:eastAsia="Times New Roman" w:cs="Arial"/>
          <w:sz w:val="24"/>
          <w:szCs w:val="24"/>
          <w:lang w:val="it-IT" w:eastAsia="it-IT"/>
        </w:rPr>
      </w:pPr>
      <w:r>
        <w:rPr>
          <w:rFonts w:eastAsia="Times New Roman" w:cs="Arial"/>
          <w:sz w:val="24"/>
          <w:szCs w:val="24"/>
          <w:lang w:val="it-IT" w:eastAsia="it-IT"/>
        </w:rPr>
        <w:t xml:space="preserve">La proposta di finanziamento oggetto del presente messaggio è in linea con il Programma di legislatura del Consiglio di Stato per la legislatura 2023-2027, con particolare riferimento agli assi strategici 2 “Sviluppo e attrattiva del Cantone Ticino” e 3 “Qualità della vita”. </w:t>
      </w:r>
    </w:p>
    <w:p w:rsidR="007C44D6" w:rsidRDefault="007C44D6">
      <w:pPr>
        <w:tabs>
          <w:tab w:val="left" w:pos="284"/>
          <w:tab w:val="left" w:pos="3573"/>
          <w:tab w:val="left" w:pos="3715"/>
          <w:tab w:val="left" w:pos="5416"/>
          <w:tab w:val="left" w:pos="7117"/>
          <w:tab w:val="left" w:pos="10236"/>
        </w:tabs>
        <w:rPr>
          <w:rFonts w:eastAsia="Times New Roman" w:cs="Arial"/>
          <w:sz w:val="24"/>
          <w:szCs w:val="24"/>
          <w:lang w:val="it-IT" w:eastAsia="it-IT"/>
        </w:rPr>
      </w:pPr>
      <w:r>
        <w:rPr>
          <w:rFonts w:eastAsia="Times New Roman" w:cs="Arial"/>
          <w:sz w:val="24"/>
          <w:szCs w:val="24"/>
          <w:lang w:val="it-IT" w:eastAsia="it-IT"/>
        </w:rPr>
        <w:t>Il contributo annuale sarà a carico del CRB 240, conto 36340013 “Contributi cantonali per LMA/SUPSI”.</w:t>
      </w:r>
    </w:p>
    <w:p w:rsidR="007C44D6" w:rsidRDefault="007C44D6">
      <w:pPr>
        <w:tabs>
          <w:tab w:val="left" w:pos="284"/>
          <w:tab w:val="left" w:pos="3573"/>
          <w:tab w:val="left" w:pos="3715"/>
          <w:tab w:val="left" w:pos="5416"/>
          <w:tab w:val="left" w:pos="7117"/>
          <w:tab w:val="left" w:pos="10236"/>
        </w:tabs>
        <w:rPr>
          <w:rFonts w:eastAsia="Times New Roman" w:cs="Arial"/>
          <w:sz w:val="24"/>
          <w:szCs w:val="24"/>
          <w:lang w:val="it-IT" w:eastAsia="it-IT"/>
        </w:rPr>
      </w:pPr>
    </w:p>
    <w:p w:rsidR="001D5790" w:rsidRDefault="00A5663E">
      <w:pPr>
        <w:ind w:left="567" w:hanging="567"/>
        <w:rPr>
          <w:rFonts w:cs="Arial"/>
          <w:b/>
          <w:sz w:val="24"/>
          <w:szCs w:val="24"/>
        </w:rPr>
      </w:pPr>
      <w:r>
        <w:rPr>
          <w:rFonts w:cs="Arial"/>
          <w:b/>
          <w:sz w:val="24"/>
          <w:szCs w:val="24"/>
        </w:rPr>
        <w:t>VII.</w:t>
      </w:r>
      <w:r>
        <w:rPr>
          <w:rFonts w:cs="Arial"/>
          <w:b/>
          <w:sz w:val="24"/>
          <w:szCs w:val="24"/>
        </w:rPr>
        <w:tab/>
        <w:t>CONSEGUENZE A LIVELLO DI ENTI LOCALI</w:t>
      </w:r>
    </w:p>
    <w:p w:rsidR="001D5790" w:rsidRDefault="001D5790">
      <w:pPr>
        <w:ind w:left="567" w:hanging="567"/>
        <w:rPr>
          <w:rFonts w:cs="Arial"/>
          <w:sz w:val="24"/>
          <w:szCs w:val="24"/>
        </w:rPr>
      </w:pPr>
    </w:p>
    <w:p w:rsidR="001D5790" w:rsidRDefault="00A5663E">
      <w:pPr>
        <w:rPr>
          <w:rFonts w:eastAsia="Times New Roman" w:cs="Arial"/>
          <w:sz w:val="24"/>
          <w:szCs w:val="24"/>
          <w:lang w:val="it-IT" w:eastAsia="it-IT"/>
        </w:rPr>
      </w:pPr>
      <w:r>
        <w:rPr>
          <w:rFonts w:eastAsia="Times New Roman" w:cs="Arial"/>
          <w:iCs/>
          <w:sz w:val="24"/>
          <w:szCs w:val="24"/>
          <w:lang w:val="it-IT" w:eastAsia="it-IT"/>
        </w:rPr>
        <w:t xml:space="preserve">Questa proposta non genera conseguenze </w:t>
      </w:r>
      <w:r>
        <w:rPr>
          <w:rFonts w:eastAsia="Times New Roman" w:cs="Arial"/>
          <w:sz w:val="24"/>
          <w:szCs w:val="24"/>
          <w:lang w:val="it-IT" w:eastAsia="it-IT"/>
        </w:rPr>
        <w:t xml:space="preserve">a </w:t>
      </w:r>
      <w:r>
        <w:rPr>
          <w:rFonts w:eastAsia="Times New Roman" w:cs="Arial"/>
          <w:iCs/>
          <w:sz w:val="24"/>
          <w:szCs w:val="24"/>
          <w:lang w:val="it-IT" w:eastAsia="it-IT"/>
        </w:rPr>
        <w:t>livello di Enti locali</w:t>
      </w:r>
      <w:r>
        <w:rPr>
          <w:rFonts w:eastAsia="Times New Roman" w:cs="Arial"/>
          <w:sz w:val="24"/>
          <w:szCs w:val="24"/>
          <w:lang w:val="it-IT" w:eastAsia="it-IT"/>
        </w:rPr>
        <w:t>.</w:t>
      </w:r>
    </w:p>
    <w:p w:rsidR="001D5790" w:rsidRDefault="001D5790">
      <w:pPr>
        <w:tabs>
          <w:tab w:val="left" w:pos="540"/>
        </w:tabs>
        <w:rPr>
          <w:rFonts w:eastAsia="Times New Roman" w:cs="Arial"/>
          <w:sz w:val="24"/>
          <w:szCs w:val="24"/>
          <w:lang w:val="it-IT" w:eastAsia="it-IT"/>
        </w:rPr>
      </w:pPr>
    </w:p>
    <w:p w:rsidR="001D5790" w:rsidRDefault="001D5790">
      <w:pPr>
        <w:tabs>
          <w:tab w:val="left" w:pos="540"/>
        </w:tabs>
        <w:rPr>
          <w:rFonts w:eastAsia="Times New Roman" w:cs="Arial"/>
          <w:sz w:val="24"/>
          <w:szCs w:val="24"/>
          <w:lang w:val="it-IT" w:eastAsia="it-IT"/>
        </w:rPr>
      </w:pPr>
    </w:p>
    <w:p w:rsidR="001D5790" w:rsidRDefault="00A5663E">
      <w:pPr>
        <w:ind w:left="567" w:hanging="567"/>
        <w:rPr>
          <w:rFonts w:cs="Arial"/>
          <w:b/>
          <w:sz w:val="24"/>
          <w:szCs w:val="24"/>
        </w:rPr>
      </w:pPr>
      <w:r>
        <w:rPr>
          <w:rFonts w:cs="Arial"/>
          <w:b/>
          <w:sz w:val="24"/>
          <w:szCs w:val="24"/>
        </w:rPr>
        <w:t>VIII.</w:t>
      </w:r>
      <w:r>
        <w:rPr>
          <w:rFonts w:cs="Arial"/>
          <w:b/>
          <w:sz w:val="24"/>
          <w:szCs w:val="24"/>
        </w:rPr>
        <w:tab/>
        <w:t xml:space="preserve">COMPATIBILITÀ CON LE LEGGI FEDERALI E CANTONALI </w:t>
      </w:r>
    </w:p>
    <w:p w:rsidR="001D5790" w:rsidRDefault="001D5790">
      <w:pPr>
        <w:ind w:left="567" w:hanging="567"/>
        <w:rPr>
          <w:rFonts w:cs="Arial"/>
          <w:sz w:val="24"/>
          <w:szCs w:val="24"/>
        </w:rPr>
      </w:pPr>
    </w:p>
    <w:p w:rsidR="001D5790" w:rsidRDefault="00A5663E">
      <w:pPr>
        <w:tabs>
          <w:tab w:val="left" w:pos="540"/>
        </w:tabs>
        <w:rPr>
          <w:rFonts w:eastAsia="Times New Roman" w:cs="Arial"/>
          <w:iCs/>
          <w:sz w:val="24"/>
          <w:szCs w:val="24"/>
          <w:lang w:val="it-IT" w:eastAsia="it-IT"/>
        </w:rPr>
      </w:pPr>
      <w:r>
        <w:rPr>
          <w:rFonts w:eastAsia="Times New Roman" w:cs="Arial"/>
          <w:iCs/>
          <w:sz w:val="24"/>
          <w:szCs w:val="24"/>
          <w:lang w:val="it-IT" w:eastAsia="it-IT"/>
        </w:rPr>
        <w:t>Questa proposta è compatibile con l’ordinamento giuridico federale e cantonale.</w:t>
      </w:r>
    </w:p>
    <w:p w:rsidR="001D5790" w:rsidRDefault="001D5790">
      <w:pPr>
        <w:tabs>
          <w:tab w:val="left" w:pos="540"/>
        </w:tabs>
        <w:rPr>
          <w:rFonts w:eastAsia="Times New Roman" w:cs="Arial"/>
          <w:iCs/>
          <w:sz w:val="24"/>
          <w:szCs w:val="24"/>
          <w:lang w:val="it-IT" w:eastAsia="it-IT"/>
        </w:rPr>
      </w:pPr>
    </w:p>
    <w:p w:rsidR="00D30F73" w:rsidRDefault="00D30F73">
      <w:pPr>
        <w:tabs>
          <w:tab w:val="left" w:pos="540"/>
        </w:tabs>
        <w:rPr>
          <w:rFonts w:eastAsia="Times New Roman" w:cs="Arial"/>
          <w:iCs/>
          <w:sz w:val="24"/>
          <w:szCs w:val="24"/>
          <w:lang w:val="it-IT" w:eastAsia="it-IT"/>
        </w:rPr>
      </w:pPr>
    </w:p>
    <w:p w:rsidR="00E12F6E" w:rsidRPr="00D30F73" w:rsidRDefault="00D30F73" w:rsidP="00D30F73">
      <w:pPr>
        <w:tabs>
          <w:tab w:val="left" w:pos="567"/>
        </w:tabs>
        <w:rPr>
          <w:rFonts w:cs="Arial"/>
          <w:b/>
          <w:sz w:val="24"/>
          <w:szCs w:val="24"/>
        </w:rPr>
      </w:pPr>
      <w:r w:rsidRPr="00D30F73">
        <w:rPr>
          <w:rFonts w:cs="Arial"/>
          <w:b/>
          <w:sz w:val="24"/>
          <w:szCs w:val="24"/>
        </w:rPr>
        <w:t>IX.</w:t>
      </w:r>
      <w:r w:rsidRPr="00D30F73">
        <w:rPr>
          <w:rFonts w:cs="Arial"/>
          <w:b/>
          <w:sz w:val="24"/>
          <w:szCs w:val="24"/>
        </w:rPr>
        <w:tab/>
        <w:t>RISPETTO DELLE NORME CONCERNENTI LE COMMESSE PUBBLICHE</w:t>
      </w:r>
    </w:p>
    <w:p w:rsidR="00D30F73" w:rsidRPr="00D30F73" w:rsidRDefault="00D30F73" w:rsidP="00D30F73">
      <w:pPr>
        <w:ind w:left="567" w:hanging="567"/>
        <w:rPr>
          <w:rFonts w:eastAsia="Times New Roman" w:cs="Arial"/>
          <w:b/>
          <w:iCs/>
          <w:sz w:val="24"/>
          <w:szCs w:val="24"/>
          <w:lang w:val="it-IT" w:eastAsia="it-IT"/>
        </w:rPr>
      </w:pPr>
    </w:p>
    <w:p w:rsidR="00E12F6E" w:rsidRPr="00E12F6E" w:rsidRDefault="00E12F6E" w:rsidP="00E12F6E">
      <w:pPr>
        <w:rPr>
          <w:rFonts w:eastAsia="Times New Roman" w:cs="Arial"/>
          <w:iCs/>
          <w:sz w:val="24"/>
          <w:szCs w:val="24"/>
          <w:lang w:val="it-IT" w:eastAsia="it-IT"/>
        </w:rPr>
      </w:pPr>
      <w:r w:rsidRPr="00E12F6E">
        <w:rPr>
          <w:rFonts w:eastAsia="Times New Roman" w:cs="Arial"/>
          <w:iCs/>
          <w:sz w:val="24"/>
          <w:szCs w:val="24"/>
          <w:lang w:val="it-IT" w:eastAsia="it-IT"/>
        </w:rPr>
        <w:t>La SUPSI, quale ente di diritto pubblico, è già assoggettata alla Legge sulle commesse pubbliche (LCPubb), il Concordato sugli appalti pubblici (CIAP) e il relativo Regolamento (RLCPubb/CIAP).</w:t>
      </w:r>
    </w:p>
    <w:p w:rsidR="00E12F6E" w:rsidRDefault="00E12F6E">
      <w:pPr>
        <w:tabs>
          <w:tab w:val="left" w:pos="540"/>
        </w:tabs>
        <w:rPr>
          <w:rFonts w:eastAsia="Times New Roman" w:cs="Arial"/>
          <w:iCs/>
          <w:sz w:val="24"/>
          <w:szCs w:val="24"/>
          <w:lang w:val="it-IT" w:eastAsia="it-IT"/>
        </w:rPr>
      </w:pPr>
    </w:p>
    <w:p w:rsidR="001D5790" w:rsidRDefault="001D5790">
      <w:pPr>
        <w:tabs>
          <w:tab w:val="left" w:pos="540"/>
        </w:tabs>
        <w:rPr>
          <w:rFonts w:eastAsia="Times New Roman" w:cs="Arial"/>
          <w:sz w:val="24"/>
          <w:szCs w:val="24"/>
          <w:lang w:val="it-IT" w:eastAsia="it-IT"/>
        </w:rPr>
      </w:pPr>
    </w:p>
    <w:p w:rsidR="001D5790" w:rsidRDefault="00A5663E">
      <w:pPr>
        <w:ind w:left="567" w:hanging="567"/>
        <w:rPr>
          <w:rFonts w:cs="Arial"/>
          <w:b/>
          <w:sz w:val="24"/>
          <w:szCs w:val="24"/>
        </w:rPr>
      </w:pPr>
      <w:r>
        <w:rPr>
          <w:rFonts w:cs="Arial"/>
          <w:b/>
          <w:sz w:val="24"/>
          <w:szCs w:val="24"/>
        </w:rPr>
        <w:t>X.</w:t>
      </w:r>
      <w:r>
        <w:rPr>
          <w:rFonts w:cs="Arial"/>
          <w:b/>
          <w:sz w:val="24"/>
          <w:szCs w:val="24"/>
        </w:rPr>
        <w:tab/>
        <w:t>CONSEGUENZE AMBIENTALI</w:t>
      </w:r>
    </w:p>
    <w:p w:rsidR="001D5790" w:rsidRDefault="001D5790">
      <w:pPr>
        <w:tabs>
          <w:tab w:val="left" w:pos="540"/>
        </w:tabs>
        <w:rPr>
          <w:rFonts w:eastAsia="Times New Roman" w:cs="Arial"/>
          <w:sz w:val="24"/>
          <w:szCs w:val="24"/>
          <w:lang w:val="it-IT" w:eastAsia="it-IT"/>
        </w:rPr>
      </w:pPr>
    </w:p>
    <w:p w:rsidR="001D5790" w:rsidRDefault="00A5663E">
      <w:pPr>
        <w:tabs>
          <w:tab w:val="left" w:pos="540"/>
        </w:tabs>
        <w:rPr>
          <w:rFonts w:eastAsia="Times New Roman" w:cs="Arial"/>
          <w:iCs/>
          <w:sz w:val="24"/>
          <w:szCs w:val="24"/>
          <w:lang w:val="it-IT" w:eastAsia="it-IT"/>
        </w:rPr>
      </w:pPr>
      <w:r>
        <w:rPr>
          <w:rFonts w:eastAsia="Times New Roman" w:cs="Arial"/>
          <w:iCs/>
          <w:sz w:val="24"/>
          <w:szCs w:val="24"/>
          <w:lang w:val="it-IT" w:eastAsia="it-IT"/>
        </w:rPr>
        <w:t>One Health è un approccio che integra la salute umana, animale e ambientale, riconoscendole come componenti interconnesse. L’Istituto microbiologia, investigando su questa interdipendenza, può contribuire a identificare e sviluppare strategie per ridurre la diffusione di malattie zoonotiche, migliorare la gestione degli ecosistemi e preservare la biodiversità. Queste strategie si possono concretizzare in diverse modalità, dall'analisi dell'impatto degli antibiotici sugli ecosistemi acquatici al controllo dei patogeni nelle popolazioni animali per prevenire epidemie. Allo stesso modo, questo approccio fornisce dati essenziali per politiche sostenibili, fondamentali per la protezione delle risorse naturali e la promozione di un equilibrio ecologico, mitigando così gli impatti ambientali negativi e favorendo un ambiente più sano per tutti gli esseri viventi.</w:t>
      </w:r>
    </w:p>
    <w:p w:rsidR="001D5790" w:rsidRDefault="001D5790">
      <w:pPr>
        <w:rPr>
          <w:rFonts w:cs="Arial"/>
          <w:sz w:val="24"/>
          <w:szCs w:val="24"/>
        </w:rPr>
      </w:pPr>
    </w:p>
    <w:p w:rsidR="001D5790" w:rsidRDefault="001D5790">
      <w:pPr>
        <w:rPr>
          <w:rFonts w:cs="Arial"/>
          <w:sz w:val="24"/>
          <w:szCs w:val="24"/>
        </w:rPr>
      </w:pPr>
    </w:p>
    <w:p w:rsidR="001D5790" w:rsidRPr="00D30F73" w:rsidRDefault="00D30F73" w:rsidP="00D30F73">
      <w:pPr>
        <w:tabs>
          <w:tab w:val="left" w:pos="567"/>
        </w:tabs>
        <w:rPr>
          <w:rFonts w:cs="Arial"/>
          <w:b/>
          <w:sz w:val="24"/>
          <w:szCs w:val="24"/>
        </w:rPr>
      </w:pPr>
      <w:r>
        <w:rPr>
          <w:rFonts w:cs="Arial"/>
          <w:b/>
          <w:sz w:val="24"/>
          <w:szCs w:val="24"/>
        </w:rPr>
        <w:t>XII.</w:t>
      </w:r>
      <w:r>
        <w:rPr>
          <w:rFonts w:cs="Arial"/>
          <w:b/>
          <w:sz w:val="24"/>
          <w:szCs w:val="24"/>
        </w:rPr>
        <w:tab/>
      </w:r>
      <w:r w:rsidR="00A5663E" w:rsidRPr="00D30F73">
        <w:rPr>
          <w:rFonts w:cs="Arial"/>
          <w:b/>
          <w:sz w:val="24"/>
          <w:szCs w:val="24"/>
        </w:rPr>
        <w:t>CONCLUSIONI</w:t>
      </w:r>
    </w:p>
    <w:p w:rsidR="001D5790" w:rsidRDefault="001D5790">
      <w:pPr>
        <w:rPr>
          <w:rFonts w:cs="Arial"/>
          <w:sz w:val="24"/>
          <w:szCs w:val="24"/>
        </w:rPr>
      </w:pPr>
    </w:p>
    <w:p w:rsidR="001D5790" w:rsidRDefault="00A5663E">
      <w:pPr>
        <w:rPr>
          <w:rFonts w:cs="Arial"/>
          <w:sz w:val="24"/>
          <w:szCs w:val="24"/>
        </w:rPr>
      </w:pPr>
      <w:r>
        <w:rPr>
          <w:rFonts w:cs="Arial"/>
          <w:sz w:val="24"/>
          <w:szCs w:val="24"/>
        </w:rPr>
        <w:t>Dopo aver confermato l'efficacia dell'accordo precedentemente stipulato e riconosciuta l'importanza per il Cantone di rinnovare questa delega di responsabilità pubblica, che assicura un'erogazione efficace di servizi di interesse pubblico in un settore cruciale per la salute della collettività, vi presentiamo la proposta di finanziamento per le attività nel settore della microbiologia applicata presso la Scuola universitaria professionale della Svizzera italiana (SUPSI) per il quadriennio 2025-2028.</w:t>
      </w:r>
    </w:p>
    <w:p w:rsidR="001D5790" w:rsidRDefault="001D5790">
      <w:pPr>
        <w:rPr>
          <w:rFonts w:cs="Arial"/>
          <w:sz w:val="24"/>
          <w:szCs w:val="24"/>
        </w:rPr>
      </w:pPr>
    </w:p>
    <w:p w:rsidR="001D5790" w:rsidRDefault="00A5663E">
      <w:pPr>
        <w:tabs>
          <w:tab w:val="left" w:pos="567"/>
        </w:tabs>
        <w:ind w:right="-2"/>
        <w:rPr>
          <w:rFonts w:cs="Arial"/>
          <w:sz w:val="24"/>
          <w:szCs w:val="24"/>
        </w:rPr>
      </w:pPr>
      <w:r>
        <w:rPr>
          <w:rFonts w:cs="Arial"/>
          <w:sz w:val="24"/>
          <w:szCs w:val="24"/>
        </w:rPr>
        <w:lastRenderedPageBreak/>
        <w:t xml:space="preserve">Ricordiamo inoltre che queste attività permettono di perseguire i compiti del mandato generale di politica universitaria cantonale e in un’ottica sostenibile entrano in perfetta sinergia con le prestazioni delegate a SUPSI nei settori delle acque, dei pericoli naturali, della geologia, dell’energia, dei materiali e costruzioni, dello sviluppo sostenibile e della comunicazione per il periodo 2025-2028. </w:t>
      </w:r>
    </w:p>
    <w:p w:rsidR="001D5790" w:rsidRDefault="001D5790">
      <w:pPr>
        <w:rPr>
          <w:rFonts w:cs="Arial"/>
          <w:sz w:val="24"/>
          <w:szCs w:val="24"/>
        </w:rPr>
      </w:pPr>
    </w:p>
    <w:p w:rsidR="001D5790" w:rsidRDefault="00A5663E">
      <w:pPr>
        <w:rPr>
          <w:rFonts w:cs="Arial"/>
          <w:sz w:val="24"/>
          <w:szCs w:val="24"/>
        </w:rPr>
      </w:pPr>
      <w:r>
        <w:rPr>
          <w:rFonts w:cs="Arial"/>
          <w:sz w:val="24"/>
          <w:szCs w:val="24"/>
        </w:rPr>
        <w:t xml:space="preserve">Per le considerazioni esposte, vi invitiamo ad approvare l’allegato Decreto legislativo relativo al credito annuale di </w:t>
      </w:r>
      <w:r w:rsidR="00A9467F">
        <w:rPr>
          <w:rFonts w:cs="Arial"/>
          <w:sz w:val="24"/>
          <w:szCs w:val="24"/>
        </w:rPr>
        <w:t xml:space="preserve">fr. </w:t>
      </w:r>
      <w:r>
        <w:rPr>
          <w:rFonts w:cs="Arial"/>
          <w:sz w:val="24"/>
          <w:szCs w:val="24"/>
        </w:rPr>
        <w:t>1'360'000</w:t>
      </w:r>
      <w:r w:rsidR="00A9467F">
        <w:rPr>
          <w:rFonts w:cs="Arial"/>
          <w:sz w:val="24"/>
          <w:szCs w:val="24"/>
        </w:rPr>
        <w:t>.-</w:t>
      </w:r>
      <w:r>
        <w:rPr>
          <w:rFonts w:cs="Arial"/>
          <w:sz w:val="24"/>
          <w:szCs w:val="24"/>
        </w:rPr>
        <w:t xml:space="preserve"> per i prossimi 4 anni per la delega dal Cantone Ticino alla SUPSI dal 2025 al 2028 di prestazioni di microbiologia applicata d’interesse pubblico.</w:t>
      </w:r>
    </w:p>
    <w:p w:rsidR="001D5790" w:rsidRDefault="001D5790">
      <w:pPr>
        <w:rPr>
          <w:rFonts w:cs="Arial"/>
          <w:sz w:val="24"/>
          <w:szCs w:val="24"/>
        </w:rPr>
      </w:pPr>
    </w:p>
    <w:p w:rsidR="001D5790" w:rsidRDefault="00A5663E">
      <w:pPr>
        <w:rPr>
          <w:rFonts w:cs="Arial"/>
          <w:sz w:val="24"/>
          <w:szCs w:val="24"/>
        </w:rPr>
      </w:pPr>
      <w:r>
        <w:rPr>
          <w:rFonts w:cs="Arial"/>
          <w:sz w:val="24"/>
          <w:szCs w:val="24"/>
        </w:rPr>
        <w:t>Vogliate gradire, signor Presidente, signore e signori deputati, l’espressione della nostra massima stima.</w:t>
      </w:r>
    </w:p>
    <w:p w:rsidR="001D5790" w:rsidRDefault="001D5790">
      <w:pPr>
        <w:rPr>
          <w:rFonts w:cs="Arial"/>
          <w:sz w:val="24"/>
          <w:szCs w:val="24"/>
        </w:rPr>
      </w:pPr>
    </w:p>
    <w:p w:rsidR="00E9053B" w:rsidRDefault="00E9053B">
      <w:pPr>
        <w:rPr>
          <w:rFonts w:cs="Arial"/>
          <w:sz w:val="24"/>
          <w:szCs w:val="24"/>
        </w:rPr>
      </w:pPr>
    </w:p>
    <w:p w:rsidR="001D5790" w:rsidRDefault="00A5663E">
      <w:pPr>
        <w:rPr>
          <w:rFonts w:cs="Arial"/>
          <w:sz w:val="24"/>
          <w:szCs w:val="24"/>
        </w:rPr>
      </w:pPr>
      <w:r>
        <w:rPr>
          <w:rFonts w:cs="Arial"/>
          <w:sz w:val="24"/>
          <w:szCs w:val="24"/>
        </w:rPr>
        <w:t>Per il Consiglio di Stato</w:t>
      </w:r>
    </w:p>
    <w:p w:rsidR="001D5790" w:rsidRDefault="001D5790">
      <w:pPr>
        <w:rPr>
          <w:rFonts w:cs="Arial"/>
          <w:sz w:val="24"/>
          <w:szCs w:val="24"/>
        </w:rPr>
      </w:pPr>
    </w:p>
    <w:p w:rsidR="001D5790" w:rsidRDefault="00A5663E">
      <w:pPr>
        <w:rPr>
          <w:rFonts w:cs="Arial"/>
          <w:sz w:val="24"/>
          <w:szCs w:val="24"/>
        </w:rPr>
      </w:pPr>
      <w:r>
        <w:rPr>
          <w:rFonts w:cs="Arial"/>
          <w:sz w:val="24"/>
          <w:szCs w:val="24"/>
        </w:rPr>
        <w:t>Il Presidente: Christian Vitta</w:t>
      </w:r>
    </w:p>
    <w:p w:rsidR="001D5790" w:rsidRDefault="00A5663E">
      <w:pPr>
        <w:rPr>
          <w:rFonts w:cs="Arial"/>
          <w:sz w:val="24"/>
          <w:szCs w:val="24"/>
        </w:rPr>
      </w:pPr>
      <w:r>
        <w:rPr>
          <w:rFonts w:cs="Arial"/>
          <w:sz w:val="24"/>
          <w:szCs w:val="24"/>
        </w:rPr>
        <w:t>Il Cancelliere: Arnoldo Coduri</w:t>
      </w:r>
    </w:p>
    <w:p w:rsidR="001D5790" w:rsidRDefault="001D5790">
      <w:pPr>
        <w:rPr>
          <w:rFonts w:cs="Arial"/>
          <w:sz w:val="24"/>
          <w:szCs w:val="24"/>
        </w:rPr>
      </w:pPr>
    </w:p>
    <w:p w:rsidR="001D5790" w:rsidRDefault="001D5790">
      <w:pPr>
        <w:rPr>
          <w:rFonts w:cs="Arial"/>
          <w:sz w:val="24"/>
          <w:szCs w:val="24"/>
        </w:rPr>
      </w:pPr>
    </w:p>
    <w:p w:rsidR="00E9053B" w:rsidRDefault="00E9053B">
      <w:pPr>
        <w:rPr>
          <w:rFonts w:cs="Arial"/>
          <w:sz w:val="24"/>
          <w:szCs w:val="24"/>
        </w:rPr>
      </w:pPr>
    </w:p>
    <w:p w:rsidR="00E9053B" w:rsidRDefault="00E9053B">
      <w:pPr>
        <w:rPr>
          <w:rFonts w:cs="Arial"/>
          <w:sz w:val="24"/>
          <w:szCs w:val="24"/>
        </w:rPr>
      </w:pPr>
    </w:p>
    <w:p w:rsidR="001D5790" w:rsidRDefault="00A5663E">
      <w:pPr>
        <w:rPr>
          <w:rFonts w:cs="Arial"/>
          <w:sz w:val="24"/>
          <w:szCs w:val="24"/>
          <w:u w:val="single"/>
        </w:rPr>
      </w:pPr>
      <w:r>
        <w:rPr>
          <w:rFonts w:cs="Arial"/>
          <w:sz w:val="24"/>
          <w:szCs w:val="24"/>
          <w:u w:val="single"/>
        </w:rPr>
        <w:t xml:space="preserve">Allegati: </w:t>
      </w:r>
    </w:p>
    <w:p w:rsidR="001D5790" w:rsidRDefault="00A5663E">
      <w:pPr>
        <w:rPr>
          <w:rFonts w:cs="Arial"/>
          <w:sz w:val="24"/>
          <w:szCs w:val="24"/>
        </w:rPr>
      </w:pPr>
      <w:r>
        <w:rPr>
          <w:rFonts w:cs="Arial"/>
          <w:sz w:val="24"/>
          <w:szCs w:val="24"/>
        </w:rPr>
        <w:t>- Schede descrittive dei compiti</w:t>
      </w:r>
    </w:p>
    <w:p w:rsidR="001D5790" w:rsidRDefault="001D5790">
      <w:pPr>
        <w:ind w:left="993" w:hanging="993"/>
        <w:rPr>
          <w:rFonts w:cs="Arial"/>
          <w:sz w:val="24"/>
          <w:szCs w:val="24"/>
        </w:rPr>
      </w:pPr>
    </w:p>
    <w:p w:rsidR="001D5790" w:rsidRDefault="00A5663E">
      <w:pPr>
        <w:rPr>
          <w:rFonts w:cs="Arial"/>
          <w:sz w:val="24"/>
          <w:szCs w:val="24"/>
        </w:rPr>
      </w:pPr>
      <w:r>
        <w:rPr>
          <w:rFonts w:cs="Arial"/>
          <w:bCs/>
          <w:sz w:val="24"/>
          <w:szCs w:val="24"/>
        </w:rPr>
        <w:br w:type="page"/>
      </w:r>
      <w:r>
        <w:rPr>
          <w:rFonts w:cs="Arial"/>
          <w:sz w:val="24"/>
          <w:szCs w:val="24"/>
        </w:rPr>
        <w:lastRenderedPageBreak/>
        <w:t>Disegno di</w:t>
      </w:r>
    </w:p>
    <w:p w:rsidR="001D5790" w:rsidRDefault="001D5790">
      <w:pPr>
        <w:rPr>
          <w:rFonts w:cs="Arial"/>
        </w:rPr>
      </w:pPr>
    </w:p>
    <w:p w:rsidR="001D5790" w:rsidRDefault="00A5663E">
      <w:pPr>
        <w:rPr>
          <w:rFonts w:cs="Arial"/>
          <w:b/>
          <w:sz w:val="24"/>
          <w:szCs w:val="24"/>
        </w:rPr>
      </w:pPr>
      <w:r>
        <w:rPr>
          <w:rFonts w:cs="Arial"/>
          <w:b/>
          <w:sz w:val="24"/>
          <w:szCs w:val="24"/>
        </w:rPr>
        <w:t>Decreto legislativo</w:t>
      </w:r>
    </w:p>
    <w:p w:rsidR="001D5790" w:rsidRDefault="00A5663E">
      <w:pPr>
        <w:rPr>
          <w:rFonts w:cs="Arial"/>
          <w:b/>
          <w:sz w:val="24"/>
          <w:szCs w:val="24"/>
        </w:rPr>
      </w:pPr>
      <w:r>
        <w:rPr>
          <w:rFonts w:cs="Arial"/>
          <w:b/>
          <w:sz w:val="24"/>
          <w:szCs w:val="24"/>
        </w:rPr>
        <w:t>concernente l’approvazione del credito annuo di 1'360’000 franchi per le prestazioni nel settore della microbiologia applicata della Scuola universitaria professionale della Svizzera italiana (SUPSI) per il periodo 2025-2028</w:t>
      </w:r>
    </w:p>
    <w:p w:rsidR="001D5790" w:rsidRDefault="00A5663E">
      <w:pPr>
        <w:rPr>
          <w:rFonts w:cs="Arial"/>
          <w:sz w:val="24"/>
          <w:szCs w:val="24"/>
        </w:rPr>
      </w:pPr>
      <w:r>
        <w:rPr>
          <w:rFonts w:cs="Arial"/>
          <w:sz w:val="24"/>
          <w:szCs w:val="24"/>
        </w:rPr>
        <w:t>del ……….</w:t>
      </w:r>
    </w:p>
    <w:p w:rsidR="001D5790" w:rsidRDefault="001D5790">
      <w:pPr>
        <w:rPr>
          <w:rFonts w:cs="Arial"/>
        </w:rPr>
      </w:pPr>
    </w:p>
    <w:p w:rsidR="001D5790" w:rsidRDefault="00A5663E">
      <w:pPr>
        <w:rPr>
          <w:rFonts w:cs="Arial"/>
          <w:sz w:val="24"/>
          <w:szCs w:val="24"/>
        </w:rPr>
      </w:pPr>
      <w:r>
        <w:rPr>
          <w:rFonts w:cs="Arial"/>
          <w:sz w:val="24"/>
          <w:szCs w:val="24"/>
        </w:rPr>
        <w:t>IL GRAN CONSIGLIO</w:t>
      </w:r>
    </w:p>
    <w:p w:rsidR="001D5790" w:rsidRDefault="00A5663E">
      <w:pPr>
        <w:rPr>
          <w:rFonts w:cs="Arial"/>
          <w:sz w:val="24"/>
          <w:szCs w:val="24"/>
        </w:rPr>
      </w:pPr>
      <w:r>
        <w:rPr>
          <w:rFonts w:cs="Arial"/>
          <w:sz w:val="24"/>
          <w:szCs w:val="24"/>
        </w:rPr>
        <w:t>DELLA REPUBBLICA E CANTONE TICINO</w:t>
      </w:r>
    </w:p>
    <w:p w:rsidR="001D5790" w:rsidRDefault="001D5790">
      <w:pPr>
        <w:rPr>
          <w:rFonts w:cs="Arial"/>
          <w:sz w:val="24"/>
          <w:szCs w:val="24"/>
        </w:rPr>
      </w:pPr>
    </w:p>
    <w:p w:rsidR="001D5790" w:rsidRDefault="00A5663E">
      <w:pPr>
        <w:rPr>
          <w:rFonts w:cs="Arial"/>
          <w:sz w:val="24"/>
          <w:szCs w:val="24"/>
        </w:rPr>
      </w:pPr>
      <w:r>
        <w:rPr>
          <w:rFonts w:cs="Arial"/>
          <w:sz w:val="24"/>
          <w:szCs w:val="24"/>
        </w:rPr>
        <w:t xml:space="preserve">visto il messaggio del Consiglio di Stato n. </w:t>
      </w:r>
      <w:r w:rsidR="007A5341">
        <w:rPr>
          <w:rFonts w:cs="Arial"/>
          <w:sz w:val="24"/>
          <w:szCs w:val="24"/>
        </w:rPr>
        <w:t xml:space="preserve">8442 </w:t>
      </w:r>
      <w:r>
        <w:rPr>
          <w:rFonts w:cs="Arial"/>
          <w:sz w:val="24"/>
          <w:szCs w:val="24"/>
        </w:rPr>
        <w:t xml:space="preserve">del </w:t>
      </w:r>
      <w:r w:rsidR="007A5341">
        <w:rPr>
          <w:rFonts w:cs="Arial"/>
          <w:sz w:val="24"/>
          <w:szCs w:val="24"/>
        </w:rPr>
        <w:t>19 giugno 2024,</w:t>
      </w:r>
      <w:bookmarkStart w:id="0" w:name="_GoBack"/>
      <w:bookmarkEnd w:id="0"/>
    </w:p>
    <w:p w:rsidR="001D5790" w:rsidRDefault="001D5790">
      <w:pPr>
        <w:rPr>
          <w:rFonts w:cs="Arial"/>
          <w:sz w:val="24"/>
          <w:szCs w:val="24"/>
        </w:rPr>
      </w:pPr>
    </w:p>
    <w:p w:rsidR="001D5790" w:rsidRDefault="00A5663E">
      <w:pPr>
        <w:rPr>
          <w:rFonts w:cs="Arial"/>
          <w:sz w:val="24"/>
          <w:szCs w:val="24"/>
        </w:rPr>
      </w:pPr>
      <w:r>
        <w:rPr>
          <w:rFonts w:cs="Arial"/>
          <w:sz w:val="24"/>
          <w:szCs w:val="24"/>
        </w:rPr>
        <w:t>decreta:</w:t>
      </w:r>
    </w:p>
    <w:p w:rsidR="001D5790" w:rsidRDefault="001D5790">
      <w:pPr>
        <w:rPr>
          <w:rFonts w:cs="Arial"/>
          <w:sz w:val="24"/>
          <w:szCs w:val="24"/>
        </w:rPr>
      </w:pPr>
    </w:p>
    <w:p w:rsidR="001D5790" w:rsidRDefault="00A5663E">
      <w:pPr>
        <w:pStyle w:val="NormaleWeb"/>
        <w:spacing w:before="0" w:after="0"/>
        <w:jc w:val="both"/>
        <w:outlineLvl w:val="0"/>
        <w:rPr>
          <w:rFonts w:ascii="Arial" w:hAnsi="Arial" w:cs="Arial"/>
          <w:b/>
          <w:bCs/>
          <w:lang w:val="it-CH"/>
        </w:rPr>
      </w:pPr>
      <w:r>
        <w:rPr>
          <w:rFonts w:ascii="Arial" w:hAnsi="Arial" w:cs="Arial"/>
          <w:b/>
          <w:bCs/>
          <w:lang w:val="it-CH"/>
        </w:rPr>
        <w:t>Art. 1</w:t>
      </w:r>
    </w:p>
    <w:p w:rsidR="001D5790" w:rsidRDefault="00A5663E">
      <w:pPr>
        <w:pStyle w:val="NormaleWeb"/>
        <w:spacing w:before="0" w:after="0"/>
        <w:jc w:val="both"/>
        <w:rPr>
          <w:rFonts w:ascii="Arial" w:hAnsi="Arial" w:cs="Arial"/>
          <w:lang w:val="it-CH"/>
        </w:rPr>
      </w:pPr>
      <w:r>
        <w:rPr>
          <w:rFonts w:ascii="Arial" w:hAnsi="Arial" w:cs="Arial"/>
          <w:vertAlign w:val="superscript"/>
          <w:lang w:val="it-CH"/>
        </w:rPr>
        <w:t>1</w:t>
      </w:r>
      <w:r>
        <w:rPr>
          <w:rFonts w:ascii="Arial" w:hAnsi="Arial" w:cs="Arial"/>
          <w:lang w:val="it-CH"/>
        </w:rPr>
        <w:t>È approvato il credito annuo di 1'360’000 franchi per le prestazioni della Scuola universitaria professionale della Svizzera italiana nel settore della microbiologia applicata per il periodo 2025-2028.</w:t>
      </w:r>
    </w:p>
    <w:p w:rsidR="001D5790" w:rsidRDefault="00A5663E">
      <w:pPr>
        <w:pStyle w:val="NormaleWeb"/>
        <w:spacing w:before="0" w:after="0"/>
        <w:jc w:val="both"/>
        <w:rPr>
          <w:rFonts w:ascii="Arial" w:hAnsi="Arial" w:cs="Arial"/>
          <w:lang w:val="it-CH"/>
        </w:rPr>
      </w:pPr>
      <w:r>
        <w:rPr>
          <w:rFonts w:ascii="Arial" w:hAnsi="Arial" w:cs="Arial"/>
          <w:vertAlign w:val="superscript"/>
          <w:lang w:val="it-CH"/>
        </w:rPr>
        <w:t>2</w:t>
      </w:r>
      <w:r>
        <w:rPr>
          <w:rFonts w:ascii="Arial" w:hAnsi="Arial" w:cs="Arial"/>
          <w:lang w:val="it-CH"/>
        </w:rPr>
        <w:t>Il credito è calcolato in base ai compiti affidati dalla Repubblica e Cantone Ticino alla Scuola universitaria professionale della Svizzera italiana, Dipartimento ambiente costruzioni e design.</w:t>
      </w:r>
    </w:p>
    <w:p w:rsidR="001D5790" w:rsidRDefault="001D5790">
      <w:pPr>
        <w:pStyle w:val="NormaleWeb"/>
        <w:spacing w:before="0" w:after="0"/>
        <w:jc w:val="both"/>
        <w:rPr>
          <w:rFonts w:ascii="Arial" w:hAnsi="Arial" w:cs="Arial"/>
          <w:lang w:val="it-CH"/>
        </w:rPr>
      </w:pPr>
    </w:p>
    <w:p w:rsidR="001D5790" w:rsidRDefault="00A5663E">
      <w:pPr>
        <w:pStyle w:val="NormaleWeb"/>
        <w:spacing w:before="0" w:after="0"/>
        <w:jc w:val="both"/>
        <w:outlineLvl w:val="0"/>
        <w:rPr>
          <w:rFonts w:ascii="Arial" w:hAnsi="Arial" w:cs="Arial"/>
          <w:b/>
          <w:bCs/>
          <w:lang w:val="it-CH"/>
        </w:rPr>
      </w:pPr>
      <w:r>
        <w:rPr>
          <w:rFonts w:ascii="Arial" w:hAnsi="Arial" w:cs="Arial"/>
          <w:b/>
          <w:bCs/>
          <w:lang w:val="it-CH"/>
        </w:rPr>
        <w:t>Art. 2</w:t>
      </w:r>
    </w:p>
    <w:p w:rsidR="001D5790" w:rsidRDefault="00A5663E">
      <w:pPr>
        <w:tabs>
          <w:tab w:val="left" w:pos="284"/>
          <w:tab w:val="left" w:pos="3573"/>
          <w:tab w:val="left" w:pos="3715"/>
          <w:tab w:val="left" w:pos="5416"/>
          <w:tab w:val="left" w:pos="7117"/>
          <w:tab w:val="left" w:pos="10236"/>
        </w:tabs>
        <w:rPr>
          <w:rFonts w:cs="Arial"/>
          <w:sz w:val="24"/>
          <w:szCs w:val="24"/>
        </w:rPr>
      </w:pPr>
      <w:r>
        <w:rPr>
          <w:rFonts w:cs="Arial"/>
          <w:sz w:val="24"/>
          <w:szCs w:val="24"/>
        </w:rPr>
        <w:t xml:space="preserve">Il credito è iscritto al conto di gestione corrente del Dipartimento della sanità e della socialità, Divisione della salute pubblica. </w:t>
      </w:r>
    </w:p>
    <w:p w:rsidR="001D5790" w:rsidRDefault="001D5790">
      <w:pPr>
        <w:pStyle w:val="NormaleWeb"/>
        <w:spacing w:before="0" w:after="0"/>
        <w:jc w:val="both"/>
        <w:rPr>
          <w:rFonts w:ascii="Arial" w:hAnsi="Arial" w:cs="Arial"/>
          <w:lang w:val="it-CH"/>
        </w:rPr>
      </w:pPr>
    </w:p>
    <w:p w:rsidR="001D5790" w:rsidRDefault="00A5663E">
      <w:pPr>
        <w:pStyle w:val="NormaleWeb"/>
        <w:spacing w:before="0" w:after="0"/>
        <w:jc w:val="both"/>
        <w:outlineLvl w:val="0"/>
        <w:rPr>
          <w:rFonts w:ascii="Arial" w:hAnsi="Arial" w:cs="Arial"/>
          <w:b/>
          <w:bCs/>
          <w:lang w:val="it-CH"/>
        </w:rPr>
      </w:pPr>
      <w:r>
        <w:rPr>
          <w:rFonts w:ascii="Arial" w:hAnsi="Arial" w:cs="Arial"/>
          <w:b/>
          <w:bCs/>
          <w:lang w:val="it-CH"/>
        </w:rPr>
        <w:t>Art. 3</w:t>
      </w:r>
    </w:p>
    <w:p w:rsidR="001D5790" w:rsidRDefault="00A5663E">
      <w:pPr>
        <w:pStyle w:val="NormaleWeb"/>
        <w:spacing w:before="0" w:after="0"/>
        <w:jc w:val="both"/>
        <w:rPr>
          <w:rFonts w:ascii="Arial" w:eastAsiaTheme="minorHAnsi" w:hAnsi="Arial" w:cs="Arial"/>
          <w:lang w:val="it-CH" w:eastAsia="en-US"/>
        </w:rPr>
      </w:pPr>
      <w:r>
        <w:rPr>
          <w:rFonts w:ascii="Arial" w:hAnsi="Arial" w:cs="Arial"/>
          <w:vertAlign w:val="superscript"/>
          <w:lang w:val="it-CH"/>
        </w:rPr>
        <w:t>1</w:t>
      </w:r>
      <w:r>
        <w:rPr>
          <w:rFonts w:ascii="Arial" w:eastAsiaTheme="minorHAnsi" w:hAnsi="Arial" w:cs="Arial"/>
          <w:lang w:val="it-CH" w:eastAsia="en-US"/>
        </w:rPr>
        <w:t>Il presente decreto legislativo sottostà a referendum facoltativo.</w:t>
      </w:r>
    </w:p>
    <w:p w:rsidR="001D5790" w:rsidRDefault="00A5663E">
      <w:pPr>
        <w:pStyle w:val="NormaleWeb"/>
        <w:spacing w:before="0" w:after="0"/>
        <w:jc w:val="both"/>
        <w:rPr>
          <w:rFonts w:ascii="Arial" w:eastAsiaTheme="minorHAnsi" w:hAnsi="Arial" w:cs="Arial"/>
          <w:lang w:val="it-CH" w:eastAsia="en-US"/>
        </w:rPr>
      </w:pPr>
      <w:r>
        <w:rPr>
          <w:rFonts w:ascii="Arial" w:hAnsi="Arial" w:cs="Arial"/>
          <w:vertAlign w:val="superscript"/>
          <w:lang w:val="it-CH"/>
        </w:rPr>
        <w:t>2</w:t>
      </w:r>
      <w:r>
        <w:rPr>
          <w:rFonts w:ascii="Arial" w:eastAsiaTheme="minorHAnsi" w:hAnsi="Arial" w:cs="Arial"/>
          <w:lang w:val="it-CH" w:eastAsia="en-US"/>
        </w:rPr>
        <w:t>Esso entra in vigore immediatamente.</w:t>
      </w:r>
    </w:p>
    <w:p w:rsidR="001D5790" w:rsidRDefault="001D5790">
      <w:pPr>
        <w:rPr>
          <w:rFonts w:cs="Arial"/>
        </w:rPr>
      </w:pPr>
    </w:p>
    <w:p w:rsidR="001D5790" w:rsidRDefault="001D5790">
      <w:pPr>
        <w:rPr>
          <w:rFonts w:cs="Arial"/>
          <w:sz w:val="24"/>
          <w:szCs w:val="24"/>
        </w:rPr>
      </w:pPr>
    </w:p>
    <w:p w:rsidR="001D5790" w:rsidRDefault="001D5790">
      <w:pPr>
        <w:rPr>
          <w:rFonts w:cs="Arial"/>
        </w:rPr>
      </w:pPr>
    </w:p>
    <w:p w:rsidR="001D5790" w:rsidRDefault="001D5790">
      <w:pPr>
        <w:rPr>
          <w:rFonts w:cs="Arial"/>
          <w:sz w:val="24"/>
          <w:szCs w:val="24"/>
        </w:rPr>
      </w:pPr>
    </w:p>
    <w:p w:rsidR="001D5790" w:rsidRDefault="001D5790">
      <w:pPr>
        <w:rPr>
          <w:rFonts w:cs="Arial"/>
          <w:sz w:val="24"/>
          <w:szCs w:val="24"/>
        </w:rPr>
      </w:pPr>
    </w:p>
    <w:p w:rsidR="001D5790" w:rsidRDefault="001D5790">
      <w:pPr>
        <w:rPr>
          <w:rFonts w:cs="Arial"/>
          <w:sz w:val="24"/>
          <w:szCs w:val="24"/>
        </w:rPr>
      </w:pPr>
    </w:p>
    <w:p w:rsidR="001D5790" w:rsidRDefault="001D5790">
      <w:pPr>
        <w:rPr>
          <w:rFonts w:cs="Arial"/>
          <w:sz w:val="24"/>
          <w:szCs w:val="24"/>
        </w:rPr>
      </w:pPr>
    </w:p>
    <w:p w:rsidR="001D5790" w:rsidRDefault="001D5790">
      <w:pPr>
        <w:rPr>
          <w:rFonts w:cs="Arial"/>
          <w:sz w:val="24"/>
          <w:szCs w:val="24"/>
        </w:rPr>
      </w:pPr>
    </w:p>
    <w:p w:rsidR="001D5790" w:rsidRDefault="00A5663E">
      <w:pPr>
        <w:rPr>
          <w:rFonts w:cs="Arial"/>
          <w:b/>
          <w:sz w:val="24"/>
          <w:szCs w:val="24"/>
        </w:rPr>
      </w:pPr>
      <w:r>
        <w:rPr>
          <w:rFonts w:cs="Arial"/>
          <w:sz w:val="24"/>
          <w:szCs w:val="24"/>
        </w:rPr>
        <w:br w:type="page"/>
      </w:r>
      <w:r>
        <w:rPr>
          <w:rFonts w:cs="Arial"/>
          <w:b/>
          <w:sz w:val="24"/>
          <w:szCs w:val="24"/>
        </w:rPr>
        <w:lastRenderedPageBreak/>
        <w:t xml:space="preserve">Allegato: Schede descrittive dei compiti </w:t>
      </w:r>
    </w:p>
    <w:p w:rsidR="001D5790" w:rsidRDefault="001D5790">
      <w:pPr>
        <w:rPr>
          <w:rFonts w:cs="Arial"/>
          <w:sz w:val="24"/>
          <w:szCs w:val="24"/>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20" w:firstRow="1" w:lastRow="0" w:firstColumn="0" w:lastColumn="0" w:noHBand="0" w:noVBand="0"/>
      </w:tblPr>
      <w:tblGrid>
        <w:gridCol w:w="2093"/>
        <w:gridCol w:w="6804"/>
        <w:gridCol w:w="1134"/>
      </w:tblGrid>
      <w:tr w:rsidR="001D5790">
        <w:trPr>
          <w:trHeight w:val="274"/>
        </w:trPr>
        <w:tc>
          <w:tcPr>
            <w:tcW w:w="2093" w:type="dxa"/>
            <w:shd w:val="solid" w:color="000080" w:fill="FFFFFF"/>
          </w:tcPr>
          <w:p w:rsidR="001D5790" w:rsidRDefault="00A5663E">
            <w:pPr>
              <w:pStyle w:val="Titolo1"/>
              <w:numPr>
                <w:ilvl w:val="0"/>
                <w:numId w:val="0"/>
              </w:numPr>
              <w:ind w:left="363" w:hanging="363"/>
              <w:rPr>
                <w:rFonts w:asciiTheme="minorHAnsi" w:hAnsiTheme="minorHAnsi" w:cstheme="minorHAnsi"/>
                <w:b w:val="0"/>
                <w:bCs/>
                <w:i/>
                <w:color w:val="FFFFFF"/>
                <w:lang w:val="it-IT"/>
              </w:rPr>
            </w:pPr>
            <w:r>
              <w:rPr>
                <w:rFonts w:asciiTheme="minorHAnsi" w:hAnsiTheme="minorHAnsi" w:cstheme="minorHAnsi"/>
                <w:b w:val="0"/>
                <w:bCs/>
                <w:i/>
                <w:iCs/>
                <w:color w:val="FFFFFF"/>
                <w:lang w:val="it-IT"/>
              </w:rPr>
              <w:t>Compito 1</w:t>
            </w:r>
          </w:p>
        </w:tc>
        <w:tc>
          <w:tcPr>
            <w:tcW w:w="7938" w:type="dxa"/>
            <w:gridSpan w:val="2"/>
            <w:shd w:val="solid" w:color="000080" w:fill="FFFFFF"/>
          </w:tcPr>
          <w:p w:rsidR="001D5790" w:rsidRDefault="00A5663E">
            <w:pPr>
              <w:pStyle w:val="NormaleWeb"/>
              <w:rPr>
                <w:rFonts w:asciiTheme="minorHAnsi" w:hAnsiTheme="minorHAnsi" w:cstheme="minorHAnsi"/>
                <w:b/>
                <w:bCs/>
                <w:color w:val="FFFFFF"/>
                <w:sz w:val="22"/>
                <w:szCs w:val="22"/>
              </w:rPr>
            </w:pPr>
            <w:r>
              <w:rPr>
                <w:rFonts w:asciiTheme="minorHAnsi" w:hAnsiTheme="minorHAnsi" w:cstheme="minorHAnsi"/>
                <w:b/>
                <w:bCs/>
                <w:color w:val="FFFFFF"/>
              </w:rPr>
              <w:t xml:space="preserve">Laboratorio Regionale Sud (LR Sud) per la biosicurezza </w:t>
            </w:r>
          </w:p>
        </w:tc>
      </w:tr>
      <w:tr w:rsidR="001D5790">
        <w:trPr>
          <w:trHeight w:val="542"/>
        </w:trPr>
        <w:tc>
          <w:tcPr>
            <w:tcW w:w="2093" w:type="dxa"/>
            <w:shd w:val="clear" w:color="auto" w:fill="auto"/>
            <w:vAlign w:val="center"/>
          </w:tcPr>
          <w:p w:rsidR="001D5790" w:rsidRDefault="00A5663E">
            <w:pPr>
              <w:spacing w:before="100" w:beforeAutospacing="1" w:after="100" w:afterAutospacing="1"/>
              <w:rPr>
                <w:rFonts w:asciiTheme="minorHAnsi" w:hAnsiTheme="minorHAnsi" w:cstheme="minorHAnsi"/>
                <w:b/>
                <w:i/>
                <w:sz w:val="18"/>
                <w:szCs w:val="18"/>
              </w:rPr>
            </w:pPr>
            <w:r>
              <w:rPr>
                <w:rFonts w:asciiTheme="minorHAnsi" w:hAnsiTheme="minorHAnsi" w:cstheme="minorHAnsi"/>
                <w:b/>
                <w:bCs/>
                <w:sz w:val="18"/>
                <w:szCs w:val="18"/>
              </w:rPr>
              <w:t>Attività</w:t>
            </w:r>
          </w:p>
        </w:tc>
        <w:tc>
          <w:tcPr>
            <w:tcW w:w="6804" w:type="dxa"/>
            <w:shd w:val="clear" w:color="auto" w:fill="auto"/>
            <w:vAlign w:val="center"/>
          </w:tcPr>
          <w:p w:rsidR="001D5790" w:rsidRDefault="00A5663E">
            <w:pPr>
              <w:spacing w:before="100" w:beforeAutospacing="1" w:after="100" w:afterAutospacing="1"/>
              <w:rPr>
                <w:rFonts w:asciiTheme="minorHAnsi" w:hAnsiTheme="minorHAnsi" w:cstheme="minorHAnsi"/>
                <w:b/>
                <w:sz w:val="18"/>
                <w:szCs w:val="18"/>
              </w:rPr>
            </w:pPr>
            <w:r>
              <w:rPr>
                <w:rFonts w:asciiTheme="minorHAnsi" w:hAnsiTheme="minorHAnsi" w:cstheme="minorHAnsi"/>
                <w:b/>
                <w:bCs/>
                <w:sz w:val="18"/>
                <w:szCs w:val="18"/>
              </w:rPr>
              <w:t>Descrizione</w:t>
            </w:r>
          </w:p>
        </w:tc>
        <w:tc>
          <w:tcPr>
            <w:tcW w:w="1134" w:type="dxa"/>
            <w:shd w:val="clear" w:color="auto" w:fill="auto"/>
            <w:vAlign w:val="center"/>
          </w:tcPr>
          <w:p w:rsidR="001D5790" w:rsidRDefault="00A5663E">
            <w:pPr>
              <w:pStyle w:val="Corpodeltesto2"/>
              <w:ind w:left="-110"/>
              <w:rPr>
                <w:rFonts w:asciiTheme="minorHAnsi" w:hAnsiTheme="minorHAnsi" w:cstheme="minorHAnsi"/>
                <w:b/>
                <w:sz w:val="18"/>
                <w:szCs w:val="18"/>
              </w:rPr>
            </w:pPr>
            <w:r>
              <w:rPr>
                <w:rFonts w:asciiTheme="minorHAnsi" w:hAnsiTheme="minorHAnsi" w:cstheme="minorHAnsi"/>
                <w:b/>
                <w:bCs/>
                <w:sz w:val="18"/>
                <w:szCs w:val="18"/>
              </w:rPr>
              <w:t xml:space="preserve"> Costi in fr.</w:t>
            </w:r>
          </w:p>
        </w:tc>
      </w:tr>
      <w:tr w:rsidR="001D5790">
        <w:tc>
          <w:tcPr>
            <w:tcW w:w="2093" w:type="dxa"/>
            <w:shd w:val="clear" w:color="auto" w:fill="auto"/>
            <w:vAlign w:val="center"/>
          </w:tcPr>
          <w:p w:rsidR="001D5790" w:rsidRDefault="001D5790">
            <w:pPr>
              <w:pStyle w:val="NormaleWeb"/>
              <w:rPr>
                <w:rFonts w:asciiTheme="minorHAnsi" w:hAnsiTheme="minorHAnsi" w:cstheme="minorHAnsi"/>
                <w:bCs/>
                <w:sz w:val="18"/>
                <w:szCs w:val="18"/>
                <w:lang w:val="it-CH"/>
              </w:rPr>
            </w:pPr>
          </w:p>
        </w:tc>
        <w:tc>
          <w:tcPr>
            <w:tcW w:w="6804" w:type="dxa"/>
            <w:shd w:val="clear" w:color="auto" w:fill="auto"/>
            <w:vAlign w:val="center"/>
          </w:tcPr>
          <w:p w:rsidR="001D5790" w:rsidRDefault="00A5663E">
            <w:pPr>
              <w:pStyle w:val="NormaleWeb"/>
              <w:jc w:val="center"/>
              <w:rPr>
                <w:rFonts w:asciiTheme="minorHAnsi" w:hAnsiTheme="minorHAnsi" w:cstheme="minorHAnsi"/>
                <w:sz w:val="18"/>
                <w:szCs w:val="18"/>
                <w:lang w:val="it-CH"/>
              </w:rPr>
            </w:pPr>
            <w:r>
              <w:rPr>
                <w:rFonts w:asciiTheme="minorHAnsi" w:hAnsiTheme="minorHAnsi" w:cstheme="minorHAnsi"/>
                <w:b/>
                <w:bCs/>
                <w:sz w:val="18"/>
                <w:szCs w:val="18"/>
              </w:rPr>
              <w:t>Gestione del Laboratorio Regionale Sud (LR Sud)</w:t>
            </w:r>
          </w:p>
        </w:tc>
        <w:tc>
          <w:tcPr>
            <w:tcW w:w="1134" w:type="dxa"/>
            <w:shd w:val="clear" w:color="auto" w:fill="auto"/>
            <w:vAlign w:val="center"/>
          </w:tcPr>
          <w:p w:rsidR="001D5790" w:rsidRDefault="001D5790">
            <w:pPr>
              <w:pStyle w:val="Corpodeltesto2"/>
              <w:ind w:left="-110"/>
              <w:rPr>
                <w:rFonts w:asciiTheme="minorHAnsi" w:hAnsiTheme="minorHAnsi" w:cstheme="minorHAnsi"/>
                <w:sz w:val="18"/>
                <w:szCs w:val="18"/>
              </w:rPr>
            </w:pPr>
          </w:p>
        </w:tc>
      </w:tr>
      <w:tr w:rsidR="001D5790">
        <w:tc>
          <w:tcPr>
            <w:tcW w:w="2093" w:type="dxa"/>
            <w:shd w:val="clear" w:color="auto" w:fill="auto"/>
            <w:vAlign w:val="center"/>
          </w:tcPr>
          <w:p w:rsidR="001D5790" w:rsidRDefault="00A5663E">
            <w:pPr>
              <w:pStyle w:val="Titolo1"/>
              <w:numPr>
                <w:ilvl w:val="0"/>
                <w:numId w:val="0"/>
              </w:numPr>
              <w:rPr>
                <w:rFonts w:asciiTheme="minorHAnsi" w:hAnsiTheme="minorHAnsi" w:cstheme="minorHAnsi"/>
                <w:b w:val="0"/>
                <w:sz w:val="18"/>
                <w:szCs w:val="18"/>
                <w:lang w:eastAsia="it-IT"/>
              </w:rPr>
            </w:pPr>
            <w:r>
              <w:rPr>
                <w:rFonts w:asciiTheme="minorHAnsi" w:hAnsiTheme="minorHAnsi" w:cstheme="minorHAnsi"/>
                <w:b w:val="0"/>
                <w:sz w:val="18"/>
                <w:szCs w:val="18"/>
                <w:lang w:eastAsia="it-IT"/>
              </w:rPr>
              <w:t>Gestione</w:t>
            </w:r>
          </w:p>
        </w:tc>
        <w:tc>
          <w:tcPr>
            <w:tcW w:w="6804" w:type="dxa"/>
            <w:shd w:val="clear" w:color="auto" w:fill="auto"/>
            <w:vAlign w:val="center"/>
          </w:tcPr>
          <w:p w:rsidR="001D5790" w:rsidRDefault="00A5663E">
            <w:pPr>
              <w:spacing w:before="100" w:beforeAutospacing="1" w:after="100" w:afterAutospacing="1"/>
              <w:rPr>
                <w:rFonts w:asciiTheme="minorHAnsi" w:hAnsiTheme="minorHAnsi" w:cstheme="minorHAnsi"/>
                <w:sz w:val="18"/>
                <w:szCs w:val="18"/>
              </w:rPr>
            </w:pPr>
            <w:r>
              <w:rPr>
                <w:rFonts w:asciiTheme="minorHAnsi" w:hAnsiTheme="minorHAnsi" w:cstheme="minorHAnsi"/>
                <w:sz w:val="18"/>
                <w:szCs w:val="18"/>
              </w:rPr>
              <w:t>Gestione del LR Sud quale laboratorio della rete svizzera di laboratori regionali per l’analisi di microrganismi rari, emergenti e/o patogeni appartenenti principalmente ai Gruppi di rischio 3-4 e l’analisi di campioni ambientali contaminati pericolosi per l’uomo o gli animali. Partecipazione alla rete svizzera. Gestione sistema qualità secondo l’Ordinanza dei laboratori di microbiologia 818.101.32.</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30'000.-</w:t>
            </w:r>
          </w:p>
        </w:tc>
      </w:tr>
      <w:tr w:rsidR="001D5790">
        <w:tc>
          <w:tcPr>
            <w:tcW w:w="2093" w:type="dxa"/>
            <w:shd w:val="clear" w:color="auto" w:fill="auto"/>
            <w:vAlign w:val="center"/>
          </w:tcPr>
          <w:p w:rsidR="001D5790" w:rsidRDefault="00A5663E">
            <w:pPr>
              <w:pStyle w:val="NormaleWeb"/>
              <w:rPr>
                <w:rFonts w:asciiTheme="minorHAnsi" w:hAnsiTheme="minorHAnsi" w:cstheme="minorHAnsi"/>
                <w:sz w:val="18"/>
                <w:szCs w:val="18"/>
                <w:lang w:val="it-CH"/>
              </w:rPr>
            </w:pPr>
            <w:r>
              <w:rPr>
                <w:rFonts w:asciiTheme="minorHAnsi" w:hAnsiTheme="minorHAnsi" w:cstheme="minorHAnsi"/>
                <w:sz w:val="18"/>
                <w:szCs w:val="18"/>
                <w:lang w:val="it-CH"/>
              </w:rPr>
              <w:t xml:space="preserve">Coordinamento </w:t>
            </w:r>
          </w:p>
          <w:p w:rsidR="001D5790" w:rsidRDefault="001D5790">
            <w:pPr>
              <w:pStyle w:val="Titolo1"/>
              <w:numPr>
                <w:ilvl w:val="0"/>
                <w:numId w:val="0"/>
              </w:numPr>
              <w:ind w:left="363" w:hanging="363"/>
              <w:rPr>
                <w:rFonts w:asciiTheme="minorHAnsi" w:hAnsiTheme="minorHAnsi" w:cstheme="minorHAnsi"/>
                <w:b w:val="0"/>
                <w:sz w:val="18"/>
                <w:szCs w:val="18"/>
                <w:lang w:eastAsia="it-IT"/>
              </w:rPr>
            </w:pPr>
          </w:p>
        </w:tc>
        <w:tc>
          <w:tcPr>
            <w:tcW w:w="6804" w:type="dxa"/>
            <w:shd w:val="clear" w:color="auto" w:fill="auto"/>
            <w:vAlign w:val="center"/>
          </w:tcPr>
          <w:p w:rsidR="001D5790" w:rsidRDefault="00A5663E">
            <w:pPr>
              <w:pStyle w:val="NormaleWeb"/>
              <w:jc w:val="both"/>
              <w:rPr>
                <w:rFonts w:asciiTheme="minorHAnsi" w:hAnsiTheme="minorHAnsi" w:cstheme="minorHAnsi"/>
                <w:sz w:val="18"/>
                <w:szCs w:val="18"/>
                <w:lang w:val="it-CH"/>
              </w:rPr>
            </w:pPr>
            <w:r>
              <w:rPr>
                <w:rFonts w:asciiTheme="minorHAnsi" w:hAnsiTheme="minorHAnsi" w:cstheme="minorHAnsi"/>
                <w:sz w:val="18"/>
                <w:szCs w:val="18"/>
              </w:rPr>
              <w:t xml:space="preserve">Coordinamento dell’attività̀ del LR Sud con istituzioni cantonali e federali (Ufficio delle industrie della sicurezza e della protezione del suolo, i pompieri, la Polizia cantonale, EOLAB (EOC) con il quale è condiviso il laboratorio di biosicurezza BSL3, centri nazionali di referenza, ecc.) </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10'000.-</w:t>
            </w:r>
          </w:p>
        </w:tc>
      </w:tr>
      <w:tr w:rsidR="001D5790">
        <w:tc>
          <w:tcPr>
            <w:tcW w:w="2093" w:type="dxa"/>
            <w:shd w:val="clear" w:color="auto" w:fill="auto"/>
            <w:vAlign w:val="center"/>
          </w:tcPr>
          <w:p w:rsidR="001D5790" w:rsidRDefault="001D5790">
            <w:pPr>
              <w:pStyle w:val="NormaleWeb"/>
              <w:rPr>
                <w:rFonts w:asciiTheme="minorHAnsi" w:hAnsiTheme="minorHAnsi" w:cstheme="minorHAnsi"/>
                <w:sz w:val="18"/>
                <w:szCs w:val="18"/>
                <w:lang w:val="it-CH"/>
              </w:rPr>
            </w:pPr>
          </w:p>
        </w:tc>
        <w:tc>
          <w:tcPr>
            <w:tcW w:w="6804" w:type="dxa"/>
            <w:shd w:val="clear" w:color="auto" w:fill="auto"/>
            <w:vAlign w:val="center"/>
          </w:tcPr>
          <w:p w:rsidR="001D5790" w:rsidRDefault="00A5663E">
            <w:pPr>
              <w:pStyle w:val="NormaleWeb"/>
              <w:jc w:val="center"/>
              <w:rPr>
                <w:rFonts w:asciiTheme="minorHAnsi" w:hAnsiTheme="minorHAnsi" w:cstheme="minorHAnsi"/>
                <w:sz w:val="18"/>
                <w:szCs w:val="18"/>
                <w:lang w:val="it-CH"/>
              </w:rPr>
            </w:pPr>
            <w:r>
              <w:rPr>
                <w:rFonts w:asciiTheme="minorHAnsi" w:hAnsiTheme="minorHAnsi" w:cstheme="minorHAnsi"/>
                <w:b/>
                <w:bCs/>
                <w:sz w:val="18"/>
                <w:szCs w:val="18"/>
              </w:rPr>
              <w:t>Sviluppo/implementazione di metodi diagnostici e analitici</w:t>
            </w:r>
          </w:p>
        </w:tc>
        <w:tc>
          <w:tcPr>
            <w:tcW w:w="1134" w:type="dxa"/>
            <w:shd w:val="clear" w:color="auto" w:fill="auto"/>
            <w:vAlign w:val="center"/>
          </w:tcPr>
          <w:p w:rsidR="001D5790" w:rsidRDefault="001D5790">
            <w:pPr>
              <w:pStyle w:val="Corpodeltesto2"/>
              <w:jc w:val="right"/>
              <w:rPr>
                <w:rFonts w:asciiTheme="minorHAnsi" w:hAnsiTheme="minorHAnsi" w:cstheme="minorHAnsi"/>
                <w:sz w:val="18"/>
                <w:szCs w:val="18"/>
              </w:rPr>
            </w:pPr>
          </w:p>
        </w:tc>
      </w:tr>
      <w:tr w:rsidR="001D5790">
        <w:tc>
          <w:tcPr>
            <w:tcW w:w="2093" w:type="dxa"/>
            <w:shd w:val="clear" w:color="auto" w:fill="auto"/>
            <w:vAlign w:val="center"/>
          </w:tcPr>
          <w:p w:rsidR="001D5790" w:rsidRDefault="00A5663E">
            <w:pPr>
              <w:pStyle w:val="NormaleWeb"/>
              <w:rPr>
                <w:rFonts w:asciiTheme="minorHAnsi" w:hAnsiTheme="minorHAnsi" w:cstheme="minorHAnsi"/>
                <w:sz w:val="18"/>
                <w:szCs w:val="18"/>
                <w:lang w:val="it-CH"/>
              </w:rPr>
            </w:pPr>
            <w:r>
              <w:rPr>
                <w:rFonts w:asciiTheme="minorHAnsi" w:hAnsiTheme="minorHAnsi" w:cstheme="minorHAnsi"/>
                <w:sz w:val="18"/>
                <w:szCs w:val="18"/>
                <w:lang w:val="it-CH"/>
              </w:rPr>
              <w:t xml:space="preserve">Introduzione e aggiornamento metodi diagnostici e analitici </w:t>
            </w:r>
          </w:p>
        </w:tc>
        <w:tc>
          <w:tcPr>
            <w:tcW w:w="6804" w:type="dxa"/>
            <w:shd w:val="clear" w:color="auto" w:fill="auto"/>
            <w:vAlign w:val="center"/>
          </w:tcPr>
          <w:p w:rsidR="001D5790" w:rsidRDefault="00A5663E">
            <w:pPr>
              <w:pStyle w:val="NormaleWeb"/>
              <w:jc w:val="both"/>
              <w:rPr>
                <w:rFonts w:asciiTheme="minorHAnsi" w:hAnsiTheme="minorHAnsi" w:cstheme="minorHAnsi"/>
                <w:sz w:val="18"/>
                <w:szCs w:val="18"/>
                <w:lang w:val="it-CH"/>
              </w:rPr>
            </w:pPr>
            <w:r>
              <w:rPr>
                <w:rFonts w:asciiTheme="minorHAnsi" w:hAnsiTheme="minorHAnsi" w:cstheme="minorHAnsi"/>
                <w:sz w:val="18"/>
                <w:szCs w:val="18"/>
              </w:rPr>
              <w:t>Introduzione, validazione e distribuzione nella Rete dei laboratori regionali svizzeri di metodi per la messa in evidenza di agenti patogeni dei Gruppi di rischio 3 e 4, patogeni emergenti per l’uomo e/o gli animali e di campioni ambientali pericolosi in una prospettiva di un'unica salute (One Health).</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 xml:space="preserve">50'000.- </w:t>
            </w:r>
          </w:p>
        </w:tc>
      </w:tr>
      <w:tr w:rsidR="001D5790">
        <w:tc>
          <w:tcPr>
            <w:tcW w:w="2093" w:type="dxa"/>
            <w:shd w:val="clear" w:color="auto" w:fill="auto"/>
            <w:vAlign w:val="center"/>
          </w:tcPr>
          <w:p w:rsidR="001D5790" w:rsidRDefault="00A5663E">
            <w:pPr>
              <w:pStyle w:val="NormaleWeb"/>
              <w:rPr>
                <w:rFonts w:asciiTheme="minorHAnsi" w:hAnsiTheme="minorHAnsi" w:cstheme="minorHAnsi"/>
                <w:sz w:val="18"/>
                <w:szCs w:val="18"/>
                <w:lang w:val="it-CH"/>
              </w:rPr>
            </w:pPr>
            <w:r>
              <w:rPr>
                <w:rFonts w:asciiTheme="minorHAnsi" w:hAnsiTheme="minorHAnsi" w:cstheme="minorHAnsi"/>
                <w:sz w:val="18"/>
                <w:szCs w:val="18"/>
                <w:lang w:val="it-CH"/>
              </w:rPr>
              <w:t xml:space="preserve">Redazione procedure </w:t>
            </w:r>
          </w:p>
        </w:tc>
        <w:tc>
          <w:tcPr>
            <w:tcW w:w="6804" w:type="dxa"/>
            <w:shd w:val="clear" w:color="auto" w:fill="auto"/>
            <w:vAlign w:val="center"/>
          </w:tcPr>
          <w:p w:rsidR="001D5790" w:rsidRDefault="00A5663E">
            <w:pPr>
              <w:pStyle w:val="NormaleWeb"/>
              <w:jc w:val="both"/>
              <w:rPr>
                <w:rFonts w:asciiTheme="minorHAnsi" w:hAnsiTheme="minorHAnsi" w:cstheme="minorHAnsi"/>
                <w:sz w:val="18"/>
                <w:szCs w:val="18"/>
                <w:lang w:val="it-CH"/>
              </w:rPr>
            </w:pPr>
            <w:r>
              <w:rPr>
                <w:rFonts w:asciiTheme="minorHAnsi" w:hAnsiTheme="minorHAnsi" w:cstheme="minorHAnsi"/>
                <w:sz w:val="18"/>
                <w:szCs w:val="18"/>
              </w:rPr>
              <w:t xml:space="preserve">Redazione delle procedure sui metodi e le analisi del Laboratorio Regionale Sud secondo il sistema qualità. </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15'000.-</w:t>
            </w:r>
          </w:p>
        </w:tc>
      </w:tr>
      <w:tr w:rsidR="001D5790">
        <w:tc>
          <w:tcPr>
            <w:tcW w:w="2093" w:type="dxa"/>
            <w:shd w:val="clear" w:color="auto" w:fill="auto"/>
            <w:vAlign w:val="center"/>
          </w:tcPr>
          <w:p w:rsidR="001D5790" w:rsidRDefault="001D5790">
            <w:pPr>
              <w:pStyle w:val="NormaleWeb"/>
              <w:rPr>
                <w:rFonts w:asciiTheme="minorHAnsi" w:hAnsiTheme="minorHAnsi" w:cstheme="minorHAnsi"/>
                <w:sz w:val="18"/>
                <w:szCs w:val="18"/>
                <w:lang w:val="it-CH"/>
              </w:rPr>
            </w:pPr>
          </w:p>
        </w:tc>
        <w:tc>
          <w:tcPr>
            <w:tcW w:w="6804" w:type="dxa"/>
            <w:shd w:val="clear" w:color="auto" w:fill="auto"/>
            <w:vAlign w:val="center"/>
          </w:tcPr>
          <w:p w:rsidR="001D5790" w:rsidRDefault="00A5663E">
            <w:pPr>
              <w:pStyle w:val="NormaleWeb"/>
              <w:jc w:val="center"/>
              <w:rPr>
                <w:rFonts w:asciiTheme="minorHAnsi" w:hAnsiTheme="minorHAnsi" w:cstheme="minorHAnsi"/>
                <w:lang w:val="it-CH"/>
              </w:rPr>
            </w:pPr>
            <w:r>
              <w:rPr>
                <w:rFonts w:asciiTheme="minorHAnsi" w:hAnsiTheme="minorHAnsi" w:cstheme="minorHAnsi"/>
                <w:b/>
                <w:bCs/>
                <w:sz w:val="18"/>
                <w:szCs w:val="18"/>
              </w:rPr>
              <w:t>Attività analitica, peritale e di consulenza</w:t>
            </w:r>
          </w:p>
        </w:tc>
        <w:tc>
          <w:tcPr>
            <w:tcW w:w="1134" w:type="dxa"/>
            <w:shd w:val="clear" w:color="auto" w:fill="auto"/>
            <w:vAlign w:val="center"/>
          </w:tcPr>
          <w:p w:rsidR="001D5790" w:rsidRDefault="001D5790">
            <w:pPr>
              <w:pStyle w:val="Corpodeltesto2"/>
              <w:jc w:val="right"/>
              <w:rPr>
                <w:rFonts w:asciiTheme="minorHAnsi" w:hAnsiTheme="minorHAnsi" w:cstheme="minorHAnsi"/>
                <w:sz w:val="18"/>
                <w:szCs w:val="18"/>
              </w:rPr>
            </w:pPr>
          </w:p>
        </w:tc>
      </w:tr>
      <w:tr w:rsidR="001D5790">
        <w:tc>
          <w:tcPr>
            <w:tcW w:w="2093" w:type="dxa"/>
            <w:shd w:val="clear" w:color="auto" w:fill="auto"/>
            <w:vAlign w:val="center"/>
          </w:tcPr>
          <w:p w:rsidR="001D5790" w:rsidRDefault="00A5663E">
            <w:pPr>
              <w:pStyle w:val="NormaleWeb"/>
              <w:rPr>
                <w:rFonts w:asciiTheme="minorHAnsi" w:hAnsiTheme="minorHAnsi" w:cstheme="minorHAnsi"/>
                <w:sz w:val="18"/>
                <w:szCs w:val="18"/>
                <w:lang w:val="it-CH"/>
              </w:rPr>
            </w:pPr>
            <w:r>
              <w:rPr>
                <w:rFonts w:asciiTheme="minorHAnsi" w:hAnsiTheme="minorHAnsi" w:cstheme="minorHAnsi"/>
                <w:sz w:val="18"/>
                <w:szCs w:val="18"/>
              </w:rPr>
              <w:t xml:space="preserve">Controlli di qualità̀ </w:t>
            </w:r>
          </w:p>
        </w:tc>
        <w:tc>
          <w:tcPr>
            <w:tcW w:w="6804" w:type="dxa"/>
            <w:shd w:val="clear" w:color="auto" w:fill="auto"/>
            <w:vAlign w:val="center"/>
          </w:tcPr>
          <w:p w:rsidR="001D5790" w:rsidRDefault="00A5663E">
            <w:pPr>
              <w:pStyle w:val="NormaleWeb"/>
              <w:jc w:val="both"/>
              <w:rPr>
                <w:rFonts w:asciiTheme="minorHAnsi" w:hAnsiTheme="minorHAnsi" w:cstheme="minorHAnsi"/>
                <w:sz w:val="18"/>
                <w:szCs w:val="18"/>
                <w:lang w:val="it-CH"/>
              </w:rPr>
            </w:pPr>
            <w:r>
              <w:rPr>
                <w:rFonts w:asciiTheme="minorHAnsi" w:hAnsiTheme="minorHAnsi" w:cstheme="minorHAnsi"/>
                <w:sz w:val="18"/>
                <w:szCs w:val="18"/>
              </w:rPr>
              <w:t>Partecipazione ai controlli di qualità̀ nella diagnostica di agenti patogeni tipo 3 e 4 o altri patogeni emergenti.</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20'000.-</w:t>
            </w:r>
          </w:p>
        </w:tc>
      </w:tr>
      <w:tr w:rsidR="001D5790">
        <w:tc>
          <w:tcPr>
            <w:tcW w:w="2093" w:type="dxa"/>
            <w:shd w:val="clear" w:color="auto" w:fill="auto"/>
            <w:vAlign w:val="center"/>
          </w:tcPr>
          <w:p w:rsidR="001D5790" w:rsidRDefault="00A5663E">
            <w:pPr>
              <w:pStyle w:val="NormaleWeb"/>
              <w:rPr>
                <w:rFonts w:asciiTheme="minorHAnsi" w:hAnsiTheme="minorHAnsi" w:cstheme="minorHAnsi"/>
                <w:sz w:val="18"/>
                <w:szCs w:val="18"/>
                <w:lang w:val="it-CH"/>
              </w:rPr>
            </w:pPr>
            <w:r>
              <w:rPr>
                <w:rFonts w:asciiTheme="minorHAnsi" w:hAnsiTheme="minorHAnsi" w:cstheme="minorHAnsi"/>
                <w:sz w:val="18"/>
                <w:szCs w:val="18"/>
              </w:rPr>
              <w:t xml:space="preserve">Attività̀ analitica </w:t>
            </w:r>
          </w:p>
          <w:p w:rsidR="001D5790" w:rsidRDefault="001D5790">
            <w:pPr>
              <w:pStyle w:val="NormaleWeb"/>
              <w:rPr>
                <w:rFonts w:asciiTheme="minorHAnsi" w:hAnsiTheme="minorHAnsi" w:cstheme="minorHAnsi"/>
                <w:sz w:val="18"/>
                <w:szCs w:val="18"/>
                <w:lang w:val="it-CH"/>
              </w:rPr>
            </w:pPr>
          </w:p>
        </w:tc>
        <w:tc>
          <w:tcPr>
            <w:tcW w:w="6804" w:type="dxa"/>
            <w:shd w:val="clear" w:color="auto" w:fill="auto"/>
            <w:vAlign w:val="center"/>
          </w:tcPr>
          <w:p w:rsidR="001D5790" w:rsidRDefault="00A5663E">
            <w:pPr>
              <w:pStyle w:val="NormaleWeb"/>
              <w:jc w:val="both"/>
              <w:rPr>
                <w:rFonts w:asciiTheme="minorHAnsi" w:hAnsiTheme="minorHAnsi" w:cstheme="minorHAnsi"/>
                <w:sz w:val="18"/>
                <w:szCs w:val="18"/>
              </w:rPr>
            </w:pPr>
            <w:r>
              <w:rPr>
                <w:rFonts w:asciiTheme="minorHAnsi" w:hAnsiTheme="minorHAnsi" w:cstheme="minorHAnsi"/>
                <w:sz w:val="18"/>
                <w:szCs w:val="18"/>
              </w:rPr>
              <w:t>Analisi di campioni di origine ambientale di varia natura per la ricerca di patogeni [es. buste con contenuti sospetti (antrace, agenti di bioterrorismo), virus aviaria, arbovirus, ecc.] o per la messa in evidenza di contaminanti biologici tossici. Analisi e sorveglianza di patogeni emergenti per l’uomo e/o gli animali (es. arbovirus in organismi vettori).</w:t>
            </w:r>
          </w:p>
        </w:tc>
        <w:tc>
          <w:tcPr>
            <w:tcW w:w="1134" w:type="dxa"/>
            <w:shd w:val="clear" w:color="auto" w:fill="auto"/>
            <w:vAlign w:val="center"/>
          </w:tcPr>
          <w:p w:rsidR="001D5790" w:rsidRDefault="00A5663E">
            <w:pPr>
              <w:pStyle w:val="Corpodeltesto2"/>
              <w:jc w:val="right"/>
              <w:rPr>
                <w:rFonts w:asciiTheme="minorHAnsi" w:hAnsiTheme="minorHAnsi" w:cstheme="minorHAnsi"/>
                <w:color w:val="000000"/>
                <w:sz w:val="18"/>
                <w:szCs w:val="18"/>
              </w:rPr>
            </w:pPr>
            <w:r>
              <w:rPr>
                <w:rFonts w:asciiTheme="minorHAnsi" w:hAnsiTheme="minorHAnsi" w:cstheme="minorHAnsi"/>
                <w:color w:val="000000"/>
                <w:sz w:val="18"/>
                <w:szCs w:val="18"/>
              </w:rPr>
              <w:t>50'000.-</w:t>
            </w:r>
          </w:p>
          <w:p w:rsidR="001D5790" w:rsidRDefault="001D5790">
            <w:pPr>
              <w:pStyle w:val="Corpodeltesto2"/>
              <w:jc w:val="right"/>
              <w:rPr>
                <w:rFonts w:asciiTheme="minorHAnsi" w:hAnsiTheme="minorHAnsi" w:cstheme="minorHAnsi"/>
                <w:sz w:val="18"/>
                <w:szCs w:val="18"/>
              </w:rPr>
            </w:pPr>
          </w:p>
        </w:tc>
      </w:tr>
      <w:tr w:rsidR="001D5790">
        <w:tc>
          <w:tcPr>
            <w:tcW w:w="2093" w:type="dxa"/>
            <w:shd w:val="clear" w:color="auto" w:fill="auto"/>
            <w:vAlign w:val="center"/>
          </w:tcPr>
          <w:p w:rsidR="001D5790" w:rsidRDefault="00A5663E">
            <w:pPr>
              <w:pStyle w:val="NormaleWeb"/>
              <w:rPr>
                <w:rFonts w:asciiTheme="minorHAnsi" w:hAnsiTheme="minorHAnsi" w:cstheme="minorHAnsi"/>
                <w:sz w:val="18"/>
                <w:szCs w:val="18"/>
                <w:lang w:val="it-CH"/>
              </w:rPr>
            </w:pPr>
            <w:r>
              <w:rPr>
                <w:rFonts w:asciiTheme="minorHAnsi" w:hAnsiTheme="minorHAnsi" w:cstheme="minorHAnsi"/>
                <w:sz w:val="18"/>
                <w:szCs w:val="18"/>
                <w:lang w:val="it-CH"/>
              </w:rPr>
              <w:t xml:space="preserve">Attività̀ peritale e di consulenza </w:t>
            </w:r>
          </w:p>
        </w:tc>
        <w:tc>
          <w:tcPr>
            <w:tcW w:w="6804" w:type="dxa"/>
            <w:shd w:val="clear" w:color="auto" w:fill="auto"/>
            <w:vAlign w:val="center"/>
          </w:tcPr>
          <w:p w:rsidR="001D5790" w:rsidRDefault="00A5663E">
            <w:pPr>
              <w:pStyle w:val="NormaleWeb"/>
              <w:jc w:val="both"/>
              <w:rPr>
                <w:rFonts w:asciiTheme="minorHAnsi" w:hAnsiTheme="minorHAnsi" w:cstheme="minorHAnsi"/>
                <w:lang w:val="it-CH"/>
              </w:rPr>
            </w:pPr>
            <w:r>
              <w:rPr>
                <w:rFonts w:asciiTheme="minorHAnsi" w:hAnsiTheme="minorHAnsi" w:cstheme="minorHAnsi"/>
                <w:sz w:val="18"/>
                <w:szCs w:val="18"/>
              </w:rPr>
              <w:t>Consulenze e perizie in caso di problemi di biosicurezza sul territorio (eventi B, zone contaminate, epidemie, patogeni trasmessi da vettori, ecc.) o su richiesta delle Autorità.</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10'000.-</w:t>
            </w:r>
          </w:p>
        </w:tc>
      </w:tr>
      <w:tr w:rsidR="001D5790">
        <w:tc>
          <w:tcPr>
            <w:tcW w:w="2093" w:type="dxa"/>
            <w:shd w:val="clear" w:color="auto" w:fill="auto"/>
            <w:vAlign w:val="center"/>
          </w:tcPr>
          <w:p w:rsidR="001D5790" w:rsidRDefault="001D5790">
            <w:pPr>
              <w:pStyle w:val="NormaleWeb"/>
              <w:rPr>
                <w:rFonts w:asciiTheme="minorHAnsi" w:hAnsiTheme="minorHAnsi" w:cstheme="minorHAnsi"/>
                <w:sz w:val="18"/>
                <w:szCs w:val="18"/>
                <w:lang w:val="it-CH"/>
              </w:rPr>
            </w:pPr>
          </w:p>
        </w:tc>
        <w:tc>
          <w:tcPr>
            <w:tcW w:w="6804" w:type="dxa"/>
            <w:shd w:val="clear" w:color="auto" w:fill="auto"/>
            <w:vAlign w:val="center"/>
          </w:tcPr>
          <w:p w:rsidR="001D5790" w:rsidRDefault="00A5663E">
            <w:pPr>
              <w:pStyle w:val="NormaleWeb"/>
              <w:jc w:val="center"/>
              <w:rPr>
                <w:rFonts w:asciiTheme="minorHAnsi" w:hAnsiTheme="minorHAnsi" w:cstheme="minorHAnsi"/>
                <w:b/>
                <w:bCs/>
                <w:sz w:val="18"/>
                <w:szCs w:val="18"/>
              </w:rPr>
            </w:pPr>
            <w:r>
              <w:rPr>
                <w:rFonts w:asciiTheme="minorHAnsi" w:hAnsiTheme="minorHAnsi" w:cstheme="minorHAnsi"/>
                <w:b/>
                <w:bCs/>
                <w:sz w:val="18"/>
                <w:szCs w:val="18"/>
              </w:rPr>
              <w:t>Gestione ed esercizio</w:t>
            </w:r>
          </w:p>
        </w:tc>
        <w:tc>
          <w:tcPr>
            <w:tcW w:w="1134" w:type="dxa"/>
            <w:shd w:val="clear" w:color="auto" w:fill="auto"/>
            <w:vAlign w:val="center"/>
          </w:tcPr>
          <w:p w:rsidR="001D5790" w:rsidRDefault="001D5790">
            <w:pPr>
              <w:pStyle w:val="Corpodeltesto2"/>
              <w:jc w:val="right"/>
              <w:rPr>
                <w:rFonts w:asciiTheme="minorHAnsi" w:hAnsiTheme="minorHAnsi" w:cstheme="minorHAnsi"/>
                <w:sz w:val="18"/>
                <w:szCs w:val="18"/>
              </w:rPr>
            </w:pPr>
          </w:p>
        </w:tc>
      </w:tr>
      <w:tr w:rsidR="001D5790">
        <w:tc>
          <w:tcPr>
            <w:tcW w:w="2093" w:type="dxa"/>
            <w:shd w:val="clear" w:color="auto" w:fill="auto"/>
            <w:vAlign w:val="center"/>
          </w:tcPr>
          <w:p w:rsidR="001D5790" w:rsidRDefault="00A5663E">
            <w:pPr>
              <w:pStyle w:val="NormaleWeb"/>
              <w:rPr>
                <w:rFonts w:asciiTheme="minorHAnsi" w:hAnsiTheme="minorHAnsi" w:cstheme="minorHAnsi"/>
                <w:lang w:val="it-CH"/>
              </w:rPr>
            </w:pPr>
            <w:r>
              <w:rPr>
                <w:rFonts w:asciiTheme="minorHAnsi" w:hAnsiTheme="minorHAnsi" w:cstheme="minorHAnsi"/>
                <w:sz w:val="18"/>
                <w:szCs w:val="18"/>
              </w:rPr>
              <w:t>BSL3</w:t>
            </w:r>
          </w:p>
        </w:tc>
        <w:tc>
          <w:tcPr>
            <w:tcW w:w="6804" w:type="dxa"/>
            <w:shd w:val="clear" w:color="auto" w:fill="auto"/>
            <w:vAlign w:val="center"/>
          </w:tcPr>
          <w:p w:rsidR="001D5790" w:rsidRDefault="00A5663E">
            <w:pPr>
              <w:pStyle w:val="NormaleWeb"/>
              <w:jc w:val="both"/>
              <w:rPr>
                <w:rFonts w:asciiTheme="minorHAnsi" w:hAnsiTheme="minorHAnsi" w:cstheme="minorHAnsi"/>
                <w:lang w:val="it-CH"/>
              </w:rPr>
            </w:pPr>
            <w:r>
              <w:rPr>
                <w:rFonts w:asciiTheme="minorHAnsi" w:hAnsiTheme="minorHAnsi" w:cstheme="minorHAnsi"/>
                <w:sz w:val="18"/>
                <w:szCs w:val="18"/>
              </w:rPr>
              <w:t>Gestione logistica laboratorio di biosicurezza BSL3, ossequio concessione UFSP utilizzo microorganismi altamente patogeni. Dispositivi di biosicurezza per protezione personale (PPE).</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20'000.-</w:t>
            </w:r>
          </w:p>
        </w:tc>
      </w:tr>
      <w:tr w:rsidR="001D5790">
        <w:tc>
          <w:tcPr>
            <w:tcW w:w="2093" w:type="dxa"/>
            <w:shd w:val="clear" w:color="auto" w:fill="auto"/>
            <w:vAlign w:val="center"/>
          </w:tcPr>
          <w:p w:rsidR="001D5790" w:rsidRDefault="00A5663E">
            <w:pPr>
              <w:pStyle w:val="NormaleWeb"/>
              <w:rPr>
                <w:rFonts w:asciiTheme="minorHAnsi" w:hAnsiTheme="minorHAnsi" w:cstheme="minorHAnsi"/>
                <w:lang w:val="it-CH"/>
              </w:rPr>
            </w:pPr>
            <w:r>
              <w:rPr>
                <w:rFonts w:asciiTheme="minorHAnsi" w:hAnsiTheme="minorHAnsi" w:cstheme="minorHAnsi"/>
                <w:sz w:val="18"/>
                <w:szCs w:val="18"/>
              </w:rPr>
              <w:t xml:space="preserve">Budget per attrezzature </w:t>
            </w:r>
          </w:p>
        </w:tc>
        <w:tc>
          <w:tcPr>
            <w:tcW w:w="6804" w:type="dxa"/>
            <w:shd w:val="clear" w:color="auto" w:fill="auto"/>
            <w:vAlign w:val="center"/>
          </w:tcPr>
          <w:p w:rsidR="001D5790" w:rsidRDefault="00A5663E">
            <w:pPr>
              <w:pStyle w:val="NormaleWeb"/>
              <w:jc w:val="both"/>
              <w:rPr>
                <w:rFonts w:asciiTheme="minorHAnsi" w:hAnsiTheme="minorHAnsi" w:cstheme="minorHAnsi"/>
                <w:lang w:val="it-CH"/>
              </w:rPr>
            </w:pPr>
            <w:r>
              <w:rPr>
                <w:rFonts w:asciiTheme="minorHAnsi" w:hAnsiTheme="minorHAnsi" w:cstheme="minorHAnsi"/>
                <w:sz w:val="18"/>
                <w:szCs w:val="18"/>
              </w:rPr>
              <w:t xml:space="preserve">Mantenimento e manutenzione apparecchi </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25'000.-</w:t>
            </w:r>
          </w:p>
        </w:tc>
      </w:tr>
      <w:tr w:rsidR="001D5790">
        <w:tc>
          <w:tcPr>
            <w:tcW w:w="2093" w:type="dxa"/>
            <w:shd w:val="clear" w:color="auto" w:fill="auto"/>
            <w:vAlign w:val="center"/>
          </w:tcPr>
          <w:p w:rsidR="001D5790" w:rsidRDefault="00A5663E">
            <w:pPr>
              <w:pStyle w:val="NormaleWeb"/>
              <w:rPr>
                <w:rFonts w:asciiTheme="minorHAnsi" w:hAnsiTheme="minorHAnsi" w:cstheme="minorHAnsi"/>
                <w:lang w:val="it-CH"/>
              </w:rPr>
            </w:pPr>
            <w:r>
              <w:rPr>
                <w:rFonts w:asciiTheme="minorHAnsi" w:hAnsiTheme="minorHAnsi" w:cstheme="minorHAnsi"/>
                <w:sz w:val="18"/>
                <w:szCs w:val="18"/>
              </w:rPr>
              <w:t xml:space="preserve">Materiale di laboratorio </w:t>
            </w:r>
          </w:p>
        </w:tc>
        <w:tc>
          <w:tcPr>
            <w:tcW w:w="6804" w:type="dxa"/>
            <w:shd w:val="clear" w:color="auto" w:fill="auto"/>
            <w:vAlign w:val="center"/>
          </w:tcPr>
          <w:p w:rsidR="001D5790" w:rsidRDefault="00A5663E">
            <w:pPr>
              <w:pStyle w:val="NormaleWeb"/>
              <w:jc w:val="both"/>
              <w:rPr>
                <w:rFonts w:asciiTheme="minorHAnsi" w:hAnsiTheme="minorHAnsi" w:cstheme="minorHAnsi"/>
                <w:lang w:val="it-CH"/>
              </w:rPr>
            </w:pPr>
            <w:r>
              <w:rPr>
                <w:rFonts w:asciiTheme="minorHAnsi" w:hAnsiTheme="minorHAnsi" w:cstheme="minorHAnsi"/>
                <w:sz w:val="18"/>
                <w:szCs w:val="18"/>
              </w:rPr>
              <w:t xml:space="preserve">Reagenti, materiale d’uso e di consumo. </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30'000.-</w:t>
            </w:r>
          </w:p>
        </w:tc>
      </w:tr>
      <w:tr w:rsidR="001D5790">
        <w:tc>
          <w:tcPr>
            <w:tcW w:w="2093" w:type="dxa"/>
            <w:shd w:val="clear" w:color="auto" w:fill="auto"/>
            <w:vAlign w:val="center"/>
          </w:tcPr>
          <w:p w:rsidR="001D5790" w:rsidRDefault="00A5663E">
            <w:pPr>
              <w:pStyle w:val="NormaleWeb"/>
              <w:rPr>
                <w:rFonts w:asciiTheme="minorHAnsi" w:hAnsiTheme="minorHAnsi" w:cstheme="minorHAnsi"/>
                <w:lang w:val="it-CH"/>
              </w:rPr>
            </w:pPr>
            <w:r>
              <w:rPr>
                <w:rFonts w:asciiTheme="minorHAnsi" w:hAnsiTheme="minorHAnsi" w:cstheme="minorHAnsi"/>
                <w:sz w:val="18"/>
                <w:szCs w:val="18"/>
              </w:rPr>
              <w:t>Spese varie</w:t>
            </w:r>
          </w:p>
        </w:tc>
        <w:tc>
          <w:tcPr>
            <w:tcW w:w="6804" w:type="dxa"/>
            <w:shd w:val="clear" w:color="auto" w:fill="auto"/>
            <w:vAlign w:val="center"/>
          </w:tcPr>
          <w:p w:rsidR="001D5790" w:rsidRDefault="00A5663E">
            <w:pPr>
              <w:pStyle w:val="NormaleWeb"/>
              <w:jc w:val="both"/>
              <w:rPr>
                <w:rFonts w:asciiTheme="minorHAnsi" w:hAnsiTheme="minorHAnsi" w:cstheme="minorHAnsi"/>
                <w:lang w:val="it-CH"/>
              </w:rPr>
            </w:pPr>
            <w:r>
              <w:rPr>
                <w:rFonts w:asciiTheme="minorHAnsi" w:hAnsiTheme="minorHAnsi" w:cstheme="minorHAnsi"/>
                <w:sz w:val="18"/>
                <w:szCs w:val="18"/>
              </w:rPr>
              <w:t xml:space="preserve">Trasferte e trasporti, perfezionamento professionale, libri e riviste, materiale d’ufficio, IT </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lang w:val="it-CH"/>
              </w:rPr>
            </w:pPr>
            <w:r>
              <w:rPr>
                <w:rFonts w:asciiTheme="minorHAnsi" w:hAnsiTheme="minorHAnsi" w:cstheme="minorHAnsi"/>
                <w:sz w:val="18"/>
                <w:szCs w:val="18"/>
                <w:lang w:val="it-CH"/>
              </w:rPr>
              <w:t>15'000.-</w:t>
            </w:r>
          </w:p>
        </w:tc>
      </w:tr>
      <w:tr w:rsidR="001D5790">
        <w:tc>
          <w:tcPr>
            <w:tcW w:w="2093" w:type="dxa"/>
            <w:shd w:val="clear" w:color="auto" w:fill="auto"/>
            <w:vAlign w:val="center"/>
          </w:tcPr>
          <w:p w:rsidR="001D5790" w:rsidRDefault="001D5790">
            <w:pPr>
              <w:pStyle w:val="NormaleWeb"/>
              <w:rPr>
                <w:rFonts w:asciiTheme="minorHAnsi" w:hAnsiTheme="minorHAnsi" w:cstheme="minorHAnsi"/>
                <w:sz w:val="18"/>
                <w:szCs w:val="18"/>
              </w:rPr>
            </w:pPr>
          </w:p>
        </w:tc>
        <w:tc>
          <w:tcPr>
            <w:tcW w:w="6804" w:type="dxa"/>
            <w:shd w:val="clear" w:color="auto" w:fill="auto"/>
            <w:vAlign w:val="center"/>
          </w:tcPr>
          <w:p w:rsidR="001D5790" w:rsidRDefault="00A5663E">
            <w:pPr>
              <w:pStyle w:val="NormaleWeb"/>
              <w:rPr>
                <w:rFonts w:asciiTheme="minorHAnsi" w:hAnsiTheme="minorHAnsi" w:cstheme="minorHAnsi"/>
                <w:b/>
                <w:sz w:val="18"/>
                <w:szCs w:val="18"/>
              </w:rPr>
            </w:pPr>
            <w:r>
              <w:rPr>
                <w:rFonts w:asciiTheme="minorHAnsi" w:hAnsiTheme="minorHAnsi" w:cstheme="minorHAnsi"/>
                <w:b/>
                <w:sz w:val="18"/>
                <w:szCs w:val="18"/>
              </w:rPr>
              <w:t>Costi totali compito 1</w:t>
            </w:r>
          </w:p>
        </w:tc>
        <w:tc>
          <w:tcPr>
            <w:tcW w:w="1134" w:type="dxa"/>
            <w:shd w:val="clear" w:color="auto" w:fill="auto"/>
            <w:vAlign w:val="center"/>
          </w:tcPr>
          <w:p w:rsidR="001D5790" w:rsidRDefault="00A5663E">
            <w:pPr>
              <w:pStyle w:val="NormaleWeb"/>
              <w:jc w:val="center"/>
              <w:rPr>
                <w:rFonts w:asciiTheme="minorHAnsi" w:hAnsiTheme="minorHAnsi" w:cstheme="minorHAnsi"/>
                <w:b/>
                <w:sz w:val="18"/>
                <w:szCs w:val="18"/>
              </w:rPr>
            </w:pPr>
            <w:r>
              <w:rPr>
                <w:rFonts w:asciiTheme="minorHAnsi" w:hAnsiTheme="minorHAnsi" w:cstheme="minorHAnsi"/>
                <w:b/>
                <w:sz w:val="18"/>
                <w:szCs w:val="18"/>
              </w:rPr>
              <w:t>275'000.-</w:t>
            </w:r>
          </w:p>
        </w:tc>
      </w:tr>
      <w:tr w:rsidR="001D5790">
        <w:tc>
          <w:tcPr>
            <w:tcW w:w="2093" w:type="dxa"/>
            <w:shd w:val="clear" w:color="auto" w:fill="auto"/>
            <w:vAlign w:val="center"/>
          </w:tcPr>
          <w:p w:rsidR="001D5790" w:rsidRDefault="00A5663E">
            <w:pPr>
              <w:pStyle w:val="Titolo1"/>
              <w:numPr>
                <w:ilvl w:val="0"/>
                <w:numId w:val="0"/>
              </w:numPr>
              <w:ind w:left="363" w:hanging="363"/>
              <w:rPr>
                <w:rFonts w:asciiTheme="minorHAnsi" w:hAnsiTheme="minorHAnsi" w:cstheme="minorHAnsi"/>
                <w:b w:val="0"/>
                <w:sz w:val="18"/>
                <w:szCs w:val="18"/>
                <w:lang w:val="it-IT"/>
              </w:rPr>
            </w:pPr>
            <w:r>
              <w:rPr>
                <w:rFonts w:asciiTheme="minorHAnsi" w:hAnsiTheme="minorHAnsi" w:cstheme="minorHAnsi"/>
                <w:b w:val="0"/>
                <w:sz w:val="18"/>
                <w:szCs w:val="18"/>
                <w:lang w:val="it-IT"/>
              </w:rPr>
              <w:t>Referente IM</w:t>
            </w:r>
          </w:p>
        </w:tc>
        <w:tc>
          <w:tcPr>
            <w:tcW w:w="6804" w:type="dxa"/>
            <w:shd w:val="clear" w:color="auto" w:fill="auto"/>
            <w:vAlign w:val="center"/>
          </w:tcPr>
          <w:p w:rsidR="001D5790" w:rsidRDefault="00A5663E">
            <w:pPr>
              <w:pStyle w:val="Titolo1"/>
              <w:numPr>
                <w:ilvl w:val="0"/>
                <w:numId w:val="0"/>
              </w:numPr>
              <w:ind w:left="363" w:hanging="363"/>
              <w:rPr>
                <w:rFonts w:asciiTheme="minorHAnsi" w:hAnsiTheme="minorHAnsi" w:cstheme="minorHAnsi"/>
                <w:b w:val="0"/>
                <w:sz w:val="18"/>
                <w:szCs w:val="18"/>
                <w:lang w:val="it-IT"/>
              </w:rPr>
            </w:pPr>
            <w:r>
              <w:rPr>
                <w:rFonts w:asciiTheme="minorHAnsi" w:hAnsiTheme="minorHAnsi" w:cstheme="minorHAnsi"/>
                <w:b w:val="0"/>
                <w:sz w:val="18"/>
                <w:szCs w:val="18"/>
                <w:lang w:val="it-IT"/>
              </w:rPr>
              <w:t>Dr.ssa Valeria Guidi, IM</w:t>
            </w:r>
          </w:p>
        </w:tc>
        <w:tc>
          <w:tcPr>
            <w:tcW w:w="1134" w:type="dxa"/>
            <w:shd w:val="clear" w:color="auto" w:fill="auto"/>
            <w:vAlign w:val="center"/>
          </w:tcPr>
          <w:p w:rsidR="001D5790" w:rsidRDefault="001D5790">
            <w:pPr>
              <w:pStyle w:val="Titolo1"/>
              <w:numPr>
                <w:ilvl w:val="0"/>
                <w:numId w:val="0"/>
              </w:numPr>
              <w:ind w:left="363" w:hanging="363"/>
              <w:rPr>
                <w:rFonts w:asciiTheme="minorHAnsi" w:hAnsiTheme="minorHAnsi" w:cstheme="minorHAnsi"/>
                <w:b w:val="0"/>
                <w:sz w:val="18"/>
                <w:szCs w:val="18"/>
                <w:lang w:val="it-IT"/>
              </w:rPr>
            </w:pPr>
          </w:p>
        </w:tc>
      </w:tr>
    </w:tbl>
    <w:p w:rsidR="001D5790" w:rsidRDefault="001D5790">
      <w:pPr>
        <w:rPr>
          <w:rFonts w:asciiTheme="minorHAnsi" w:hAnsiTheme="minorHAnsi" w:cstheme="minorHAnsi"/>
          <w:sz w:val="18"/>
          <w:szCs w:val="18"/>
        </w:rPr>
      </w:pPr>
    </w:p>
    <w:p w:rsidR="001D5790" w:rsidRDefault="00A5663E">
      <w:pPr>
        <w:rPr>
          <w:rFonts w:asciiTheme="minorHAnsi" w:hAnsiTheme="minorHAnsi" w:cstheme="minorHAnsi"/>
        </w:rPr>
      </w:pPr>
      <w:r>
        <w:rPr>
          <w:rFonts w:asciiTheme="minorHAnsi" w:hAnsiTheme="minorHAnsi" w:cstheme="minorHAnsi"/>
        </w:rPr>
        <w:br w:type="page"/>
      </w:r>
    </w:p>
    <w:tbl>
      <w:tblPr>
        <w:tblW w:w="1003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20" w:firstRow="1" w:lastRow="0" w:firstColumn="0" w:lastColumn="0" w:noHBand="0" w:noVBand="0"/>
      </w:tblPr>
      <w:tblGrid>
        <w:gridCol w:w="2093"/>
        <w:gridCol w:w="6804"/>
        <w:gridCol w:w="1134"/>
      </w:tblGrid>
      <w:tr w:rsidR="001D5790">
        <w:trPr>
          <w:trHeight w:val="274"/>
        </w:trPr>
        <w:tc>
          <w:tcPr>
            <w:tcW w:w="2093" w:type="dxa"/>
            <w:shd w:val="solid" w:color="000080" w:fill="FFFFFF"/>
          </w:tcPr>
          <w:p w:rsidR="001D5790" w:rsidRDefault="00A5663E">
            <w:pPr>
              <w:pStyle w:val="Titolo1"/>
              <w:numPr>
                <w:ilvl w:val="0"/>
                <w:numId w:val="0"/>
              </w:numPr>
              <w:ind w:left="363" w:hanging="363"/>
              <w:rPr>
                <w:rFonts w:asciiTheme="minorHAnsi" w:hAnsiTheme="minorHAnsi" w:cstheme="minorHAnsi"/>
                <w:b w:val="0"/>
                <w:bCs/>
                <w:i/>
                <w:color w:val="C6D9F1" w:themeColor="text2" w:themeTint="33"/>
                <w:lang w:val="it-IT"/>
              </w:rPr>
            </w:pPr>
            <w:r>
              <w:rPr>
                <w:rFonts w:asciiTheme="minorHAnsi" w:hAnsiTheme="minorHAnsi" w:cstheme="minorHAnsi"/>
                <w:b w:val="0"/>
                <w:bCs/>
                <w:i/>
                <w:iCs/>
                <w:color w:val="C6D9F1" w:themeColor="text2" w:themeTint="33"/>
                <w:lang w:val="it-IT"/>
              </w:rPr>
              <w:lastRenderedPageBreak/>
              <w:t>Compito 2</w:t>
            </w:r>
          </w:p>
        </w:tc>
        <w:tc>
          <w:tcPr>
            <w:tcW w:w="7938" w:type="dxa"/>
            <w:gridSpan w:val="2"/>
            <w:shd w:val="solid" w:color="000080" w:fill="FFFFFF"/>
          </w:tcPr>
          <w:p w:rsidR="001D5790" w:rsidRDefault="00A5663E">
            <w:pPr>
              <w:pStyle w:val="NormaleWeb"/>
              <w:rPr>
                <w:rFonts w:asciiTheme="minorHAnsi" w:hAnsiTheme="minorHAnsi" w:cstheme="minorHAnsi"/>
                <w:b/>
                <w:bCs/>
                <w:color w:val="EAF1DD" w:themeColor="accent3" w:themeTint="33"/>
                <w:lang w:val="it-CH"/>
              </w:rPr>
            </w:pPr>
            <w:r>
              <w:rPr>
                <w:rFonts w:asciiTheme="minorHAnsi" w:hAnsiTheme="minorHAnsi" w:cstheme="minorHAnsi"/>
                <w:b/>
                <w:bCs/>
                <w:color w:val="EAF1DD" w:themeColor="accent3" w:themeTint="33"/>
              </w:rPr>
              <w:t>Monitoraggio microbiologico dell’ambiente a tutela e salvaguardia della biodiversità</w:t>
            </w:r>
          </w:p>
        </w:tc>
      </w:tr>
      <w:tr w:rsidR="001D5790">
        <w:trPr>
          <w:trHeight w:val="542"/>
        </w:trPr>
        <w:tc>
          <w:tcPr>
            <w:tcW w:w="2093" w:type="dxa"/>
            <w:shd w:val="clear" w:color="auto" w:fill="auto"/>
            <w:vAlign w:val="center"/>
          </w:tcPr>
          <w:p w:rsidR="001D5790" w:rsidRDefault="00A5663E">
            <w:pPr>
              <w:spacing w:before="100" w:beforeAutospacing="1" w:after="100" w:afterAutospacing="1"/>
              <w:rPr>
                <w:rFonts w:asciiTheme="minorHAnsi" w:hAnsiTheme="minorHAnsi" w:cstheme="minorHAnsi"/>
                <w:b/>
                <w:bCs/>
                <w:sz w:val="18"/>
                <w:szCs w:val="18"/>
              </w:rPr>
            </w:pPr>
            <w:r>
              <w:rPr>
                <w:rFonts w:asciiTheme="minorHAnsi" w:hAnsiTheme="minorHAnsi" w:cstheme="minorHAnsi"/>
                <w:b/>
                <w:bCs/>
                <w:sz w:val="18"/>
                <w:szCs w:val="18"/>
              </w:rPr>
              <w:t>Attività</w:t>
            </w:r>
          </w:p>
        </w:tc>
        <w:tc>
          <w:tcPr>
            <w:tcW w:w="6804" w:type="dxa"/>
            <w:shd w:val="clear" w:color="auto" w:fill="auto"/>
            <w:vAlign w:val="center"/>
          </w:tcPr>
          <w:p w:rsidR="001D5790" w:rsidRDefault="00A5663E">
            <w:pPr>
              <w:spacing w:before="100" w:beforeAutospacing="1" w:after="100" w:afterAutospacing="1"/>
              <w:rPr>
                <w:rFonts w:asciiTheme="minorHAnsi" w:hAnsiTheme="minorHAnsi" w:cstheme="minorHAnsi"/>
                <w:b/>
                <w:bCs/>
                <w:sz w:val="18"/>
                <w:szCs w:val="18"/>
              </w:rPr>
            </w:pPr>
            <w:r>
              <w:rPr>
                <w:rFonts w:asciiTheme="minorHAnsi" w:hAnsiTheme="minorHAnsi" w:cstheme="minorHAnsi"/>
                <w:b/>
                <w:bCs/>
                <w:sz w:val="18"/>
                <w:szCs w:val="18"/>
              </w:rPr>
              <w:t>Descrizione</w:t>
            </w:r>
          </w:p>
        </w:tc>
        <w:tc>
          <w:tcPr>
            <w:tcW w:w="1134" w:type="dxa"/>
            <w:shd w:val="clear" w:color="auto" w:fill="auto"/>
            <w:vAlign w:val="center"/>
          </w:tcPr>
          <w:p w:rsidR="001D5790" w:rsidRDefault="00A5663E">
            <w:pPr>
              <w:spacing w:before="100" w:beforeAutospacing="1" w:after="100" w:afterAutospacing="1"/>
              <w:rPr>
                <w:rFonts w:asciiTheme="minorHAnsi" w:hAnsiTheme="minorHAnsi" w:cstheme="minorHAnsi"/>
                <w:b/>
                <w:bCs/>
                <w:sz w:val="18"/>
                <w:szCs w:val="18"/>
              </w:rPr>
            </w:pPr>
            <w:r>
              <w:rPr>
                <w:rFonts w:asciiTheme="minorHAnsi" w:hAnsiTheme="minorHAnsi" w:cstheme="minorHAnsi"/>
                <w:b/>
                <w:bCs/>
                <w:sz w:val="18"/>
                <w:szCs w:val="18"/>
              </w:rPr>
              <w:t>Costi in fr.</w:t>
            </w:r>
          </w:p>
        </w:tc>
      </w:tr>
      <w:tr w:rsidR="001D5790">
        <w:trPr>
          <w:trHeight w:val="443"/>
        </w:trPr>
        <w:tc>
          <w:tcPr>
            <w:tcW w:w="2093" w:type="dxa"/>
            <w:shd w:val="clear" w:color="auto" w:fill="auto"/>
          </w:tcPr>
          <w:p w:rsidR="001D5790" w:rsidRDefault="001D5790">
            <w:pPr>
              <w:pStyle w:val="NormaleWeb"/>
              <w:rPr>
                <w:rFonts w:asciiTheme="minorHAnsi" w:hAnsiTheme="minorHAnsi" w:cstheme="minorHAnsi"/>
                <w:bCs/>
                <w:sz w:val="18"/>
                <w:szCs w:val="18"/>
                <w:lang w:val="it-CH"/>
              </w:rPr>
            </w:pPr>
          </w:p>
        </w:tc>
        <w:tc>
          <w:tcPr>
            <w:tcW w:w="6804" w:type="dxa"/>
            <w:shd w:val="clear" w:color="auto" w:fill="auto"/>
          </w:tcPr>
          <w:p w:rsidR="001D5790" w:rsidRDefault="00A5663E">
            <w:pPr>
              <w:pStyle w:val="NormaleWeb"/>
              <w:jc w:val="center"/>
              <w:rPr>
                <w:rFonts w:asciiTheme="minorHAnsi" w:hAnsiTheme="minorHAnsi" w:cstheme="minorHAnsi"/>
                <w:lang w:val="it-CH"/>
              </w:rPr>
            </w:pPr>
            <w:r>
              <w:rPr>
                <w:rFonts w:asciiTheme="minorHAnsi" w:hAnsiTheme="minorHAnsi" w:cstheme="minorHAnsi"/>
                <w:b/>
                <w:bCs/>
                <w:sz w:val="18"/>
                <w:szCs w:val="18"/>
              </w:rPr>
              <w:t xml:space="preserve">Collaborazione scientifica, logistica ed accademica con la fondazione Centro di Biologia Alpina – Piora </w:t>
            </w:r>
          </w:p>
        </w:tc>
        <w:tc>
          <w:tcPr>
            <w:tcW w:w="1134" w:type="dxa"/>
            <w:shd w:val="clear" w:color="auto" w:fill="auto"/>
          </w:tcPr>
          <w:p w:rsidR="001D5790" w:rsidRDefault="001D5790">
            <w:pPr>
              <w:pStyle w:val="Corpodeltesto2"/>
              <w:ind w:left="-110"/>
              <w:rPr>
                <w:rFonts w:asciiTheme="minorHAnsi" w:hAnsiTheme="minorHAnsi" w:cstheme="minorHAnsi"/>
                <w:sz w:val="18"/>
                <w:szCs w:val="18"/>
              </w:rPr>
            </w:pPr>
          </w:p>
        </w:tc>
      </w:tr>
      <w:tr w:rsidR="001D5790">
        <w:trPr>
          <w:trHeight w:val="700"/>
        </w:trPr>
        <w:tc>
          <w:tcPr>
            <w:tcW w:w="2093" w:type="dxa"/>
            <w:shd w:val="clear" w:color="auto" w:fill="auto"/>
          </w:tcPr>
          <w:p w:rsidR="001D5790" w:rsidRDefault="00A5663E">
            <w:pPr>
              <w:pStyle w:val="NormaleWeb"/>
              <w:rPr>
                <w:rFonts w:asciiTheme="minorHAnsi" w:hAnsiTheme="minorHAnsi" w:cstheme="minorHAnsi"/>
                <w:lang w:val="it-CH"/>
              </w:rPr>
            </w:pPr>
            <w:r>
              <w:rPr>
                <w:rFonts w:asciiTheme="minorHAnsi" w:hAnsiTheme="minorHAnsi" w:cstheme="minorHAnsi"/>
                <w:sz w:val="18"/>
                <w:szCs w:val="18"/>
              </w:rPr>
              <w:t xml:space="preserve">Coordinamento e relazioni con gli enti coinvolti </w:t>
            </w:r>
          </w:p>
          <w:p w:rsidR="001D5790" w:rsidRDefault="001D5790">
            <w:pPr>
              <w:pStyle w:val="Titolo1"/>
              <w:numPr>
                <w:ilvl w:val="0"/>
                <w:numId w:val="0"/>
              </w:numPr>
              <w:ind w:left="363" w:hanging="363"/>
              <w:rPr>
                <w:rFonts w:asciiTheme="minorHAnsi" w:hAnsiTheme="minorHAnsi" w:cstheme="minorHAnsi"/>
                <w:b w:val="0"/>
                <w:sz w:val="18"/>
                <w:szCs w:val="18"/>
                <w:lang w:eastAsia="it-IT"/>
              </w:rPr>
            </w:pPr>
          </w:p>
        </w:tc>
        <w:tc>
          <w:tcPr>
            <w:tcW w:w="6804" w:type="dxa"/>
            <w:shd w:val="clear" w:color="auto" w:fill="auto"/>
          </w:tcPr>
          <w:p w:rsidR="001D5790" w:rsidRDefault="00A5663E">
            <w:pPr>
              <w:pStyle w:val="NormaleWeb"/>
              <w:jc w:val="both"/>
              <w:rPr>
                <w:rFonts w:asciiTheme="minorHAnsi" w:hAnsiTheme="minorHAnsi" w:cstheme="minorHAnsi"/>
                <w:lang w:val="it-CH"/>
              </w:rPr>
            </w:pPr>
            <w:r>
              <w:rPr>
                <w:rFonts w:asciiTheme="minorHAnsi" w:hAnsiTheme="minorHAnsi" w:cstheme="minorHAnsi"/>
                <w:sz w:val="18"/>
                <w:szCs w:val="18"/>
              </w:rPr>
              <w:t xml:space="preserve">Cooperazione con la Fondazione Centro Biologia Alpina e la Corporazione dei Boggesi di Piora. Coordinamento e supporto tecnico-logistico (strumentazione, materiale di laboratorio e servizio zattera) delle attivitàà di formazione e ricerca al Centro Biologia Alpina, Piora (es. corsi dei licei del Cantone Ticino, gruppi universitari di ricerca svizzeri ed esteri). </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15'000.-</w:t>
            </w:r>
          </w:p>
        </w:tc>
      </w:tr>
      <w:tr w:rsidR="001D5790">
        <w:trPr>
          <w:trHeight w:val="569"/>
        </w:trPr>
        <w:tc>
          <w:tcPr>
            <w:tcW w:w="2093" w:type="dxa"/>
            <w:shd w:val="clear" w:color="auto" w:fill="auto"/>
          </w:tcPr>
          <w:p w:rsidR="001D5790" w:rsidRDefault="00A5663E">
            <w:pPr>
              <w:pStyle w:val="NormaleWeb"/>
              <w:rPr>
                <w:rFonts w:asciiTheme="minorHAnsi" w:hAnsiTheme="minorHAnsi" w:cstheme="minorHAnsi"/>
                <w:lang w:val="it-CH"/>
              </w:rPr>
            </w:pPr>
            <w:r>
              <w:rPr>
                <w:rFonts w:asciiTheme="minorHAnsi" w:hAnsiTheme="minorHAnsi" w:cstheme="minorHAnsi"/>
                <w:sz w:val="18"/>
                <w:szCs w:val="18"/>
              </w:rPr>
              <w:t xml:space="preserve">Resoconto per rapporto annuale CBA </w:t>
            </w:r>
          </w:p>
        </w:tc>
        <w:tc>
          <w:tcPr>
            <w:tcW w:w="6804" w:type="dxa"/>
            <w:shd w:val="clear" w:color="auto" w:fill="auto"/>
          </w:tcPr>
          <w:p w:rsidR="001D5790" w:rsidRDefault="00A5663E">
            <w:pPr>
              <w:pStyle w:val="NormaleWeb"/>
              <w:jc w:val="both"/>
              <w:rPr>
                <w:rFonts w:asciiTheme="minorHAnsi" w:hAnsiTheme="minorHAnsi" w:cstheme="minorHAnsi"/>
                <w:lang w:val="it-CH"/>
              </w:rPr>
            </w:pPr>
            <w:r>
              <w:rPr>
                <w:rFonts w:asciiTheme="minorHAnsi" w:hAnsiTheme="minorHAnsi" w:cstheme="minorHAnsi"/>
                <w:sz w:val="18"/>
                <w:szCs w:val="18"/>
              </w:rPr>
              <w:t>Redazione dei resoconti scientifici, aggiornamenti e modifiche.</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2’500.-</w:t>
            </w:r>
          </w:p>
        </w:tc>
      </w:tr>
      <w:tr w:rsidR="001D5790">
        <w:trPr>
          <w:trHeight w:val="471"/>
        </w:trPr>
        <w:tc>
          <w:tcPr>
            <w:tcW w:w="2093" w:type="dxa"/>
            <w:shd w:val="clear" w:color="auto" w:fill="auto"/>
          </w:tcPr>
          <w:p w:rsidR="001D5790" w:rsidRDefault="00A5663E">
            <w:pPr>
              <w:pStyle w:val="NormaleWeb"/>
              <w:rPr>
                <w:rFonts w:asciiTheme="minorHAnsi" w:hAnsiTheme="minorHAnsi" w:cstheme="minorHAnsi"/>
                <w:sz w:val="18"/>
                <w:szCs w:val="18"/>
              </w:rPr>
            </w:pPr>
            <w:r>
              <w:rPr>
                <w:rFonts w:asciiTheme="minorHAnsi" w:hAnsiTheme="minorHAnsi" w:cstheme="minorHAnsi"/>
                <w:sz w:val="18"/>
                <w:szCs w:val="18"/>
              </w:rPr>
              <w:t>Trasporti</w:t>
            </w:r>
          </w:p>
        </w:tc>
        <w:tc>
          <w:tcPr>
            <w:tcW w:w="6804" w:type="dxa"/>
            <w:shd w:val="clear" w:color="auto" w:fill="auto"/>
          </w:tcPr>
          <w:p w:rsidR="001D5790" w:rsidRDefault="00A5663E">
            <w:pPr>
              <w:pStyle w:val="NormaleWeb"/>
              <w:jc w:val="both"/>
              <w:rPr>
                <w:rFonts w:asciiTheme="minorHAnsi" w:hAnsiTheme="minorHAnsi" w:cstheme="minorHAnsi"/>
                <w:lang w:val="it-CH"/>
              </w:rPr>
            </w:pPr>
            <w:r>
              <w:rPr>
                <w:rFonts w:asciiTheme="minorHAnsi" w:hAnsiTheme="minorHAnsi" w:cstheme="minorHAnsi"/>
                <w:sz w:val="18"/>
                <w:szCs w:val="18"/>
              </w:rPr>
              <w:t>Utilizzo e manutenzione di automezzi, terrestri ed acquatici, per attività in Piora (CBA).</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2'500.-</w:t>
            </w:r>
          </w:p>
        </w:tc>
      </w:tr>
      <w:tr w:rsidR="001D5790">
        <w:trPr>
          <w:trHeight w:val="401"/>
        </w:trPr>
        <w:tc>
          <w:tcPr>
            <w:tcW w:w="2093" w:type="dxa"/>
            <w:shd w:val="clear" w:color="auto" w:fill="auto"/>
          </w:tcPr>
          <w:p w:rsidR="001D5790" w:rsidRDefault="001D5790">
            <w:pPr>
              <w:pStyle w:val="NormaleWeb"/>
              <w:rPr>
                <w:rFonts w:asciiTheme="minorHAnsi" w:hAnsiTheme="minorHAnsi" w:cstheme="minorHAnsi"/>
                <w:sz w:val="18"/>
                <w:szCs w:val="18"/>
                <w:lang w:val="it-CH"/>
              </w:rPr>
            </w:pPr>
          </w:p>
        </w:tc>
        <w:tc>
          <w:tcPr>
            <w:tcW w:w="6804" w:type="dxa"/>
            <w:shd w:val="clear" w:color="auto" w:fill="auto"/>
          </w:tcPr>
          <w:p w:rsidR="001D5790" w:rsidRDefault="00A5663E">
            <w:pPr>
              <w:pStyle w:val="NormaleWeb"/>
              <w:jc w:val="center"/>
              <w:rPr>
                <w:rFonts w:asciiTheme="minorHAnsi" w:hAnsiTheme="minorHAnsi" w:cstheme="minorHAnsi"/>
                <w:lang w:val="it-CH"/>
              </w:rPr>
            </w:pPr>
            <w:r>
              <w:rPr>
                <w:rFonts w:asciiTheme="minorHAnsi" w:hAnsiTheme="minorHAnsi" w:cstheme="minorHAnsi"/>
                <w:b/>
                <w:bCs/>
                <w:sz w:val="18"/>
                <w:szCs w:val="18"/>
              </w:rPr>
              <w:t xml:space="preserve">Indagini e perizie di microbiologia ambientale </w:t>
            </w:r>
          </w:p>
        </w:tc>
        <w:tc>
          <w:tcPr>
            <w:tcW w:w="1134" w:type="dxa"/>
            <w:shd w:val="clear" w:color="auto" w:fill="auto"/>
            <w:vAlign w:val="center"/>
          </w:tcPr>
          <w:p w:rsidR="001D5790" w:rsidRDefault="001D5790">
            <w:pPr>
              <w:pStyle w:val="Corpodeltesto2"/>
              <w:jc w:val="right"/>
              <w:rPr>
                <w:rFonts w:asciiTheme="minorHAnsi" w:hAnsiTheme="minorHAnsi" w:cstheme="minorHAnsi"/>
                <w:sz w:val="18"/>
                <w:szCs w:val="18"/>
              </w:rPr>
            </w:pPr>
          </w:p>
        </w:tc>
      </w:tr>
      <w:tr w:rsidR="001D5790">
        <w:trPr>
          <w:trHeight w:val="700"/>
        </w:trPr>
        <w:tc>
          <w:tcPr>
            <w:tcW w:w="2093" w:type="dxa"/>
            <w:shd w:val="clear" w:color="auto" w:fill="auto"/>
          </w:tcPr>
          <w:p w:rsidR="001D5790" w:rsidRDefault="00A5663E">
            <w:pPr>
              <w:pStyle w:val="NormaleWeb"/>
              <w:rPr>
                <w:rFonts w:asciiTheme="minorHAnsi" w:hAnsiTheme="minorHAnsi" w:cstheme="minorHAnsi"/>
              </w:rPr>
            </w:pPr>
            <w:r>
              <w:rPr>
                <w:rFonts w:asciiTheme="minorHAnsi" w:hAnsiTheme="minorHAnsi" w:cstheme="minorHAnsi"/>
                <w:sz w:val="18"/>
                <w:szCs w:val="18"/>
              </w:rPr>
              <w:t xml:space="preserve">Accompagnamento scientifico </w:t>
            </w:r>
          </w:p>
        </w:tc>
        <w:tc>
          <w:tcPr>
            <w:tcW w:w="6804" w:type="dxa"/>
            <w:shd w:val="clear" w:color="auto" w:fill="auto"/>
          </w:tcPr>
          <w:p w:rsidR="001D5790" w:rsidRDefault="00A5663E">
            <w:pPr>
              <w:pStyle w:val="NormaleWeb"/>
              <w:jc w:val="both"/>
              <w:rPr>
                <w:rFonts w:asciiTheme="minorHAnsi" w:hAnsiTheme="minorHAnsi" w:cstheme="minorHAnsi"/>
                <w:lang w:val="it-CH"/>
              </w:rPr>
            </w:pPr>
            <w:r>
              <w:rPr>
                <w:rFonts w:asciiTheme="minorHAnsi" w:hAnsiTheme="minorHAnsi" w:cstheme="minorHAnsi"/>
                <w:sz w:val="18"/>
                <w:szCs w:val="18"/>
              </w:rPr>
              <w:t>Attività̀ di consulenza scientifica e didattica per corsi universitari, liceali e lavori di ricerca per tesi come LAM, BSc e MSc. Partenariato con l’Università di Ginevra (UNIGE).</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 xml:space="preserve">30'000.- </w:t>
            </w:r>
          </w:p>
        </w:tc>
      </w:tr>
      <w:tr w:rsidR="001D5790">
        <w:trPr>
          <w:trHeight w:val="700"/>
        </w:trPr>
        <w:tc>
          <w:tcPr>
            <w:tcW w:w="2093" w:type="dxa"/>
            <w:shd w:val="clear" w:color="auto" w:fill="auto"/>
          </w:tcPr>
          <w:p w:rsidR="001D5790" w:rsidRDefault="00A5663E">
            <w:pPr>
              <w:pStyle w:val="NormaleWeb"/>
              <w:rPr>
                <w:rFonts w:asciiTheme="minorHAnsi" w:hAnsiTheme="minorHAnsi" w:cstheme="minorHAnsi"/>
                <w:lang w:val="it-CH"/>
              </w:rPr>
            </w:pPr>
            <w:r>
              <w:rPr>
                <w:rFonts w:asciiTheme="minorHAnsi" w:hAnsiTheme="minorHAnsi" w:cstheme="minorHAnsi"/>
                <w:sz w:val="18"/>
                <w:szCs w:val="18"/>
              </w:rPr>
              <w:t xml:space="preserve">Monitoraggio regolare microbiologico e fisico-chimico di laghi alpini </w:t>
            </w:r>
          </w:p>
        </w:tc>
        <w:tc>
          <w:tcPr>
            <w:tcW w:w="6804" w:type="dxa"/>
            <w:shd w:val="clear" w:color="auto" w:fill="auto"/>
          </w:tcPr>
          <w:p w:rsidR="001D5790" w:rsidRDefault="00A5663E">
            <w:pPr>
              <w:pStyle w:val="NormaleWeb"/>
              <w:jc w:val="both"/>
              <w:rPr>
                <w:rFonts w:asciiTheme="minorHAnsi" w:hAnsiTheme="minorHAnsi" w:cstheme="minorHAnsi"/>
                <w:sz w:val="18"/>
                <w:szCs w:val="18"/>
              </w:rPr>
            </w:pPr>
            <w:r>
              <w:rPr>
                <w:rFonts w:asciiTheme="minorHAnsi" w:hAnsiTheme="minorHAnsi" w:cstheme="minorHAnsi"/>
                <w:sz w:val="18"/>
                <w:szCs w:val="18"/>
              </w:rPr>
              <w:t xml:space="preserve">Campagne regolari di monitoraggio (prelievi ed analisi fisico-chimiche-microbiologiche) sui corpi d’acqua dell’arco alpino, con particolare attenzione al lago meromittico di Cadagno, e la val Piora in generale. </w:t>
            </w:r>
          </w:p>
          <w:p w:rsidR="001D5790" w:rsidRDefault="00A5663E">
            <w:pPr>
              <w:pStyle w:val="NormaleWeb"/>
              <w:jc w:val="both"/>
              <w:rPr>
                <w:rFonts w:asciiTheme="minorHAnsi" w:hAnsiTheme="minorHAnsi" w:cstheme="minorHAnsi"/>
                <w:sz w:val="18"/>
                <w:szCs w:val="18"/>
                <w:lang w:val="it-CH"/>
              </w:rPr>
            </w:pPr>
            <w:r>
              <w:rPr>
                <w:rFonts w:asciiTheme="minorHAnsi" w:hAnsiTheme="minorHAnsi" w:cstheme="minorHAnsi"/>
                <w:sz w:val="18"/>
                <w:szCs w:val="18"/>
              </w:rPr>
              <w:t>Il monitoraggio a lungo termine per l’allestimento di banche dati indispensabili per una corretta e rapida valutazione dell’adattamento dell’ambiente acquatico ai cambiamenti climatici e alle altre sfide associate all’antropizzazione (inquinamento, urbanizzazione, ecc).</w:t>
            </w:r>
          </w:p>
        </w:tc>
        <w:tc>
          <w:tcPr>
            <w:tcW w:w="1134" w:type="dxa"/>
            <w:shd w:val="clear" w:color="auto" w:fill="auto"/>
            <w:vAlign w:val="center"/>
          </w:tcPr>
          <w:p w:rsidR="001D5790" w:rsidRDefault="00A5663E">
            <w:pPr>
              <w:pStyle w:val="Corpodeltesto2"/>
              <w:jc w:val="right"/>
              <w:rPr>
                <w:rFonts w:asciiTheme="minorHAnsi" w:hAnsiTheme="minorHAnsi" w:cstheme="minorHAnsi"/>
                <w:color w:val="000000"/>
                <w:sz w:val="18"/>
                <w:szCs w:val="18"/>
              </w:rPr>
            </w:pPr>
            <w:r>
              <w:rPr>
                <w:rFonts w:asciiTheme="minorHAnsi" w:hAnsiTheme="minorHAnsi" w:cstheme="minorHAnsi"/>
                <w:color w:val="000000"/>
                <w:sz w:val="18"/>
                <w:szCs w:val="18"/>
              </w:rPr>
              <w:t>40'000.-</w:t>
            </w:r>
          </w:p>
          <w:p w:rsidR="001D5790" w:rsidRDefault="001D5790">
            <w:pPr>
              <w:pStyle w:val="Corpodeltesto2"/>
              <w:jc w:val="right"/>
              <w:rPr>
                <w:rFonts w:asciiTheme="minorHAnsi" w:hAnsiTheme="minorHAnsi" w:cstheme="minorHAnsi"/>
                <w:i/>
                <w:sz w:val="18"/>
                <w:szCs w:val="18"/>
              </w:rPr>
            </w:pPr>
          </w:p>
        </w:tc>
      </w:tr>
      <w:tr w:rsidR="001D5790">
        <w:trPr>
          <w:trHeight w:val="597"/>
        </w:trPr>
        <w:tc>
          <w:tcPr>
            <w:tcW w:w="2093" w:type="dxa"/>
            <w:shd w:val="clear" w:color="auto" w:fill="auto"/>
          </w:tcPr>
          <w:p w:rsidR="001D5790" w:rsidRDefault="00A5663E">
            <w:pPr>
              <w:pStyle w:val="NormaleWeb"/>
              <w:rPr>
                <w:rFonts w:asciiTheme="minorHAnsi" w:hAnsiTheme="minorHAnsi" w:cstheme="minorHAnsi"/>
                <w:lang w:val="it-CH"/>
              </w:rPr>
            </w:pPr>
            <w:r>
              <w:rPr>
                <w:rFonts w:asciiTheme="minorHAnsi" w:hAnsiTheme="minorHAnsi" w:cstheme="minorHAnsi"/>
                <w:sz w:val="18"/>
                <w:szCs w:val="18"/>
              </w:rPr>
              <w:t xml:space="preserve">Elaborazione dati dei monitoraggi </w:t>
            </w:r>
          </w:p>
        </w:tc>
        <w:tc>
          <w:tcPr>
            <w:tcW w:w="6804" w:type="dxa"/>
            <w:shd w:val="clear" w:color="auto" w:fill="auto"/>
          </w:tcPr>
          <w:p w:rsidR="001D5790" w:rsidRDefault="00A5663E">
            <w:pPr>
              <w:pStyle w:val="NormaleWeb"/>
              <w:jc w:val="both"/>
              <w:rPr>
                <w:rFonts w:asciiTheme="minorHAnsi" w:hAnsiTheme="minorHAnsi" w:cstheme="minorHAnsi"/>
                <w:lang w:val="it-CH"/>
              </w:rPr>
            </w:pPr>
            <w:r>
              <w:rPr>
                <w:rFonts w:asciiTheme="minorHAnsi" w:hAnsiTheme="minorHAnsi" w:cstheme="minorHAnsi"/>
                <w:sz w:val="18"/>
                <w:szCs w:val="18"/>
              </w:rPr>
              <w:t>Trattamento dei dati acquisiti durante le campagne regolari di prelievo e analisi sui corpi d’acqua dell’arco alpino.</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20'000.-</w:t>
            </w:r>
          </w:p>
        </w:tc>
      </w:tr>
      <w:tr w:rsidR="001D5790">
        <w:trPr>
          <w:trHeight w:val="583"/>
        </w:trPr>
        <w:tc>
          <w:tcPr>
            <w:tcW w:w="2093" w:type="dxa"/>
            <w:shd w:val="clear" w:color="auto" w:fill="auto"/>
          </w:tcPr>
          <w:p w:rsidR="001D5790" w:rsidRDefault="00A5663E">
            <w:pPr>
              <w:pStyle w:val="NormaleWeb"/>
              <w:rPr>
                <w:rFonts w:asciiTheme="minorHAnsi" w:hAnsiTheme="minorHAnsi" w:cstheme="minorHAnsi"/>
                <w:lang w:val="it-CH"/>
              </w:rPr>
            </w:pPr>
            <w:r>
              <w:rPr>
                <w:rFonts w:asciiTheme="minorHAnsi" w:hAnsiTheme="minorHAnsi" w:cstheme="minorHAnsi"/>
                <w:sz w:val="18"/>
                <w:szCs w:val="18"/>
              </w:rPr>
              <w:t xml:space="preserve">Indagini e analisi  ambientali </w:t>
            </w:r>
          </w:p>
        </w:tc>
        <w:tc>
          <w:tcPr>
            <w:tcW w:w="6804" w:type="dxa"/>
            <w:shd w:val="clear" w:color="auto" w:fill="auto"/>
          </w:tcPr>
          <w:p w:rsidR="001D5790" w:rsidRDefault="00A5663E">
            <w:pPr>
              <w:pStyle w:val="NormaleWeb"/>
              <w:jc w:val="both"/>
              <w:rPr>
                <w:rFonts w:asciiTheme="minorHAnsi" w:hAnsiTheme="minorHAnsi" w:cstheme="minorHAnsi"/>
                <w:sz w:val="18"/>
                <w:szCs w:val="18"/>
              </w:rPr>
            </w:pPr>
            <w:r>
              <w:rPr>
                <w:rFonts w:asciiTheme="minorHAnsi" w:hAnsiTheme="minorHAnsi" w:cstheme="minorHAnsi"/>
                <w:sz w:val="18"/>
                <w:szCs w:val="18"/>
              </w:rPr>
              <w:t>Valutazione della qualità degli ambienti naturali (biodiversità, cicli biogeochimici e valori abiotici) come indicatore della salute dell’ecosistema acquatico secondo il  concetto One Health, utilizzando ecosistemi modello (es. lago di Cadagno, Bolle di Magadino,…).</w:t>
            </w:r>
          </w:p>
        </w:tc>
        <w:tc>
          <w:tcPr>
            <w:tcW w:w="1134" w:type="dxa"/>
            <w:shd w:val="clear" w:color="auto" w:fill="auto"/>
            <w:vAlign w:val="center"/>
          </w:tcPr>
          <w:p w:rsidR="001D5790" w:rsidRDefault="00A5663E">
            <w:pPr>
              <w:pStyle w:val="Corpodeltesto2"/>
              <w:jc w:val="right"/>
              <w:rPr>
                <w:rFonts w:asciiTheme="minorHAnsi" w:hAnsiTheme="minorHAnsi" w:cstheme="minorHAnsi"/>
                <w:color w:val="000000"/>
                <w:sz w:val="18"/>
                <w:szCs w:val="18"/>
              </w:rPr>
            </w:pPr>
            <w:r>
              <w:rPr>
                <w:rFonts w:asciiTheme="minorHAnsi" w:hAnsiTheme="minorHAnsi" w:cstheme="minorHAnsi"/>
                <w:color w:val="000000"/>
                <w:sz w:val="18"/>
                <w:szCs w:val="18"/>
              </w:rPr>
              <w:t>140'000.-</w:t>
            </w:r>
          </w:p>
          <w:p w:rsidR="001D5790" w:rsidRDefault="001D5790">
            <w:pPr>
              <w:pStyle w:val="Corpodeltesto2"/>
              <w:jc w:val="right"/>
              <w:rPr>
                <w:rFonts w:asciiTheme="minorHAnsi" w:hAnsiTheme="minorHAnsi" w:cstheme="minorHAnsi"/>
                <w:sz w:val="18"/>
                <w:szCs w:val="18"/>
              </w:rPr>
            </w:pPr>
          </w:p>
        </w:tc>
      </w:tr>
      <w:tr w:rsidR="001D5790">
        <w:trPr>
          <w:trHeight w:val="429"/>
        </w:trPr>
        <w:tc>
          <w:tcPr>
            <w:tcW w:w="2093" w:type="dxa"/>
            <w:shd w:val="clear" w:color="auto" w:fill="auto"/>
          </w:tcPr>
          <w:p w:rsidR="001D5790" w:rsidRDefault="001D5790">
            <w:pPr>
              <w:pStyle w:val="NormaleWeb"/>
              <w:rPr>
                <w:rFonts w:asciiTheme="minorHAnsi" w:hAnsiTheme="minorHAnsi" w:cstheme="minorHAnsi"/>
                <w:sz w:val="18"/>
                <w:szCs w:val="18"/>
                <w:lang w:val="it-CH"/>
              </w:rPr>
            </w:pPr>
          </w:p>
        </w:tc>
        <w:tc>
          <w:tcPr>
            <w:tcW w:w="6804" w:type="dxa"/>
            <w:shd w:val="clear" w:color="auto" w:fill="auto"/>
          </w:tcPr>
          <w:p w:rsidR="001D5790" w:rsidRDefault="00A5663E">
            <w:pPr>
              <w:pStyle w:val="NormaleWeb"/>
              <w:jc w:val="center"/>
              <w:rPr>
                <w:rFonts w:asciiTheme="minorHAnsi" w:hAnsiTheme="minorHAnsi" w:cstheme="minorHAnsi"/>
                <w:b/>
                <w:bCs/>
                <w:sz w:val="18"/>
                <w:szCs w:val="18"/>
              </w:rPr>
            </w:pPr>
            <w:r>
              <w:rPr>
                <w:rFonts w:asciiTheme="minorHAnsi" w:hAnsiTheme="minorHAnsi" w:cstheme="minorHAnsi"/>
                <w:b/>
                <w:bCs/>
                <w:sz w:val="18"/>
                <w:szCs w:val="18"/>
              </w:rPr>
              <w:t xml:space="preserve">Gestione ed esercizio </w:t>
            </w:r>
          </w:p>
        </w:tc>
        <w:tc>
          <w:tcPr>
            <w:tcW w:w="1134" w:type="dxa"/>
            <w:shd w:val="clear" w:color="auto" w:fill="auto"/>
          </w:tcPr>
          <w:p w:rsidR="001D5790" w:rsidRDefault="001D5790">
            <w:pPr>
              <w:pStyle w:val="Corpodeltesto2"/>
              <w:jc w:val="right"/>
              <w:rPr>
                <w:rFonts w:asciiTheme="minorHAnsi" w:hAnsiTheme="minorHAnsi" w:cstheme="minorHAnsi"/>
                <w:sz w:val="18"/>
                <w:szCs w:val="18"/>
              </w:rPr>
            </w:pPr>
          </w:p>
        </w:tc>
      </w:tr>
      <w:tr w:rsidR="001D5790">
        <w:trPr>
          <w:trHeight w:val="711"/>
        </w:trPr>
        <w:tc>
          <w:tcPr>
            <w:tcW w:w="2093" w:type="dxa"/>
            <w:shd w:val="clear" w:color="auto" w:fill="auto"/>
          </w:tcPr>
          <w:p w:rsidR="001D5790" w:rsidRDefault="00A5663E">
            <w:pPr>
              <w:pStyle w:val="NormaleWeb"/>
              <w:rPr>
                <w:rFonts w:asciiTheme="minorHAnsi" w:hAnsiTheme="minorHAnsi" w:cstheme="minorHAnsi"/>
                <w:lang w:val="it-CH"/>
              </w:rPr>
            </w:pPr>
            <w:r>
              <w:rPr>
                <w:rFonts w:asciiTheme="minorHAnsi" w:hAnsiTheme="minorHAnsi" w:cstheme="minorHAnsi"/>
                <w:sz w:val="18"/>
                <w:szCs w:val="18"/>
              </w:rPr>
              <w:t xml:space="preserve">Budget per attrezzature </w:t>
            </w:r>
          </w:p>
        </w:tc>
        <w:tc>
          <w:tcPr>
            <w:tcW w:w="6804" w:type="dxa"/>
            <w:shd w:val="clear" w:color="auto" w:fill="auto"/>
          </w:tcPr>
          <w:p w:rsidR="001D5790" w:rsidRDefault="00A5663E">
            <w:pPr>
              <w:pStyle w:val="NormaleWeb"/>
              <w:jc w:val="both"/>
              <w:rPr>
                <w:rFonts w:asciiTheme="minorHAnsi" w:hAnsiTheme="minorHAnsi" w:cstheme="minorHAnsi"/>
                <w:sz w:val="18"/>
                <w:szCs w:val="18"/>
              </w:rPr>
            </w:pPr>
            <w:r>
              <w:rPr>
                <w:rFonts w:asciiTheme="minorHAnsi" w:hAnsiTheme="minorHAnsi" w:cstheme="minorHAnsi"/>
                <w:sz w:val="18"/>
                <w:szCs w:val="18"/>
              </w:rPr>
              <w:t>Acquisto e ammodernamento strumentazione scientifica per analisi sul terreno e in laboratorio.</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20'000.-</w:t>
            </w:r>
          </w:p>
        </w:tc>
      </w:tr>
      <w:tr w:rsidR="001D5790">
        <w:trPr>
          <w:trHeight w:val="499"/>
        </w:trPr>
        <w:tc>
          <w:tcPr>
            <w:tcW w:w="2093" w:type="dxa"/>
            <w:shd w:val="clear" w:color="auto" w:fill="auto"/>
          </w:tcPr>
          <w:p w:rsidR="001D5790" w:rsidRDefault="00A5663E">
            <w:pPr>
              <w:pStyle w:val="NormaleWeb"/>
              <w:rPr>
                <w:rFonts w:asciiTheme="minorHAnsi" w:hAnsiTheme="minorHAnsi" w:cstheme="minorHAnsi"/>
                <w:lang w:val="it-CH"/>
              </w:rPr>
            </w:pPr>
            <w:r>
              <w:rPr>
                <w:rFonts w:asciiTheme="minorHAnsi" w:hAnsiTheme="minorHAnsi" w:cstheme="minorHAnsi"/>
                <w:sz w:val="18"/>
                <w:szCs w:val="18"/>
              </w:rPr>
              <w:t xml:space="preserve">Materiale di laboratorio </w:t>
            </w:r>
          </w:p>
        </w:tc>
        <w:tc>
          <w:tcPr>
            <w:tcW w:w="6804" w:type="dxa"/>
            <w:shd w:val="clear" w:color="auto" w:fill="auto"/>
          </w:tcPr>
          <w:p w:rsidR="001D5790" w:rsidRDefault="00A5663E">
            <w:pPr>
              <w:pStyle w:val="NormaleWeb"/>
              <w:jc w:val="both"/>
              <w:rPr>
                <w:rFonts w:asciiTheme="minorHAnsi" w:hAnsiTheme="minorHAnsi" w:cstheme="minorHAnsi"/>
                <w:lang w:val="it-CH"/>
              </w:rPr>
            </w:pPr>
            <w:r>
              <w:rPr>
                <w:rFonts w:asciiTheme="minorHAnsi" w:hAnsiTheme="minorHAnsi" w:cstheme="minorHAnsi"/>
                <w:sz w:val="18"/>
                <w:szCs w:val="18"/>
              </w:rPr>
              <w:t>Reagenti, materiale d’uso e consumo. Manutenzione apparecchi (citometro a flusso, spettrofotometri, microscopi, binoculari, sonde multi-parametriche, apparecchi di campionamento, …).</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rPr>
            </w:pPr>
            <w:r>
              <w:rPr>
                <w:rFonts w:asciiTheme="minorHAnsi" w:hAnsiTheme="minorHAnsi" w:cstheme="minorHAnsi"/>
                <w:sz w:val="18"/>
                <w:szCs w:val="18"/>
              </w:rPr>
              <w:t>15'000.-</w:t>
            </w:r>
          </w:p>
        </w:tc>
      </w:tr>
      <w:tr w:rsidR="001D5790">
        <w:trPr>
          <w:trHeight w:val="611"/>
        </w:trPr>
        <w:tc>
          <w:tcPr>
            <w:tcW w:w="2093" w:type="dxa"/>
            <w:shd w:val="clear" w:color="auto" w:fill="auto"/>
          </w:tcPr>
          <w:p w:rsidR="001D5790" w:rsidRDefault="00A5663E">
            <w:pPr>
              <w:pStyle w:val="NormaleWeb"/>
              <w:rPr>
                <w:rFonts w:asciiTheme="minorHAnsi" w:hAnsiTheme="minorHAnsi" w:cstheme="minorHAnsi"/>
                <w:lang w:val="it-CH"/>
              </w:rPr>
            </w:pPr>
            <w:r>
              <w:rPr>
                <w:rFonts w:asciiTheme="minorHAnsi" w:hAnsiTheme="minorHAnsi" w:cstheme="minorHAnsi"/>
                <w:sz w:val="18"/>
                <w:szCs w:val="18"/>
              </w:rPr>
              <w:t>Spese varie</w:t>
            </w:r>
          </w:p>
        </w:tc>
        <w:tc>
          <w:tcPr>
            <w:tcW w:w="6804" w:type="dxa"/>
            <w:shd w:val="clear" w:color="auto" w:fill="auto"/>
          </w:tcPr>
          <w:p w:rsidR="001D5790" w:rsidRDefault="00A5663E">
            <w:pPr>
              <w:pStyle w:val="NormaleWeb"/>
              <w:jc w:val="both"/>
              <w:rPr>
                <w:rFonts w:asciiTheme="minorHAnsi" w:hAnsiTheme="minorHAnsi" w:cstheme="minorHAnsi"/>
                <w:lang w:val="it-CH"/>
              </w:rPr>
            </w:pPr>
            <w:r>
              <w:rPr>
                <w:rFonts w:asciiTheme="minorHAnsi" w:hAnsiTheme="minorHAnsi" w:cstheme="minorHAnsi"/>
                <w:sz w:val="18"/>
                <w:szCs w:val="18"/>
              </w:rPr>
              <w:t>Trasferte e trasporti, perfezionamento professionale, gestione sito internet, libri e riviste, materiale d’ufficio, IT.</w:t>
            </w:r>
          </w:p>
        </w:tc>
        <w:tc>
          <w:tcPr>
            <w:tcW w:w="1134" w:type="dxa"/>
            <w:shd w:val="clear" w:color="auto" w:fill="auto"/>
            <w:vAlign w:val="center"/>
          </w:tcPr>
          <w:p w:rsidR="001D5790" w:rsidRDefault="00A5663E">
            <w:pPr>
              <w:pStyle w:val="Corpodeltesto2"/>
              <w:jc w:val="right"/>
              <w:rPr>
                <w:rFonts w:asciiTheme="minorHAnsi" w:hAnsiTheme="minorHAnsi" w:cstheme="minorHAnsi"/>
                <w:sz w:val="18"/>
                <w:szCs w:val="18"/>
                <w:lang w:val="it-CH"/>
              </w:rPr>
            </w:pPr>
            <w:r>
              <w:rPr>
                <w:rFonts w:asciiTheme="minorHAnsi" w:hAnsiTheme="minorHAnsi" w:cstheme="minorHAnsi"/>
                <w:sz w:val="18"/>
                <w:szCs w:val="18"/>
                <w:lang w:val="it-CH"/>
              </w:rPr>
              <w:t>5'000.-</w:t>
            </w:r>
          </w:p>
        </w:tc>
      </w:tr>
      <w:tr w:rsidR="001D5790">
        <w:trPr>
          <w:trHeight w:val="401"/>
        </w:trPr>
        <w:tc>
          <w:tcPr>
            <w:tcW w:w="2093" w:type="dxa"/>
            <w:shd w:val="clear" w:color="auto" w:fill="auto"/>
          </w:tcPr>
          <w:p w:rsidR="001D5790" w:rsidRDefault="001D5790">
            <w:pPr>
              <w:pStyle w:val="NormaleWeb"/>
              <w:rPr>
                <w:rFonts w:asciiTheme="minorHAnsi" w:hAnsiTheme="minorHAnsi" w:cstheme="minorHAnsi"/>
                <w:b/>
                <w:bCs/>
                <w:sz w:val="18"/>
                <w:szCs w:val="18"/>
              </w:rPr>
            </w:pPr>
          </w:p>
        </w:tc>
        <w:tc>
          <w:tcPr>
            <w:tcW w:w="6804" w:type="dxa"/>
            <w:shd w:val="clear" w:color="auto" w:fill="auto"/>
          </w:tcPr>
          <w:p w:rsidR="001D5790" w:rsidRDefault="00A5663E">
            <w:pPr>
              <w:pStyle w:val="NormaleWeb"/>
              <w:rPr>
                <w:rFonts w:asciiTheme="minorHAnsi" w:hAnsiTheme="minorHAnsi" w:cstheme="minorHAnsi"/>
                <w:b/>
                <w:sz w:val="18"/>
                <w:szCs w:val="18"/>
              </w:rPr>
            </w:pPr>
            <w:r>
              <w:rPr>
                <w:rFonts w:asciiTheme="minorHAnsi" w:hAnsiTheme="minorHAnsi" w:cstheme="minorHAnsi"/>
                <w:b/>
                <w:sz w:val="18"/>
                <w:szCs w:val="18"/>
              </w:rPr>
              <w:t>Costi totali compito 2</w:t>
            </w:r>
          </w:p>
        </w:tc>
        <w:tc>
          <w:tcPr>
            <w:tcW w:w="1134" w:type="dxa"/>
            <w:shd w:val="clear" w:color="auto" w:fill="auto"/>
            <w:vAlign w:val="center"/>
          </w:tcPr>
          <w:p w:rsidR="001D5790" w:rsidRDefault="00A5663E">
            <w:pPr>
              <w:pStyle w:val="Corpodeltesto2"/>
              <w:jc w:val="right"/>
              <w:rPr>
                <w:rFonts w:asciiTheme="minorHAnsi" w:hAnsiTheme="minorHAnsi" w:cstheme="minorHAnsi"/>
                <w:b/>
                <w:sz w:val="18"/>
                <w:szCs w:val="18"/>
                <w:lang w:val="it-CH"/>
              </w:rPr>
            </w:pPr>
            <w:r>
              <w:rPr>
                <w:rFonts w:asciiTheme="minorHAnsi" w:hAnsiTheme="minorHAnsi" w:cstheme="minorHAnsi"/>
                <w:b/>
                <w:sz w:val="18"/>
                <w:szCs w:val="18"/>
                <w:lang w:val="it-CH"/>
              </w:rPr>
              <w:t>290'000.-</w:t>
            </w:r>
          </w:p>
        </w:tc>
      </w:tr>
      <w:tr w:rsidR="001D5790">
        <w:trPr>
          <w:trHeight w:val="362"/>
        </w:trPr>
        <w:tc>
          <w:tcPr>
            <w:tcW w:w="2093" w:type="dxa"/>
            <w:shd w:val="clear" w:color="auto" w:fill="auto"/>
          </w:tcPr>
          <w:p w:rsidR="001D5790" w:rsidRDefault="00A5663E">
            <w:pPr>
              <w:pStyle w:val="Titolo1"/>
              <w:numPr>
                <w:ilvl w:val="0"/>
                <w:numId w:val="0"/>
              </w:numPr>
              <w:rPr>
                <w:rFonts w:asciiTheme="minorHAnsi" w:hAnsiTheme="minorHAnsi" w:cstheme="minorHAnsi"/>
                <w:b w:val="0"/>
                <w:sz w:val="18"/>
                <w:szCs w:val="18"/>
                <w:lang w:val="it-IT"/>
              </w:rPr>
            </w:pPr>
            <w:r>
              <w:rPr>
                <w:rFonts w:asciiTheme="minorHAnsi" w:hAnsiTheme="minorHAnsi" w:cstheme="minorHAnsi"/>
                <w:b w:val="0"/>
                <w:sz w:val="18"/>
                <w:szCs w:val="18"/>
                <w:lang w:val="it-IT"/>
              </w:rPr>
              <w:t>Referente IM</w:t>
            </w:r>
          </w:p>
        </w:tc>
        <w:tc>
          <w:tcPr>
            <w:tcW w:w="6804" w:type="dxa"/>
            <w:shd w:val="clear" w:color="auto" w:fill="auto"/>
          </w:tcPr>
          <w:p w:rsidR="001D5790" w:rsidRDefault="00A5663E">
            <w:pPr>
              <w:pStyle w:val="Titolo1"/>
              <w:numPr>
                <w:ilvl w:val="0"/>
                <w:numId w:val="0"/>
              </w:numPr>
              <w:ind w:left="363" w:hanging="363"/>
              <w:rPr>
                <w:rFonts w:asciiTheme="minorHAnsi" w:hAnsiTheme="minorHAnsi" w:cstheme="minorHAnsi"/>
              </w:rPr>
            </w:pPr>
            <w:r>
              <w:rPr>
                <w:rFonts w:asciiTheme="minorHAnsi" w:hAnsiTheme="minorHAnsi" w:cstheme="minorHAnsi"/>
                <w:b w:val="0"/>
                <w:sz w:val="18"/>
                <w:szCs w:val="18"/>
                <w:lang w:val="it-IT"/>
              </w:rPr>
              <w:t>Dr. Nicola Storelli</w:t>
            </w:r>
          </w:p>
        </w:tc>
        <w:tc>
          <w:tcPr>
            <w:tcW w:w="1134" w:type="dxa"/>
            <w:shd w:val="clear" w:color="auto" w:fill="auto"/>
          </w:tcPr>
          <w:p w:rsidR="001D5790" w:rsidRDefault="001D5790">
            <w:pPr>
              <w:pStyle w:val="Titolo1"/>
              <w:numPr>
                <w:ilvl w:val="0"/>
                <w:numId w:val="0"/>
              </w:numPr>
              <w:ind w:left="363" w:hanging="363"/>
              <w:rPr>
                <w:rFonts w:asciiTheme="minorHAnsi" w:hAnsiTheme="minorHAnsi" w:cstheme="minorHAnsi"/>
                <w:b w:val="0"/>
                <w:sz w:val="18"/>
                <w:szCs w:val="18"/>
              </w:rPr>
            </w:pPr>
          </w:p>
        </w:tc>
      </w:tr>
    </w:tbl>
    <w:p w:rsidR="001D5790" w:rsidRDefault="001D5790">
      <w:pPr>
        <w:pStyle w:val="NormaleWeb"/>
        <w:rPr>
          <w:rFonts w:asciiTheme="minorHAnsi" w:hAnsiTheme="minorHAnsi" w:cstheme="minorHAnsi"/>
          <w:b/>
          <w:bCs/>
          <w:lang w:val="it-CH"/>
        </w:rPr>
      </w:pPr>
    </w:p>
    <w:p w:rsidR="001D5790" w:rsidRDefault="00A5663E">
      <w:pPr>
        <w:pStyle w:val="NormaleWeb"/>
        <w:rPr>
          <w:rFonts w:asciiTheme="minorHAnsi" w:hAnsiTheme="minorHAnsi" w:cstheme="minorHAnsi"/>
          <w:b/>
          <w:bCs/>
          <w:lang w:val="it-CH"/>
        </w:rPr>
      </w:pPr>
      <w:r>
        <w:rPr>
          <w:rFonts w:asciiTheme="minorHAnsi" w:hAnsiTheme="minorHAnsi" w:cstheme="minorHAnsi"/>
          <w:b/>
          <w:bCs/>
          <w:lang w:val="it-CH"/>
        </w:rPr>
        <w:br w:type="page"/>
      </w:r>
    </w:p>
    <w:tbl>
      <w:tblPr>
        <w:tblW w:w="1003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20" w:firstRow="1" w:lastRow="0" w:firstColumn="0" w:lastColumn="0" w:noHBand="0" w:noVBand="0"/>
      </w:tblPr>
      <w:tblGrid>
        <w:gridCol w:w="566"/>
        <w:gridCol w:w="2102"/>
        <w:gridCol w:w="5800"/>
        <w:gridCol w:w="1563"/>
      </w:tblGrid>
      <w:tr w:rsidR="001D5790">
        <w:trPr>
          <w:trHeight w:val="274"/>
        </w:trPr>
        <w:tc>
          <w:tcPr>
            <w:tcW w:w="2668" w:type="dxa"/>
            <w:gridSpan w:val="2"/>
            <w:shd w:val="solid" w:color="000080" w:fill="FFFFFF"/>
          </w:tcPr>
          <w:p w:rsidR="001D5790" w:rsidRDefault="00A5663E">
            <w:pPr>
              <w:pStyle w:val="Titolo1"/>
              <w:numPr>
                <w:ilvl w:val="0"/>
                <w:numId w:val="0"/>
              </w:numPr>
              <w:ind w:left="363" w:hanging="363"/>
              <w:rPr>
                <w:rFonts w:asciiTheme="minorHAnsi" w:hAnsiTheme="minorHAnsi" w:cstheme="minorHAnsi"/>
                <w:b w:val="0"/>
                <w:bCs/>
                <w:i/>
                <w:iCs/>
                <w:color w:val="FFFFFF"/>
                <w:lang w:val="it-IT"/>
              </w:rPr>
            </w:pPr>
            <w:r>
              <w:rPr>
                <w:rFonts w:asciiTheme="minorHAnsi" w:hAnsiTheme="minorHAnsi" w:cstheme="minorHAnsi"/>
                <w:b w:val="0"/>
                <w:bCs/>
                <w:i/>
                <w:iCs/>
                <w:color w:val="FFFFFF"/>
                <w:lang w:val="it-IT"/>
              </w:rPr>
              <w:lastRenderedPageBreak/>
              <w:t>Compito 3</w:t>
            </w:r>
          </w:p>
        </w:tc>
        <w:tc>
          <w:tcPr>
            <w:tcW w:w="7363" w:type="dxa"/>
            <w:gridSpan w:val="2"/>
            <w:shd w:val="solid" w:color="000080" w:fill="FFFFFF"/>
          </w:tcPr>
          <w:p w:rsidR="001D5790" w:rsidRDefault="00A5663E">
            <w:pPr>
              <w:pStyle w:val="NormaleWeb"/>
              <w:rPr>
                <w:rFonts w:asciiTheme="minorHAnsi" w:hAnsiTheme="minorHAnsi" w:cstheme="minorHAnsi"/>
                <w:b/>
                <w:bCs/>
                <w:color w:val="FFFFFF"/>
              </w:rPr>
            </w:pPr>
            <w:r>
              <w:rPr>
                <w:rFonts w:asciiTheme="minorHAnsi" w:hAnsiTheme="minorHAnsi" w:cstheme="minorHAnsi"/>
                <w:b/>
                <w:bCs/>
                <w:iCs/>
                <w:color w:val="FFFFFF"/>
              </w:rPr>
              <w:t>Sorveglianza e controllo delle zanzare invasive potenziali vettori di malattie infettive</w:t>
            </w: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427"/>
        </w:trPr>
        <w:tc>
          <w:tcPr>
            <w:tcW w:w="266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D5790" w:rsidRDefault="00A5663E">
            <w:pPr>
              <w:spacing w:before="100" w:beforeAutospacing="1" w:after="100" w:afterAutospacing="1"/>
              <w:rPr>
                <w:rFonts w:asciiTheme="minorHAnsi" w:hAnsiTheme="minorHAnsi" w:cstheme="minorHAnsi"/>
                <w:b/>
                <w:bCs/>
                <w:sz w:val="18"/>
                <w:szCs w:val="18"/>
              </w:rPr>
            </w:pPr>
            <w:r>
              <w:rPr>
                <w:rFonts w:asciiTheme="minorHAnsi" w:hAnsiTheme="minorHAnsi" w:cstheme="minorHAnsi"/>
                <w:b/>
                <w:bCs/>
                <w:sz w:val="18"/>
                <w:szCs w:val="18"/>
              </w:rPr>
              <w:t xml:space="preserve">Attività </w:t>
            </w:r>
          </w:p>
        </w:tc>
        <w:tc>
          <w:tcPr>
            <w:tcW w:w="5800" w:type="dxa"/>
            <w:tcBorders>
              <w:top w:val="nil"/>
              <w:left w:val="nil"/>
              <w:bottom w:val="single" w:sz="4" w:space="0" w:color="auto"/>
              <w:right w:val="single" w:sz="4" w:space="0" w:color="auto"/>
            </w:tcBorders>
            <w:shd w:val="clear" w:color="auto" w:fill="auto"/>
            <w:noWrap/>
            <w:vAlign w:val="center"/>
            <w:hideMark/>
          </w:tcPr>
          <w:p w:rsidR="001D5790" w:rsidRDefault="00A5663E">
            <w:pPr>
              <w:spacing w:before="100" w:beforeAutospacing="1" w:after="100" w:afterAutospacing="1"/>
              <w:rPr>
                <w:rFonts w:asciiTheme="minorHAnsi" w:hAnsiTheme="minorHAnsi" w:cstheme="minorHAnsi"/>
                <w:b/>
                <w:bCs/>
                <w:sz w:val="18"/>
                <w:szCs w:val="18"/>
              </w:rPr>
            </w:pPr>
            <w:r>
              <w:rPr>
                <w:rFonts w:asciiTheme="minorHAnsi" w:hAnsiTheme="minorHAnsi" w:cstheme="minorHAnsi"/>
                <w:b/>
                <w:bCs/>
                <w:sz w:val="18"/>
                <w:szCs w:val="18"/>
              </w:rPr>
              <w:t xml:space="preserve">Descrizione </w:t>
            </w:r>
          </w:p>
        </w:tc>
        <w:tc>
          <w:tcPr>
            <w:tcW w:w="1563" w:type="dxa"/>
            <w:tcBorders>
              <w:top w:val="nil"/>
              <w:left w:val="nil"/>
              <w:bottom w:val="single" w:sz="4" w:space="0" w:color="auto"/>
              <w:right w:val="single" w:sz="4" w:space="0" w:color="auto"/>
            </w:tcBorders>
            <w:shd w:val="clear" w:color="auto" w:fill="auto"/>
            <w:noWrap/>
            <w:vAlign w:val="center"/>
            <w:hideMark/>
          </w:tcPr>
          <w:p w:rsidR="001D5790" w:rsidRDefault="00A5663E">
            <w:pPr>
              <w:spacing w:before="100" w:beforeAutospacing="1" w:after="100" w:afterAutospacing="1"/>
              <w:rPr>
                <w:rFonts w:asciiTheme="minorHAnsi" w:hAnsiTheme="minorHAnsi" w:cstheme="minorHAnsi"/>
                <w:b/>
                <w:bCs/>
                <w:sz w:val="18"/>
                <w:szCs w:val="18"/>
              </w:rPr>
            </w:pPr>
            <w:r>
              <w:rPr>
                <w:rFonts w:asciiTheme="minorHAnsi" w:hAnsiTheme="minorHAnsi" w:cstheme="minorHAnsi"/>
                <w:b/>
                <w:bCs/>
                <w:sz w:val="18"/>
                <w:szCs w:val="18"/>
              </w:rPr>
              <w:t>Costi in fr.</w:t>
            </w: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52"/>
        </w:trPr>
        <w:tc>
          <w:tcPr>
            <w:tcW w:w="26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5790" w:rsidRDefault="001D5790">
            <w:pPr>
              <w:jc w:val="center"/>
              <w:rPr>
                <w:rFonts w:asciiTheme="minorHAnsi" w:hAnsiTheme="minorHAnsi" w:cstheme="minorHAnsi"/>
                <w:color w:val="000000"/>
              </w:rPr>
            </w:pPr>
          </w:p>
        </w:tc>
        <w:tc>
          <w:tcPr>
            <w:tcW w:w="5800" w:type="dxa"/>
            <w:tcBorders>
              <w:top w:val="nil"/>
              <w:left w:val="nil"/>
              <w:bottom w:val="single" w:sz="4" w:space="0" w:color="auto"/>
              <w:right w:val="single" w:sz="4" w:space="0" w:color="auto"/>
            </w:tcBorders>
            <w:shd w:val="clear" w:color="auto" w:fill="auto"/>
            <w:noWrap/>
            <w:vAlign w:val="center"/>
            <w:hideMark/>
          </w:tcPr>
          <w:p w:rsidR="001D5790" w:rsidRDefault="00A5663E">
            <w:pPr>
              <w:jc w:val="center"/>
              <w:rPr>
                <w:rFonts w:asciiTheme="minorHAnsi" w:hAnsiTheme="minorHAnsi" w:cstheme="minorHAnsi"/>
                <w:b/>
                <w:bCs/>
                <w:color w:val="000000"/>
                <w:sz w:val="18"/>
                <w:szCs w:val="18"/>
              </w:rPr>
            </w:pPr>
            <w:r>
              <w:rPr>
                <w:rFonts w:asciiTheme="minorHAnsi" w:hAnsiTheme="minorHAnsi" w:cstheme="minorHAnsi"/>
                <w:b/>
                <w:bCs/>
                <w:color w:val="000000"/>
                <w:sz w:val="18"/>
                <w:szCs w:val="18"/>
              </w:rPr>
              <w:t>Gestione e coordinamento della lotta alle zanzare</w:t>
            </w:r>
          </w:p>
        </w:tc>
        <w:tc>
          <w:tcPr>
            <w:tcW w:w="1563" w:type="dxa"/>
            <w:tcBorders>
              <w:top w:val="nil"/>
              <w:left w:val="nil"/>
              <w:bottom w:val="single" w:sz="4" w:space="0" w:color="auto"/>
              <w:right w:val="single" w:sz="4" w:space="0" w:color="auto"/>
            </w:tcBorders>
            <w:shd w:val="clear" w:color="auto" w:fill="auto"/>
            <w:noWrap/>
            <w:vAlign w:val="bottom"/>
            <w:hideMark/>
          </w:tcPr>
          <w:p w:rsidR="001D5790" w:rsidRDefault="001D5790">
            <w:pPr>
              <w:jc w:val="center"/>
              <w:rPr>
                <w:rFonts w:asciiTheme="minorHAnsi" w:hAnsiTheme="minorHAnsi" w:cstheme="minorHAnsi"/>
                <w:color w:val="000000"/>
              </w:rPr>
            </w:pP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488"/>
        </w:trPr>
        <w:tc>
          <w:tcPr>
            <w:tcW w:w="566"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rsidR="001D5790" w:rsidRDefault="00A5663E">
            <w:pPr>
              <w:jc w:val="center"/>
              <w:rPr>
                <w:rFonts w:asciiTheme="minorHAnsi" w:hAnsiTheme="minorHAnsi" w:cstheme="minorHAnsi"/>
                <w:color w:val="000000"/>
              </w:rPr>
            </w:pPr>
            <w:r>
              <w:rPr>
                <w:rFonts w:asciiTheme="minorHAnsi" w:hAnsiTheme="minorHAnsi" w:cstheme="minorHAnsi"/>
                <w:color w:val="000000"/>
              </w:rPr>
              <w:t>Strategia e coordinamento</w:t>
            </w:r>
          </w:p>
        </w:tc>
        <w:tc>
          <w:tcPr>
            <w:tcW w:w="2102" w:type="dxa"/>
            <w:tcBorders>
              <w:top w:val="nil"/>
              <w:left w:val="nil"/>
              <w:bottom w:val="single" w:sz="4" w:space="0" w:color="auto"/>
              <w:right w:val="single" w:sz="4" w:space="0" w:color="auto"/>
            </w:tcBorders>
            <w:shd w:val="clear" w:color="auto" w:fill="auto"/>
            <w:hideMark/>
          </w:tcPr>
          <w:p w:rsidR="001D5790" w:rsidRDefault="00A5663E">
            <w:pPr>
              <w:jc w:val="left"/>
              <w:rPr>
                <w:rFonts w:asciiTheme="minorHAnsi" w:hAnsiTheme="minorHAnsi" w:cstheme="minorHAnsi"/>
                <w:sz w:val="18"/>
                <w:szCs w:val="18"/>
              </w:rPr>
            </w:pPr>
            <w:r>
              <w:rPr>
                <w:rFonts w:asciiTheme="minorHAnsi" w:hAnsiTheme="minorHAnsi" w:cstheme="minorHAnsi"/>
                <w:sz w:val="18"/>
                <w:szCs w:val="18"/>
              </w:rPr>
              <w:t>Gruppo Lavoro zanzare e gestione di progetti</w:t>
            </w:r>
          </w:p>
        </w:tc>
        <w:tc>
          <w:tcPr>
            <w:tcW w:w="5800" w:type="dxa"/>
            <w:tcBorders>
              <w:top w:val="nil"/>
              <w:left w:val="nil"/>
              <w:bottom w:val="single" w:sz="4" w:space="0" w:color="auto"/>
              <w:right w:val="single" w:sz="4" w:space="0" w:color="auto"/>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 xml:space="preserve">Gestione e coordinamento del Gruppo Lavoro Zanzare in collaborazione con gli enti cantonali presenti nel gruppo, gli enti federali (UFAM*, UFSP**, CFSB***) ed istituti svizzeri (Swiss Tropical and Public Health Institute di Basilea, Istituto di parassitologia Università di Zurigo, Laboratorio di Spiez) e esteri (C.A.A. Crevalcore, IZS italiani, ATS italiane, ISS Roma, KABS Speyer-DE, IRD Montpellier-FR, ecc.)  </w:t>
            </w:r>
          </w:p>
        </w:tc>
        <w:tc>
          <w:tcPr>
            <w:tcW w:w="1563" w:type="dxa"/>
            <w:tcBorders>
              <w:top w:val="nil"/>
              <w:left w:val="nil"/>
              <w:bottom w:val="single" w:sz="4" w:space="0" w:color="auto"/>
              <w:right w:val="single" w:sz="4" w:space="0" w:color="auto"/>
            </w:tcBorders>
            <w:shd w:val="clear" w:color="auto" w:fill="auto"/>
            <w:noWrap/>
            <w:vAlign w:val="center"/>
            <w:hideMark/>
          </w:tcPr>
          <w:p w:rsidR="001D5790" w:rsidRDefault="00A5663E">
            <w:pPr>
              <w:jc w:val="right"/>
              <w:rPr>
                <w:rFonts w:asciiTheme="minorHAnsi" w:hAnsiTheme="minorHAnsi" w:cstheme="minorHAnsi"/>
                <w:sz w:val="18"/>
                <w:szCs w:val="18"/>
              </w:rPr>
            </w:pPr>
            <w:r>
              <w:rPr>
                <w:rFonts w:asciiTheme="minorHAnsi" w:hAnsiTheme="minorHAnsi" w:cstheme="minorHAnsi"/>
                <w:sz w:val="18"/>
                <w:szCs w:val="18"/>
              </w:rPr>
              <w:t>30'000.-</w:t>
            </w: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972"/>
        </w:trPr>
        <w:tc>
          <w:tcPr>
            <w:tcW w:w="566" w:type="dxa"/>
            <w:vMerge/>
            <w:tcBorders>
              <w:top w:val="nil"/>
              <w:left w:val="single" w:sz="4" w:space="0" w:color="auto"/>
              <w:bottom w:val="single" w:sz="4" w:space="0" w:color="auto"/>
              <w:right w:val="single" w:sz="4" w:space="0" w:color="auto"/>
            </w:tcBorders>
            <w:vAlign w:val="center"/>
            <w:hideMark/>
          </w:tcPr>
          <w:p w:rsidR="001D5790" w:rsidRDefault="001D5790">
            <w:pPr>
              <w:rPr>
                <w:rFonts w:asciiTheme="minorHAnsi" w:hAnsiTheme="minorHAnsi" w:cstheme="minorHAnsi"/>
                <w:color w:val="000000"/>
              </w:rPr>
            </w:pPr>
          </w:p>
        </w:tc>
        <w:tc>
          <w:tcPr>
            <w:tcW w:w="2102" w:type="dxa"/>
            <w:tcBorders>
              <w:top w:val="nil"/>
              <w:left w:val="nil"/>
              <w:bottom w:val="single" w:sz="4" w:space="0" w:color="auto"/>
              <w:right w:val="single" w:sz="4" w:space="0" w:color="auto"/>
            </w:tcBorders>
            <w:shd w:val="clear" w:color="auto" w:fill="auto"/>
            <w:hideMark/>
          </w:tcPr>
          <w:p w:rsidR="001D5790" w:rsidRDefault="00A5663E">
            <w:pPr>
              <w:jc w:val="left"/>
              <w:rPr>
                <w:rFonts w:asciiTheme="minorHAnsi" w:hAnsiTheme="minorHAnsi" w:cstheme="minorHAnsi"/>
                <w:sz w:val="18"/>
                <w:szCs w:val="18"/>
              </w:rPr>
            </w:pPr>
            <w:r>
              <w:rPr>
                <w:rFonts w:asciiTheme="minorHAnsi" w:hAnsiTheme="minorHAnsi" w:cstheme="minorHAnsi"/>
                <w:sz w:val="18"/>
                <w:szCs w:val="18"/>
              </w:rPr>
              <w:t>Coordinamento delle informazioni al pubblico</w:t>
            </w:r>
          </w:p>
        </w:tc>
        <w:tc>
          <w:tcPr>
            <w:tcW w:w="5800" w:type="dxa"/>
            <w:tcBorders>
              <w:top w:val="nil"/>
              <w:left w:val="nil"/>
              <w:bottom w:val="single" w:sz="4" w:space="0" w:color="auto"/>
              <w:right w:val="single" w:sz="4" w:space="0" w:color="auto"/>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 xml:space="preserve">Collaborare e coordinare la diffusione delle informazioni riguardo le zanzare e in particolare le zanzare invasive alla popolazione tramite sito Web e volantini informativi (collaborazione gruppo GOSA, Cercle Exotique) </w:t>
            </w:r>
          </w:p>
        </w:tc>
        <w:tc>
          <w:tcPr>
            <w:tcW w:w="1563" w:type="dxa"/>
            <w:tcBorders>
              <w:top w:val="nil"/>
              <w:left w:val="nil"/>
              <w:bottom w:val="single" w:sz="4" w:space="0" w:color="auto"/>
              <w:right w:val="single" w:sz="4" w:space="0" w:color="auto"/>
            </w:tcBorders>
            <w:shd w:val="clear" w:color="auto" w:fill="auto"/>
            <w:noWrap/>
            <w:vAlign w:val="center"/>
            <w:hideMark/>
          </w:tcPr>
          <w:p w:rsidR="001D5790" w:rsidRDefault="00A5663E">
            <w:pPr>
              <w:jc w:val="right"/>
              <w:rPr>
                <w:rFonts w:asciiTheme="minorHAnsi" w:hAnsiTheme="minorHAnsi" w:cstheme="minorHAnsi"/>
                <w:sz w:val="18"/>
                <w:szCs w:val="18"/>
              </w:rPr>
            </w:pPr>
            <w:r>
              <w:rPr>
                <w:rFonts w:asciiTheme="minorHAnsi" w:hAnsiTheme="minorHAnsi" w:cstheme="minorHAnsi"/>
                <w:sz w:val="18"/>
                <w:szCs w:val="18"/>
              </w:rPr>
              <w:t xml:space="preserve">20'000.- </w:t>
            </w: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84"/>
        </w:trPr>
        <w:tc>
          <w:tcPr>
            <w:tcW w:w="566" w:type="dxa"/>
            <w:vMerge/>
            <w:tcBorders>
              <w:top w:val="nil"/>
              <w:left w:val="single" w:sz="4" w:space="0" w:color="auto"/>
              <w:bottom w:val="single" w:sz="4" w:space="0" w:color="auto"/>
              <w:right w:val="single" w:sz="4" w:space="0" w:color="auto"/>
            </w:tcBorders>
            <w:vAlign w:val="center"/>
            <w:hideMark/>
          </w:tcPr>
          <w:p w:rsidR="001D5790" w:rsidRDefault="001D5790">
            <w:pPr>
              <w:rPr>
                <w:rFonts w:asciiTheme="minorHAnsi" w:hAnsiTheme="minorHAnsi" w:cstheme="minorHAnsi"/>
                <w:color w:val="000000"/>
              </w:rPr>
            </w:pPr>
          </w:p>
        </w:tc>
        <w:tc>
          <w:tcPr>
            <w:tcW w:w="2102" w:type="dxa"/>
            <w:tcBorders>
              <w:top w:val="nil"/>
              <w:left w:val="nil"/>
              <w:bottom w:val="single" w:sz="4" w:space="0" w:color="auto"/>
              <w:right w:val="single" w:sz="4" w:space="0" w:color="auto"/>
            </w:tcBorders>
            <w:shd w:val="clear" w:color="auto" w:fill="auto"/>
            <w:hideMark/>
          </w:tcPr>
          <w:p w:rsidR="001D5790" w:rsidRDefault="00A5663E">
            <w:pPr>
              <w:jc w:val="left"/>
              <w:rPr>
                <w:rFonts w:asciiTheme="minorHAnsi" w:hAnsiTheme="minorHAnsi" w:cstheme="minorHAnsi"/>
                <w:sz w:val="18"/>
                <w:szCs w:val="18"/>
              </w:rPr>
            </w:pPr>
            <w:r>
              <w:rPr>
                <w:rFonts w:asciiTheme="minorHAnsi" w:hAnsiTheme="minorHAnsi" w:cstheme="minorHAnsi"/>
                <w:sz w:val="18"/>
                <w:szCs w:val="18"/>
              </w:rPr>
              <w:t>Elaborazione di strategie d’intervento</w:t>
            </w:r>
          </w:p>
          <w:p w:rsidR="001D5790" w:rsidRDefault="001D5790">
            <w:pPr>
              <w:jc w:val="left"/>
              <w:rPr>
                <w:rFonts w:asciiTheme="minorHAnsi" w:hAnsiTheme="minorHAnsi" w:cstheme="minorHAnsi"/>
                <w:b/>
                <w:bCs/>
                <w:sz w:val="18"/>
                <w:szCs w:val="18"/>
              </w:rPr>
            </w:pPr>
          </w:p>
        </w:tc>
        <w:tc>
          <w:tcPr>
            <w:tcW w:w="5800" w:type="dxa"/>
            <w:tcBorders>
              <w:top w:val="nil"/>
              <w:left w:val="nil"/>
              <w:bottom w:val="single" w:sz="4" w:space="0" w:color="auto"/>
              <w:right w:val="single" w:sz="4" w:space="0" w:color="auto"/>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Elaborazione delle strategie di intervento in caso di pericolo di infezioni trasmesse dalle zanzare (Dengue, West Nile, Chikungunya,  Zika,...) in collaborazione con UMC; Sviluppo della strategia del maschio sterile (SIT) per la riduzione del numero delle zanzare sul territorio</w:t>
            </w:r>
          </w:p>
          <w:p w:rsidR="001D5790" w:rsidRDefault="001D5790">
            <w:pPr>
              <w:rPr>
                <w:rFonts w:asciiTheme="minorHAnsi" w:hAnsiTheme="minorHAnsi" w:cstheme="minorHAnsi"/>
                <w:sz w:val="18"/>
                <w:szCs w:val="18"/>
              </w:rPr>
            </w:pPr>
          </w:p>
        </w:tc>
        <w:tc>
          <w:tcPr>
            <w:tcW w:w="1563" w:type="dxa"/>
            <w:tcBorders>
              <w:top w:val="nil"/>
              <w:left w:val="nil"/>
              <w:bottom w:val="single" w:sz="4" w:space="0" w:color="auto"/>
              <w:right w:val="single" w:sz="4" w:space="0" w:color="auto"/>
            </w:tcBorders>
            <w:shd w:val="clear" w:color="auto" w:fill="auto"/>
            <w:noWrap/>
            <w:vAlign w:val="center"/>
            <w:hideMark/>
          </w:tcPr>
          <w:p w:rsidR="001D5790" w:rsidRDefault="00A5663E">
            <w:pPr>
              <w:jc w:val="right"/>
              <w:rPr>
                <w:rFonts w:asciiTheme="minorHAnsi" w:hAnsiTheme="minorHAnsi" w:cstheme="minorHAnsi"/>
                <w:sz w:val="18"/>
                <w:szCs w:val="18"/>
              </w:rPr>
            </w:pPr>
            <w:r>
              <w:rPr>
                <w:rFonts w:asciiTheme="minorHAnsi" w:hAnsiTheme="minorHAnsi" w:cstheme="minorHAnsi"/>
                <w:sz w:val="18"/>
                <w:szCs w:val="18"/>
              </w:rPr>
              <w:t>25'000.-</w:t>
            </w: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1932"/>
        </w:trPr>
        <w:tc>
          <w:tcPr>
            <w:tcW w:w="566"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rsidR="001D5790" w:rsidRDefault="00A5663E">
            <w:pPr>
              <w:jc w:val="center"/>
              <w:rPr>
                <w:rFonts w:asciiTheme="minorHAnsi" w:hAnsiTheme="minorHAnsi" w:cstheme="minorHAnsi"/>
                <w:color w:val="000000"/>
              </w:rPr>
            </w:pPr>
            <w:r>
              <w:rPr>
                <w:rFonts w:asciiTheme="minorHAnsi" w:hAnsiTheme="minorHAnsi" w:cstheme="minorHAnsi"/>
                <w:color w:val="000000"/>
              </w:rPr>
              <w:t>Ambito operativo</w:t>
            </w:r>
          </w:p>
        </w:tc>
        <w:tc>
          <w:tcPr>
            <w:tcW w:w="2102" w:type="dxa"/>
            <w:tcBorders>
              <w:top w:val="nil"/>
              <w:left w:val="nil"/>
              <w:bottom w:val="single" w:sz="4" w:space="0" w:color="auto"/>
              <w:right w:val="single" w:sz="4" w:space="0" w:color="auto"/>
            </w:tcBorders>
            <w:shd w:val="clear" w:color="auto" w:fill="auto"/>
            <w:hideMark/>
          </w:tcPr>
          <w:p w:rsidR="001D5790" w:rsidRDefault="00A5663E">
            <w:pPr>
              <w:jc w:val="left"/>
              <w:rPr>
                <w:rFonts w:asciiTheme="minorHAnsi" w:hAnsiTheme="minorHAnsi" w:cstheme="minorHAnsi"/>
                <w:sz w:val="18"/>
                <w:szCs w:val="18"/>
              </w:rPr>
            </w:pPr>
            <w:r>
              <w:rPr>
                <w:rFonts w:asciiTheme="minorHAnsi" w:hAnsiTheme="minorHAnsi" w:cstheme="minorHAnsi"/>
                <w:sz w:val="18"/>
                <w:szCs w:val="18"/>
              </w:rPr>
              <w:t>Gestione e coordinamento degli interventi sul territorio</w:t>
            </w:r>
          </w:p>
        </w:tc>
        <w:tc>
          <w:tcPr>
            <w:tcW w:w="5800" w:type="dxa"/>
            <w:tcBorders>
              <w:top w:val="nil"/>
              <w:left w:val="nil"/>
              <w:bottom w:val="single" w:sz="4" w:space="0" w:color="auto"/>
              <w:right w:val="single" w:sz="4" w:space="0" w:color="auto"/>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Gestione dei contatti con i comuni coinvolti nella sorveglianza della zanzara tigre e controllo alle zanzare, con la protezione civile, l’Ufficio industrie, sicurezza e protezione del suolo del DT, la Fondazione Bolle di Magadino e la Regio Insubrica. Coordinare la sorveglianza e gli interventi di controllo delle zanzare invasive sul territorio. Gestione in collaborazione con l’UMC degli interventi sul territorio nei casi positivi per virus pericolosi (es. Dengue, Chikungunya,...) potenzialmente trasmissibili tramite le zanzare urbane.</w:t>
            </w:r>
          </w:p>
        </w:tc>
        <w:tc>
          <w:tcPr>
            <w:tcW w:w="1563" w:type="dxa"/>
            <w:tcBorders>
              <w:top w:val="nil"/>
              <w:left w:val="nil"/>
              <w:bottom w:val="single" w:sz="4" w:space="0" w:color="auto"/>
              <w:right w:val="single" w:sz="4" w:space="0" w:color="auto"/>
            </w:tcBorders>
            <w:shd w:val="clear" w:color="auto" w:fill="auto"/>
            <w:noWrap/>
            <w:vAlign w:val="center"/>
            <w:hideMark/>
          </w:tcPr>
          <w:p w:rsidR="001D5790" w:rsidRDefault="00A5663E">
            <w:pPr>
              <w:jc w:val="right"/>
              <w:rPr>
                <w:rFonts w:asciiTheme="minorHAnsi" w:hAnsiTheme="minorHAnsi" w:cstheme="minorHAnsi"/>
                <w:sz w:val="18"/>
                <w:szCs w:val="18"/>
              </w:rPr>
            </w:pPr>
            <w:r>
              <w:rPr>
                <w:rFonts w:asciiTheme="minorHAnsi" w:hAnsiTheme="minorHAnsi" w:cstheme="minorHAnsi"/>
                <w:sz w:val="18"/>
                <w:szCs w:val="18"/>
              </w:rPr>
              <w:t xml:space="preserve">50'000.- </w:t>
            </w: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996"/>
        </w:trPr>
        <w:tc>
          <w:tcPr>
            <w:tcW w:w="566" w:type="dxa"/>
            <w:vMerge/>
            <w:tcBorders>
              <w:top w:val="nil"/>
              <w:left w:val="single" w:sz="4" w:space="0" w:color="auto"/>
              <w:bottom w:val="single" w:sz="4" w:space="0" w:color="auto"/>
              <w:right w:val="single" w:sz="4" w:space="0" w:color="auto"/>
            </w:tcBorders>
            <w:vAlign w:val="center"/>
            <w:hideMark/>
          </w:tcPr>
          <w:p w:rsidR="001D5790" w:rsidRDefault="001D5790">
            <w:pPr>
              <w:rPr>
                <w:rFonts w:asciiTheme="minorHAnsi" w:hAnsiTheme="minorHAnsi" w:cstheme="minorHAnsi"/>
                <w:color w:val="000000"/>
              </w:rPr>
            </w:pPr>
          </w:p>
        </w:tc>
        <w:tc>
          <w:tcPr>
            <w:tcW w:w="2102" w:type="dxa"/>
            <w:tcBorders>
              <w:top w:val="nil"/>
              <w:left w:val="nil"/>
              <w:bottom w:val="single" w:sz="4" w:space="0" w:color="auto"/>
              <w:right w:val="single" w:sz="4" w:space="0" w:color="auto"/>
            </w:tcBorders>
            <w:shd w:val="clear" w:color="auto" w:fill="auto"/>
            <w:hideMark/>
          </w:tcPr>
          <w:p w:rsidR="001D5790" w:rsidRDefault="00A5663E">
            <w:pPr>
              <w:jc w:val="left"/>
              <w:rPr>
                <w:rFonts w:asciiTheme="minorHAnsi" w:hAnsiTheme="minorHAnsi" w:cstheme="minorHAnsi"/>
                <w:sz w:val="18"/>
                <w:szCs w:val="18"/>
              </w:rPr>
            </w:pPr>
            <w:r>
              <w:rPr>
                <w:rFonts w:asciiTheme="minorHAnsi" w:hAnsiTheme="minorHAnsi" w:cstheme="minorHAnsi"/>
                <w:sz w:val="18"/>
                <w:szCs w:val="18"/>
              </w:rPr>
              <w:t>Attività di sorveglianza, consulenza sul campo</w:t>
            </w:r>
          </w:p>
        </w:tc>
        <w:tc>
          <w:tcPr>
            <w:tcW w:w="5800" w:type="dxa"/>
            <w:tcBorders>
              <w:top w:val="nil"/>
              <w:left w:val="nil"/>
              <w:bottom w:val="single" w:sz="4" w:space="0" w:color="auto"/>
              <w:right w:val="single" w:sz="4" w:space="0" w:color="auto"/>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 xml:space="preserve">Gestione del sistema di sorveglianza (ovitrappole e trappole per adulti) in collaborazione con gli uffici tecnici dei comuni coinvolti nella sorveglianza (consegna e ritiro campioni). Raccolta dati ed analisi dei risultati della distribuzione e densità delle zanzare urbane pericolose. </w:t>
            </w:r>
          </w:p>
        </w:tc>
        <w:tc>
          <w:tcPr>
            <w:tcW w:w="1563" w:type="dxa"/>
            <w:tcBorders>
              <w:top w:val="nil"/>
              <w:left w:val="nil"/>
              <w:bottom w:val="single" w:sz="4" w:space="0" w:color="auto"/>
              <w:right w:val="single" w:sz="4" w:space="0" w:color="auto"/>
            </w:tcBorders>
            <w:shd w:val="clear" w:color="auto" w:fill="auto"/>
            <w:noWrap/>
            <w:vAlign w:val="center"/>
            <w:hideMark/>
          </w:tcPr>
          <w:p w:rsidR="001D5790" w:rsidRDefault="00A5663E">
            <w:pPr>
              <w:jc w:val="right"/>
              <w:rPr>
                <w:rFonts w:asciiTheme="minorHAnsi" w:hAnsiTheme="minorHAnsi" w:cstheme="minorHAnsi"/>
                <w:sz w:val="18"/>
                <w:szCs w:val="18"/>
              </w:rPr>
            </w:pPr>
            <w:r>
              <w:rPr>
                <w:rFonts w:asciiTheme="minorHAnsi" w:hAnsiTheme="minorHAnsi" w:cstheme="minorHAnsi"/>
                <w:sz w:val="18"/>
                <w:szCs w:val="18"/>
              </w:rPr>
              <w:t xml:space="preserve">210'000.- </w:t>
            </w: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84"/>
        </w:trPr>
        <w:tc>
          <w:tcPr>
            <w:tcW w:w="566" w:type="dxa"/>
            <w:vMerge/>
            <w:tcBorders>
              <w:top w:val="nil"/>
              <w:left w:val="single" w:sz="4" w:space="0" w:color="auto"/>
              <w:bottom w:val="single" w:sz="4" w:space="0" w:color="auto"/>
              <w:right w:val="single" w:sz="4" w:space="0" w:color="auto"/>
            </w:tcBorders>
            <w:vAlign w:val="center"/>
            <w:hideMark/>
          </w:tcPr>
          <w:p w:rsidR="001D5790" w:rsidRDefault="001D5790">
            <w:pPr>
              <w:rPr>
                <w:rFonts w:asciiTheme="minorHAnsi" w:hAnsiTheme="minorHAnsi" w:cstheme="minorHAnsi"/>
                <w:color w:val="000000"/>
              </w:rPr>
            </w:pPr>
          </w:p>
        </w:tc>
        <w:tc>
          <w:tcPr>
            <w:tcW w:w="2102" w:type="dxa"/>
            <w:tcBorders>
              <w:top w:val="nil"/>
              <w:left w:val="nil"/>
              <w:bottom w:val="single" w:sz="4" w:space="0" w:color="auto"/>
              <w:right w:val="single" w:sz="4" w:space="0" w:color="auto"/>
            </w:tcBorders>
            <w:shd w:val="clear" w:color="auto" w:fill="auto"/>
            <w:hideMark/>
          </w:tcPr>
          <w:p w:rsidR="001D5790" w:rsidRDefault="00A5663E">
            <w:pPr>
              <w:jc w:val="left"/>
              <w:rPr>
                <w:rFonts w:asciiTheme="minorHAnsi" w:hAnsiTheme="minorHAnsi" w:cstheme="minorHAnsi"/>
                <w:sz w:val="18"/>
                <w:szCs w:val="18"/>
              </w:rPr>
            </w:pPr>
            <w:r>
              <w:rPr>
                <w:rFonts w:asciiTheme="minorHAnsi" w:hAnsiTheme="minorHAnsi" w:cstheme="minorHAnsi"/>
                <w:sz w:val="18"/>
                <w:szCs w:val="18"/>
              </w:rPr>
              <w:t xml:space="preserve">Controllo interventi larvicidi e adulticidi </w:t>
            </w:r>
          </w:p>
        </w:tc>
        <w:tc>
          <w:tcPr>
            <w:tcW w:w="5800" w:type="dxa"/>
            <w:tcBorders>
              <w:top w:val="nil"/>
              <w:left w:val="nil"/>
              <w:bottom w:val="single" w:sz="4" w:space="0" w:color="auto"/>
              <w:right w:val="single" w:sz="4" w:space="0" w:color="auto"/>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 xml:space="preserve">Coordinamento e supervisione con operatori muniti di attestato federale per l’utilizzo di insetticidi nei trattamenti larvicidi ed adulticidi contro le zanzare. </w:t>
            </w:r>
          </w:p>
        </w:tc>
        <w:tc>
          <w:tcPr>
            <w:tcW w:w="1563" w:type="dxa"/>
            <w:tcBorders>
              <w:top w:val="nil"/>
              <w:left w:val="nil"/>
              <w:bottom w:val="single" w:sz="4" w:space="0" w:color="auto"/>
              <w:right w:val="single" w:sz="4" w:space="0" w:color="auto"/>
            </w:tcBorders>
            <w:shd w:val="clear" w:color="auto" w:fill="auto"/>
            <w:noWrap/>
            <w:vAlign w:val="center"/>
            <w:hideMark/>
          </w:tcPr>
          <w:p w:rsidR="001D5790" w:rsidRDefault="00A5663E">
            <w:pPr>
              <w:jc w:val="right"/>
              <w:rPr>
                <w:rFonts w:asciiTheme="minorHAnsi" w:hAnsiTheme="minorHAnsi" w:cstheme="minorHAnsi"/>
                <w:sz w:val="18"/>
                <w:szCs w:val="18"/>
              </w:rPr>
            </w:pPr>
            <w:r>
              <w:rPr>
                <w:rFonts w:asciiTheme="minorHAnsi" w:hAnsiTheme="minorHAnsi" w:cstheme="minorHAnsi"/>
                <w:sz w:val="18"/>
                <w:szCs w:val="18"/>
              </w:rPr>
              <w:t xml:space="preserve">20'000.- </w:t>
            </w: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618"/>
        </w:trPr>
        <w:tc>
          <w:tcPr>
            <w:tcW w:w="2668"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5790" w:rsidRDefault="00A5663E">
            <w:pPr>
              <w:rPr>
                <w:rFonts w:asciiTheme="minorHAnsi" w:hAnsiTheme="minorHAnsi" w:cstheme="minorHAnsi"/>
                <w:color w:val="000000"/>
              </w:rPr>
            </w:pPr>
            <w:r>
              <w:rPr>
                <w:rFonts w:asciiTheme="minorHAnsi" w:hAnsiTheme="minorHAnsi" w:cstheme="minorHAnsi"/>
                <w:color w:val="000000"/>
              </w:rPr>
              <w:t> </w:t>
            </w:r>
          </w:p>
        </w:tc>
        <w:tc>
          <w:tcPr>
            <w:tcW w:w="5800" w:type="dxa"/>
            <w:tcBorders>
              <w:top w:val="nil"/>
              <w:left w:val="nil"/>
              <w:bottom w:val="single" w:sz="4" w:space="0" w:color="auto"/>
              <w:right w:val="single" w:sz="4" w:space="0" w:color="auto"/>
            </w:tcBorders>
            <w:shd w:val="clear" w:color="auto" w:fill="auto"/>
            <w:noWrap/>
            <w:vAlign w:val="center"/>
            <w:hideMark/>
          </w:tcPr>
          <w:p w:rsidR="001D5790" w:rsidRDefault="00A5663E">
            <w:pPr>
              <w:jc w:val="center"/>
              <w:rPr>
                <w:rFonts w:asciiTheme="minorHAnsi" w:hAnsiTheme="minorHAnsi" w:cstheme="minorHAnsi"/>
                <w:b/>
                <w:bCs/>
                <w:color w:val="000000"/>
                <w:sz w:val="18"/>
                <w:szCs w:val="18"/>
              </w:rPr>
            </w:pPr>
            <w:r>
              <w:rPr>
                <w:rFonts w:asciiTheme="minorHAnsi" w:hAnsiTheme="minorHAnsi" w:cstheme="minorHAnsi"/>
                <w:b/>
                <w:bCs/>
                <w:color w:val="000000"/>
                <w:sz w:val="18"/>
                <w:szCs w:val="18"/>
              </w:rPr>
              <w:t>Gestione ed esercizio</w:t>
            </w:r>
          </w:p>
        </w:tc>
        <w:tc>
          <w:tcPr>
            <w:tcW w:w="1563" w:type="dxa"/>
            <w:tcBorders>
              <w:top w:val="nil"/>
              <w:left w:val="nil"/>
              <w:bottom w:val="single" w:sz="4" w:space="0" w:color="auto"/>
              <w:right w:val="single" w:sz="4" w:space="0" w:color="auto"/>
            </w:tcBorders>
            <w:shd w:val="clear" w:color="auto" w:fill="auto"/>
            <w:noWrap/>
            <w:vAlign w:val="center"/>
            <w:hideMark/>
          </w:tcPr>
          <w:p w:rsidR="001D5790" w:rsidRDefault="00A5663E">
            <w:pPr>
              <w:jc w:val="right"/>
              <w:rPr>
                <w:rFonts w:asciiTheme="minorHAnsi" w:hAnsiTheme="minorHAnsi" w:cstheme="minorHAnsi"/>
                <w:color w:val="000000"/>
                <w:sz w:val="18"/>
                <w:szCs w:val="18"/>
              </w:rPr>
            </w:pPr>
            <w:r>
              <w:rPr>
                <w:rFonts w:asciiTheme="minorHAnsi" w:hAnsiTheme="minorHAnsi" w:cstheme="minorHAnsi"/>
                <w:color w:val="000000"/>
                <w:sz w:val="18"/>
                <w:szCs w:val="18"/>
              </w:rPr>
              <w:t> </w:t>
            </w: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456"/>
        </w:trPr>
        <w:tc>
          <w:tcPr>
            <w:tcW w:w="26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 xml:space="preserve">Budget per attrezzature </w:t>
            </w:r>
          </w:p>
        </w:tc>
        <w:tc>
          <w:tcPr>
            <w:tcW w:w="5800" w:type="dxa"/>
            <w:tcBorders>
              <w:top w:val="nil"/>
              <w:left w:val="nil"/>
              <w:bottom w:val="single" w:sz="4" w:space="0" w:color="auto"/>
              <w:right w:val="single" w:sz="4" w:space="0" w:color="auto"/>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 xml:space="preserve">Costi investimento e manutenzione strumenti, trappole per raccolta vettori, microscopi, binoculari, ecc.  </w:t>
            </w:r>
          </w:p>
        </w:tc>
        <w:tc>
          <w:tcPr>
            <w:tcW w:w="1563" w:type="dxa"/>
            <w:tcBorders>
              <w:top w:val="nil"/>
              <w:left w:val="nil"/>
              <w:bottom w:val="single" w:sz="4" w:space="0" w:color="auto"/>
              <w:right w:val="single" w:sz="4" w:space="0" w:color="auto"/>
            </w:tcBorders>
            <w:shd w:val="clear" w:color="auto" w:fill="auto"/>
            <w:noWrap/>
            <w:vAlign w:val="center"/>
            <w:hideMark/>
          </w:tcPr>
          <w:p w:rsidR="001D5790" w:rsidRDefault="00A5663E">
            <w:pPr>
              <w:jc w:val="right"/>
              <w:rPr>
                <w:rFonts w:asciiTheme="minorHAnsi" w:hAnsiTheme="minorHAnsi" w:cstheme="minorHAnsi"/>
                <w:sz w:val="18"/>
                <w:szCs w:val="18"/>
              </w:rPr>
            </w:pPr>
            <w:r>
              <w:rPr>
                <w:rFonts w:asciiTheme="minorHAnsi" w:hAnsiTheme="minorHAnsi" w:cstheme="minorHAnsi"/>
                <w:sz w:val="18"/>
                <w:szCs w:val="18"/>
              </w:rPr>
              <w:t>18'000.-</w:t>
            </w: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88"/>
        </w:trPr>
        <w:tc>
          <w:tcPr>
            <w:tcW w:w="26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 xml:space="preserve">Materiale di laboratorio </w:t>
            </w:r>
          </w:p>
        </w:tc>
        <w:tc>
          <w:tcPr>
            <w:tcW w:w="5800" w:type="dxa"/>
            <w:tcBorders>
              <w:top w:val="nil"/>
              <w:left w:val="nil"/>
              <w:bottom w:val="single" w:sz="4" w:space="0" w:color="auto"/>
              <w:right w:val="single" w:sz="4" w:space="0" w:color="auto"/>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Reagenti, materiale d’uso e di consumo</w:t>
            </w:r>
          </w:p>
        </w:tc>
        <w:tc>
          <w:tcPr>
            <w:tcW w:w="1563" w:type="dxa"/>
            <w:tcBorders>
              <w:top w:val="nil"/>
              <w:left w:val="nil"/>
              <w:bottom w:val="single" w:sz="4" w:space="0" w:color="auto"/>
              <w:right w:val="single" w:sz="4" w:space="0" w:color="auto"/>
            </w:tcBorders>
            <w:shd w:val="clear" w:color="auto" w:fill="auto"/>
            <w:noWrap/>
            <w:vAlign w:val="center"/>
            <w:hideMark/>
          </w:tcPr>
          <w:p w:rsidR="001D5790" w:rsidRDefault="00A5663E">
            <w:pPr>
              <w:jc w:val="right"/>
              <w:rPr>
                <w:rFonts w:asciiTheme="minorHAnsi" w:hAnsiTheme="minorHAnsi" w:cstheme="minorHAnsi"/>
                <w:sz w:val="18"/>
                <w:szCs w:val="18"/>
              </w:rPr>
            </w:pPr>
            <w:r>
              <w:rPr>
                <w:rFonts w:asciiTheme="minorHAnsi" w:hAnsiTheme="minorHAnsi" w:cstheme="minorHAnsi"/>
                <w:sz w:val="18"/>
                <w:szCs w:val="18"/>
              </w:rPr>
              <w:t xml:space="preserve">6'500.- </w:t>
            </w: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456"/>
        </w:trPr>
        <w:tc>
          <w:tcPr>
            <w:tcW w:w="26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Spese varie</w:t>
            </w:r>
          </w:p>
        </w:tc>
        <w:tc>
          <w:tcPr>
            <w:tcW w:w="5800" w:type="dxa"/>
            <w:tcBorders>
              <w:top w:val="nil"/>
              <w:left w:val="nil"/>
              <w:bottom w:val="single" w:sz="4" w:space="0" w:color="auto"/>
              <w:right w:val="single" w:sz="4" w:space="0" w:color="auto"/>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Trasferte e trasporti, perfezionamento professionale, libri e riviste, materiale d’ufficio, IT</w:t>
            </w:r>
            <w:r>
              <w:rPr>
                <w:rFonts w:asciiTheme="minorHAnsi" w:hAnsiTheme="minorHAnsi" w:cstheme="minorHAnsi"/>
                <w:sz w:val="16"/>
                <w:szCs w:val="16"/>
              </w:rPr>
              <w:t> </w:t>
            </w:r>
          </w:p>
        </w:tc>
        <w:tc>
          <w:tcPr>
            <w:tcW w:w="1563" w:type="dxa"/>
            <w:tcBorders>
              <w:top w:val="nil"/>
              <w:left w:val="nil"/>
              <w:bottom w:val="single" w:sz="4" w:space="0" w:color="auto"/>
              <w:right w:val="single" w:sz="4" w:space="0" w:color="auto"/>
            </w:tcBorders>
            <w:shd w:val="clear" w:color="auto" w:fill="auto"/>
            <w:noWrap/>
            <w:vAlign w:val="center"/>
            <w:hideMark/>
          </w:tcPr>
          <w:p w:rsidR="001D5790" w:rsidRDefault="00A5663E">
            <w:pPr>
              <w:jc w:val="right"/>
              <w:rPr>
                <w:rFonts w:asciiTheme="minorHAnsi" w:hAnsiTheme="minorHAnsi" w:cstheme="minorHAnsi"/>
                <w:sz w:val="18"/>
                <w:szCs w:val="18"/>
              </w:rPr>
            </w:pPr>
            <w:r>
              <w:rPr>
                <w:rFonts w:asciiTheme="minorHAnsi" w:hAnsiTheme="minorHAnsi" w:cstheme="minorHAnsi"/>
                <w:sz w:val="18"/>
                <w:szCs w:val="18"/>
              </w:rPr>
              <w:t xml:space="preserve">7'000.- </w:t>
            </w: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456"/>
        </w:trPr>
        <w:tc>
          <w:tcPr>
            <w:tcW w:w="2668" w:type="dxa"/>
            <w:gridSpan w:val="2"/>
            <w:tcBorders>
              <w:top w:val="single" w:sz="4" w:space="0" w:color="auto"/>
              <w:left w:val="single" w:sz="4" w:space="0" w:color="auto"/>
              <w:bottom w:val="single" w:sz="4" w:space="0" w:color="auto"/>
              <w:right w:val="single" w:sz="4" w:space="0" w:color="000000"/>
            </w:tcBorders>
            <w:shd w:val="clear" w:color="auto" w:fill="auto"/>
          </w:tcPr>
          <w:p w:rsidR="001D5790" w:rsidRDefault="001D5790">
            <w:pPr>
              <w:rPr>
                <w:rFonts w:asciiTheme="minorHAnsi" w:hAnsiTheme="minorHAnsi" w:cstheme="minorHAnsi"/>
                <w:b/>
                <w:bCs/>
                <w:sz w:val="18"/>
                <w:szCs w:val="18"/>
              </w:rPr>
            </w:pPr>
          </w:p>
        </w:tc>
        <w:tc>
          <w:tcPr>
            <w:tcW w:w="5800" w:type="dxa"/>
            <w:tcBorders>
              <w:top w:val="nil"/>
              <w:left w:val="nil"/>
              <w:bottom w:val="single" w:sz="4" w:space="0" w:color="auto"/>
              <w:right w:val="single" w:sz="4" w:space="0" w:color="auto"/>
            </w:tcBorders>
            <w:shd w:val="clear" w:color="auto" w:fill="auto"/>
            <w:vAlign w:val="center"/>
          </w:tcPr>
          <w:p w:rsidR="001D5790" w:rsidRDefault="00A5663E">
            <w:pPr>
              <w:rPr>
                <w:rFonts w:asciiTheme="minorHAnsi" w:hAnsiTheme="minorHAnsi" w:cstheme="minorHAnsi"/>
                <w:sz w:val="18"/>
                <w:szCs w:val="18"/>
              </w:rPr>
            </w:pPr>
            <w:r>
              <w:rPr>
                <w:rFonts w:asciiTheme="minorHAnsi" w:hAnsiTheme="minorHAnsi" w:cstheme="minorHAnsi"/>
                <w:b/>
                <w:bCs/>
                <w:color w:val="000000"/>
                <w:sz w:val="18"/>
                <w:szCs w:val="18"/>
              </w:rPr>
              <w:t>Costi totali compito 3</w:t>
            </w:r>
          </w:p>
        </w:tc>
        <w:tc>
          <w:tcPr>
            <w:tcW w:w="1563" w:type="dxa"/>
            <w:tcBorders>
              <w:top w:val="nil"/>
              <w:left w:val="nil"/>
              <w:bottom w:val="single" w:sz="4" w:space="0" w:color="auto"/>
              <w:right w:val="single" w:sz="4" w:space="0" w:color="auto"/>
            </w:tcBorders>
            <w:shd w:val="clear" w:color="auto" w:fill="auto"/>
            <w:noWrap/>
            <w:vAlign w:val="center"/>
          </w:tcPr>
          <w:p w:rsidR="001D5790" w:rsidRDefault="00A5663E">
            <w:pPr>
              <w:jc w:val="right"/>
              <w:rPr>
                <w:rFonts w:asciiTheme="minorHAnsi" w:hAnsiTheme="minorHAnsi" w:cstheme="minorHAnsi"/>
                <w:b/>
                <w:sz w:val="18"/>
                <w:szCs w:val="18"/>
              </w:rPr>
            </w:pPr>
            <w:r>
              <w:rPr>
                <w:rFonts w:asciiTheme="minorHAnsi" w:hAnsiTheme="minorHAnsi" w:cstheme="minorHAnsi"/>
                <w:b/>
                <w:color w:val="000000"/>
                <w:sz w:val="18"/>
                <w:szCs w:val="18"/>
              </w:rPr>
              <w:t>386'500.-</w:t>
            </w:r>
          </w:p>
        </w:tc>
      </w:tr>
      <w:tr w:rsidR="001D57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88"/>
        </w:trPr>
        <w:tc>
          <w:tcPr>
            <w:tcW w:w="26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Referente IM</w:t>
            </w:r>
          </w:p>
        </w:tc>
        <w:tc>
          <w:tcPr>
            <w:tcW w:w="5800" w:type="dxa"/>
            <w:tcBorders>
              <w:top w:val="single" w:sz="4" w:space="0" w:color="auto"/>
              <w:left w:val="nil"/>
              <w:bottom w:val="single" w:sz="4" w:space="0" w:color="auto"/>
              <w:right w:val="single" w:sz="4" w:space="0" w:color="auto"/>
            </w:tcBorders>
            <w:shd w:val="clear" w:color="auto" w:fill="auto"/>
            <w:hideMark/>
          </w:tcPr>
          <w:p w:rsidR="001D5790" w:rsidRDefault="00A5663E">
            <w:pPr>
              <w:rPr>
                <w:rFonts w:asciiTheme="minorHAnsi" w:hAnsiTheme="minorHAnsi" w:cstheme="minorHAnsi"/>
                <w:sz w:val="18"/>
                <w:szCs w:val="18"/>
              </w:rPr>
            </w:pPr>
            <w:r>
              <w:rPr>
                <w:rFonts w:asciiTheme="minorHAnsi" w:hAnsiTheme="minorHAnsi" w:cstheme="minorHAnsi"/>
                <w:sz w:val="18"/>
                <w:szCs w:val="18"/>
              </w:rPr>
              <w:t>Dr.ssa Eleonora Flacio</w:t>
            </w:r>
          </w:p>
        </w:tc>
        <w:tc>
          <w:tcPr>
            <w:tcW w:w="1563" w:type="dxa"/>
            <w:tcBorders>
              <w:top w:val="single" w:sz="4" w:space="0" w:color="auto"/>
              <w:left w:val="nil"/>
              <w:bottom w:val="single" w:sz="4" w:space="0" w:color="auto"/>
              <w:right w:val="single" w:sz="4" w:space="0" w:color="auto"/>
            </w:tcBorders>
            <w:shd w:val="clear" w:color="auto" w:fill="auto"/>
            <w:noWrap/>
            <w:vAlign w:val="bottom"/>
            <w:hideMark/>
          </w:tcPr>
          <w:p w:rsidR="001D5790" w:rsidRDefault="00A5663E">
            <w:pPr>
              <w:rPr>
                <w:rFonts w:asciiTheme="minorHAnsi" w:hAnsiTheme="minorHAnsi" w:cstheme="minorHAnsi"/>
                <w:color w:val="000000"/>
              </w:rPr>
            </w:pPr>
            <w:r>
              <w:rPr>
                <w:rFonts w:asciiTheme="minorHAnsi" w:hAnsiTheme="minorHAnsi" w:cstheme="minorHAnsi"/>
                <w:color w:val="000000"/>
              </w:rPr>
              <w:t> </w:t>
            </w:r>
          </w:p>
        </w:tc>
      </w:tr>
    </w:tbl>
    <w:p w:rsidR="001D5790" w:rsidRDefault="00A5663E">
      <w:pPr>
        <w:pStyle w:val="NormaleWeb"/>
        <w:spacing w:before="0" w:after="0"/>
        <w:rPr>
          <w:rFonts w:asciiTheme="minorHAnsi" w:hAnsiTheme="minorHAnsi" w:cstheme="minorHAnsi"/>
          <w:sz w:val="18"/>
          <w:szCs w:val="18"/>
        </w:rPr>
      </w:pPr>
      <w:r>
        <w:rPr>
          <w:rFonts w:asciiTheme="minorHAnsi" w:hAnsiTheme="minorHAnsi" w:cstheme="minorHAnsi"/>
          <w:sz w:val="18"/>
          <w:szCs w:val="18"/>
        </w:rPr>
        <w:t>*Ufficio federale dell’ambiente</w:t>
      </w:r>
    </w:p>
    <w:p w:rsidR="001D5790" w:rsidRDefault="00A5663E">
      <w:pPr>
        <w:pStyle w:val="NormaleWeb"/>
        <w:spacing w:before="0" w:after="0"/>
        <w:rPr>
          <w:rFonts w:asciiTheme="minorHAnsi" w:hAnsiTheme="minorHAnsi" w:cstheme="minorHAnsi"/>
          <w:sz w:val="18"/>
          <w:szCs w:val="18"/>
        </w:rPr>
      </w:pPr>
      <w:r>
        <w:rPr>
          <w:rFonts w:asciiTheme="minorHAnsi" w:hAnsiTheme="minorHAnsi" w:cstheme="minorHAnsi"/>
          <w:sz w:val="18"/>
          <w:szCs w:val="18"/>
        </w:rPr>
        <w:t>**Ufficio federale della sanità pubblica</w:t>
      </w:r>
    </w:p>
    <w:p w:rsidR="001D5790" w:rsidRDefault="00A5663E">
      <w:pPr>
        <w:pStyle w:val="NormaleWeb"/>
        <w:spacing w:before="0" w:after="0"/>
        <w:rPr>
          <w:rFonts w:asciiTheme="minorHAnsi" w:hAnsiTheme="minorHAnsi" w:cstheme="minorHAnsi"/>
          <w:sz w:val="18"/>
          <w:szCs w:val="18"/>
        </w:rPr>
      </w:pPr>
      <w:r>
        <w:rPr>
          <w:rFonts w:asciiTheme="minorHAnsi" w:hAnsiTheme="minorHAnsi" w:cstheme="minorHAnsi"/>
          <w:sz w:val="18"/>
          <w:szCs w:val="18"/>
        </w:rPr>
        <w:t>***Commissione federale per la sicurezza biologica</w:t>
      </w:r>
    </w:p>
    <w:p w:rsidR="001D5790" w:rsidRDefault="001D5790">
      <w:pPr>
        <w:pStyle w:val="NormaleWeb"/>
        <w:rPr>
          <w:rFonts w:asciiTheme="minorHAnsi" w:hAnsiTheme="minorHAnsi" w:cstheme="minorHAnsi"/>
          <w:b/>
          <w:bCs/>
          <w:sz w:val="28"/>
          <w:szCs w:val="28"/>
        </w:rPr>
      </w:pPr>
    </w:p>
    <w:tbl>
      <w:tblPr>
        <w:tblW w:w="1003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20" w:firstRow="1" w:lastRow="0" w:firstColumn="0" w:lastColumn="0" w:noHBand="0" w:noVBand="0"/>
      </w:tblPr>
      <w:tblGrid>
        <w:gridCol w:w="2260"/>
        <w:gridCol w:w="6353"/>
        <w:gridCol w:w="1418"/>
      </w:tblGrid>
      <w:tr w:rsidR="001D5790">
        <w:trPr>
          <w:trHeight w:val="274"/>
        </w:trPr>
        <w:tc>
          <w:tcPr>
            <w:tcW w:w="2260" w:type="dxa"/>
            <w:shd w:val="solid" w:color="000080" w:fill="FFFFFF"/>
          </w:tcPr>
          <w:p w:rsidR="001D5790" w:rsidRDefault="001D5790">
            <w:pPr>
              <w:keepNext/>
              <w:outlineLvl w:val="0"/>
              <w:rPr>
                <w:rFonts w:asciiTheme="minorHAnsi" w:hAnsiTheme="minorHAnsi" w:cstheme="minorHAnsi"/>
                <w:bCs/>
                <w:i/>
                <w:iCs/>
                <w:color w:val="FFFFFF"/>
              </w:rPr>
            </w:pPr>
          </w:p>
        </w:tc>
        <w:tc>
          <w:tcPr>
            <w:tcW w:w="7771" w:type="dxa"/>
            <w:gridSpan w:val="2"/>
            <w:shd w:val="solid" w:color="000080" w:fill="FFFFFF"/>
          </w:tcPr>
          <w:p w:rsidR="001D5790" w:rsidRDefault="001D5790">
            <w:pPr>
              <w:spacing w:before="100" w:beforeAutospacing="1" w:after="100" w:afterAutospacing="1"/>
              <w:rPr>
                <w:rFonts w:asciiTheme="minorHAnsi" w:eastAsia="Arial Unicode MS" w:hAnsiTheme="minorHAnsi" w:cstheme="minorHAnsi"/>
                <w:b/>
                <w:bCs/>
                <w:color w:val="FFFFFF"/>
              </w:rPr>
            </w:pPr>
          </w:p>
        </w:tc>
      </w:tr>
      <w:tr w:rsidR="001D5790">
        <w:trPr>
          <w:trHeight w:val="274"/>
        </w:trPr>
        <w:tc>
          <w:tcPr>
            <w:tcW w:w="2260" w:type="dxa"/>
            <w:shd w:val="solid" w:color="000080" w:fill="FFFFFF"/>
          </w:tcPr>
          <w:p w:rsidR="001D5790" w:rsidRDefault="00A5663E">
            <w:pPr>
              <w:keepNext/>
              <w:outlineLvl w:val="0"/>
              <w:rPr>
                <w:rFonts w:asciiTheme="minorHAnsi" w:hAnsiTheme="minorHAnsi" w:cstheme="minorHAnsi"/>
                <w:bCs/>
                <w:i/>
                <w:color w:val="FFFFFF"/>
              </w:rPr>
            </w:pPr>
            <w:r>
              <w:rPr>
                <w:rFonts w:asciiTheme="minorHAnsi" w:hAnsiTheme="minorHAnsi" w:cstheme="minorHAnsi"/>
                <w:bCs/>
                <w:i/>
                <w:iCs/>
                <w:color w:val="FFFFFF"/>
              </w:rPr>
              <w:t>Compito 4</w:t>
            </w:r>
          </w:p>
        </w:tc>
        <w:tc>
          <w:tcPr>
            <w:tcW w:w="7771" w:type="dxa"/>
            <w:gridSpan w:val="2"/>
            <w:shd w:val="solid" w:color="000080" w:fill="FFFFFF"/>
          </w:tcPr>
          <w:p w:rsidR="001D5790" w:rsidRDefault="00A5663E">
            <w:pPr>
              <w:spacing w:before="100" w:beforeAutospacing="1" w:after="100" w:afterAutospacing="1"/>
              <w:rPr>
                <w:rFonts w:asciiTheme="minorHAnsi" w:eastAsia="Arial Unicode MS" w:hAnsiTheme="minorHAnsi" w:cstheme="minorHAnsi"/>
                <w:b/>
                <w:bCs/>
                <w:color w:val="FFFFFF"/>
              </w:rPr>
            </w:pPr>
            <w:r>
              <w:rPr>
                <w:rFonts w:asciiTheme="minorHAnsi" w:eastAsia="Arial Unicode MS" w:hAnsiTheme="minorHAnsi" w:cstheme="minorHAnsi"/>
                <w:b/>
                <w:bCs/>
                <w:color w:val="FFFFFF"/>
              </w:rPr>
              <w:t>Caratterizzazione degli organismi microbici e del loro possibile impatto sulla salute ambientale, animale ed umana (One Health)</w:t>
            </w:r>
          </w:p>
          <w:p w:rsidR="001D5790" w:rsidRDefault="001D5790">
            <w:pPr>
              <w:keepNext/>
              <w:outlineLvl w:val="0"/>
              <w:rPr>
                <w:rFonts w:asciiTheme="minorHAnsi" w:hAnsiTheme="minorHAnsi" w:cstheme="minorHAnsi"/>
                <w:bCs/>
                <w:color w:val="FF0000"/>
                <w:sz w:val="8"/>
                <w:szCs w:val="8"/>
              </w:rPr>
            </w:pPr>
          </w:p>
        </w:tc>
      </w:tr>
      <w:tr w:rsidR="001D5790">
        <w:trPr>
          <w:trHeight w:val="542"/>
        </w:trPr>
        <w:tc>
          <w:tcPr>
            <w:tcW w:w="2260" w:type="dxa"/>
            <w:shd w:val="clear" w:color="auto" w:fill="auto"/>
            <w:vAlign w:val="center"/>
          </w:tcPr>
          <w:p w:rsidR="001D5790" w:rsidRDefault="00A5663E">
            <w:pPr>
              <w:spacing w:before="100" w:beforeAutospacing="1" w:after="100" w:afterAutospacing="1"/>
              <w:rPr>
                <w:rFonts w:asciiTheme="minorHAnsi" w:hAnsiTheme="minorHAnsi" w:cstheme="minorHAnsi"/>
                <w:b/>
                <w:i/>
                <w:sz w:val="18"/>
                <w:szCs w:val="18"/>
              </w:rPr>
            </w:pPr>
            <w:r>
              <w:rPr>
                <w:rFonts w:asciiTheme="minorHAnsi" w:hAnsiTheme="minorHAnsi" w:cstheme="minorHAnsi"/>
                <w:b/>
                <w:bCs/>
                <w:sz w:val="18"/>
                <w:szCs w:val="18"/>
              </w:rPr>
              <w:t>Attività</w:t>
            </w:r>
          </w:p>
        </w:tc>
        <w:tc>
          <w:tcPr>
            <w:tcW w:w="6353" w:type="dxa"/>
            <w:shd w:val="clear" w:color="auto" w:fill="auto"/>
            <w:vAlign w:val="center"/>
          </w:tcPr>
          <w:p w:rsidR="001D5790" w:rsidRDefault="00A5663E">
            <w:pPr>
              <w:spacing w:before="100" w:beforeAutospacing="1" w:after="100" w:afterAutospacing="1"/>
              <w:rPr>
                <w:rFonts w:asciiTheme="minorHAnsi" w:hAnsiTheme="minorHAnsi" w:cstheme="minorHAnsi"/>
                <w:b/>
                <w:sz w:val="18"/>
                <w:szCs w:val="18"/>
              </w:rPr>
            </w:pPr>
            <w:r>
              <w:rPr>
                <w:rFonts w:asciiTheme="minorHAnsi" w:hAnsiTheme="minorHAnsi" w:cstheme="minorHAnsi"/>
                <w:b/>
                <w:bCs/>
                <w:sz w:val="18"/>
                <w:szCs w:val="18"/>
              </w:rPr>
              <w:t>Descrizione</w:t>
            </w:r>
          </w:p>
        </w:tc>
        <w:tc>
          <w:tcPr>
            <w:tcW w:w="1418" w:type="dxa"/>
            <w:shd w:val="clear" w:color="auto" w:fill="auto"/>
            <w:vAlign w:val="center"/>
          </w:tcPr>
          <w:p w:rsidR="001D5790" w:rsidRDefault="00A5663E">
            <w:pPr>
              <w:rPr>
                <w:rFonts w:asciiTheme="minorHAnsi" w:hAnsiTheme="minorHAnsi" w:cstheme="minorHAnsi"/>
                <w:b/>
                <w:sz w:val="18"/>
                <w:szCs w:val="18"/>
              </w:rPr>
            </w:pPr>
            <w:r>
              <w:rPr>
                <w:rFonts w:asciiTheme="minorHAnsi" w:hAnsiTheme="minorHAnsi" w:cstheme="minorHAnsi"/>
                <w:b/>
                <w:bCs/>
                <w:sz w:val="18"/>
                <w:szCs w:val="18"/>
              </w:rPr>
              <w:t>Costi in fr.</w:t>
            </w:r>
          </w:p>
        </w:tc>
      </w:tr>
      <w:tr w:rsidR="001D5790">
        <w:trPr>
          <w:trHeight w:val="542"/>
        </w:trPr>
        <w:tc>
          <w:tcPr>
            <w:tcW w:w="2260" w:type="dxa"/>
          </w:tcPr>
          <w:p w:rsidR="001D5790" w:rsidRDefault="00A5663E">
            <w:pPr>
              <w:spacing w:before="100" w:beforeAutospacing="1" w:after="100" w:afterAutospacing="1"/>
              <w:jc w:val="left"/>
              <w:rPr>
                <w:rFonts w:asciiTheme="minorHAnsi" w:hAnsiTheme="minorHAnsi" w:cstheme="minorHAnsi"/>
                <w:bCs/>
                <w:sz w:val="18"/>
                <w:szCs w:val="18"/>
              </w:rPr>
            </w:pPr>
            <w:r>
              <w:rPr>
                <w:rFonts w:asciiTheme="minorHAnsi" w:hAnsiTheme="minorHAnsi" w:cstheme="minorHAnsi"/>
                <w:sz w:val="18"/>
                <w:szCs w:val="18"/>
              </w:rPr>
              <w:t>Spettrometria di massa MALDI-TOF, banche dati</w:t>
            </w:r>
          </w:p>
        </w:tc>
        <w:tc>
          <w:tcPr>
            <w:tcW w:w="6353" w:type="dxa"/>
          </w:tcPr>
          <w:p w:rsidR="001D5790" w:rsidRDefault="00A5663E">
            <w:pPr>
              <w:spacing w:before="100" w:beforeAutospacing="1" w:after="100" w:afterAutospacing="1"/>
              <w:rPr>
                <w:rFonts w:asciiTheme="minorHAnsi" w:hAnsiTheme="minorHAnsi" w:cstheme="minorHAnsi"/>
                <w:sz w:val="18"/>
                <w:szCs w:val="18"/>
              </w:rPr>
            </w:pPr>
            <w:r>
              <w:rPr>
                <w:rFonts w:asciiTheme="minorHAnsi" w:hAnsiTheme="minorHAnsi" w:cstheme="minorHAnsi"/>
                <w:sz w:val="18"/>
                <w:szCs w:val="18"/>
              </w:rPr>
              <w:t>Uso del sistema per un’identificazione rapida di microorganismi importanti a livello di salute ambientale, animale e umana (One Health). Applicazione per progetti, analisi e servizi esterni o interni all’Istituto (inclusa collaborazione con il reparto di batteriologia dell’EOLAB).</w:t>
            </w:r>
          </w:p>
          <w:p w:rsidR="001D5790" w:rsidRDefault="00A5663E">
            <w:pPr>
              <w:pStyle w:val="Paragrafoelenco"/>
              <w:numPr>
                <w:ilvl w:val="0"/>
                <w:numId w:val="23"/>
              </w:numPr>
              <w:suppressAutoHyphens w:val="0"/>
              <w:spacing w:before="100" w:beforeAutospacing="1" w:after="100" w:afterAutospacing="1"/>
              <w:contextualSpacing w:val="0"/>
              <w:jc w:val="left"/>
              <w:rPr>
                <w:rFonts w:asciiTheme="minorHAnsi" w:hAnsiTheme="minorHAnsi" w:cstheme="minorHAnsi"/>
                <w:sz w:val="18"/>
                <w:szCs w:val="18"/>
              </w:rPr>
            </w:pPr>
            <w:r>
              <w:rPr>
                <w:rFonts w:asciiTheme="minorHAnsi" w:hAnsiTheme="minorHAnsi" w:cstheme="minorHAnsi"/>
                <w:sz w:val="18"/>
                <w:szCs w:val="18"/>
              </w:rPr>
              <w:t>Gestione degli strumenti: controllo del loro corretto funzionamento; programmazione dei controlli di qualità, ecc.</w:t>
            </w:r>
          </w:p>
          <w:p w:rsidR="001D5790" w:rsidRDefault="00A5663E">
            <w:pPr>
              <w:pStyle w:val="Paragrafoelenco"/>
              <w:numPr>
                <w:ilvl w:val="0"/>
                <w:numId w:val="23"/>
              </w:numPr>
              <w:suppressAutoHyphens w:val="0"/>
              <w:spacing w:before="100" w:beforeAutospacing="1" w:after="100" w:afterAutospacing="1"/>
              <w:contextualSpacing w:val="0"/>
              <w:jc w:val="left"/>
              <w:rPr>
                <w:rFonts w:asciiTheme="minorHAnsi" w:hAnsiTheme="minorHAnsi" w:cstheme="minorHAnsi"/>
                <w:sz w:val="18"/>
                <w:szCs w:val="18"/>
              </w:rPr>
            </w:pPr>
            <w:r>
              <w:rPr>
                <w:rFonts w:asciiTheme="minorHAnsi" w:hAnsiTheme="minorHAnsi" w:cstheme="minorHAnsi"/>
                <w:sz w:val="18"/>
                <w:szCs w:val="18"/>
              </w:rPr>
              <w:t>Implementazione delle banche dati con nuovi organismi, in caso di richiesta o necessità.</w:t>
            </w:r>
          </w:p>
          <w:p w:rsidR="001D5790" w:rsidRDefault="00A5663E">
            <w:pPr>
              <w:pStyle w:val="Paragrafoelenco"/>
              <w:numPr>
                <w:ilvl w:val="0"/>
                <w:numId w:val="23"/>
              </w:numPr>
              <w:suppressAutoHyphens w:val="0"/>
              <w:spacing w:before="100" w:beforeAutospacing="1" w:after="100" w:afterAutospacing="1"/>
              <w:contextualSpacing w:val="0"/>
              <w:jc w:val="left"/>
              <w:rPr>
                <w:rFonts w:asciiTheme="minorHAnsi" w:hAnsiTheme="minorHAnsi" w:cstheme="minorHAnsi"/>
                <w:sz w:val="18"/>
                <w:szCs w:val="18"/>
              </w:rPr>
            </w:pPr>
            <w:r>
              <w:rPr>
                <w:rFonts w:asciiTheme="minorHAnsi" w:hAnsiTheme="minorHAnsi" w:cstheme="minorHAnsi"/>
                <w:sz w:val="18"/>
                <w:szCs w:val="18"/>
              </w:rPr>
              <w:t>Sviluppo di nuove applicazioni legate alla spettrometria di massa MALDI-TOF.</w:t>
            </w:r>
          </w:p>
          <w:p w:rsidR="001D5790" w:rsidRDefault="001D5790">
            <w:pPr>
              <w:spacing w:before="100" w:beforeAutospacing="1" w:after="100" w:afterAutospacing="1"/>
              <w:rPr>
                <w:rFonts w:asciiTheme="minorHAnsi" w:hAnsiTheme="minorHAnsi" w:cstheme="minorHAnsi"/>
                <w:bCs/>
                <w:sz w:val="18"/>
                <w:szCs w:val="18"/>
              </w:rPr>
            </w:pPr>
          </w:p>
        </w:tc>
        <w:tc>
          <w:tcPr>
            <w:tcW w:w="1418" w:type="dxa"/>
            <w:vAlign w:val="center"/>
          </w:tcPr>
          <w:p w:rsidR="001D5790" w:rsidRDefault="00A5663E">
            <w:pPr>
              <w:jc w:val="right"/>
              <w:rPr>
                <w:rFonts w:asciiTheme="minorHAnsi" w:hAnsiTheme="minorHAnsi" w:cstheme="minorHAnsi"/>
                <w:bCs/>
                <w:sz w:val="18"/>
                <w:szCs w:val="18"/>
              </w:rPr>
            </w:pPr>
            <w:r>
              <w:rPr>
                <w:rFonts w:asciiTheme="minorHAnsi" w:hAnsiTheme="minorHAnsi" w:cstheme="minorHAnsi"/>
                <w:sz w:val="18"/>
                <w:szCs w:val="18"/>
              </w:rPr>
              <w:t>30'000.-</w:t>
            </w:r>
          </w:p>
        </w:tc>
      </w:tr>
      <w:tr w:rsidR="001D5790">
        <w:trPr>
          <w:trHeight w:val="443"/>
        </w:trPr>
        <w:tc>
          <w:tcPr>
            <w:tcW w:w="2260" w:type="dxa"/>
          </w:tcPr>
          <w:p w:rsidR="001D5790" w:rsidRDefault="00A5663E">
            <w:pPr>
              <w:spacing w:before="100" w:beforeAutospacing="1" w:after="100" w:afterAutospacing="1"/>
              <w:jc w:val="left"/>
              <w:rPr>
                <w:rFonts w:asciiTheme="minorHAnsi" w:hAnsiTheme="minorHAnsi" w:cstheme="minorHAnsi"/>
                <w:sz w:val="18"/>
                <w:szCs w:val="18"/>
              </w:rPr>
            </w:pPr>
            <w:r>
              <w:rPr>
                <w:rFonts w:asciiTheme="minorHAnsi" w:hAnsiTheme="minorHAnsi" w:cstheme="minorHAnsi"/>
                <w:sz w:val="18"/>
                <w:szCs w:val="18"/>
              </w:rPr>
              <w:t xml:space="preserve">Sviluppo e aggiornamento metodi molecolari </w:t>
            </w:r>
          </w:p>
          <w:p w:rsidR="001D5790" w:rsidRDefault="001D5790">
            <w:pPr>
              <w:spacing w:before="100" w:beforeAutospacing="1" w:after="100" w:afterAutospacing="1"/>
              <w:jc w:val="left"/>
              <w:rPr>
                <w:rFonts w:asciiTheme="minorHAnsi" w:eastAsia="Arial Unicode MS" w:hAnsiTheme="minorHAnsi" w:cstheme="minorHAnsi"/>
                <w:b/>
                <w:bCs/>
                <w:sz w:val="18"/>
                <w:szCs w:val="18"/>
              </w:rPr>
            </w:pPr>
          </w:p>
        </w:tc>
        <w:tc>
          <w:tcPr>
            <w:tcW w:w="6353" w:type="dxa"/>
          </w:tcPr>
          <w:p w:rsidR="001D5790" w:rsidRDefault="00A5663E">
            <w:pPr>
              <w:spacing w:before="100" w:beforeAutospacing="1" w:after="100" w:afterAutospacing="1"/>
              <w:rPr>
                <w:rFonts w:asciiTheme="minorHAnsi" w:hAnsiTheme="minorHAnsi" w:cstheme="minorHAnsi"/>
                <w:sz w:val="18"/>
                <w:szCs w:val="18"/>
              </w:rPr>
            </w:pPr>
            <w:r>
              <w:rPr>
                <w:rFonts w:asciiTheme="minorHAnsi" w:hAnsiTheme="minorHAnsi" w:cstheme="minorHAnsi"/>
                <w:sz w:val="18"/>
                <w:szCs w:val="18"/>
              </w:rPr>
              <w:t>Sviluppo e applicazione di vari metodi molecolari per il rilevamento di batteri, virus e funghi dall’ambiente naturale o costruito. Uso dei metodi per progetti, analisi e servizi esterni o interni all’Istituto</w:t>
            </w:r>
          </w:p>
          <w:p w:rsidR="001D5790" w:rsidRDefault="00A5663E">
            <w:pPr>
              <w:pStyle w:val="Paragrafoelenco"/>
              <w:numPr>
                <w:ilvl w:val="0"/>
                <w:numId w:val="23"/>
              </w:numPr>
              <w:suppressAutoHyphens w:val="0"/>
              <w:spacing w:before="100" w:beforeAutospacing="1" w:after="100" w:afterAutospacing="1"/>
              <w:contextualSpacing w:val="0"/>
              <w:jc w:val="left"/>
              <w:rPr>
                <w:rFonts w:asciiTheme="minorHAnsi" w:hAnsiTheme="minorHAnsi" w:cstheme="minorHAnsi"/>
                <w:sz w:val="18"/>
                <w:szCs w:val="18"/>
              </w:rPr>
            </w:pPr>
            <w:r>
              <w:rPr>
                <w:rFonts w:asciiTheme="minorHAnsi" w:hAnsiTheme="minorHAnsi" w:cstheme="minorHAnsi"/>
                <w:sz w:val="18"/>
                <w:szCs w:val="18"/>
              </w:rPr>
              <w:t>Identificazioni, analisi filogenetiche e proteomiche (spettrometria di massa-MALDI-TOF).</w:t>
            </w:r>
          </w:p>
          <w:p w:rsidR="001D5790" w:rsidRDefault="00A5663E">
            <w:pPr>
              <w:pStyle w:val="Paragrafoelenco"/>
              <w:numPr>
                <w:ilvl w:val="0"/>
                <w:numId w:val="23"/>
              </w:numPr>
              <w:suppressAutoHyphens w:val="0"/>
              <w:spacing w:before="100" w:beforeAutospacing="1" w:after="100" w:afterAutospacing="1"/>
              <w:contextualSpacing w:val="0"/>
              <w:jc w:val="left"/>
              <w:rPr>
                <w:rFonts w:asciiTheme="minorHAnsi" w:hAnsiTheme="minorHAnsi" w:cstheme="minorHAnsi"/>
                <w:sz w:val="18"/>
                <w:szCs w:val="18"/>
              </w:rPr>
            </w:pPr>
            <w:r>
              <w:rPr>
                <w:rFonts w:asciiTheme="minorHAnsi" w:hAnsiTheme="minorHAnsi" w:cstheme="minorHAnsi"/>
                <w:sz w:val="18"/>
                <w:szCs w:val="18"/>
              </w:rPr>
              <w:t>Tipizzazione di microorganismi e determinazione dei profili di resistenza agli antimicrobici.</w:t>
            </w:r>
          </w:p>
          <w:p w:rsidR="001D5790" w:rsidRDefault="00A5663E">
            <w:pPr>
              <w:spacing w:before="100" w:beforeAutospacing="1" w:after="100" w:afterAutospacing="1"/>
              <w:rPr>
                <w:rFonts w:asciiTheme="minorHAnsi" w:hAnsiTheme="minorHAnsi" w:cstheme="minorHAnsi"/>
                <w:sz w:val="18"/>
                <w:szCs w:val="18"/>
              </w:rPr>
            </w:pPr>
            <w:r>
              <w:rPr>
                <w:rFonts w:asciiTheme="minorHAnsi" w:hAnsiTheme="minorHAnsi" w:cstheme="minorHAnsi"/>
                <w:sz w:val="18"/>
                <w:szCs w:val="18"/>
              </w:rPr>
              <w:t>Implementazione e gestione delle tecniche di sequenziamento di ultima generazione (genomica, metagenomica, metabarcoding e trascrittomica). Applicazione di questi metodi per progetti, analisi e servizi esterni o interni all’Istituto.</w:t>
            </w:r>
          </w:p>
          <w:p w:rsidR="001D5790" w:rsidRDefault="001D5790">
            <w:pPr>
              <w:spacing w:before="100" w:beforeAutospacing="1" w:after="100" w:afterAutospacing="1"/>
              <w:rPr>
                <w:rFonts w:asciiTheme="minorHAnsi" w:eastAsia="Arial Unicode MS" w:hAnsiTheme="minorHAnsi" w:cstheme="minorHAnsi"/>
                <w:sz w:val="18"/>
                <w:szCs w:val="18"/>
              </w:rPr>
            </w:pPr>
          </w:p>
        </w:tc>
        <w:tc>
          <w:tcPr>
            <w:tcW w:w="1418" w:type="dxa"/>
          </w:tcPr>
          <w:p w:rsidR="001D5790" w:rsidRDefault="00A5663E">
            <w:pPr>
              <w:ind w:left="-110"/>
              <w:jc w:val="right"/>
              <w:rPr>
                <w:rFonts w:asciiTheme="minorHAnsi" w:hAnsiTheme="minorHAnsi" w:cstheme="minorHAnsi"/>
                <w:sz w:val="18"/>
                <w:szCs w:val="18"/>
              </w:rPr>
            </w:pPr>
            <w:r>
              <w:rPr>
                <w:rFonts w:asciiTheme="minorHAnsi" w:hAnsiTheme="minorHAnsi" w:cstheme="minorHAnsi"/>
                <w:sz w:val="18"/>
                <w:szCs w:val="18"/>
              </w:rPr>
              <w:t>38'000.-</w:t>
            </w:r>
          </w:p>
          <w:p w:rsidR="001D5790" w:rsidRDefault="001D5790">
            <w:pPr>
              <w:rPr>
                <w:rFonts w:asciiTheme="minorHAnsi" w:hAnsiTheme="minorHAnsi" w:cstheme="minorHAnsi"/>
                <w:sz w:val="18"/>
                <w:szCs w:val="18"/>
              </w:rPr>
            </w:pPr>
          </w:p>
          <w:p w:rsidR="001D5790" w:rsidRDefault="001D5790">
            <w:pPr>
              <w:rPr>
                <w:rFonts w:asciiTheme="minorHAnsi" w:hAnsiTheme="minorHAnsi" w:cstheme="minorHAnsi"/>
                <w:sz w:val="18"/>
                <w:szCs w:val="18"/>
              </w:rPr>
            </w:pPr>
          </w:p>
          <w:p w:rsidR="001D5790" w:rsidRDefault="001D5790">
            <w:pPr>
              <w:ind w:left="-110"/>
              <w:jc w:val="right"/>
              <w:rPr>
                <w:rFonts w:asciiTheme="minorHAnsi" w:hAnsiTheme="minorHAnsi" w:cstheme="minorHAnsi"/>
                <w:sz w:val="18"/>
                <w:szCs w:val="18"/>
              </w:rPr>
            </w:pPr>
          </w:p>
          <w:p w:rsidR="001D5790" w:rsidRDefault="001D5790">
            <w:pPr>
              <w:ind w:left="-110"/>
              <w:jc w:val="right"/>
              <w:rPr>
                <w:rFonts w:asciiTheme="minorHAnsi" w:hAnsiTheme="minorHAnsi" w:cstheme="minorHAnsi"/>
                <w:sz w:val="18"/>
                <w:szCs w:val="18"/>
              </w:rPr>
            </w:pPr>
          </w:p>
          <w:p w:rsidR="001D5790" w:rsidRDefault="00A5663E">
            <w:pPr>
              <w:ind w:left="-110"/>
              <w:jc w:val="right"/>
              <w:rPr>
                <w:rFonts w:asciiTheme="minorHAnsi" w:hAnsiTheme="minorHAnsi" w:cstheme="minorHAnsi"/>
                <w:sz w:val="18"/>
                <w:szCs w:val="18"/>
              </w:rPr>
            </w:pPr>
            <w:r>
              <w:rPr>
                <w:rFonts w:asciiTheme="minorHAnsi" w:hAnsiTheme="minorHAnsi" w:cstheme="minorHAnsi"/>
                <w:sz w:val="18"/>
                <w:szCs w:val="18"/>
              </w:rPr>
              <w:t>60'000.-</w:t>
            </w:r>
          </w:p>
        </w:tc>
      </w:tr>
      <w:tr w:rsidR="001D5790">
        <w:trPr>
          <w:trHeight w:val="700"/>
        </w:trPr>
        <w:tc>
          <w:tcPr>
            <w:tcW w:w="2260" w:type="dxa"/>
          </w:tcPr>
          <w:p w:rsidR="001D5790" w:rsidRDefault="00A5663E">
            <w:pPr>
              <w:spacing w:before="100" w:beforeAutospacing="1" w:after="100" w:afterAutospacing="1"/>
              <w:jc w:val="left"/>
              <w:rPr>
                <w:rFonts w:asciiTheme="minorHAnsi" w:eastAsia="Arial Unicode MS" w:hAnsiTheme="minorHAnsi" w:cstheme="minorHAnsi"/>
                <w:sz w:val="18"/>
                <w:szCs w:val="18"/>
              </w:rPr>
            </w:pPr>
            <w:r>
              <w:rPr>
                <w:rFonts w:asciiTheme="minorHAnsi" w:hAnsiTheme="minorHAnsi" w:cstheme="minorHAnsi"/>
                <w:sz w:val="18"/>
                <w:szCs w:val="18"/>
              </w:rPr>
              <w:t>Implementazione metodi di rilevamento da matrici ambientali</w:t>
            </w:r>
          </w:p>
        </w:tc>
        <w:tc>
          <w:tcPr>
            <w:tcW w:w="6353" w:type="dxa"/>
          </w:tcPr>
          <w:p w:rsidR="001D5790" w:rsidRDefault="00A5663E">
            <w:pPr>
              <w:spacing w:before="100" w:beforeAutospacing="1" w:after="100" w:afterAutospacing="1"/>
              <w:rPr>
                <w:rFonts w:asciiTheme="minorHAnsi" w:eastAsia="Arial Unicode MS" w:hAnsiTheme="minorHAnsi" w:cstheme="minorHAnsi"/>
                <w:sz w:val="18"/>
                <w:szCs w:val="18"/>
              </w:rPr>
            </w:pPr>
            <w:r>
              <w:rPr>
                <w:rFonts w:asciiTheme="minorHAnsi" w:hAnsiTheme="minorHAnsi" w:cstheme="minorHAnsi"/>
                <w:sz w:val="18"/>
                <w:szCs w:val="18"/>
              </w:rPr>
              <w:t>Implementazione di metodi per il rilevamento e l’identificazione di microorganismi ambientali e/o patogeni da matrici ambientali anche complesse (aria, acque reflue, suolo,…)</w:t>
            </w:r>
          </w:p>
        </w:tc>
        <w:tc>
          <w:tcPr>
            <w:tcW w:w="1418" w:type="dxa"/>
            <w:vAlign w:val="center"/>
          </w:tcPr>
          <w:p w:rsidR="001D5790" w:rsidRDefault="00A5663E">
            <w:pPr>
              <w:jc w:val="right"/>
              <w:rPr>
                <w:rFonts w:asciiTheme="minorHAnsi" w:hAnsiTheme="minorHAnsi" w:cstheme="minorHAnsi"/>
                <w:color w:val="FF0000"/>
                <w:sz w:val="18"/>
                <w:szCs w:val="18"/>
              </w:rPr>
            </w:pPr>
            <w:r>
              <w:rPr>
                <w:rFonts w:asciiTheme="minorHAnsi" w:hAnsiTheme="minorHAnsi" w:cstheme="minorHAnsi"/>
                <w:sz w:val="18"/>
                <w:szCs w:val="18"/>
              </w:rPr>
              <w:t>30'000.-</w:t>
            </w:r>
          </w:p>
        </w:tc>
      </w:tr>
      <w:tr w:rsidR="001D5790">
        <w:trPr>
          <w:trHeight w:val="429"/>
        </w:trPr>
        <w:tc>
          <w:tcPr>
            <w:tcW w:w="2260" w:type="dxa"/>
            <w:shd w:val="clear" w:color="auto" w:fill="auto"/>
          </w:tcPr>
          <w:p w:rsidR="001D5790" w:rsidRDefault="001D5790">
            <w:pPr>
              <w:spacing w:before="100" w:beforeAutospacing="1" w:after="100" w:afterAutospacing="1"/>
              <w:jc w:val="left"/>
              <w:rPr>
                <w:rFonts w:asciiTheme="minorHAnsi" w:eastAsia="Arial Unicode MS" w:hAnsiTheme="minorHAnsi" w:cstheme="minorHAnsi"/>
                <w:sz w:val="18"/>
                <w:szCs w:val="18"/>
              </w:rPr>
            </w:pPr>
          </w:p>
        </w:tc>
        <w:tc>
          <w:tcPr>
            <w:tcW w:w="6353" w:type="dxa"/>
            <w:shd w:val="clear" w:color="auto" w:fill="auto"/>
          </w:tcPr>
          <w:p w:rsidR="001D5790" w:rsidRDefault="00A5663E">
            <w:pPr>
              <w:spacing w:before="100" w:beforeAutospacing="1" w:after="100" w:afterAutospacing="1"/>
              <w:jc w:val="center"/>
              <w:rPr>
                <w:rFonts w:asciiTheme="minorHAnsi" w:eastAsia="Arial Unicode MS" w:hAnsiTheme="minorHAnsi" w:cstheme="minorHAnsi"/>
                <w:b/>
                <w:bCs/>
                <w:sz w:val="18"/>
                <w:szCs w:val="18"/>
              </w:rPr>
            </w:pPr>
            <w:r>
              <w:rPr>
                <w:rFonts w:asciiTheme="minorHAnsi" w:eastAsia="Arial Unicode MS" w:hAnsiTheme="minorHAnsi" w:cstheme="minorHAnsi"/>
                <w:b/>
                <w:bCs/>
                <w:sz w:val="18"/>
                <w:szCs w:val="18"/>
              </w:rPr>
              <w:t>Gestione ed esercizio</w:t>
            </w:r>
          </w:p>
        </w:tc>
        <w:tc>
          <w:tcPr>
            <w:tcW w:w="1418" w:type="dxa"/>
            <w:shd w:val="clear" w:color="auto" w:fill="auto"/>
            <w:vAlign w:val="center"/>
          </w:tcPr>
          <w:p w:rsidR="001D5790" w:rsidRDefault="001D5790">
            <w:pPr>
              <w:jc w:val="right"/>
              <w:rPr>
                <w:rFonts w:asciiTheme="minorHAnsi" w:hAnsiTheme="minorHAnsi" w:cstheme="minorHAnsi"/>
                <w:sz w:val="18"/>
                <w:szCs w:val="18"/>
              </w:rPr>
            </w:pPr>
          </w:p>
        </w:tc>
      </w:tr>
      <w:tr w:rsidR="001D5790">
        <w:trPr>
          <w:trHeight w:val="569"/>
        </w:trPr>
        <w:tc>
          <w:tcPr>
            <w:tcW w:w="2260" w:type="dxa"/>
          </w:tcPr>
          <w:p w:rsidR="001D5790" w:rsidRDefault="00A5663E">
            <w:pPr>
              <w:spacing w:before="100" w:beforeAutospacing="1" w:after="100" w:afterAutospacing="1"/>
              <w:jc w:val="left"/>
              <w:rPr>
                <w:rFonts w:asciiTheme="minorHAnsi" w:eastAsia="Arial Unicode MS" w:hAnsiTheme="minorHAnsi" w:cstheme="minorHAnsi"/>
                <w:sz w:val="18"/>
                <w:szCs w:val="18"/>
              </w:rPr>
            </w:pPr>
            <w:r>
              <w:rPr>
                <w:rFonts w:asciiTheme="minorHAnsi" w:hAnsiTheme="minorHAnsi" w:cstheme="minorHAnsi"/>
                <w:sz w:val="18"/>
                <w:szCs w:val="18"/>
              </w:rPr>
              <w:t>Budget per attrezzature</w:t>
            </w:r>
          </w:p>
        </w:tc>
        <w:tc>
          <w:tcPr>
            <w:tcW w:w="6353" w:type="dxa"/>
          </w:tcPr>
          <w:p w:rsidR="001D5790" w:rsidRDefault="00A5663E">
            <w:pPr>
              <w:spacing w:before="100" w:beforeAutospacing="1" w:after="100" w:afterAutospacing="1"/>
              <w:rPr>
                <w:rFonts w:asciiTheme="minorHAnsi" w:eastAsia="Arial Unicode MS" w:hAnsiTheme="minorHAnsi" w:cstheme="minorHAnsi"/>
                <w:color w:val="FF0000"/>
                <w:sz w:val="18"/>
                <w:szCs w:val="18"/>
              </w:rPr>
            </w:pPr>
            <w:r>
              <w:rPr>
                <w:rFonts w:asciiTheme="minorHAnsi" w:hAnsiTheme="minorHAnsi" w:cstheme="minorHAnsi"/>
                <w:sz w:val="18"/>
                <w:szCs w:val="18"/>
              </w:rPr>
              <w:t>Costi investimento e manutenzione strumenti (spettrometri di massa, termociclatori,…)</w:t>
            </w:r>
          </w:p>
        </w:tc>
        <w:tc>
          <w:tcPr>
            <w:tcW w:w="1418" w:type="dxa"/>
            <w:vAlign w:val="center"/>
          </w:tcPr>
          <w:p w:rsidR="001D5790" w:rsidRDefault="00A5663E">
            <w:pPr>
              <w:jc w:val="right"/>
              <w:rPr>
                <w:rFonts w:asciiTheme="minorHAnsi" w:hAnsiTheme="minorHAnsi" w:cstheme="minorHAnsi"/>
                <w:color w:val="FF0000"/>
                <w:sz w:val="18"/>
                <w:szCs w:val="18"/>
              </w:rPr>
            </w:pPr>
            <w:r>
              <w:rPr>
                <w:rFonts w:asciiTheme="minorHAnsi" w:hAnsiTheme="minorHAnsi" w:cstheme="minorHAnsi"/>
                <w:sz w:val="18"/>
                <w:szCs w:val="18"/>
              </w:rPr>
              <w:t>10’000.-</w:t>
            </w:r>
          </w:p>
        </w:tc>
      </w:tr>
      <w:tr w:rsidR="001D5790">
        <w:trPr>
          <w:trHeight w:val="499"/>
        </w:trPr>
        <w:tc>
          <w:tcPr>
            <w:tcW w:w="2260" w:type="dxa"/>
          </w:tcPr>
          <w:p w:rsidR="001D5790" w:rsidRDefault="00A5663E">
            <w:pPr>
              <w:spacing w:before="100" w:beforeAutospacing="1" w:after="100" w:afterAutospacing="1"/>
              <w:jc w:val="left"/>
              <w:rPr>
                <w:rFonts w:asciiTheme="minorHAnsi" w:eastAsia="Arial Unicode MS" w:hAnsiTheme="minorHAnsi" w:cstheme="minorHAnsi"/>
                <w:sz w:val="18"/>
                <w:szCs w:val="18"/>
              </w:rPr>
            </w:pPr>
            <w:r>
              <w:rPr>
                <w:rFonts w:asciiTheme="minorHAnsi" w:hAnsiTheme="minorHAnsi" w:cstheme="minorHAnsi"/>
                <w:sz w:val="18"/>
                <w:szCs w:val="18"/>
              </w:rPr>
              <w:t>Materiale di laboratorio</w:t>
            </w:r>
          </w:p>
        </w:tc>
        <w:tc>
          <w:tcPr>
            <w:tcW w:w="6353" w:type="dxa"/>
          </w:tcPr>
          <w:p w:rsidR="001D5790" w:rsidRDefault="00A5663E">
            <w:pPr>
              <w:spacing w:before="100" w:beforeAutospacing="1" w:after="100" w:afterAutospacing="1"/>
              <w:rPr>
                <w:rFonts w:asciiTheme="minorHAnsi" w:eastAsia="Arial Unicode MS" w:hAnsiTheme="minorHAnsi" w:cstheme="minorHAnsi"/>
                <w:sz w:val="18"/>
                <w:szCs w:val="18"/>
              </w:rPr>
            </w:pPr>
            <w:r>
              <w:rPr>
                <w:rFonts w:asciiTheme="minorHAnsi" w:hAnsiTheme="minorHAnsi" w:cstheme="minorHAnsi"/>
                <w:sz w:val="18"/>
                <w:szCs w:val="18"/>
              </w:rPr>
              <w:t>Reagenti, materiali d’uso e di consumo</w:t>
            </w:r>
          </w:p>
        </w:tc>
        <w:tc>
          <w:tcPr>
            <w:tcW w:w="1418" w:type="dxa"/>
            <w:vAlign w:val="center"/>
          </w:tcPr>
          <w:p w:rsidR="001D5790" w:rsidRDefault="00A5663E">
            <w:pPr>
              <w:jc w:val="right"/>
              <w:rPr>
                <w:rFonts w:asciiTheme="minorHAnsi" w:hAnsiTheme="minorHAnsi" w:cstheme="minorHAnsi"/>
                <w:sz w:val="18"/>
                <w:szCs w:val="18"/>
              </w:rPr>
            </w:pPr>
            <w:r>
              <w:rPr>
                <w:rFonts w:asciiTheme="minorHAnsi" w:hAnsiTheme="minorHAnsi" w:cstheme="minorHAnsi"/>
                <w:sz w:val="18"/>
                <w:szCs w:val="18"/>
              </w:rPr>
              <w:t>20'000.-</w:t>
            </w:r>
          </w:p>
        </w:tc>
      </w:tr>
      <w:tr w:rsidR="001D5790">
        <w:trPr>
          <w:trHeight w:val="437"/>
        </w:trPr>
        <w:tc>
          <w:tcPr>
            <w:tcW w:w="2260" w:type="dxa"/>
          </w:tcPr>
          <w:p w:rsidR="001D5790" w:rsidRDefault="00A5663E">
            <w:pPr>
              <w:spacing w:before="100" w:beforeAutospacing="1" w:after="100" w:afterAutospacing="1"/>
              <w:jc w:val="left"/>
              <w:rPr>
                <w:rFonts w:asciiTheme="minorHAnsi" w:eastAsia="Arial Unicode MS" w:hAnsiTheme="minorHAnsi" w:cstheme="minorHAnsi"/>
                <w:sz w:val="18"/>
                <w:szCs w:val="18"/>
              </w:rPr>
            </w:pPr>
            <w:r>
              <w:rPr>
                <w:rFonts w:asciiTheme="minorHAnsi" w:hAnsiTheme="minorHAnsi" w:cstheme="minorHAnsi"/>
                <w:sz w:val="18"/>
                <w:szCs w:val="18"/>
              </w:rPr>
              <w:t>Spese varie</w:t>
            </w:r>
          </w:p>
        </w:tc>
        <w:tc>
          <w:tcPr>
            <w:tcW w:w="6353" w:type="dxa"/>
          </w:tcPr>
          <w:p w:rsidR="001D5790" w:rsidRDefault="00A5663E">
            <w:pPr>
              <w:spacing w:before="100" w:beforeAutospacing="1" w:after="100" w:afterAutospacing="1"/>
              <w:rPr>
                <w:rFonts w:asciiTheme="minorHAnsi" w:eastAsia="Arial Unicode MS" w:hAnsiTheme="minorHAnsi" w:cstheme="minorHAnsi"/>
                <w:sz w:val="18"/>
                <w:szCs w:val="18"/>
              </w:rPr>
            </w:pPr>
            <w:r>
              <w:rPr>
                <w:rFonts w:asciiTheme="minorHAnsi" w:hAnsiTheme="minorHAnsi" w:cstheme="minorHAnsi"/>
                <w:sz w:val="18"/>
                <w:szCs w:val="18"/>
              </w:rPr>
              <w:t>Trasferte e trasporti, perfezionamento professionale, libri e riviste, materiale d’ufficio, IT</w:t>
            </w:r>
          </w:p>
        </w:tc>
        <w:tc>
          <w:tcPr>
            <w:tcW w:w="1418" w:type="dxa"/>
            <w:vAlign w:val="center"/>
          </w:tcPr>
          <w:p w:rsidR="001D5790" w:rsidRDefault="00A5663E">
            <w:pPr>
              <w:jc w:val="right"/>
              <w:rPr>
                <w:rFonts w:asciiTheme="minorHAnsi" w:hAnsiTheme="minorHAnsi" w:cstheme="minorHAnsi"/>
                <w:sz w:val="18"/>
                <w:szCs w:val="18"/>
              </w:rPr>
            </w:pPr>
            <w:r>
              <w:rPr>
                <w:rFonts w:asciiTheme="minorHAnsi" w:hAnsiTheme="minorHAnsi" w:cstheme="minorHAnsi"/>
                <w:sz w:val="18"/>
                <w:szCs w:val="18"/>
              </w:rPr>
              <w:t>2’000.-</w:t>
            </w:r>
          </w:p>
        </w:tc>
      </w:tr>
      <w:tr w:rsidR="001D5790">
        <w:trPr>
          <w:trHeight w:val="401"/>
        </w:trPr>
        <w:tc>
          <w:tcPr>
            <w:tcW w:w="2260" w:type="dxa"/>
            <w:shd w:val="clear" w:color="auto" w:fill="auto"/>
            <w:vAlign w:val="center"/>
          </w:tcPr>
          <w:p w:rsidR="001D5790" w:rsidRDefault="001D5790">
            <w:pPr>
              <w:spacing w:before="100" w:beforeAutospacing="1" w:after="100" w:afterAutospacing="1"/>
              <w:rPr>
                <w:rFonts w:asciiTheme="minorHAnsi" w:eastAsia="Arial Unicode MS" w:hAnsiTheme="minorHAnsi" w:cstheme="minorHAnsi"/>
                <w:b/>
                <w:bCs/>
                <w:sz w:val="18"/>
                <w:szCs w:val="18"/>
              </w:rPr>
            </w:pPr>
          </w:p>
        </w:tc>
        <w:tc>
          <w:tcPr>
            <w:tcW w:w="6353" w:type="dxa"/>
            <w:shd w:val="clear" w:color="auto" w:fill="auto"/>
            <w:vAlign w:val="center"/>
          </w:tcPr>
          <w:p w:rsidR="001D5790" w:rsidRDefault="00A5663E">
            <w:pPr>
              <w:spacing w:before="100" w:beforeAutospacing="1" w:after="100" w:afterAutospacing="1"/>
              <w:jc w:val="left"/>
              <w:rPr>
                <w:rFonts w:asciiTheme="minorHAnsi" w:eastAsia="Arial Unicode MS" w:hAnsiTheme="minorHAnsi" w:cstheme="minorHAnsi"/>
                <w:b/>
                <w:sz w:val="18"/>
                <w:szCs w:val="18"/>
              </w:rPr>
            </w:pPr>
            <w:r>
              <w:rPr>
                <w:rFonts w:asciiTheme="minorHAnsi" w:eastAsia="Arial Unicode MS" w:hAnsiTheme="minorHAnsi" w:cstheme="minorHAnsi"/>
                <w:b/>
                <w:sz w:val="18"/>
                <w:szCs w:val="18"/>
              </w:rPr>
              <w:t>Costi totali compito 4</w:t>
            </w:r>
          </w:p>
        </w:tc>
        <w:tc>
          <w:tcPr>
            <w:tcW w:w="1418" w:type="dxa"/>
            <w:shd w:val="clear" w:color="auto" w:fill="auto"/>
            <w:vAlign w:val="center"/>
          </w:tcPr>
          <w:p w:rsidR="001D5790" w:rsidRDefault="00A5663E">
            <w:pPr>
              <w:jc w:val="right"/>
              <w:rPr>
                <w:rFonts w:asciiTheme="minorHAnsi" w:hAnsiTheme="minorHAnsi" w:cstheme="minorHAnsi"/>
                <w:b/>
                <w:sz w:val="18"/>
                <w:szCs w:val="18"/>
              </w:rPr>
            </w:pPr>
            <w:r>
              <w:rPr>
                <w:rFonts w:asciiTheme="minorHAnsi" w:hAnsiTheme="minorHAnsi" w:cstheme="minorHAnsi"/>
                <w:b/>
                <w:sz w:val="18"/>
                <w:szCs w:val="18"/>
              </w:rPr>
              <w:t>190'000.-</w:t>
            </w:r>
          </w:p>
        </w:tc>
      </w:tr>
      <w:tr w:rsidR="001D5790">
        <w:trPr>
          <w:trHeight w:val="362"/>
        </w:trPr>
        <w:tc>
          <w:tcPr>
            <w:tcW w:w="2260" w:type="dxa"/>
            <w:shd w:val="clear" w:color="auto" w:fill="auto"/>
          </w:tcPr>
          <w:p w:rsidR="001D5790" w:rsidRDefault="00A5663E">
            <w:pPr>
              <w:keepNext/>
              <w:outlineLvl w:val="0"/>
              <w:rPr>
                <w:rFonts w:asciiTheme="minorHAnsi" w:hAnsiTheme="minorHAnsi" w:cstheme="minorHAnsi"/>
                <w:sz w:val="18"/>
                <w:szCs w:val="18"/>
              </w:rPr>
            </w:pPr>
            <w:r>
              <w:rPr>
                <w:rFonts w:asciiTheme="minorHAnsi" w:hAnsiTheme="minorHAnsi" w:cstheme="minorHAnsi"/>
                <w:sz w:val="18"/>
                <w:szCs w:val="18"/>
              </w:rPr>
              <w:t>Referente IM</w:t>
            </w:r>
          </w:p>
        </w:tc>
        <w:tc>
          <w:tcPr>
            <w:tcW w:w="6353" w:type="dxa"/>
            <w:shd w:val="clear" w:color="auto" w:fill="auto"/>
          </w:tcPr>
          <w:p w:rsidR="001D5790" w:rsidRDefault="00A5663E">
            <w:pPr>
              <w:keepNext/>
              <w:outlineLvl w:val="0"/>
              <w:rPr>
                <w:rFonts w:asciiTheme="minorHAnsi" w:hAnsiTheme="minorHAnsi" w:cstheme="minorHAnsi"/>
                <w:sz w:val="18"/>
                <w:szCs w:val="18"/>
                <w:lang w:val="fr-CH"/>
              </w:rPr>
            </w:pPr>
            <w:r>
              <w:rPr>
                <w:rFonts w:asciiTheme="minorHAnsi" w:hAnsiTheme="minorHAnsi" w:cstheme="minorHAnsi"/>
                <w:sz w:val="18"/>
                <w:szCs w:val="18"/>
                <w:lang w:val="fr-CH"/>
              </w:rPr>
              <w:t>Dr.ssa S. De Respinis, IM</w:t>
            </w:r>
          </w:p>
          <w:p w:rsidR="001D5790" w:rsidRDefault="00A5663E">
            <w:pPr>
              <w:keepNext/>
              <w:outlineLvl w:val="0"/>
              <w:rPr>
                <w:rFonts w:asciiTheme="minorHAnsi" w:hAnsiTheme="minorHAnsi" w:cstheme="minorHAnsi"/>
                <w:sz w:val="18"/>
                <w:szCs w:val="18"/>
              </w:rPr>
            </w:pPr>
            <w:r>
              <w:rPr>
                <w:rFonts w:asciiTheme="minorHAnsi" w:hAnsiTheme="minorHAnsi" w:cstheme="minorHAnsi"/>
                <w:sz w:val="18"/>
                <w:szCs w:val="18"/>
              </w:rPr>
              <w:t>Dr.ssa F. Mauri, IM</w:t>
            </w:r>
          </w:p>
        </w:tc>
        <w:tc>
          <w:tcPr>
            <w:tcW w:w="1418" w:type="dxa"/>
            <w:shd w:val="clear" w:color="auto" w:fill="auto"/>
            <w:vAlign w:val="center"/>
          </w:tcPr>
          <w:p w:rsidR="001D5790" w:rsidRDefault="001D5790">
            <w:pPr>
              <w:keepNext/>
              <w:outlineLvl w:val="0"/>
              <w:rPr>
                <w:rFonts w:asciiTheme="minorHAnsi" w:hAnsiTheme="minorHAnsi" w:cstheme="minorHAnsi"/>
                <w:sz w:val="18"/>
                <w:szCs w:val="18"/>
              </w:rPr>
            </w:pPr>
          </w:p>
        </w:tc>
      </w:tr>
    </w:tbl>
    <w:p w:rsidR="001D5790" w:rsidRDefault="001D5790">
      <w:pPr>
        <w:rPr>
          <w:rFonts w:asciiTheme="minorHAnsi" w:hAnsiTheme="minorHAnsi" w:cstheme="minorHAnsi"/>
          <w:sz w:val="24"/>
          <w:szCs w:val="24"/>
        </w:rPr>
      </w:pPr>
    </w:p>
    <w:p w:rsidR="001D5790" w:rsidRDefault="001D5790">
      <w:pPr>
        <w:rPr>
          <w:rFonts w:asciiTheme="minorHAnsi" w:hAnsiTheme="minorHAnsi" w:cstheme="minorHAnsi"/>
          <w:sz w:val="24"/>
          <w:szCs w:val="24"/>
        </w:rPr>
      </w:pPr>
    </w:p>
    <w:p w:rsidR="001D5790" w:rsidRDefault="001D5790">
      <w:pPr>
        <w:suppressAutoHyphens w:val="0"/>
        <w:rPr>
          <w:rFonts w:cs="Arial"/>
          <w:sz w:val="24"/>
          <w:szCs w:val="24"/>
        </w:rPr>
      </w:pPr>
    </w:p>
    <w:sectPr w:rsidR="001D5790">
      <w:headerReference w:type="even" r:id="rId17"/>
      <w:headerReference w:type="default" r:id="rId18"/>
      <w:footerReference w:type="even" r:id="rId19"/>
      <w:footerReference w:type="default" r:id="rId20"/>
      <w:headerReference w:type="first" r:id="rId21"/>
      <w:footerReference w:type="first" r:id="rId22"/>
      <w:pgSz w:w="11906" w:h="16838" w:code="9"/>
      <w:pgMar w:top="1985" w:right="861" w:bottom="1134" w:left="1560" w:header="533" w:footer="39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863860" w16cid:durableId="728FAD6B"/>
  <w16cid:commentId w16cid:paraId="1857C10D" w16cid:durableId="0522DC9D"/>
  <w16cid:commentId w16cid:paraId="7995C465" w16cid:durableId="7097CBC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58B" w:rsidRDefault="001A358B">
      <w:r>
        <w:separator/>
      </w:r>
    </w:p>
  </w:endnote>
  <w:endnote w:type="continuationSeparator" w:id="0">
    <w:p w:rsidR="001A358B" w:rsidRDefault="001A358B">
      <w:r>
        <w:continuationSeparator/>
      </w:r>
    </w:p>
  </w:endnote>
  <w:endnote w:type="continuationNotice" w:id="1">
    <w:p w:rsidR="001A358B" w:rsidRDefault="001A35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341" w:rsidRDefault="007A534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1A358B">
      <w:trPr>
        <w:trHeight w:hRule="exact" w:val="737"/>
      </w:trPr>
      <w:tc>
        <w:tcPr>
          <w:tcW w:w="4695" w:type="dxa"/>
        </w:tcPr>
        <w:p w:rsidR="001A358B" w:rsidRDefault="001A358B">
          <w:pPr>
            <w:tabs>
              <w:tab w:val="center" w:pos="2382"/>
            </w:tabs>
          </w:pPr>
        </w:p>
      </w:tc>
      <w:tc>
        <w:tcPr>
          <w:tcW w:w="721" w:type="dxa"/>
        </w:tcPr>
        <w:p w:rsidR="001A358B" w:rsidRDefault="001A358B">
          <w:pPr>
            <w:jc w:val="center"/>
          </w:pPr>
          <w:r>
            <w:rPr>
              <w:noProof/>
              <w:lang w:eastAsia="it-CH"/>
            </w:rPr>
            <w:drawing>
              <wp:anchor distT="0" distB="0" distL="114300" distR="114300" simplePos="0" relativeHeight="251669504" behindDoc="0" locked="1" layoutInCell="1" allowOverlap="1">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1A358B" w:rsidRDefault="001A358B">
          <w:pPr>
            <w:jc w:val="center"/>
          </w:pPr>
          <w:r>
            <w:rPr>
              <w:noProof/>
              <w:lang w:eastAsia="it-CH"/>
            </w:rPr>
            <w:drawing>
              <wp:anchor distT="0" distB="0" distL="114300" distR="114300" simplePos="0" relativeHeight="251670528" behindDoc="0" locked="1" layoutInCell="1" allowOverlap="1">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1A358B" w:rsidRDefault="001A358B"/>
      </w:tc>
    </w:tr>
  </w:tbl>
  <w:p w:rsidR="001A358B" w:rsidRDefault="001A358B">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58B" w:rsidRDefault="001A358B">
    <w:pPr>
      <w:pStyle w:val="Pidipagina"/>
      <w:jc w:val="center"/>
    </w:pPr>
  </w:p>
  <w:p w:rsidR="001A358B" w:rsidRDefault="001A358B">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58B" w:rsidRDefault="001A358B">
      <w:r>
        <w:separator/>
      </w:r>
    </w:p>
  </w:footnote>
  <w:footnote w:type="continuationSeparator" w:id="0">
    <w:p w:rsidR="001A358B" w:rsidRDefault="001A358B">
      <w:r>
        <w:continuationSeparator/>
      </w:r>
    </w:p>
  </w:footnote>
  <w:footnote w:type="continuationNotice" w:id="1">
    <w:p w:rsidR="001A358B" w:rsidRDefault="001A358B"/>
  </w:footnote>
  <w:footnote w:id="2">
    <w:p w:rsidR="001A358B" w:rsidRDefault="001A358B">
      <w:pPr>
        <w:pStyle w:val="Testonotaapidipagina"/>
        <w:rPr>
          <w:lang w:val="it-CH"/>
        </w:rPr>
      </w:pPr>
      <w:r>
        <w:rPr>
          <w:rStyle w:val="Rimandonotaapidipagina"/>
        </w:rPr>
        <w:footnoteRef/>
      </w:r>
      <w:r>
        <w:t xml:space="preserve"> </w:t>
      </w:r>
      <w:hyperlink r:id="rId1" w:history="1">
        <w:r>
          <w:rPr>
            <w:rStyle w:val="Collegamentoipertestuale"/>
            <w:rFonts w:cs="Arial"/>
            <w:szCs w:val="24"/>
          </w:rPr>
          <w:t>https://www.epicentro.iss.it/westnile/bollettino</w:t>
        </w:r>
      </w:hyperlink>
      <w:r>
        <w:rPr>
          <w:rFonts w:cs="Arial"/>
          <w:szCs w:val="24"/>
        </w:rPr>
        <w:t xml:space="preserve">. </w:t>
      </w:r>
      <w:r>
        <w:rPr>
          <w:rFonts w:cs="Arial"/>
          <w:szCs w:val="24"/>
          <w:lang w:val="it-CH"/>
        </w:rPr>
        <w:t>Bollettino N. 18</w:t>
      </w:r>
    </w:p>
  </w:footnote>
  <w:footnote w:id="3">
    <w:p w:rsidR="001A358B" w:rsidRDefault="001A358B">
      <w:pPr>
        <w:pStyle w:val="Testonotaapidipagina"/>
        <w:rPr>
          <w:lang w:val="it-CH"/>
        </w:rPr>
      </w:pPr>
      <w:r>
        <w:rPr>
          <w:rStyle w:val="Rimandonotaapidipagina"/>
        </w:rPr>
        <w:footnoteRef/>
      </w:r>
      <w:r>
        <w:rPr>
          <w:lang w:val="it-CH"/>
        </w:rPr>
        <w:t xml:space="preserve"> https://www.micrisk2030.com</w:t>
      </w:r>
    </w:p>
  </w:footnote>
  <w:footnote w:id="4">
    <w:p w:rsidR="001A358B" w:rsidRDefault="001A358B">
      <w:pPr>
        <w:pStyle w:val="Testonotaapidipagina"/>
        <w:rPr>
          <w:lang w:val="it-CH"/>
        </w:rPr>
      </w:pPr>
      <w:r>
        <w:rPr>
          <w:rStyle w:val="Rimandonotaapidipagina"/>
        </w:rPr>
        <w:footnoteRef/>
      </w:r>
      <w:r>
        <w:rPr>
          <w:lang w:val="it-CH"/>
        </w:rPr>
        <w:t xml:space="preserve"> </w:t>
      </w:r>
      <w:hyperlink r:id="rId2" w:history="1">
        <w:r w:rsidR="007536C2" w:rsidRPr="00662F7E">
          <w:rPr>
            <w:rStyle w:val="Collegamentoipertestuale"/>
            <w:lang w:val="it-CH"/>
          </w:rPr>
          <w:t>https://www.vetsuisse.unibe.ch/research/sustainability_and_biodiversity/disease_ecology/index_eng.html</w:t>
        </w:r>
      </w:hyperlink>
      <w:r w:rsidR="007536C2">
        <w:rPr>
          <w:lang w:val="it-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341" w:rsidRDefault="007A534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1A358B">
      <w:trPr>
        <w:trHeight w:val="562"/>
      </w:trPr>
      <w:tc>
        <w:tcPr>
          <w:tcW w:w="8383" w:type="dxa"/>
          <w:tcBorders>
            <w:left w:val="single" w:sz="4" w:space="0" w:color="auto"/>
            <w:bottom w:val="single" w:sz="4" w:space="0" w:color="auto"/>
          </w:tcBorders>
          <w:tcMar>
            <w:left w:w="142" w:type="dxa"/>
          </w:tcMar>
          <w:vAlign w:val="bottom"/>
        </w:tcPr>
        <w:p w:rsidR="001A358B" w:rsidRDefault="007406B6">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395095652"/>
              <w:dataBinding w:xpath="//Text[@id='CustomElements.Fields.OrgLivello1']" w:storeItemID="{DA19FF82-1F1C-4997-AFE8-0A839025D331}"/>
              <w:text w:multiLine="1"/>
            </w:sdtPr>
            <w:sdtEndPr/>
            <w:sdtContent>
              <w:r w:rsidR="001A358B">
                <w:rPr>
                  <w:rFonts w:ascii="Gill Alt One MT Light" w:hAnsi="Gill Alt One MT Light"/>
                  <w:sz w:val="16"/>
                  <w:szCs w:val="16"/>
                </w:rPr>
                <w:t>Repubblica e Cantone Ticino</w:t>
              </w:r>
            </w:sdtContent>
          </w:sdt>
        </w:p>
        <w:p w:rsidR="001A358B" w:rsidRDefault="007406B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631237075"/>
              <w:dataBinding w:xpath="//Text[@id='CustomElements.Fields.Dipartimenti']" w:storeItemID="{DA19FF82-1F1C-4997-AFE8-0A839025D331}"/>
              <w:text w:multiLine="1"/>
            </w:sdtPr>
            <w:sdtEndPr/>
            <w:sdtContent>
              <w:r w:rsidR="001A358B">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rsidR="001A358B" w:rsidRDefault="001A358B">
          <w:pPr>
            <w:pStyle w:val="Page"/>
            <w:jc w:val="right"/>
            <w:rPr>
              <w:sz w:val="24"/>
            </w:rPr>
          </w:pPr>
          <w:r>
            <w:rPr>
              <w:sz w:val="24"/>
            </w:rPr>
            <w:fldChar w:fldCharType="begin"/>
          </w:r>
          <w:r>
            <w:rPr>
              <w:sz w:val="24"/>
            </w:rPr>
            <w:instrText xml:space="preserve"> PAGE   \* MERGEFORMAT </w:instrText>
          </w:r>
          <w:r>
            <w:rPr>
              <w:sz w:val="24"/>
            </w:rPr>
            <w:fldChar w:fldCharType="separate"/>
          </w:r>
          <w:r w:rsidR="007406B6">
            <w:rPr>
              <w:noProof/>
              <w:sz w:val="24"/>
            </w:rPr>
            <w:t>21</w:t>
          </w:r>
          <w:r>
            <w:rPr>
              <w:sz w:val="24"/>
            </w:rPr>
            <w:fldChar w:fldCharType="end"/>
          </w:r>
          <w:r>
            <w:rPr>
              <w:sz w:val="24"/>
            </w:rPr>
            <w:t xml:space="preserve"> di </w:t>
          </w:r>
          <w:r>
            <w:rPr>
              <w:sz w:val="24"/>
            </w:rPr>
            <w:fldChar w:fldCharType="begin"/>
          </w:r>
          <w:r>
            <w:rPr>
              <w:sz w:val="24"/>
            </w:rPr>
            <w:instrText xml:space="preserve"> NUMPAGES   \* MERGEFORMAT </w:instrText>
          </w:r>
          <w:r>
            <w:rPr>
              <w:sz w:val="24"/>
            </w:rPr>
            <w:fldChar w:fldCharType="separate"/>
          </w:r>
          <w:r w:rsidR="007406B6">
            <w:rPr>
              <w:noProof/>
              <w:sz w:val="24"/>
            </w:rPr>
            <w:t>21</w:t>
          </w:r>
          <w:r>
            <w:rPr>
              <w:noProof/>
              <w:sz w:val="24"/>
            </w:rPr>
            <w:fldChar w:fldCharType="end"/>
          </w:r>
        </w:p>
      </w:tc>
    </w:tr>
    <w:tr w:rsidR="001A358B">
      <w:trPr>
        <w:trHeight w:val="334"/>
      </w:trPr>
      <w:tc>
        <w:tcPr>
          <w:tcW w:w="8383" w:type="dxa"/>
          <w:tcBorders>
            <w:left w:val="single" w:sz="4" w:space="0" w:color="auto"/>
          </w:tcBorders>
          <w:tcMar>
            <w:top w:w="0" w:type="dxa"/>
            <w:left w:w="142" w:type="dxa"/>
          </w:tcMar>
        </w:tcPr>
        <w:p w:rsidR="001A358B" w:rsidRDefault="007406B6">
          <w:pPr>
            <w:pStyle w:val="Information"/>
            <w:rPr>
              <w:rFonts w:ascii="Gill Sans Display MT Pro BdCn" w:hAnsi="Gill Sans Display MT Pro BdCn"/>
              <w:sz w:val="18"/>
              <w:szCs w:val="18"/>
              <w:lang w:val="de-DE"/>
            </w:rPr>
          </w:pPr>
          <w:sdt>
            <w:sdtPr>
              <w:rPr>
                <w:rFonts w:ascii="Gill Sans Display MT Pro BdCn" w:hAnsi="Gill Sans Display MT Pro BdCn"/>
                <w:sz w:val="18"/>
                <w:szCs w:val="18"/>
              </w:rPr>
              <w:alias w:val="CustomElements.Fields.Titolo2"/>
              <w:id w:val="-394814494"/>
              <w:dataBinding w:xpath="//Text[@id='CustomElements.Fields.Titolo2']" w:storeItemID="{DA19FF82-1F1C-4997-AFE8-0A839025D331}"/>
              <w:text w:multiLine="1"/>
            </w:sdtPr>
            <w:sdtEndPr/>
            <w:sdtContent>
              <w:r w:rsidR="007A5341">
                <w:rPr>
                  <w:rFonts w:ascii="Gill Sans Display MT Pro BdCn" w:hAnsi="Gill Sans Display MT Pro BdCn"/>
                  <w:sz w:val="18"/>
                  <w:szCs w:val="18"/>
                </w:rPr>
                <w:t>Messaggio n. 8442 del 19 giugno 2024</w:t>
              </w:r>
            </w:sdtContent>
          </w:sdt>
        </w:p>
      </w:tc>
      <w:tc>
        <w:tcPr>
          <w:tcW w:w="1710" w:type="dxa"/>
          <w:tcBorders>
            <w:top w:val="single" w:sz="4" w:space="0" w:color="auto"/>
          </w:tcBorders>
        </w:tcPr>
        <w:p w:rsidR="001A358B" w:rsidRDefault="001A358B">
          <w:pPr>
            <w:pStyle w:val="InvisibleLine"/>
            <w:rPr>
              <w:lang w:val="de-DE"/>
            </w:rPr>
          </w:pPr>
        </w:p>
      </w:tc>
    </w:tr>
  </w:tbl>
  <w:p w:rsidR="001A358B" w:rsidRDefault="001A358B">
    <w:pPr>
      <w:pStyle w:val="Intestazione"/>
    </w:pPr>
    <w:r>
      <w:rPr>
        <w:noProof/>
        <w:lang w:val="it-CH" w:eastAsia="it-CH"/>
      </w:rPr>
      <mc:AlternateContent>
        <mc:Choice Requires="wps">
          <w:drawing>
            <wp:anchor distT="0" distB="0" distL="114300" distR="114300" simplePos="0" relativeHeight="251665408" behindDoc="1" locked="1" layoutInCell="1" allowOverlap="1">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549999348"/>
                            <w:dataBinding w:xpath="//Text[@id='CustomElements.Texts.Draft']" w:storeItemID="{DA19FF82-1F1C-4997-AFE8-0A839025D331}"/>
                            <w:text w:multiLine="1"/>
                          </w:sdtPr>
                          <w:sdtEndPr/>
                          <w:sdtContent>
                            <w:p w:rsidR="001A358B" w:rsidRDefault="001A358B">
                              <w:pPr>
                                <w:pStyle w:val="DraftText"/>
                                <w:rPr>
                                  <w:lang w:val="it-CH"/>
                                </w:rPr>
                              </w:pPr>
                              <w:r>
                                <w:rPr>
                                  <w:lang w:val="it-CH"/>
                                </w:rPr>
                                <w:t>Bozza</w:t>
                              </w:r>
                            </w:p>
                          </w:sdtContent>
                        </w:sdt>
                        <w:sdt>
                          <w:sdtPr>
                            <w:rPr>
                              <w:lang w:val="it-CH"/>
                            </w:rPr>
                            <w:alias w:val="CustomElements.Texts.Draft"/>
                            <w:id w:val="1849289353"/>
                            <w:dataBinding w:xpath="//Text[@id='CustomElements.Texts.Draft']" w:storeItemID="{DA19FF82-1F1C-4997-AFE8-0A839025D331}"/>
                            <w:text w:multiLine="1"/>
                          </w:sdtPr>
                          <w:sdtEndPr/>
                          <w:sdtContent>
                            <w:p w:rsidR="001A358B" w:rsidRDefault="001A358B">
                              <w:pPr>
                                <w:pStyle w:val="DraftText"/>
                                <w:rPr>
                                  <w:lang w:val="it-CH"/>
                                </w:rPr>
                              </w:pPr>
                              <w:r>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549999348"/>
                      <w:dataBinding w:xpath="//Text[@id='CustomElements.Texts.Draft']" w:storeItemID="{BA74661D-FEEB-4F45-B571-EF2CEB95C028}"/>
                      <w:text w:multiLine="1"/>
                    </w:sdtPr>
                    <w:sdtEndPr/>
                    <w:sdtContent>
                      <w:p w14:paraId="4031D69D" w14:textId="77777777" w:rsidR="001A358B" w:rsidRDefault="001A358B">
                        <w:pPr>
                          <w:pStyle w:val="DraftText"/>
                          <w:rPr>
                            <w:lang w:val="it-CH"/>
                          </w:rPr>
                        </w:pPr>
                        <w:r>
                          <w:rPr>
                            <w:lang w:val="it-CH"/>
                          </w:rPr>
                          <w:t>Bozza</w:t>
                        </w:r>
                      </w:p>
                    </w:sdtContent>
                  </w:sdt>
                  <w:sdt>
                    <w:sdtPr>
                      <w:rPr>
                        <w:lang w:val="it-CH"/>
                      </w:rPr>
                      <w:alias w:val="CustomElements.Texts.Draft"/>
                      <w:id w:val="1849289353"/>
                      <w:dataBinding w:xpath="//Text[@id='CustomElements.Texts.Draft']" w:storeItemID="{BA74661D-FEEB-4F45-B571-EF2CEB95C028}"/>
                      <w:text w:multiLine="1"/>
                    </w:sdtPr>
                    <w:sdtEndPr/>
                    <w:sdtContent>
                      <w:p w14:paraId="53032804" w14:textId="77777777" w:rsidR="001A358B" w:rsidRDefault="001A358B">
                        <w:pPr>
                          <w:pStyle w:val="DraftText"/>
                          <w:rPr>
                            <w:lang w:val="it-CH"/>
                          </w:rPr>
                        </w:pPr>
                        <w:r>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1A358B">
      <w:trPr>
        <w:trHeight w:hRule="exact" w:val="584"/>
      </w:trPr>
      <w:tc>
        <w:tcPr>
          <w:tcW w:w="2440" w:type="pct"/>
          <w:gridSpan w:val="3"/>
          <w:tcBorders>
            <w:top w:val="nil"/>
            <w:left w:val="nil"/>
            <w:bottom w:val="single" w:sz="4" w:space="0" w:color="auto"/>
          </w:tcBorders>
        </w:tcPr>
        <w:p w:rsidR="001A358B" w:rsidRDefault="001A358B">
          <w:pPr>
            <w:pStyle w:val="InvisibleLine"/>
            <w:spacing w:line="240" w:lineRule="auto"/>
            <w:ind w:left="15"/>
            <w:rPr>
              <w:rFonts w:ascii="Gill Alt One MT Light" w:hAnsi="Gill Alt One MT Light"/>
              <w:sz w:val="16"/>
              <w:lang w:val="it-CH"/>
            </w:rPr>
          </w:pPr>
        </w:p>
        <w:p w:rsidR="001A358B" w:rsidRDefault="001A358B">
          <w:pPr>
            <w:pStyle w:val="InvisibleLine"/>
            <w:spacing w:line="240" w:lineRule="auto"/>
            <w:ind w:left="15"/>
            <w:jc w:val="left"/>
            <w:rPr>
              <w:rFonts w:ascii="Gill Alt One MT Light" w:hAnsi="Gill Alt One MT Light"/>
              <w:sz w:val="16"/>
              <w:lang w:val="it-CH"/>
            </w:rPr>
          </w:pPr>
          <w:r>
            <w:rPr>
              <w:rFonts w:ascii="Gill Alt One MT Light" w:hAnsi="Gill Alt One MT Light"/>
              <w:sz w:val="16"/>
              <w:lang w:val="it-CH"/>
            </w:rPr>
            <w:t xml:space="preserve">Repubblica e Cantone </w:t>
          </w:r>
          <w:r>
            <w:rPr>
              <w:rFonts w:ascii="Gill Alt One MT Light" w:hAnsi="Gill Alt One MT Light"/>
              <w:sz w:val="16"/>
              <w:lang w:val="it-CH"/>
            </w:rPr>
            <w:br/>
            <w:t>Ticino</w:t>
          </w:r>
        </w:p>
        <w:p w:rsidR="001A358B" w:rsidRDefault="001A358B">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1A358B" w:rsidRDefault="001A358B">
          <w:pPr>
            <w:pStyle w:val="Level"/>
            <w:ind w:left="150"/>
            <w:rPr>
              <w:sz w:val="16"/>
            </w:rPr>
          </w:pPr>
        </w:p>
      </w:tc>
      <w:tc>
        <w:tcPr>
          <w:tcW w:w="209" w:type="pct"/>
          <w:tcBorders>
            <w:top w:val="nil"/>
            <w:bottom w:val="single" w:sz="4" w:space="0" w:color="auto"/>
          </w:tcBorders>
        </w:tcPr>
        <w:p w:rsidR="001A358B" w:rsidRDefault="001A358B">
          <w:pPr>
            <w:pStyle w:val="InvisibleLine"/>
            <w:ind w:left="150"/>
          </w:pPr>
          <w:r>
            <w:rPr>
              <w:noProof/>
              <w:lang w:val="it-CH" w:eastAsia="it-CH"/>
            </w:rPr>
            <w:drawing>
              <wp:anchor distT="0" distB="0" distL="114300" distR="114300" simplePos="0" relativeHeight="251667456" behindDoc="1" locked="1" layoutInCell="1" allowOverlap="1">
                <wp:simplePos x="0" y="0"/>
                <wp:positionH relativeFrom="column">
                  <wp:posOffset>-92710</wp:posOffset>
                </wp:positionH>
                <wp:positionV relativeFrom="page">
                  <wp:posOffset>-119380</wp:posOffset>
                </wp:positionV>
                <wp:extent cx="276653" cy="467995"/>
                <wp:effectExtent l="0" t="0" r="0" b="8255"/>
                <wp:wrapNone/>
                <wp:docPr id="6" name="ooImg_347516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1A358B" w:rsidRDefault="001A358B">
          <w:pPr>
            <w:pStyle w:val="HeaderDecisione"/>
            <w:spacing w:after="60"/>
            <w:ind w:left="150"/>
            <w:jc w:val="right"/>
            <w:rPr>
              <w:rFonts w:asciiTheme="minorHAnsi" w:hAnsiTheme="minorHAnsi" w:cstheme="minorHAnsi"/>
              <w:sz w:val="24"/>
            </w:rPr>
          </w:pPr>
          <w:r>
            <w:rPr>
              <w:rFonts w:asciiTheme="minorHAnsi" w:hAnsiTheme="minorHAnsi" w:cstheme="minorHAnsi"/>
              <w:sz w:val="24"/>
            </w:rPr>
            <w:fldChar w:fldCharType="begin"/>
          </w:r>
          <w:r>
            <w:rPr>
              <w:rFonts w:asciiTheme="minorHAnsi" w:hAnsiTheme="minorHAnsi" w:cstheme="minorHAnsi"/>
              <w:sz w:val="24"/>
            </w:rPr>
            <w:instrText xml:space="preserve"> PAGE   \* MERGEFORMAT </w:instrText>
          </w:r>
          <w:r>
            <w:rPr>
              <w:rFonts w:asciiTheme="minorHAnsi" w:hAnsiTheme="minorHAnsi" w:cstheme="minorHAnsi"/>
              <w:sz w:val="24"/>
            </w:rPr>
            <w:fldChar w:fldCharType="separate"/>
          </w:r>
          <w:r w:rsidR="007406B6">
            <w:rPr>
              <w:rFonts w:asciiTheme="minorHAnsi" w:hAnsiTheme="minorHAnsi" w:cstheme="minorHAnsi"/>
              <w:noProof/>
              <w:sz w:val="24"/>
            </w:rPr>
            <w:t>1</w:t>
          </w:r>
          <w:r>
            <w:rPr>
              <w:rFonts w:asciiTheme="minorHAnsi" w:hAnsiTheme="minorHAnsi" w:cstheme="minorHAnsi"/>
              <w:sz w:val="24"/>
            </w:rPr>
            <w:fldChar w:fldCharType="end"/>
          </w:r>
          <w:r>
            <w:rPr>
              <w:rFonts w:asciiTheme="minorHAnsi" w:hAnsiTheme="minorHAnsi" w:cstheme="minorHAnsi"/>
              <w:sz w:val="24"/>
            </w:rPr>
            <w:t xml:space="preserve"> di </w:t>
          </w:r>
          <w:r>
            <w:rPr>
              <w:rFonts w:asciiTheme="minorHAnsi" w:hAnsiTheme="minorHAnsi" w:cstheme="minorHAnsi"/>
              <w:sz w:val="24"/>
            </w:rPr>
            <w:fldChar w:fldCharType="begin"/>
          </w:r>
          <w:r>
            <w:rPr>
              <w:rFonts w:asciiTheme="minorHAnsi" w:hAnsiTheme="minorHAnsi" w:cstheme="minorHAnsi"/>
              <w:sz w:val="24"/>
            </w:rPr>
            <w:instrText xml:space="preserve"> NUMPAGES   \* MERGEFORMAT </w:instrText>
          </w:r>
          <w:r>
            <w:rPr>
              <w:rFonts w:asciiTheme="minorHAnsi" w:hAnsiTheme="minorHAnsi" w:cstheme="minorHAnsi"/>
              <w:sz w:val="24"/>
            </w:rPr>
            <w:fldChar w:fldCharType="separate"/>
          </w:r>
          <w:r w:rsidR="007406B6">
            <w:rPr>
              <w:rFonts w:asciiTheme="minorHAnsi" w:hAnsiTheme="minorHAnsi" w:cstheme="minorHAnsi"/>
              <w:noProof/>
              <w:sz w:val="24"/>
            </w:rPr>
            <w:t>21</w:t>
          </w:r>
          <w:r>
            <w:rPr>
              <w:rFonts w:asciiTheme="minorHAnsi" w:hAnsiTheme="minorHAnsi" w:cstheme="minorHAnsi"/>
              <w:noProof/>
              <w:sz w:val="24"/>
            </w:rPr>
            <w:fldChar w:fldCharType="end"/>
          </w:r>
        </w:p>
      </w:tc>
    </w:tr>
    <w:tr w:rsidR="001A358B">
      <w:trPr>
        <w:trHeight w:val="1097"/>
      </w:trPr>
      <w:tc>
        <w:tcPr>
          <w:tcW w:w="5000" w:type="pct"/>
          <w:gridSpan w:val="6"/>
          <w:tcBorders>
            <w:left w:val="nil"/>
            <w:right w:val="nil"/>
          </w:tcBorders>
          <w:noWrap/>
          <w:tcMar>
            <w:top w:w="0" w:type="dxa"/>
          </w:tcMar>
          <w:vAlign w:val="bottom"/>
        </w:tcPr>
        <w:p w:rsidR="001A358B" w:rsidRDefault="007406B6">
          <w:pPr>
            <w:pStyle w:val="HeaderDecisione"/>
            <w:tabs>
              <w:tab w:val="left" w:pos="1459"/>
            </w:tabs>
            <w:spacing w:after="160" w:line="640" w:lineRule="exact"/>
            <w:rPr>
              <w:rFonts w:ascii="Gill Sans Display MT Pro BdCn" w:hAnsi="Gill Sans Display MT Pro BdCn"/>
              <w:sz w:val="44"/>
              <w:szCs w:val="44"/>
            </w:rPr>
          </w:pPr>
          <w:sdt>
            <w:sdtPr>
              <w:rPr>
                <w:rFonts w:ascii="Gill Sans Display MT Pro BdCn" w:hAnsi="Gill Sans Display MT Pro BdCn"/>
                <w:sz w:val="44"/>
                <w:szCs w:val="44"/>
              </w:rPr>
              <w:alias w:val="CustomElements.Fields.Titolo1"/>
              <w:id w:val="1914807981"/>
              <w:dataBinding w:xpath="//Text[@id='CustomElements.Fields.Titolo1']" w:storeItemID="{DA19FF82-1F1C-4997-AFE8-0A839025D331}"/>
              <w:text w:multiLine="1"/>
            </w:sdtPr>
            <w:sdtEndPr/>
            <w:sdtContent>
              <w:r w:rsidR="001A358B">
                <w:rPr>
                  <w:rFonts w:ascii="Gill Sans Display MT Pro BdCn" w:hAnsi="Gill Sans Display MT Pro BdCn"/>
                  <w:sz w:val="44"/>
                  <w:szCs w:val="44"/>
                </w:rPr>
                <w:t>Messaggio</w:t>
              </w:r>
            </w:sdtContent>
          </w:sdt>
        </w:p>
      </w:tc>
    </w:tr>
    <w:tr w:rsidR="001A358B">
      <w:trPr>
        <w:trHeight w:hRule="exact" w:val="306"/>
      </w:trPr>
      <w:tc>
        <w:tcPr>
          <w:tcW w:w="670" w:type="pct"/>
          <w:tcBorders>
            <w:left w:val="nil"/>
            <w:bottom w:val="nil"/>
          </w:tcBorders>
          <w:noWrap/>
          <w:tcMar>
            <w:top w:w="57" w:type="dxa"/>
            <w:left w:w="142" w:type="dxa"/>
          </w:tcMar>
        </w:tcPr>
        <w:p w:rsidR="001A358B" w:rsidRDefault="001A358B">
          <w:pPr>
            <w:pStyle w:val="Level"/>
            <w:spacing w:before="60"/>
            <w:rPr>
              <w:rFonts w:ascii="Gill Alt One MT Light" w:hAnsi="Gill Alt One MT Light"/>
              <w:sz w:val="16"/>
            </w:rPr>
          </w:pPr>
          <w:r>
            <w:rPr>
              <w:rFonts w:ascii="Gill Alt One MT Light" w:hAnsi="Gill Alt One MT Light"/>
              <w:sz w:val="16"/>
            </w:rPr>
            <w:t>numero</w:t>
          </w:r>
        </w:p>
        <w:p w:rsidR="001A358B" w:rsidRDefault="001A358B">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1A358B" w:rsidRDefault="001A358B">
          <w:pPr>
            <w:pStyle w:val="Level"/>
            <w:spacing w:before="60"/>
            <w:rPr>
              <w:rFonts w:ascii="Gill Alt One MT Light" w:hAnsi="Gill Alt One MT Light"/>
              <w:sz w:val="16"/>
            </w:rPr>
          </w:pPr>
          <w:r>
            <w:rPr>
              <w:rFonts w:ascii="Gill Alt One MT Light" w:hAnsi="Gill Alt One MT Light"/>
              <w:sz w:val="16"/>
            </w:rPr>
            <w:t>data</w:t>
          </w:r>
        </w:p>
        <w:p w:rsidR="001A358B" w:rsidRDefault="001A358B">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1A358B" w:rsidRDefault="001A358B">
          <w:pPr>
            <w:pStyle w:val="Level"/>
            <w:spacing w:before="60"/>
            <w:rPr>
              <w:rFonts w:ascii="Gill Alt One MT Light" w:hAnsi="Gill Alt One MT Light"/>
              <w:sz w:val="16"/>
            </w:rPr>
          </w:pPr>
          <w:r>
            <w:rPr>
              <w:rFonts w:ascii="Gill Alt One MT Light" w:hAnsi="Gill Alt One MT Light"/>
              <w:sz w:val="16"/>
            </w:rPr>
            <w:t>competenza</w:t>
          </w:r>
        </w:p>
        <w:p w:rsidR="001A358B" w:rsidRDefault="001A358B">
          <w:pPr>
            <w:pStyle w:val="Level"/>
            <w:spacing w:before="60" w:line="240" w:lineRule="auto"/>
            <w:rPr>
              <w:rFonts w:ascii="Gill Alt One MT Light" w:hAnsi="Gill Alt One MT Light"/>
              <w:sz w:val="16"/>
            </w:rPr>
          </w:pPr>
        </w:p>
      </w:tc>
    </w:tr>
    <w:tr w:rsidR="001A358B">
      <w:trPr>
        <w:trHeight w:hRule="exact" w:val="699"/>
      </w:trPr>
      <w:tc>
        <w:tcPr>
          <w:tcW w:w="670" w:type="pct"/>
          <w:tcBorders>
            <w:top w:val="nil"/>
            <w:left w:val="nil"/>
            <w:bottom w:val="single" w:sz="4" w:space="0" w:color="auto"/>
            <w:right w:val="nil"/>
          </w:tcBorders>
          <w:noWrap/>
          <w:tcMar>
            <w:top w:w="0" w:type="dxa"/>
          </w:tcMar>
        </w:tcPr>
        <w:p w:rsidR="001A358B" w:rsidRDefault="007406B6">
          <w:pPr>
            <w:pStyle w:val="InvisibleLine"/>
            <w:spacing w:line="280" w:lineRule="exact"/>
            <w:rPr>
              <w:rFonts w:cstheme="minorHAnsi"/>
              <w:b/>
              <w:sz w:val="28"/>
              <w:szCs w:val="28"/>
            </w:rPr>
          </w:pPr>
          <w:sdt>
            <w:sdtPr>
              <w:rPr>
                <w:rFonts w:cstheme="minorHAnsi"/>
                <w:b/>
                <w:sz w:val="24"/>
                <w:szCs w:val="24"/>
              </w:rPr>
              <w:alias w:val="DocParam.Number"/>
              <w:id w:val="997846354"/>
              <w:dataBinding w:xpath="//Text[@id='DocParam.Number']" w:storeItemID="{DA19FF82-1F1C-4997-AFE8-0A839025D331}"/>
              <w:text w:multiLine="1"/>
            </w:sdtPr>
            <w:sdtEndPr/>
            <w:sdtContent>
              <w:r w:rsidR="007A5341">
                <w:rPr>
                  <w:rFonts w:cstheme="minorHAnsi"/>
                  <w:b/>
                  <w:sz w:val="24"/>
                  <w:szCs w:val="24"/>
                </w:rPr>
                <w:t>8442</w:t>
              </w:r>
            </w:sdtContent>
          </w:sdt>
        </w:p>
      </w:tc>
      <w:tc>
        <w:tcPr>
          <w:tcW w:w="1112" w:type="pct"/>
          <w:tcBorders>
            <w:top w:val="nil"/>
            <w:left w:val="nil"/>
            <w:bottom w:val="single" w:sz="4" w:space="0" w:color="auto"/>
            <w:right w:val="nil"/>
          </w:tcBorders>
          <w:noWrap/>
          <w:tcMar>
            <w:top w:w="0" w:type="dxa"/>
          </w:tcMar>
        </w:tcPr>
        <w:p w:rsidR="001A358B" w:rsidRDefault="007406B6">
          <w:pPr>
            <w:pStyle w:val="Data"/>
          </w:pPr>
          <w:sdt>
            <w:sdtPr>
              <w:rPr>
                <w:sz w:val="24"/>
              </w:rPr>
              <w:alias w:val="DocParam.Date"/>
              <w:id w:val="325020515"/>
              <w:dataBinding w:xpath="//DateTime[@id='DocParam.Date']" w:storeItemID="{DA19FF82-1F1C-4997-AFE8-0A839025D331}"/>
              <w:date w:fullDate="2024-06-19T02:00:00Z">
                <w:dateFormat w:val="d MMMM yyyy"/>
                <w:lid w:val="it-CH"/>
                <w:storeMappedDataAs w:val="dateTime"/>
                <w:calendar w:val="gregorian"/>
              </w:date>
            </w:sdtPr>
            <w:sdtEndPr>
              <w:rPr>
                <w:sz w:val="22"/>
              </w:rPr>
            </w:sdtEndPr>
            <w:sdtContent>
              <w:r w:rsidR="007A5341">
                <w:rPr>
                  <w:sz w:val="24"/>
                </w:rPr>
                <w:t>19 giugno 2024</w:t>
              </w:r>
            </w:sdtContent>
          </w:sdt>
        </w:p>
      </w:tc>
      <w:tc>
        <w:tcPr>
          <w:tcW w:w="3218" w:type="pct"/>
          <w:gridSpan w:val="4"/>
          <w:tcBorders>
            <w:top w:val="nil"/>
            <w:left w:val="nil"/>
            <w:bottom w:val="nil"/>
            <w:right w:val="nil"/>
          </w:tcBorders>
        </w:tcPr>
        <w:p w:rsidR="001A358B" w:rsidRDefault="007406B6">
          <w:pPr>
            <w:pStyle w:val="Data"/>
            <w:rPr>
              <w:rFonts w:asciiTheme="minorHAnsi" w:hAnsiTheme="minorHAnsi" w:cstheme="minorHAnsi"/>
              <w:sz w:val="23"/>
              <w:szCs w:val="23"/>
            </w:rPr>
          </w:pPr>
          <w:sdt>
            <w:sdtPr>
              <w:rPr>
                <w:smallCaps/>
                <w:sz w:val="23"/>
                <w:szCs w:val="23"/>
              </w:rPr>
              <w:alias w:val="CustomElements.Fields.Dipartimenti"/>
              <w:id w:val="742150312"/>
              <w:dataBinding w:xpath="//Text[@id='CustomElements.Fields.Dipartimenti']" w:storeItemID="{DA19FF82-1F1C-4997-AFE8-0A839025D331}"/>
              <w:text w:multiLine="1"/>
            </w:sdtPr>
            <w:sdtEndPr/>
            <w:sdtContent>
              <w:r w:rsidR="001A358B">
                <w:rPr>
                  <w:smallCaps/>
                  <w:sz w:val="23"/>
                  <w:szCs w:val="23"/>
                </w:rPr>
                <w:t>Dipartimento della sanità e della socialità</w:t>
              </w:r>
            </w:sdtContent>
          </w:sdt>
        </w:p>
      </w:tc>
    </w:tr>
    <w:tr w:rsidR="001A358B">
      <w:trPr>
        <w:trHeight w:hRule="exact" w:val="198"/>
      </w:trPr>
      <w:tc>
        <w:tcPr>
          <w:tcW w:w="5000" w:type="pct"/>
          <w:gridSpan w:val="6"/>
          <w:tcBorders>
            <w:left w:val="nil"/>
            <w:bottom w:val="nil"/>
            <w:right w:val="nil"/>
          </w:tcBorders>
          <w:noWrap/>
          <w:tcMar>
            <w:top w:w="57" w:type="dxa"/>
            <w:left w:w="85" w:type="dxa"/>
            <w:bottom w:w="170" w:type="dxa"/>
          </w:tcMar>
        </w:tcPr>
        <w:p w:rsidR="001A358B" w:rsidRDefault="001A358B">
          <w:pPr>
            <w:pStyle w:val="Level"/>
            <w:ind w:left="150"/>
            <w:rPr>
              <w:rFonts w:ascii="Gill Alt One MT Light" w:hAnsi="Gill Alt One MT Light"/>
              <w:sz w:val="16"/>
              <w:szCs w:val="16"/>
            </w:rPr>
          </w:pPr>
        </w:p>
      </w:tc>
    </w:tr>
  </w:tbl>
  <w:p w:rsidR="001A358B" w:rsidRDefault="001A358B">
    <w:pPr>
      <w:pStyle w:val="Nessunaspaziatura"/>
      <w:spacing w:line="40" w:lineRule="exact"/>
    </w:pPr>
    <w:r>
      <w:rPr>
        <w:noProof/>
        <w:lang w:val="it-CH" w:eastAsia="it-CH"/>
      </w:rPr>
      <w:drawing>
        <wp:anchor distT="0" distB="0" distL="114300" distR="114300" simplePos="0" relativeHeight="251659264" behindDoc="1" locked="1" layoutInCell="1" allowOverlap="1">
          <wp:simplePos x="0" y="0"/>
          <wp:positionH relativeFrom="column">
            <wp:posOffset>3042920</wp:posOffset>
          </wp:positionH>
          <wp:positionV relativeFrom="page">
            <wp:posOffset>215265</wp:posOffset>
          </wp:positionV>
          <wp:extent cx="459464" cy="467995"/>
          <wp:effectExtent l="0" t="0" r="0" b="8255"/>
          <wp:wrapNone/>
          <wp:docPr id="7" name="ooImg_169193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931971213"/>
                            <w:dataBinding w:xpath="//Text[@id='CustomElements.Texts.Draft']" w:storeItemID="{DA19FF82-1F1C-4997-AFE8-0A839025D331}"/>
                            <w:text w:multiLine="1"/>
                          </w:sdtPr>
                          <w:sdtEndPr/>
                          <w:sdtContent>
                            <w:p w:rsidR="001A358B" w:rsidRDefault="001A358B">
                              <w:pPr>
                                <w:pStyle w:val="DraftText"/>
                                <w:rPr>
                                  <w:lang w:val="it-CH"/>
                                </w:rPr>
                              </w:pPr>
                              <w:r>
                                <w:rPr>
                                  <w:lang w:val="it-CH"/>
                                </w:rPr>
                                <w:t>Bozza</w:t>
                              </w:r>
                            </w:p>
                          </w:sdtContent>
                        </w:sdt>
                        <w:sdt>
                          <w:sdtPr>
                            <w:rPr>
                              <w:lang w:val="it-CH"/>
                            </w:rPr>
                            <w:alias w:val="CustomElements.Texts.Draft"/>
                            <w:id w:val="1582408335"/>
                            <w:dataBinding w:xpath="//Text[@id='CustomElements.Texts.Draft']" w:storeItemID="{DA19FF82-1F1C-4997-AFE8-0A839025D331}"/>
                            <w:text w:multiLine="1"/>
                          </w:sdtPr>
                          <w:sdtEndPr/>
                          <w:sdtContent>
                            <w:p w:rsidR="001A358B" w:rsidRDefault="001A358B">
                              <w:pPr>
                                <w:pStyle w:val="DraftText"/>
                                <w:rPr>
                                  <w:lang w:val="it-CH"/>
                                </w:rPr>
                              </w:pPr>
                              <w:r>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931971213"/>
                      <w:dataBinding w:xpath="//Text[@id='CustomElements.Texts.Draft']" w:storeItemID="{BA74661D-FEEB-4F45-B571-EF2CEB95C028}"/>
                      <w:text w:multiLine="1"/>
                    </w:sdtPr>
                    <w:sdtEndPr/>
                    <w:sdtContent>
                      <w:p w14:paraId="1FA2389F" w14:textId="77777777" w:rsidR="001A358B" w:rsidRDefault="001A358B">
                        <w:pPr>
                          <w:pStyle w:val="DraftText"/>
                          <w:rPr>
                            <w:lang w:val="it-CH"/>
                          </w:rPr>
                        </w:pPr>
                        <w:r>
                          <w:rPr>
                            <w:lang w:val="it-CH"/>
                          </w:rPr>
                          <w:t>Bozza</w:t>
                        </w:r>
                      </w:p>
                    </w:sdtContent>
                  </w:sdt>
                  <w:sdt>
                    <w:sdtPr>
                      <w:rPr>
                        <w:lang w:val="it-CH"/>
                      </w:rPr>
                      <w:alias w:val="CustomElements.Texts.Draft"/>
                      <w:id w:val="1582408335"/>
                      <w:dataBinding w:xpath="//Text[@id='CustomElements.Texts.Draft']" w:storeItemID="{BA74661D-FEEB-4F45-B571-EF2CEB95C028}"/>
                      <w:text w:multiLine="1"/>
                    </w:sdtPr>
                    <w:sdtEndPr/>
                    <w:sdtContent>
                      <w:p w14:paraId="2D62E35C" w14:textId="77777777" w:rsidR="001A358B" w:rsidRDefault="001A358B">
                        <w:pPr>
                          <w:pStyle w:val="DraftText"/>
                          <w:rPr>
                            <w:lang w:val="it-CH"/>
                          </w:rPr>
                        </w:pPr>
                        <w:r>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5643D"/>
    <w:multiLevelType w:val="hybridMultilevel"/>
    <w:tmpl w:val="80EA1AC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62D2483"/>
    <w:multiLevelType w:val="hybridMultilevel"/>
    <w:tmpl w:val="59A8F38C"/>
    <w:lvl w:ilvl="0" w:tplc="0410000F">
      <w:start w:val="1"/>
      <w:numFmt w:val="decimal"/>
      <w:lvlText w:val="%1."/>
      <w:lvlJc w:val="left"/>
      <w:pPr>
        <w:tabs>
          <w:tab w:val="num" w:pos="720"/>
        </w:tabs>
        <w:ind w:left="720" w:hanging="360"/>
      </w:pPr>
    </w:lvl>
    <w:lvl w:ilvl="1" w:tplc="3938884C" w:tentative="1">
      <w:start w:val="1"/>
      <w:numFmt w:val="bullet"/>
      <w:lvlText w:val="o"/>
      <w:lvlJc w:val="left"/>
      <w:pPr>
        <w:tabs>
          <w:tab w:val="num" w:pos="1440"/>
        </w:tabs>
        <w:ind w:left="1440" w:hanging="360"/>
      </w:pPr>
      <w:rPr>
        <w:rFonts w:ascii="Courier New" w:hAnsi="Courier New" w:cs="Courier New" w:hint="default"/>
      </w:rPr>
    </w:lvl>
    <w:lvl w:ilvl="2" w:tplc="5CD0FD42" w:tentative="1">
      <w:start w:val="1"/>
      <w:numFmt w:val="bullet"/>
      <w:lvlText w:val=""/>
      <w:lvlJc w:val="left"/>
      <w:pPr>
        <w:tabs>
          <w:tab w:val="num" w:pos="2160"/>
        </w:tabs>
        <w:ind w:left="2160" w:hanging="360"/>
      </w:pPr>
      <w:rPr>
        <w:rFonts w:ascii="Wingdings" w:hAnsi="Wingdings" w:hint="default"/>
      </w:rPr>
    </w:lvl>
    <w:lvl w:ilvl="3" w:tplc="997E13BA" w:tentative="1">
      <w:start w:val="1"/>
      <w:numFmt w:val="bullet"/>
      <w:lvlText w:val=""/>
      <w:lvlJc w:val="left"/>
      <w:pPr>
        <w:tabs>
          <w:tab w:val="num" w:pos="2880"/>
        </w:tabs>
        <w:ind w:left="2880" w:hanging="360"/>
      </w:pPr>
      <w:rPr>
        <w:rFonts w:ascii="Symbol" w:hAnsi="Symbol" w:hint="default"/>
      </w:rPr>
    </w:lvl>
    <w:lvl w:ilvl="4" w:tplc="3342F9CC" w:tentative="1">
      <w:start w:val="1"/>
      <w:numFmt w:val="bullet"/>
      <w:lvlText w:val="o"/>
      <w:lvlJc w:val="left"/>
      <w:pPr>
        <w:tabs>
          <w:tab w:val="num" w:pos="3600"/>
        </w:tabs>
        <w:ind w:left="3600" w:hanging="360"/>
      </w:pPr>
      <w:rPr>
        <w:rFonts w:ascii="Courier New" w:hAnsi="Courier New" w:cs="Courier New" w:hint="default"/>
      </w:rPr>
    </w:lvl>
    <w:lvl w:ilvl="5" w:tplc="9A3EDB82" w:tentative="1">
      <w:start w:val="1"/>
      <w:numFmt w:val="bullet"/>
      <w:lvlText w:val=""/>
      <w:lvlJc w:val="left"/>
      <w:pPr>
        <w:tabs>
          <w:tab w:val="num" w:pos="4320"/>
        </w:tabs>
        <w:ind w:left="4320" w:hanging="360"/>
      </w:pPr>
      <w:rPr>
        <w:rFonts w:ascii="Wingdings" w:hAnsi="Wingdings" w:hint="default"/>
      </w:rPr>
    </w:lvl>
    <w:lvl w:ilvl="6" w:tplc="8B363B46" w:tentative="1">
      <w:start w:val="1"/>
      <w:numFmt w:val="bullet"/>
      <w:lvlText w:val=""/>
      <w:lvlJc w:val="left"/>
      <w:pPr>
        <w:tabs>
          <w:tab w:val="num" w:pos="5040"/>
        </w:tabs>
        <w:ind w:left="5040" w:hanging="360"/>
      </w:pPr>
      <w:rPr>
        <w:rFonts w:ascii="Symbol" w:hAnsi="Symbol" w:hint="default"/>
      </w:rPr>
    </w:lvl>
    <w:lvl w:ilvl="7" w:tplc="75DE2FCC" w:tentative="1">
      <w:start w:val="1"/>
      <w:numFmt w:val="bullet"/>
      <w:lvlText w:val="o"/>
      <w:lvlJc w:val="left"/>
      <w:pPr>
        <w:tabs>
          <w:tab w:val="num" w:pos="5760"/>
        </w:tabs>
        <w:ind w:left="5760" w:hanging="360"/>
      </w:pPr>
      <w:rPr>
        <w:rFonts w:ascii="Courier New" w:hAnsi="Courier New" w:cs="Courier New" w:hint="default"/>
      </w:rPr>
    </w:lvl>
    <w:lvl w:ilvl="8" w:tplc="F7F898A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DB4F96"/>
    <w:multiLevelType w:val="hybridMultilevel"/>
    <w:tmpl w:val="3D4CF1EE"/>
    <w:lvl w:ilvl="0" w:tplc="9BF81F5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D524CC"/>
    <w:multiLevelType w:val="multilevel"/>
    <w:tmpl w:val="953CA1B2"/>
    <w:numStyleLink w:val="HeadingList"/>
  </w:abstractNum>
  <w:abstractNum w:abstractNumId="21" w15:restartNumberingAfterBreak="0">
    <w:nsid w:val="4AAA12B9"/>
    <w:multiLevelType w:val="hybridMultilevel"/>
    <w:tmpl w:val="CC2073C0"/>
    <w:lvl w:ilvl="0" w:tplc="F482A0D0">
      <w:start w:val="10"/>
      <w:numFmt w:val="upperRoman"/>
      <w:lvlText w:val="%1."/>
      <w:lvlJc w:val="left"/>
      <w:pPr>
        <w:ind w:left="720" w:hanging="72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2" w15:restartNumberingAfterBreak="0">
    <w:nsid w:val="5D490411"/>
    <w:multiLevelType w:val="hybridMultilevel"/>
    <w:tmpl w:val="73143D66"/>
    <w:lvl w:ilvl="0" w:tplc="62F01636">
      <w:start w:val="11"/>
      <w:numFmt w:val="upperRoman"/>
      <w:lvlText w:val="%1."/>
      <w:lvlJc w:val="left"/>
      <w:pPr>
        <w:ind w:left="720" w:hanging="72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3" w15:restartNumberingAfterBreak="0">
    <w:nsid w:val="62425C32"/>
    <w:multiLevelType w:val="hybridMultilevel"/>
    <w:tmpl w:val="61429412"/>
    <w:lvl w:ilvl="0" w:tplc="13088E12">
      <w:numFmt w:val="bullet"/>
      <w:lvlText w:val="-"/>
      <w:lvlJc w:val="left"/>
      <w:pPr>
        <w:ind w:left="360" w:hanging="360"/>
      </w:pPr>
      <w:rPr>
        <w:rFonts w:ascii="Arial" w:eastAsiaTheme="minorHAnsi"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4" w15:restartNumberingAfterBreak="0">
    <w:nsid w:val="77AD7078"/>
    <w:multiLevelType w:val="hybridMultilevel"/>
    <w:tmpl w:val="CD82A96E"/>
    <w:lvl w:ilvl="0" w:tplc="13088E1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3"/>
  </w:num>
  <w:num w:numId="2">
    <w:abstractNumId w:val="20"/>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9"/>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22"/>
  </w:num>
  <w:num w:numId="20">
    <w:abstractNumId w:val="21"/>
  </w:num>
  <w:num w:numId="21">
    <w:abstractNumId w:val="24"/>
  </w:num>
  <w:num w:numId="22">
    <w:abstractNumId w:val="17"/>
  </w:num>
  <w:num w:numId="23">
    <w:abstractNumId w:val="18"/>
  </w:num>
  <w:num w:numId="24">
    <w:abstractNumId w:val="23"/>
  </w:num>
  <w:num w:numId="25">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663B803-EC4E-48B5-AC19-E5F5A5AAAD58}"/>
    <w:docVar w:name="dgnword-eventsink" w:val="436146728"/>
    <w:docVar w:name="dgnword-lastRevisionsView" w:val="0"/>
  </w:docVars>
  <w:rsids>
    <w:rsidRoot w:val="001D5790"/>
    <w:rsid w:val="00070D4E"/>
    <w:rsid w:val="000B3F1D"/>
    <w:rsid w:val="001A358B"/>
    <w:rsid w:val="001B2A8B"/>
    <w:rsid w:val="001D5790"/>
    <w:rsid w:val="001F34B1"/>
    <w:rsid w:val="002822F3"/>
    <w:rsid w:val="0030463A"/>
    <w:rsid w:val="0031673B"/>
    <w:rsid w:val="0033074B"/>
    <w:rsid w:val="00355EFD"/>
    <w:rsid w:val="004D7BAF"/>
    <w:rsid w:val="005167D6"/>
    <w:rsid w:val="00520AB3"/>
    <w:rsid w:val="00533A75"/>
    <w:rsid w:val="00584E20"/>
    <w:rsid w:val="005A5F55"/>
    <w:rsid w:val="005D7D01"/>
    <w:rsid w:val="0066714A"/>
    <w:rsid w:val="007406B6"/>
    <w:rsid w:val="007536C2"/>
    <w:rsid w:val="007A5341"/>
    <w:rsid w:val="007C44D6"/>
    <w:rsid w:val="00A5632B"/>
    <w:rsid w:val="00A5663E"/>
    <w:rsid w:val="00A9467F"/>
    <w:rsid w:val="00D30F73"/>
    <w:rsid w:val="00E12F6E"/>
    <w:rsid w:val="00E9053B"/>
    <w:rsid w:val="00FA4BF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80428EF"/>
  <w15:docId w15:val="{232E102C-8C70-47D4-A39B-753E5C582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pPr>
    <w:rPr>
      <w:rFonts w:ascii="Arial" w:hAnsi="Arial"/>
      <w:lang w:val="it-CH"/>
    </w:rPr>
  </w:style>
  <w:style w:type="paragraph" w:styleId="Titolo1">
    <w:name w:val="heading 1"/>
    <w:basedOn w:val="Normale"/>
    <w:next w:val="Normale"/>
    <w:link w:val="Titolo1Carattere"/>
    <w:uiPriority w:val="9"/>
    <w:qFormat/>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pPr>
      <w:numPr>
        <w:ilvl w:val="1"/>
      </w:numPr>
      <w:spacing w:before="120" w:after="60"/>
      <w:outlineLvl w:val="1"/>
    </w:pPr>
  </w:style>
  <w:style w:type="paragraph" w:styleId="Titolo3">
    <w:name w:val="heading 3"/>
    <w:basedOn w:val="Titolo1"/>
    <w:next w:val="Normale"/>
    <w:link w:val="Titolo3Carattere"/>
    <w:uiPriority w:val="9"/>
    <w:unhideWhenUsed/>
    <w:qFormat/>
    <w:pPr>
      <w:numPr>
        <w:ilvl w:val="2"/>
      </w:numPr>
      <w:spacing w:before="120" w:after="60"/>
      <w:outlineLvl w:val="2"/>
    </w:pPr>
  </w:style>
  <w:style w:type="paragraph" w:styleId="Titolo4">
    <w:name w:val="heading 4"/>
    <w:basedOn w:val="Titolo1"/>
    <w:next w:val="Normale"/>
    <w:link w:val="Titolo4Carattere"/>
    <w:uiPriority w:val="9"/>
    <w:unhideWhenUsed/>
    <w:qFormat/>
    <w:pPr>
      <w:numPr>
        <w:ilvl w:val="3"/>
      </w:numPr>
      <w:spacing w:before="120" w:after="60"/>
      <w:outlineLvl w:val="3"/>
    </w:pPr>
  </w:style>
  <w:style w:type="paragraph" w:styleId="Titolo5">
    <w:name w:val="heading 5"/>
    <w:basedOn w:val="Normale"/>
    <w:next w:val="Normale"/>
    <w:link w:val="Titolo5Carattere"/>
    <w:uiPriority w:val="9"/>
    <w:semiHidden/>
    <w:unhideWhenUsed/>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pPr>
      <w:spacing w:before="80" w:after="240"/>
    </w:pPr>
    <w:rPr>
      <w:b/>
    </w:rPr>
  </w:style>
  <w:style w:type="paragraph" w:styleId="Titolo">
    <w:name w:val="Title"/>
    <w:aliases w:val="NotYetCustomized2178"/>
    <w:basedOn w:val="Normale"/>
    <w:next w:val="Normale"/>
    <w:link w:val="TitoloCarattere"/>
    <w:uiPriority w:val="10"/>
    <w:qFormat/>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Pr>
      <w:rFonts w:asciiTheme="majorHAnsi" w:hAnsiTheme="majorHAnsi"/>
      <w:b/>
      <w:sz w:val="32"/>
      <w:lang w:val="it-CH"/>
    </w:rPr>
  </w:style>
  <w:style w:type="character" w:customStyle="1" w:styleId="Titolo1Carattere">
    <w:name w:val="Titolo 1 Carattere"/>
    <w:basedOn w:val="Carpredefinitoparagrafo"/>
    <w:link w:val="Titolo1"/>
    <w:uiPriority w:val="9"/>
    <w:rPr>
      <w:rFonts w:ascii="Arial" w:hAnsi="Arial"/>
      <w:b/>
      <w:lang w:val="it-CH"/>
    </w:rPr>
  </w:style>
  <w:style w:type="paragraph" w:styleId="Sottotitolo">
    <w:name w:val="Subtitle"/>
    <w:aliases w:val="NotYetCustomized3335"/>
    <w:basedOn w:val="Normale"/>
    <w:next w:val="Normale"/>
    <w:link w:val="SottotitoloCarattere"/>
    <w:uiPriority w:val="11"/>
    <w:qFormat/>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Pr>
      <w:rFonts w:asciiTheme="majorHAnsi" w:hAnsiTheme="majorHAnsi"/>
      <w:b/>
      <w:sz w:val="24"/>
      <w:lang w:val="it-CH"/>
    </w:rPr>
  </w:style>
  <w:style w:type="character" w:customStyle="1" w:styleId="Titolo2Carattere">
    <w:name w:val="Titolo 2 Carattere"/>
    <w:basedOn w:val="Carpredefinitoparagrafo"/>
    <w:link w:val="Titolo2"/>
    <w:uiPriority w:val="9"/>
    <w:rPr>
      <w:rFonts w:ascii="Arial" w:hAnsi="Arial"/>
      <w:b/>
      <w:lang w:val="it-CH"/>
    </w:rPr>
  </w:style>
  <w:style w:type="character" w:customStyle="1" w:styleId="Titolo3Carattere">
    <w:name w:val="Titolo 3 Carattere"/>
    <w:basedOn w:val="Carpredefinitoparagrafo"/>
    <w:link w:val="Titolo3"/>
    <w:uiPriority w:val="9"/>
    <w:rPr>
      <w:rFonts w:ascii="Arial" w:hAnsi="Arial"/>
      <w:b/>
      <w:lang w:val="it-CH"/>
    </w:rPr>
  </w:style>
  <w:style w:type="character" w:customStyle="1" w:styleId="Titolo4Carattere">
    <w:name w:val="Titolo 4 Carattere"/>
    <w:basedOn w:val="Carpredefinitoparagrafo"/>
    <w:link w:val="Titolo4"/>
    <w:uiPriority w:val="9"/>
    <w:rPr>
      <w:rFonts w:ascii="Arial" w:hAnsi="Arial"/>
      <w:b/>
      <w:lang w:val="it-CH"/>
    </w:rPr>
  </w:style>
  <w:style w:type="paragraph" w:customStyle="1" w:styleId="ListAlphabetic">
    <w:name w:val="ListAlphabetic"/>
    <w:basedOn w:val="Normale"/>
    <w:pPr>
      <w:numPr>
        <w:numId w:val="4"/>
      </w:numPr>
      <w:contextualSpacing/>
    </w:pPr>
  </w:style>
  <w:style w:type="paragraph" w:styleId="Paragrafoelenco">
    <w:name w:val="List Paragraph"/>
    <w:basedOn w:val="Normale"/>
    <w:uiPriority w:val="34"/>
    <w:qFormat/>
    <w:pPr>
      <w:ind w:left="720"/>
      <w:contextualSpacing/>
    </w:pPr>
  </w:style>
  <w:style w:type="paragraph" w:customStyle="1" w:styleId="ListNumeric">
    <w:name w:val="ListNumeric"/>
    <w:basedOn w:val="Normale"/>
    <w:pPr>
      <w:numPr>
        <w:numId w:val="7"/>
      </w:numPr>
      <w:contextualSpacing/>
    </w:pPr>
  </w:style>
  <w:style w:type="paragraph" w:customStyle="1" w:styleId="ListLine">
    <w:name w:val="ListLine"/>
    <w:basedOn w:val="Normale"/>
    <w:pPr>
      <w:numPr>
        <w:numId w:val="6"/>
      </w:numPr>
      <w:contextualSpacing/>
    </w:pPr>
  </w:style>
  <w:style w:type="paragraph" w:customStyle="1" w:styleId="ListBullet">
    <w:name w:val="ListBullet"/>
    <w:basedOn w:val="Normale"/>
    <w:pPr>
      <w:numPr>
        <w:numId w:val="5"/>
      </w:numPr>
      <w:contextualSpacing/>
    </w:pPr>
  </w:style>
  <w:style w:type="paragraph" w:customStyle="1" w:styleId="Transmission">
    <w:name w:val="Transmission"/>
    <w:aliases w:val="NotYetCustomized1228"/>
    <w:basedOn w:val="Nessunaspaziatura"/>
    <w:link w:val="TransmissionZchn"/>
    <w:pPr>
      <w:spacing w:after="120"/>
    </w:pPr>
    <w:rPr>
      <w:b/>
    </w:rPr>
  </w:style>
  <w:style w:type="paragraph" w:customStyle="1" w:styleId="EnclosuresBox">
    <w:name w:val="EnclosuresBox"/>
    <w:basedOn w:val="Nessunaspaziatura"/>
    <w:pPr>
      <w:tabs>
        <w:tab w:val="left" w:pos="284"/>
      </w:tabs>
    </w:pPr>
    <w:rPr>
      <w:rFonts w:ascii="Arial" w:hAnsi="Arial"/>
    </w:rPr>
  </w:style>
  <w:style w:type="paragraph" w:styleId="Sommario1">
    <w:name w:val="toc 1"/>
    <w:aliases w:val="NotYetCustomized8649"/>
    <w:basedOn w:val="Normale"/>
    <w:next w:val="Normale"/>
    <w:autoRedefine/>
    <w:uiPriority w:val="39"/>
    <w:unhideWhenUsed/>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pPr>
      <w:spacing w:before="0" w:after="80"/>
    </w:pPr>
    <w:rPr>
      <w:b w:val="0"/>
    </w:rPr>
  </w:style>
  <w:style w:type="paragraph" w:styleId="Sommario3">
    <w:name w:val="toc 3"/>
    <w:aliases w:val="NotYetCustomized1834"/>
    <w:basedOn w:val="Sommario2"/>
    <w:next w:val="Normale"/>
    <w:autoRedefine/>
    <w:uiPriority w:val="39"/>
    <w:unhideWhenUsed/>
    <w:pPr>
      <w:spacing w:after="40"/>
    </w:pPr>
  </w:style>
  <w:style w:type="character" w:customStyle="1" w:styleId="Titolo5Carattere">
    <w:name w:val="Titolo 5 Carattere"/>
    <w:basedOn w:val="Carpredefinitoparagrafo"/>
    <w:link w:val="Titolo5"/>
    <w:uiPriority w:val="9"/>
    <w:semiHidden/>
    <w:rPr>
      <w:rFonts w:ascii="Arial" w:eastAsiaTheme="majorEastAsia" w:hAnsi="Arial" w:cstheme="majorBidi"/>
      <w:b/>
      <w:color w:val="365F91" w:themeColor="accent1" w:themeShade="BF"/>
      <w:lang w:val="it-CH"/>
    </w:rPr>
  </w:style>
  <w:style w:type="paragraph" w:customStyle="1" w:styleId="DraftText">
    <w:name w:val="DraftText"/>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style>
  <w:style w:type="paragraph" w:customStyle="1" w:styleId="InvisibleLine">
    <w:name w:val="InvisibleLine"/>
    <w:basedOn w:val="Nessunaspaziatura"/>
    <w:pPr>
      <w:spacing w:line="14" w:lineRule="auto"/>
    </w:pPr>
    <w:rPr>
      <w:sz w:val="2"/>
    </w:rPr>
  </w:style>
  <w:style w:type="paragraph" w:styleId="Pidipagina">
    <w:name w:val="footer"/>
    <w:aliases w:val="NotYetCustomized8954"/>
    <w:basedOn w:val="Intestazione"/>
    <w:link w:val="PidipaginaCarattere"/>
    <w:uiPriority w:val="99"/>
    <w:unhideWhenUsed/>
  </w:style>
  <w:style w:type="character" w:customStyle="1" w:styleId="PidipaginaCarattere">
    <w:name w:val="Piè di pagina Carattere"/>
    <w:aliases w:val="NotYetCustomized8954 Carattere"/>
    <w:basedOn w:val="Carpredefinitoparagrafo"/>
    <w:link w:val="Pidipagina"/>
    <w:uiPriority w:val="99"/>
    <w:rPr>
      <w:sz w:val="20"/>
    </w:rPr>
  </w:style>
  <w:style w:type="paragraph" w:styleId="Testonotaapidipagina">
    <w:name w:val="footnote text"/>
    <w:aliases w:val="NotYetCustomized2879"/>
    <w:basedOn w:val="Nessunaspaziatura"/>
    <w:link w:val="TestonotaapidipaginaCarattere"/>
    <w:uiPriority w:val="99"/>
    <w:unhideWhenUsed/>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Pr>
      <w:sz w:val="20"/>
      <w:szCs w:val="20"/>
    </w:rPr>
  </w:style>
  <w:style w:type="character" w:styleId="Enfasicorsivo">
    <w:name w:val="Emphasis"/>
    <w:aliases w:val="NotYetCustomized0913"/>
    <w:basedOn w:val="Carpredefinitoparagrafo"/>
    <w:uiPriority w:val="20"/>
    <w:rPr>
      <w:b/>
      <w:i w:val="0"/>
      <w:iCs/>
      <w:color w:val="4F81BD" w:themeColor="accent1"/>
    </w:rPr>
  </w:style>
  <w:style w:type="character" w:styleId="Enfasidelicata">
    <w:name w:val="Subtle Emphasis"/>
    <w:basedOn w:val="Carpredefinitoparagrafo"/>
    <w:uiPriority w:val="19"/>
    <w:rPr>
      <w:i/>
      <w:iCs/>
      <w:color w:val="404040" w:themeColor="text1" w:themeTint="BF"/>
    </w:rPr>
  </w:style>
  <w:style w:type="character" w:styleId="Enfasiintensa">
    <w:name w:val="Intense Emphasis"/>
    <w:basedOn w:val="Carpredefinitoparagrafo"/>
    <w:uiPriority w:val="21"/>
    <w:rPr>
      <w:i/>
      <w:iCs/>
      <w:color w:val="4F81BD" w:themeColor="accent1"/>
    </w:rPr>
  </w:style>
  <w:style w:type="paragraph" w:styleId="Intestazione">
    <w:name w:val="header"/>
    <w:aliases w:val="NotYetCustomized2561"/>
    <w:basedOn w:val="Nessunaspaziatura"/>
    <w:link w:val="IntestazioneCarattere"/>
    <w:uiPriority w:val="99"/>
    <w:unhideWhenUsed/>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Pr>
      <w:sz w:val="20"/>
    </w:rPr>
  </w:style>
  <w:style w:type="paragraph" w:styleId="Formuladiapertura">
    <w:name w:val="Salutation"/>
    <w:aliases w:val="NotYetCustomized3018"/>
    <w:basedOn w:val="Normale"/>
    <w:next w:val="Normale"/>
    <w:link w:val="FormuladiaperturaCarattere"/>
    <w:uiPriority w:val="99"/>
    <w:unhideWhenUsed/>
    <w:pPr>
      <w:jc w:val="left"/>
    </w:pPr>
  </w:style>
  <w:style w:type="character" w:customStyle="1" w:styleId="FormuladiaperturaCarattere">
    <w:name w:val="Formula di apertura Carattere"/>
    <w:aliases w:val="NotYetCustomized3018 Carattere"/>
    <w:basedOn w:val="Carpredefinitoparagrafo"/>
    <w:link w:val="Formuladiapertura"/>
    <w:uiPriority w:val="99"/>
    <w:rPr>
      <w:rFonts w:ascii="Arial" w:hAnsi="Arial"/>
      <w:sz w:val="24"/>
      <w:lang w:val="it-CH"/>
    </w:rPr>
  </w:style>
  <w:style w:type="character" w:styleId="Enfasigrassetto">
    <w:name w:val="Strong"/>
    <w:aliases w:val="NotYetCustomized1427"/>
    <w:basedOn w:val="Carpredefinitoparagrafo"/>
    <w:uiPriority w:val="22"/>
    <w:rPr>
      <w:b/>
      <w:bCs/>
    </w:rPr>
  </w:style>
  <w:style w:type="paragraph" w:styleId="Formuladichiusura">
    <w:name w:val="Closing"/>
    <w:aliases w:val="NotYetCustomized2787"/>
    <w:basedOn w:val="Normale"/>
    <w:link w:val="FormuladichiusuraCarattere"/>
    <w:uiPriority w:val="99"/>
    <w:unhideWhenUsed/>
    <w:pPr>
      <w:jc w:val="left"/>
    </w:pPr>
  </w:style>
  <w:style w:type="character" w:customStyle="1" w:styleId="FormuladichiusuraCarattere">
    <w:name w:val="Formula di chiusura Carattere"/>
    <w:aliases w:val="NotYetCustomized2787 Carattere"/>
    <w:basedOn w:val="Carpredefinitoparagrafo"/>
    <w:link w:val="Formuladichiusura"/>
    <w:uiPriority w:val="99"/>
    <w:rPr>
      <w:rFonts w:ascii="Arial" w:hAnsi="Arial"/>
      <w:sz w:val="24"/>
      <w:lang w:val="it-CH"/>
    </w:rPr>
  </w:style>
  <w:style w:type="paragraph" w:styleId="Nessunaspaziatura">
    <w:name w:val="No Spacing"/>
    <w:link w:val="NessunaspaziaturaCarattere"/>
    <w:uiPriority w:val="1"/>
    <w:pPr>
      <w:suppressAutoHyphens/>
    </w:pPr>
  </w:style>
  <w:style w:type="character" w:styleId="Numeropagina">
    <w:name w:val="page number"/>
    <w:basedOn w:val="Carpredefinitoparagrafo"/>
    <w:uiPriority w:val="99"/>
    <w:unhideWhenUsed/>
  </w:style>
  <w:style w:type="paragraph" w:styleId="Firma">
    <w:name w:val="Signature"/>
    <w:aliases w:val="NotYetCustomized3210"/>
    <w:basedOn w:val="Normale"/>
    <w:link w:val="FirmaCarattere"/>
    <w:uiPriority w:val="99"/>
    <w:unhideWhenUsed/>
  </w:style>
  <w:style w:type="character" w:customStyle="1" w:styleId="FirmaCarattere">
    <w:name w:val="Firma Carattere"/>
    <w:aliases w:val="NotYetCustomized3210 Carattere"/>
    <w:basedOn w:val="Carpredefinitoparagrafo"/>
    <w:link w:val="Firma"/>
    <w:uiPriority w:val="99"/>
    <w:rPr>
      <w:sz w:val="20"/>
    </w:rPr>
  </w:style>
  <w:style w:type="character" w:customStyle="1" w:styleId="NessunaspaziaturaCarattere">
    <w:name w:val="Nessuna spaziatura Carattere"/>
    <w:basedOn w:val="Carpredefinitoparagrafo"/>
    <w:link w:val="Nessunaspaziatura"/>
    <w:uiPriority w:val="1"/>
  </w:style>
  <w:style w:type="character" w:styleId="Rimandonotaapidipagina">
    <w:name w:val="footnote reference"/>
    <w:basedOn w:val="Carpredefinitoparagrafo"/>
    <w:uiPriority w:val="99"/>
    <w:unhideWhenUsed/>
    <w:rPr>
      <w:vertAlign w:val="superscript"/>
    </w:rPr>
  </w:style>
  <w:style w:type="paragraph" w:styleId="Sommario4">
    <w:name w:val="toc 4"/>
    <w:aliases w:val="NotYetCustomized5839"/>
    <w:basedOn w:val="Sommario3"/>
    <w:next w:val="Normale"/>
    <w:autoRedefine/>
    <w:uiPriority w:val="39"/>
    <w:unhideWhenUsed/>
  </w:style>
  <w:style w:type="character" w:customStyle="1" w:styleId="TransmissionZchn">
    <w:name w:val="Transmission Zchn"/>
    <w:aliases w:val="NotYetCustomized1228 Zchn"/>
    <w:basedOn w:val="NessunaspaziaturaCarattere"/>
    <w:link w:val="Transmission"/>
    <w:rPr>
      <w:b/>
      <w:sz w:val="20"/>
    </w:rPr>
  </w:style>
  <w:style w:type="character" w:customStyle="1" w:styleId="SubjectZchn">
    <w:name w:val="Subject Zchn"/>
    <w:basedOn w:val="Carpredefinitoparagrafo"/>
    <w:link w:val="Subject"/>
    <w:rPr>
      <w:rFonts w:ascii="Arial" w:hAnsi="Arial"/>
      <w:b/>
      <w:sz w:val="24"/>
      <w:lang w:val="it-CH"/>
    </w:rPr>
  </w:style>
  <w:style w:type="numbering" w:customStyle="1" w:styleId="ListAlphabeticList">
    <w:name w:val="ListAlphabeticList"/>
    <w:uiPriority w:val="99"/>
    <w:pPr>
      <w:numPr>
        <w:numId w:val="4"/>
      </w:numPr>
    </w:pPr>
  </w:style>
  <w:style w:type="numbering" w:customStyle="1" w:styleId="ListNumericList">
    <w:name w:val="ListNumericList"/>
    <w:uiPriority w:val="99"/>
    <w:pPr>
      <w:numPr>
        <w:numId w:val="7"/>
      </w:numPr>
    </w:pPr>
  </w:style>
  <w:style w:type="numbering" w:customStyle="1" w:styleId="ListLineList">
    <w:name w:val="ListLineList"/>
    <w:uiPriority w:val="99"/>
    <w:pPr>
      <w:numPr>
        <w:numId w:val="6"/>
      </w:numPr>
    </w:pPr>
  </w:style>
  <w:style w:type="numbering" w:customStyle="1" w:styleId="ListBulletList">
    <w:name w:val="ListBulletList"/>
    <w:uiPriority w:val="99"/>
    <w:pPr>
      <w:numPr>
        <w:numId w:val="5"/>
      </w:numPr>
    </w:pPr>
  </w:style>
  <w:style w:type="numbering" w:customStyle="1" w:styleId="HeadingList">
    <w:name w:val="HeadingList"/>
    <w:uiPriority w:val="99"/>
    <w:pPr>
      <w:numPr>
        <w:numId w:val="1"/>
      </w:numPr>
    </w:pPr>
  </w:style>
  <w:style w:type="paragraph" w:customStyle="1" w:styleId="NormalNoSpacing">
    <w:name w:val="NormalNoSpacing"/>
    <w:basedOn w:val="Normale"/>
  </w:style>
  <w:style w:type="paragraph" w:customStyle="1" w:styleId="Sender">
    <w:name w:val="Sender"/>
    <w:basedOn w:val="Normale"/>
    <w:pPr>
      <w:spacing w:line="204" w:lineRule="auto"/>
      <w:jc w:val="right"/>
    </w:pPr>
    <w:rPr>
      <w:rFonts w:ascii="Gill Alt One MT Light" w:hAnsi="Gill Alt One MT Light"/>
      <w:sz w:val="16"/>
    </w:rPr>
  </w:style>
  <w:style w:type="paragraph" w:customStyle="1" w:styleId="Level">
    <w:name w:val="Level"/>
    <w:basedOn w:val="Sender"/>
    <w:pPr>
      <w:spacing w:line="192" w:lineRule="auto"/>
      <w:contextualSpacing/>
      <w:jc w:val="left"/>
    </w:pPr>
    <w:rPr>
      <w:rFonts w:ascii="Gill Sans MT Pro Light" w:hAnsi="Gill Sans MT Pro Light"/>
      <w:sz w:val="23"/>
    </w:rPr>
  </w:style>
  <w:style w:type="paragraph" w:customStyle="1" w:styleId="Unit">
    <w:name w:val="Unit"/>
    <w:basedOn w:val="Level"/>
    <w:pPr>
      <w:spacing w:after="40" w:line="240" w:lineRule="exact"/>
    </w:pPr>
    <w:rPr>
      <w:rFonts w:ascii="Gill Sans Display MT Pro BdCn" w:hAnsi="Gill Sans Display MT Pro BdCn"/>
      <w:sz w:val="24"/>
    </w:rPr>
  </w:style>
  <w:style w:type="paragraph" w:customStyle="1" w:styleId="SenderPerson">
    <w:name w:val="SenderPerson"/>
    <w:basedOn w:val="Sender"/>
    <w:pPr>
      <w:spacing w:before="200" w:after="100"/>
    </w:pPr>
  </w:style>
  <w:style w:type="paragraph" w:customStyle="1" w:styleId="Recipient">
    <w:name w:val="Recipient"/>
    <w:basedOn w:val="Normale"/>
    <w:link w:val="RecipientZchn"/>
    <w:pPr>
      <w:spacing w:after="240" w:line="240" w:lineRule="exact"/>
      <w:contextualSpacing/>
      <w:jc w:val="left"/>
    </w:pPr>
  </w:style>
  <w:style w:type="paragraph" w:customStyle="1" w:styleId="Prefix">
    <w:name w:val="Prefix"/>
    <w:basedOn w:val="Recipient"/>
    <w:link w:val="PrefixZchn"/>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pPr>
      <w:jc w:val="left"/>
    </w:pPr>
  </w:style>
  <w:style w:type="character" w:customStyle="1" w:styleId="DataCarattere">
    <w:name w:val="Data Carattere"/>
    <w:aliases w:val="Content Carattere"/>
    <w:basedOn w:val="Carpredefinitoparagrafo"/>
    <w:link w:val="Data"/>
    <w:uiPriority w:val="99"/>
    <w:rPr>
      <w:rFonts w:ascii="Arial" w:hAnsi="Arial"/>
      <w:sz w:val="24"/>
      <w:lang w:val="it-CH"/>
    </w:rPr>
  </w:style>
  <w:style w:type="character" w:customStyle="1" w:styleId="RecipientZchn">
    <w:name w:val="Recipient Zchn"/>
    <w:basedOn w:val="Carpredefinitoparagrafo"/>
    <w:link w:val="Recipient"/>
    <w:rPr>
      <w:rFonts w:ascii="Arial" w:hAnsi="Arial"/>
      <w:sz w:val="24"/>
      <w:lang w:val="it-CH"/>
    </w:rPr>
  </w:style>
  <w:style w:type="character" w:customStyle="1" w:styleId="PrefixZchn">
    <w:name w:val="Prefix Zchn"/>
    <w:basedOn w:val="RecipientZchn"/>
    <w:link w:val="Prefix"/>
    <w:rPr>
      <w:rFonts w:ascii="Gill Sans MT Pro Light" w:hAnsi="Gill Sans MT Pro Light"/>
      <w:sz w:val="16"/>
      <w:lang w:val="it-CH"/>
    </w:rPr>
  </w:style>
  <w:style w:type="paragraph" w:customStyle="1" w:styleId="ShortText">
    <w:name w:val="ShortText"/>
    <w:basedOn w:val="Normale"/>
    <w:link w:val="ShortTextZchn"/>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Pr>
      <w:rFonts w:ascii="Gill Sans MT Pro Light" w:hAnsi="Gill Sans MT Pro Light"/>
      <w:sz w:val="16"/>
      <w:lang w:val="it-CH"/>
    </w:rPr>
  </w:style>
  <w:style w:type="paragraph" w:customStyle="1" w:styleId="SubjectMemo">
    <w:name w:val="SubjectMemo"/>
    <w:basedOn w:val="Subject"/>
    <w:pPr>
      <w:spacing w:before="964"/>
    </w:pPr>
  </w:style>
  <w:style w:type="paragraph" w:customStyle="1" w:styleId="HeaderDecisione">
    <w:name w:val="HeaderDecisione"/>
    <w:basedOn w:val="Level"/>
    <w:pPr>
      <w:spacing w:line="240" w:lineRule="auto"/>
    </w:pPr>
    <w:rPr>
      <w:rFonts w:ascii="Gill Alt One MT Light" w:hAnsi="Gill Alt One MT Light"/>
      <w:sz w:val="16"/>
    </w:rPr>
  </w:style>
  <w:style w:type="paragraph" w:customStyle="1" w:styleId="SenderDecisione">
    <w:name w:val="SenderDecisione"/>
    <w:basedOn w:val="HeaderDecisione"/>
    <w:pPr>
      <w:contextualSpacing w:val="0"/>
    </w:pPr>
    <w:rPr>
      <w:rFonts w:ascii="Gill Sans MT Pro Light" w:hAnsi="Gill Sans MT Pro Light"/>
    </w:rPr>
  </w:style>
  <w:style w:type="paragraph" w:customStyle="1" w:styleId="SubjectDecisione">
    <w:name w:val="SubjectDecisione"/>
    <w:basedOn w:val="Unit"/>
    <w:pPr>
      <w:spacing w:after="720" w:line="240" w:lineRule="auto"/>
      <w:contextualSpacing w:val="0"/>
    </w:pPr>
    <w:rPr>
      <w:sz w:val="42"/>
    </w:rPr>
  </w:style>
  <w:style w:type="paragraph" w:customStyle="1" w:styleId="EnclosuresBoxDecisione">
    <w:name w:val="EnclosuresBoxDecisione"/>
    <w:basedOn w:val="EnclosuresBox"/>
    <w:pPr>
      <w:spacing w:before="2400"/>
    </w:pPr>
  </w:style>
  <w:style w:type="paragraph" w:customStyle="1" w:styleId="EtiketteSender">
    <w:name w:val="EtiketteSender"/>
    <w:basedOn w:val="Normale"/>
    <w:pPr>
      <w:ind w:left="340"/>
      <w:jc w:val="left"/>
    </w:pPr>
    <w:rPr>
      <w:rFonts w:ascii="Gill Sans Display MT Pro BdCn" w:hAnsi="Gill Sans Display MT Pro BdCn"/>
    </w:rPr>
  </w:style>
  <w:style w:type="paragraph" w:customStyle="1" w:styleId="EtiketteRecipient">
    <w:name w:val="EtiketteRecipient"/>
    <w:basedOn w:val="EtiketteSender"/>
    <w:rPr>
      <w:rFonts w:ascii="Arial" w:hAnsi="Arial"/>
    </w:rPr>
  </w:style>
  <w:style w:type="paragraph" w:customStyle="1" w:styleId="SenderPersonContent">
    <w:name w:val="SenderPersonContent"/>
    <w:basedOn w:val="SenderPerson"/>
    <w:pPr>
      <w:jc w:val="left"/>
    </w:pPr>
    <w:rPr>
      <w:lang w:val="de-CH"/>
    </w:rPr>
  </w:style>
  <w:style w:type="paragraph" w:customStyle="1" w:styleId="SenderContent">
    <w:name w:val="SenderContent"/>
    <w:basedOn w:val="Sender"/>
    <w:pPr>
      <w:jc w:val="left"/>
    </w:pPr>
  </w:style>
  <w:style w:type="paragraph" w:customStyle="1" w:styleId="EnclosuresBoxDecisione1">
    <w:name w:val="EnclosuresBoxDecisione1"/>
    <w:basedOn w:val="EnclosuresBoxDecisione"/>
    <w:qFormat/>
    <w:pPr>
      <w:ind w:left="153"/>
    </w:pPr>
    <w:rPr>
      <w:u w:val="single"/>
    </w:rPr>
  </w:style>
  <w:style w:type="paragraph" w:customStyle="1" w:styleId="EnclosuresBox1">
    <w:name w:val="EnclosuresBox1"/>
    <w:basedOn w:val="EnclosuresBox"/>
    <w:qFormat/>
    <w:pPr>
      <w:tabs>
        <w:tab w:val="clear" w:pos="284"/>
        <w:tab w:val="left" w:pos="437"/>
      </w:tabs>
      <w:ind w:left="153"/>
    </w:pPr>
  </w:style>
  <w:style w:type="paragraph" w:customStyle="1" w:styleId="DatumBig">
    <w:name w:val="DatumBig"/>
    <w:basedOn w:val="EnclosuresBox1"/>
    <w:qFormat/>
    <w:rPr>
      <w:lang w:val="it-CH"/>
    </w:rPr>
  </w:style>
  <w:style w:type="paragraph" w:customStyle="1" w:styleId="SubjectRisoluzione">
    <w:name w:val="SubjectRisoluzione"/>
    <w:basedOn w:val="SubjectDecisione"/>
    <w:qFormat/>
    <w:pPr>
      <w:spacing w:after="240"/>
    </w:pPr>
  </w:style>
  <w:style w:type="paragraph" w:customStyle="1" w:styleId="EnclosuresBoxRisoluzione">
    <w:name w:val="EnclosuresBoxRisoluzione"/>
    <w:basedOn w:val="EnclosuresBoxDecisione"/>
    <w:qFormat/>
    <w:pPr>
      <w:spacing w:before="0"/>
    </w:pPr>
  </w:style>
  <w:style w:type="paragraph" w:customStyle="1" w:styleId="ProgettoStandard">
    <w:name w:val="ProgettoStandard"/>
    <w:basedOn w:val="Normale"/>
    <w:qFormat/>
    <w:pPr>
      <w:jc w:val="left"/>
    </w:pPr>
  </w:style>
  <w:style w:type="paragraph" w:customStyle="1" w:styleId="StandardRisoluzionedelConsigliodiStato">
    <w:name w:val="StandardRisoluzionedelConsigliodiStato"/>
    <w:basedOn w:val="Normale"/>
    <w:qFormat/>
    <w:rPr>
      <w:sz w:val="24"/>
    </w:rPr>
  </w:style>
  <w:style w:type="paragraph" w:customStyle="1" w:styleId="DatumRisoluzionedelConsigliodiStato">
    <w:name w:val="DatumRisoluzionedelConsigliodiStato"/>
    <w:basedOn w:val="StandardRisoluzionedelConsigliodiStato"/>
    <w:qFormat/>
    <w:pPr>
      <w:spacing w:before="60"/>
      <w:jc w:val="left"/>
    </w:pPr>
  </w:style>
  <w:style w:type="paragraph" w:customStyle="1" w:styleId="EnclosuresBoxRisoluzionedelConsigliodiStato">
    <w:name w:val="EnclosuresBoxRisoluzionedelConsigliodiStato"/>
    <w:basedOn w:val="EnclosuresBox"/>
    <w:qFormat/>
    <w:rPr>
      <w:sz w:val="24"/>
      <w:lang w:val="it-CH"/>
    </w:rPr>
  </w:style>
  <w:style w:type="paragraph" w:customStyle="1" w:styleId="Page">
    <w:name w:val="Page"/>
    <w:basedOn w:val="Data"/>
    <w:qFormat/>
    <w:pPr>
      <w:spacing w:after="60"/>
    </w:pPr>
  </w:style>
  <w:style w:type="paragraph" w:customStyle="1" w:styleId="Information">
    <w:name w:val="Information"/>
    <w:basedOn w:val="Data"/>
    <w:qFormat/>
    <w:pPr>
      <w:spacing w:before="60"/>
    </w:pPr>
  </w:style>
  <w:style w:type="paragraph" w:customStyle="1" w:styleId="PageRisoluzioneConsigliodiStato">
    <w:name w:val="PageRisoluzioneConsigliodiStato"/>
    <w:basedOn w:val="Page"/>
    <w:qFormat/>
    <w:rPr>
      <w:sz w:val="24"/>
    </w:rPr>
  </w:style>
  <w:style w:type="paragraph" w:customStyle="1" w:styleId="ListAlphabetic12">
    <w:name w:val="ListAlphabetic12"/>
    <w:basedOn w:val="ListAlphabetic"/>
    <w:qFormat/>
    <w:pPr>
      <w:numPr>
        <w:numId w:val="3"/>
      </w:numPr>
    </w:pPr>
    <w:rPr>
      <w:sz w:val="24"/>
      <w:szCs w:val="24"/>
    </w:rPr>
  </w:style>
  <w:style w:type="paragraph" w:customStyle="1" w:styleId="ListNumeric12">
    <w:name w:val="ListNumeric12"/>
    <w:basedOn w:val="ListNumeric"/>
    <w:qFormat/>
    <w:rPr>
      <w:sz w:val="24"/>
      <w:szCs w:val="24"/>
    </w:rPr>
  </w:style>
  <w:style w:type="paragraph" w:customStyle="1" w:styleId="ListBullet12">
    <w:name w:val="ListBullet12"/>
    <w:basedOn w:val="ListBullet"/>
    <w:qFormat/>
    <w:rPr>
      <w:sz w:val="24"/>
      <w:szCs w:val="24"/>
    </w:rPr>
  </w:style>
  <w:style w:type="paragraph" w:customStyle="1" w:styleId="ListLine12">
    <w:name w:val="ListLine12"/>
    <w:basedOn w:val="ListLine"/>
    <w:qFormat/>
    <w:rPr>
      <w:sz w:val="24"/>
      <w:szCs w:val="24"/>
    </w:rPr>
  </w:style>
  <w:style w:type="character" w:customStyle="1" w:styleId="Titolo6Carattere">
    <w:name w:val="Titolo 6 Carattere"/>
    <w:basedOn w:val="Carpredefinitoparagrafo"/>
    <w:link w:val="Titolo6"/>
    <w:uiPriority w:val="9"/>
    <w:semiHidden/>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Pr>
      <w:rFonts w:ascii="Gill Sans Display MT Pro BdCn" w:hAnsi="Gill Sans Display MT Pro BdCn"/>
      <w:sz w:val="18"/>
    </w:rPr>
  </w:style>
  <w:style w:type="paragraph" w:customStyle="1" w:styleId="EtiketteSender1">
    <w:name w:val="EtiketteSender1"/>
    <w:basedOn w:val="Normale"/>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Pr>
      <w:rFonts w:ascii="Arial" w:hAnsi="Arial"/>
      <w:sz w:val="22"/>
    </w:rPr>
  </w:style>
  <w:style w:type="paragraph" w:customStyle="1" w:styleId="FFHSHaupttitel">
    <w:name w:val="FFHS Haupttitel"/>
    <w:basedOn w:val="Normale"/>
    <w:pPr>
      <w:suppressAutoHyphens w:val="0"/>
      <w:spacing w:after="360" w:line="24" w:lineRule="atLeast"/>
      <w:jc w:val="left"/>
    </w:pPr>
    <w:rPr>
      <w:rFonts w:ascii="Times New Roman" w:eastAsia="Times New Roman" w:hAnsi="Times New Roman" w:cs="Times New Roman"/>
      <w:b/>
      <w:sz w:val="32"/>
      <w:szCs w:val="20"/>
      <w:lang w:val="de-CH" w:eastAsia="de-DE"/>
    </w:rPr>
  </w:style>
  <w:style w:type="table" w:styleId="Grigliatabella">
    <w:name w:val="Table Grid"/>
    <w:basedOn w:val="Tabellanormale"/>
    <w:uiPriority w:val="59"/>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pPr>
      <w:spacing w:before="280" w:after="280"/>
      <w:jc w:val="left"/>
    </w:pPr>
    <w:rPr>
      <w:rFonts w:ascii="Times New Roman" w:eastAsia="Times New Roman" w:hAnsi="Times New Roman" w:cs="Times New Roman"/>
      <w:sz w:val="24"/>
      <w:szCs w:val="24"/>
      <w:lang w:val="it-IT" w:eastAsia="ar-SA"/>
    </w:rPr>
  </w:style>
  <w:style w:type="paragraph" w:customStyle="1" w:styleId="Default">
    <w:name w:val="Default"/>
    <w:pPr>
      <w:autoSpaceDE w:val="0"/>
      <w:autoSpaceDN w:val="0"/>
      <w:adjustRightInd w:val="0"/>
      <w:jc w:val="left"/>
    </w:pPr>
    <w:rPr>
      <w:rFonts w:ascii="Arial" w:hAnsi="Arial" w:cs="Arial"/>
      <w:color w:val="000000"/>
      <w:sz w:val="24"/>
      <w:szCs w:val="24"/>
      <w:lang w:val="it-CH"/>
    </w:rPr>
  </w:style>
  <w:style w:type="paragraph" w:styleId="Corpodeltesto2">
    <w:name w:val="Body Text 2"/>
    <w:basedOn w:val="Normale"/>
    <w:link w:val="Corpodeltesto2Carattere"/>
    <w:pPr>
      <w:suppressAutoHyphens w:val="0"/>
      <w:jc w:val="left"/>
    </w:pPr>
    <w:rPr>
      <w:rFonts w:ascii="Times New Roman" w:eastAsia="Times New Roman" w:hAnsi="Times New Roman" w:cs="Times New Roman"/>
      <w:sz w:val="20"/>
      <w:szCs w:val="24"/>
      <w:lang w:val="it-IT" w:eastAsia="it-IT"/>
    </w:rPr>
  </w:style>
  <w:style w:type="character" w:customStyle="1" w:styleId="Corpodeltesto2Carattere">
    <w:name w:val="Corpo del testo 2 Carattere"/>
    <w:basedOn w:val="Carpredefinitoparagrafo"/>
    <w:link w:val="Corpodeltesto2"/>
    <w:rPr>
      <w:rFonts w:ascii="Times New Roman" w:eastAsia="Times New Roman" w:hAnsi="Times New Roman" w:cs="Times New Roman"/>
      <w:sz w:val="20"/>
      <w:szCs w:val="24"/>
      <w:lang w:val="it-IT" w:eastAsia="it-IT"/>
    </w:rPr>
  </w:style>
  <w:style w:type="paragraph" w:styleId="Testofumetto">
    <w:name w:val="Balloon Text"/>
    <w:basedOn w:val="Normale"/>
    <w:link w:val="TestofumettoCarattere"/>
    <w:uiPriority w:val="99"/>
    <w:semiHidden/>
    <w:unhideWhenUse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Pr>
      <w:rFonts w:ascii="Segoe UI" w:hAnsi="Segoe UI" w:cs="Segoe UI"/>
      <w:sz w:val="18"/>
      <w:szCs w:val="18"/>
      <w:lang w:val="it-CH"/>
    </w:rPr>
  </w:style>
  <w:style w:type="paragraph" w:styleId="Revisione">
    <w:name w:val="Revision"/>
    <w:hidden/>
    <w:uiPriority w:val="99"/>
    <w:semiHidden/>
    <w:pPr>
      <w:jc w:val="left"/>
    </w:pPr>
    <w:rPr>
      <w:rFonts w:ascii="Arial" w:hAnsi="Arial"/>
      <w:lang w:val="it-CH"/>
    </w:rPr>
  </w:style>
  <w:style w:type="character" w:styleId="Rimandocommento">
    <w:name w:val="annotation reference"/>
    <w:basedOn w:val="Carpredefinitoparagrafo"/>
    <w:uiPriority w:val="99"/>
    <w:semiHidden/>
    <w:unhideWhenUsed/>
    <w:rPr>
      <w:sz w:val="16"/>
      <w:szCs w:val="16"/>
    </w:rPr>
  </w:style>
  <w:style w:type="paragraph" w:styleId="Testocommento">
    <w:name w:val="annotation text"/>
    <w:basedOn w:val="Normale"/>
    <w:link w:val="TestocommentoCarattere"/>
    <w:uiPriority w:val="99"/>
    <w:unhideWhenUsed/>
    <w:rPr>
      <w:sz w:val="20"/>
      <w:szCs w:val="20"/>
    </w:rPr>
  </w:style>
  <w:style w:type="character" w:customStyle="1" w:styleId="TestocommentoCarattere">
    <w:name w:val="Testo commento Carattere"/>
    <w:basedOn w:val="Carpredefinitoparagrafo"/>
    <w:link w:val="Testocommento"/>
    <w:uiPriority w:val="99"/>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Pr>
      <w:b/>
      <w:bCs/>
    </w:rPr>
  </w:style>
  <w:style w:type="character" w:customStyle="1" w:styleId="SoggettocommentoCarattere">
    <w:name w:val="Soggetto commento Carattere"/>
    <w:basedOn w:val="TestocommentoCarattere"/>
    <w:link w:val="Soggettocommento"/>
    <w:uiPriority w:val="99"/>
    <w:semiHidden/>
    <w:rPr>
      <w:rFonts w:ascii="Arial" w:hAnsi="Arial"/>
      <w:b/>
      <w:bCs/>
      <w:sz w:val="20"/>
      <w:szCs w:val="20"/>
      <w:lang w:val="it-CH"/>
    </w:rPr>
  </w:style>
  <w:style w:type="character" w:styleId="Collegamentoipertestuale">
    <w:name w:val="Hyperlink"/>
    <w:basedOn w:val="Carpredefinitoparagrafo"/>
    <w:uiPriority w:val="99"/>
    <w:unhideWhenUsed/>
    <w:rPr>
      <w:color w:val="0000FF" w:themeColor="hyperlink"/>
      <w:u w:val="single"/>
    </w:rPr>
  </w:style>
  <w:style w:type="character" w:customStyle="1" w:styleId="UnresolvedMention">
    <w:name w:val="Unresolved Mention"/>
    <w:basedOn w:val="Carpredefinitoparagrafo"/>
    <w:uiPriority w:val="99"/>
    <w:semiHidden/>
    <w:unhideWhenUsed/>
    <w:rPr>
      <w:color w:val="605E5C"/>
      <w:shd w:val="clear" w:color="auto" w:fill="E1DFDD"/>
    </w:rPr>
  </w:style>
  <w:style w:type="character" w:styleId="Collegamentovisitato">
    <w:name w:val="FollowedHyperlink"/>
    <w:basedOn w:val="Carpredefinitoparagrafo"/>
    <w:uiPriority w:val="99"/>
    <w:semiHidden/>
    <w:unhideWhenUsed/>
    <w:rsid w:val="0033074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838236120">
      <w:bodyDiv w:val="1"/>
      <w:marLeft w:val="0"/>
      <w:marRight w:val="0"/>
      <w:marTop w:val="0"/>
      <w:marBottom w:val="0"/>
      <w:divBdr>
        <w:top w:val="none" w:sz="0" w:space="0" w:color="auto"/>
        <w:left w:val="none" w:sz="0" w:space="0" w:color="auto"/>
        <w:bottom w:val="none" w:sz="0" w:space="0" w:color="auto"/>
        <w:right w:val="none" w:sz="0" w:space="0" w:color="auto"/>
      </w:divBdr>
    </w:div>
    <w:div w:id="1015154673">
      <w:bodyDiv w:val="1"/>
      <w:marLeft w:val="0"/>
      <w:marRight w:val="0"/>
      <w:marTop w:val="0"/>
      <w:marBottom w:val="0"/>
      <w:divBdr>
        <w:top w:val="none" w:sz="0" w:space="0" w:color="auto"/>
        <w:left w:val="none" w:sz="0" w:space="0" w:color="auto"/>
        <w:bottom w:val="none" w:sz="0" w:space="0" w:color="auto"/>
        <w:right w:val="none" w:sz="0" w:space="0" w:color="auto"/>
      </w:divBdr>
    </w:div>
    <w:div w:id="1428110040">
      <w:bodyDiv w:val="1"/>
      <w:marLeft w:val="0"/>
      <w:marRight w:val="0"/>
      <w:marTop w:val="0"/>
      <w:marBottom w:val="0"/>
      <w:divBdr>
        <w:top w:val="none" w:sz="0" w:space="0" w:color="auto"/>
        <w:left w:val="none" w:sz="0" w:space="0" w:color="auto"/>
        <w:bottom w:val="none" w:sz="0" w:space="0" w:color="auto"/>
        <w:right w:val="none" w:sz="0" w:space="0" w:color="auto"/>
      </w:divBdr>
    </w:div>
    <w:div w:id="1657420189">
      <w:bodyDiv w:val="1"/>
      <w:marLeft w:val="0"/>
      <w:marRight w:val="0"/>
      <w:marTop w:val="0"/>
      <w:marBottom w:val="0"/>
      <w:divBdr>
        <w:top w:val="none" w:sz="0" w:space="0" w:color="auto"/>
        <w:left w:val="none" w:sz="0" w:space="0" w:color="auto"/>
        <w:bottom w:val="none" w:sz="0" w:space="0" w:color="auto"/>
        <w:right w:val="none" w:sz="0" w:space="0" w:color="auto"/>
      </w:divBdr>
    </w:div>
    <w:div w:id="178854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vetsuisse.unibe.ch/research/sustainability_and_biodiversity/disease_ecology/index_eng.html" TargetMode="External"/><Relationship Id="rId1" Type="http://schemas.openxmlformats.org/officeDocument/2006/relationships/hyperlink" Target="https://www.epicentro.iss.it/westnile/bollettin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dgi002\AppData\Local\Temp\OneOffixx\generated\4f31c95e-822c-496a-b7b7-51e40c6d739d.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Cartel3"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Foglio1!$B$1</c:f>
              <c:strCache>
                <c:ptCount val="1"/>
                <c:pt idx="0">
                  <c:v>Numero collaboratori</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Foglio1!$A$2:$A$12</c:f>
              <c:strCache>
                <c:ptCount val="11"/>
                <c:pt idx="0">
                  <c:v>2014</c:v>
                </c:pt>
                <c:pt idx="1">
                  <c:v>2015</c:v>
                </c:pt>
                <c:pt idx="2">
                  <c:v>2016</c:v>
                </c:pt>
                <c:pt idx="3">
                  <c:v>2017</c:v>
                </c:pt>
                <c:pt idx="4">
                  <c:v>2018</c:v>
                </c:pt>
                <c:pt idx="5">
                  <c:v>2019</c:v>
                </c:pt>
                <c:pt idx="6">
                  <c:v>2020</c:v>
                </c:pt>
                <c:pt idx="7">
                  <c:v>2021</c:v>
                </c:pt>
                <c:pt idx="8">
                  <c:v>2022</c:v>
                </c:pt>
                <c:pt idx="9">
                  <c:v>2023</c:v>
                </c:pt>
                <c:pt idx="10">
                  <c:v>2024*</c:v>
                </c:pt>
              </c:strCache>
            </c:strRef>
          </c:cat>
          <c:val>
            <c:numRef>
              <c:f>Foglio1!$B$2:$B$12</c:f>
              <c:numCache>
                <c:formatCode>General</c:formatCode>
                <c:ptCount val="11"/>
                <c:pt idx="0">
                  <c:v>12</c:v>
                </c:pt>
                <c:pt idx="1">
                  <c:v>16</c:v>
                </c:pt>
                <c:pt idx="2">
                  <c:v>23</c:v>
                </c:pt>
                <c:pt idx="3">
                  <c:v>21</c:v>
                </c:pt>
                <c:pt idx="4">
                  <c:v>24</c:v>
                </c:pt>
                <c:pt idx="5">
                  <c:v>29</c:v>
                </c:pt>
                <c:pt idx="6">
                  <c:v>32</c:v>
                </c:pt>
                <c:pt idx="7">
                  <c:v>46</c:v>
                </c:pt>
                <c:pt idx="8">
                  <c:v>45</c:v>
                </c:pt>
                <c:pt idx="9">
                  <c:v>44</c:v>
                </c:pt>
                <c:pt idx="10">
                  <c:v>42</c:v>
                </c:pt>
              </c:numCache>
            </c:numRef>
          </c:val>
          <c:smooth val="0"/>
          <c:extLst>
            <c:ext xmlns:c16="http://schemas.microsoft.com/office/drawing/2014/chart" uri="{C3380CC4-5D6E-409C-BE32-E72D297353CC}">
              <c16:uniqueId val="{00000000-9749-470E-BBC3-E349CE8549C6}"/>
            </c:ext>
          </c:extLst>
        </c:ser>
        <c:ser>
          <c:idx val="1"/>
          <c:order val="1"/>
          <c:tx>
            <c:strRef>
              <c:f>Foglio1!$C$1</c:f>
              <c:strCache>
                <c:ptCount val="1"/>
                <c:pt idx="0">
                  <c:v>FTE, equivalenti a tempo pieno</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Foglio1!$A$2:$A$12</c:f>
              <c:strCache>
                <c:ptCount val="11"/>
                <c:pt idx="0">
                  <c:v>2014</c:v>
                </c:pt>
                <c:pt idx="1">
                  <c:v>2015</c:v>
                </c:pt>
                <c:pt idx="2">
                  <c:v>2016</c:v>
                </c:pt>
                <c:pt idx="3">
                  <c:v>2017</c:v>
                </c:pt>
                <c:pt idx="4">
                  <c:v>2018</c:v>
                </c:pt>
                <c:pt idx="5">
                  <c:v>2019</c:v>
                </c:pt>
                <c:pt idx="6">
                  <c:v>2020</c:v>
                </c:pt>
                <c:pt idx="7">
                  <c:v>2021</c:v>
                </c:pt>
                <c:pt idx="8">
                  <c:v>2022</c:v>
                </c:pt>
                <c:pt idx="9">
                  <c:v>2023</c:v>
                </c:pt>
                <c:pt idx="10">
                  <c:v>2024*</c:v>
                </c:pt>
              </c:strCache>
            </c:strRef>
          </c:cat>
          <c:val>
            <c:numRef>
              <c:f>Foglio1!$C$2:$C$12</c:f>
              <c:numCache>
                <c:formatCode>General</c:formatCode>
                <c:ptCount val="11"/>
                <c:pt idx="0">
                  <c:v>4.7</c:v>
                </c:pt>
                <c:pt idx="1">
                  <c:v>6.5</c:v>
                </c:pt>
                <c:pt idx="2">
                  <c:v>16.399999999999999</c:v>
                </c:pt>
                <c:pt idx="3">
                  <c:v>15.2</c:v>
                </c:pt>
                <c:pt idx="4">
                  <c:v>15.3</c:v>
                </c:pt>
                <c:pt idx="5">
                  <c:v>21.95</c:v>
                </c:pt>
                <c:pt idx="6">
                  <c:v>23.95</c:v>
                </c:pt>
                <c:pt idx="7">
                  <c:v>35.049999999999997</c:v>
                </c:pt>
                <c:pt idx="8">
                  <c:v>38.6</c:v>
                </c:pt>
                <c:pt idx="9">
                  <c:v>36.799999999999997</c:v>
                </c:pt>
                <c:pt idx="10">
                  <c:v>34.869999999999997</c:v>
                </c:pt>
              </c:numCache>
            </c:numRef>
          </c:val>
          <c:smooth val="0"/>
          <c:extLst>
            <c:ext xmlns:c16="http://schemas.microsoft.com/office/drawing/2014/chart" uri="{C3380CC4-5D6E-409C-BE32-E72D297353CC}">
              <c16:uniqueId val="{00000001-9749-470E-BBC3-E349CE8549C6}"/>
            </c:ext>
          </c:extLst>
        </c:ser>
        <c:ser>
          <c:idx val="2"/>
          <c:order val="2"/>
          <c:tx>
            <c:strRef>
              <c:f>Foglio1!$D$1</c:f>
              <c:strCache>
                <c:ptCount val="1"/>
                <c:pt idx="0">
                  <c:v>Dottorandi, stagiaires, apprendisti</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CH"/>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Foglio1!$A$2:$A$12</c:f>
              <c:strCache>
                <c:ptCount val="11"/>
                <c:pt idx="0">
                  <c:v>2014</c:v>
                </c:pt>
                <c:pt idx="1">
                  <c:v>2015</c:v>
                </c:pt>
                <c:pt idx="2">
                  <c:v>2016</c:v>
                </c:pt>
                <c:pt idx="3">
                  <c:v>2017</c:v>
                </c:pt>
                <c:pt idx="4">
                  <c:v>2018</c:v>
                </c:pt>
                <c:pt idx="5">
                  <c:v>2019</c:v>
                </c:pt>
                <c:pt idx="6">
                  <c:v>2020</c:v>
                </c:pt>
                <c:pt idx="7">
                  <c:v>2021</c:v>
                </c:pt>
                <c:pt idx="8">
                  <c:v>2022</c:v>
                </c:pt>
                <c:pt idx="9">
                  <c:v>2023</c:v>
                </c:pt>
                <c:pt idx="10">
                  <c:v>2024*</c:v>
                </c:pt>
              </c:strCache>
            </c:strRef>
          </c:cat>
          <c:val>
            <c:numRef>
              <c:f>Foglio1!$D$2:$D$12</c:f>
              <c:numCache>
                <c:formatCode>General</c:formatCode>
                <c:ptCount val="11"/>
                <c:pt idx="0">
                  <c:v>4</c:v>
                </c:pt>
                <c:pt idx="1">
                  <c:v>3</c:v>
                </c:pt>
                <c:pt idx="2">
                  <c:v>6</c:v>
                </c:pt>
                <c:pt idx="3">
                  <c:v>5</c:v>
                </c:pt>
                <c:pt idx="4">
                  <c:v>4</c:v>
                </c:pt>
                <c:pt idx="5">
                  <c:v>6</c:v>
                </c:pt>
                <c:pt idx="6">
                  <c:v>6</c:v>
                </c:pt>
                <c:pt idx="7">
                  <c:v>6</c:v>
                </c:pt>
                <c:pt idx="8">
                  <c:v>12</c:v>
                </c:pt>
                <c:pt idx="9">
                  <c:v>6</c:v>
                </c:pt>
                <c:pt idx="10">
                  <c:v>5</c:v>
                </c:pt>
              </c:numCache>
            </c:numRef>
          </c:val>
          <c:smooth val="0"/>
          <c:extLst>
            <c:ext xmlns:c16="http://schemas.microsoft.com/office/drawing/2014/chart" uri="{C3380CC4-5D6E-409C-BE32-E72D297353CC}">
              <c16:uniqueId val="{00000002-9749-470E-BBC3-E349CE8549C6}"/>
            </c:ext>
          </c:extLst>
        </c:ser>
        <c:dLbls>
          <c:showLegendKey val="0"/>
          <c:showVal val="1"/>
          <c:showCatName val="0"/>
          <c:showSerName val="0"/>
          <c:showPercent val="0"/>
          <c:showBubbleSize val="0"/>
        </c:dLbls>
        <c:marker val="1"/>
        <c:smooth val="0"/>
        <c:axId val="471091720"/>
        <c:axId val="679153920"/>
      </c:lineChart>
      <c:catAx>
        <c:axId val="471091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679153920"/>
        <c:crosses val="autoZero"/>
        <c:auto val="1"/>
        <c:lblAlgn val="ctr"/>
        <c:lblOffset val="100"/>
        <c:noMultiLvlLbl val="0"/>
      </c:catAx>
      <c:valAx>
        <c:axId val="679153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4710917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347516815</Id>
      <Width>0</Width>
      <Height>0</Height>
      <XPath>//Image[@id='Profile.Org.WappenSW']</XPath>
      <ImageHash>02f1c0cdac6aeac316213b2e7cb733a0</ImageHash>
    </ImageSizeDefinition>
    <ImageSizeDefinition>
      <Id>1691935217</Id>
      <Width>0</Width>
      <Height>0</Height>
      <XPath>//Image[@id='Profile.Org.Logo']</XPath>
      <ImageHash>c45d7cd7b68e3e6ca57220766e88079c</ImageHash>
    </ImageSizeDefinition>
  </ImageDefinitions>
</OneOffixxImageDefinitionPart>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D4EBB312-EF7A-4430-9F8A-8FF812150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CEC9E20-A917-4212-B2D8-E7785055935B}">
  <ds:schemaRefs>
    <ds:schemaRef ds:uri="http://schemas.microsoft.com/sharepoint/v3/contenttype/forms"/>
  </ds:schemaRefs>
</ds:datastoreItem>
</file>

<file path=customXml/itemProps4.xml><?xml version="1.0" encoding="utf-8"?>
<ds:datastoreItem xmlns:ds="http://schemas.openxmlformats.org/officeDocument/2006/customXml" ds:itemID="{7FD498D9-40D6-43DB-88CD-728C0BBC96C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4B0E90E2-00D3-440D-835B-D97EE468A1E1}">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DA19FF82-1F1C-4997-AFE8-0A839025D331}">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4BEA0650-4940-4707-AB4C-9A55407BA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4f31c95e-822c-496a-b7b7-51e40c6d739d.dotx</Template>
  <TotalTime>5</TotalTime>
  <Pages>21</Pages>
  <Words>6986</Words>
  <Characters>43388</Characters>
  <Application>Microsoft Office Word</Application>
  <DocSecurity>0</DocSecurity>
  <Lines>1009</Lines>
  <Paragraphs>378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Rivola Monica / idgi002</dc:creator>
  <cp:lastModifiedBy>Alioli Anna</cp:lastModifiedBy>
  <cp:revision>5</cp:revision>
  <cp:lastPrinted>2024-06-17T13:56:00Z</cp:lastPrinted>
  <dcterms:created xsi:type="dcterms:W3CDTF">2024-06-19T14:45:00Z</dcterms:created>
  <dcterms:modified xsi:type="dcterms:W3CDTF">2024-06-20T08:27:00Z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