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771F" w:rsidRDefault="0066771F" w:rsidP="00FD1869">
      <w:pPr>
        <w:rPr>
          <w:rFonts w:eastAsia="Calibri" w:cs="Arial"/>
          <w:b/>
          <w:bCs/>
          <w:kern w:val="2"/>
          <w:sz w:val="32"/>
          <w:szCs w:val="32"/>
          <w:lang w:eastAsia="it-IT"/>
          <w14:ligatures w14:val="standardContextual"/>
        </w:rPr>
      </w:pPr>
      <w:r>
        <w:rPr>
          <w:rFonts w:eastAsia="Calibri" w:cs="Arial"/>
          <w:b/>
          <w:bCs/>
          <w:kern w:val="2"/>
          <w:sz w:val="32"/>
          <w:szCs w:val="32"/>
          <w:lang w:eastAsia="it-IT"/>
          <w14:ligatures w14:val="standardContextual"/>
        </w:rPr>
        <w:t>della Commissione e</w:t>
      </w:r>
      <w:r w:rsidR="00D42B84" w:rsidRPr="00D42B84">
        <w:rPr>
          <w:rFonts w:eastAsia="Calibri" w:cs="Arial"/>
          <w:b/>
          <w:bCs/>
          <w:kern w:val="2"/>
          <w:sz w:val="32"/>
          <w:szCs w:val="32"/>
          <w:lang w:eastAsia="it-IT"/>
          <w14:ligatures w14:val="standardContextual"/>
        </w:rPr>
        <w:t xml:space="preserve">conomia e lavoro </w:t>
      </w:r>
    </w:p>
    <w:p w:rsidR="0066771F" w:rsidRDefault="0066771F" w:rsidP="00FD1869">
      <w:pPr>
        <w:rPr>
          <w:rFonts w:eastAsia="Calibri" w:cs="Arial"/>
          <w:b/>
          <w:bCs/>
          <w:kern w:val="2"/>
          <w:sz w:val="32"/>
          <w:szCs w:val="32"/>
          <w:lang w:eastAsia="it-IT"/>
          <w14:ligatures w14:val="standardContextual"/>
        </w:rPr>
      </w:pPr>
      <w:r w:rsidRPr="0066771F">
        <w:rPr>
          <w:rFonts w:eastAsia="Calibri" w:cs="Arial"/>
          <w:b/>
          <w:bCs/>
          <w:kern w:val="2"/>
          <w:sz w:val="32"/>
          <w:szCs w:val="32"/>
          <w:lang w:eastAsia="it-IT"/>
          <w14:ligatures w14:val="standardContextual"/>
        </w:rPr>
        <w:t xml:space="preserve">sull’iniziativa parlamentare 17 settembre 2025 </w:t>
      </w:r>
      <w:r>
        <w:rPr>
          <w:rFonts w:eastAsia="Calibri" w:cs="Arial"/>
          <w:b/>
          <w:bCs/>
          <w:kern w:val="2"/>
          <w:sz w:val="32"/>
          <w:szCs w:val="32"/>
          <w:lang w:eastAsia="it-IT"/>
          <w14:ligatures w14:val="standardContextual"/>
        </w:rPr>
        <w:t xml:space="preserve">presentata </w:t>
      </w:r>
      <w:r w:rsidRPr="0066771F">
        <w:rPr>
          <w:rFonts w:eastAsia="Calibri" w:cs="Arial"/>
          <w:b/>
          <w:bCs/>
          <w:kern w:val="2"/>
          <w:sz w:val="32"/>
          <w:szCs w:val="32"/>
          <w:lang w:eastAsia="it-IT"/>
          <w14:ligatures w14:val="standardContextual"/>
        </w:rPr>
        <w:t>nella forma elaborata da Gianluca Padlina e cofirmatari per la modifica dell’art. 13 cpv. 2 della Legge sull’apertura dei negozi</w:t>
      </w:r>
    </w:p>
    <w:p w:rsidR="0066771F" w:rsidRDefault="0066771F" w:rsidP="0066771F">
      <w:pPr>
        <w:spacing w:before="120"/>
        <w:rPr>
          <w:rFonts w:eastAsia="Calibri" w:cs="Arial"/>
          <w:b/>
          <w:bCs/>
          <w:kern w:val="2"/>
          <w:sz w:val="26"/>
          <w:szCs w:val="26"/>
          <w:lang w:eastAsia="it-IT"/>
          <w14:ligatures w14:val="standardContextual"/>
        </w:rPr>
      </w:pPr>
      <w:r w:rsidRPr="0066771F">
        <w:rPr>
          <w:rFonts w:eastAsia="Calibri" w:cs="Arial"/>
          <w:b/>
          <w:bCs/>
          <w:kern w:val="2"/>
          <w:sz w:val="26"/>
          <w:szCs w:val="26"/>
          <w:lang w:eastAsia="it-IT"/>
          <w14:ligatures w14:val="standardContextual"/>
        </w:rPr>
        <w:t>(v. messaggio 21 gennaio 2026 n. 8645)</w:t>
      </w:r>
    </w:p>
    <w:p w:rsidR="00FD1869" w:rsidRDefault="00FD1869" w:rsidP="0066771F">
      <w:pPr>
        <w:spacing w:before="120"/>
        <w:rPr>
          <w:rFonts w:eastAsia="Calibri" w:cs="Arial"/>
          <w:b/>
          <w:bCs/>
          <w:kern w:val="2"/>
          <w:sz w:val="26"/>
          <w:szCs w:val="26"/>
          <w:lang w:eastAsia="it-IT"/>
          <w14:ligatures w14:val="standardContextual"/>
        </w:rPr>
      </w:pPr>
    </w:p>
    <w:p w:rsidR="00FD1869" w:rsidRPr="0066771F" w:rsidRDefault="00FD1869" w:rsidP="0066771F">
      <w:pPr>
        <w:spacing w:before="120"/>
        <w:rPr>
          <w:rFonts w:eastAsia="Calibri" w:cs="Arial"/>
          <w:b/>
          <w:bCs/>
          <w:kern w:val="2"/>
          <w:sz w:val="26"/>
          <w:szCs w:val="26"/>
          <w:lang w:eastAsia="it-IT"/>
          <w14:ligatures w14:val="standardContextual"/>
        </w:rPr>
      </w:pPr>
    </w:p>
    <w:p w:rsidR="00D42B84" w:rsidRPr="00D42B84" w:rsidRDefault="00D42B84" w:rsidP="00D42B84">
      <w:pPr>
        <w:tabs>
          <w:tab w:val="left" w:pos="7419"/>
        </w:tabs>
        <w:jc w:val="left"/>
        <w:rPr>
          <w:rFonts w:eastAsia="Calibri" w:cs="Arial"/>
          <w:b/>
          <w:bCs/>
          <w:kern w:val="2"/>
          <w:sz w:val="24"/>
          <w:szCs w:val="24"/>
          <w:lang w:eastAsia="it-IT"/>
          <w14:ligatures w14:val="standardContextual"/>
        </w:rPr>
      </w:pPr>
    </w:p>
    <w:sdt>
      <w:sdtPr>
        <w:rPr>
          <w:rFonts w:eastAsia="Times New Roman" w:cs="Arial"/>
          <w:sz w:val="24"/>
          <w:szCs w:val="24"/>
          <w:lang w:val="it-IT" w:eastAsia="it-IT"/>
        </w:rPr>
        <w:id w:val="-1037968905"/>
        <w:docPartObj>
          <w:docPartGallery w:val="Table of Contents"/>
          <w:docPartUnique/>
        </w:docPartObj>
      </w:sdtPr>
      <w:sdtEndPr>
        <w:rPr>
          <w:bCs/>
        </w:rPr>
      </w:sdtEndPr>
      <w:sdtContent>
        <w:p w:rsidR="00D42B84" w:rsidRPr="00D42B84" w:rsidRDefault="0066771F" w:rsidP="00D42B84">
          <w:pPr>
            <w:jc w:val="left"/>
            <w:rPr>
              <w:rFonts w:cs="Arial"/>
              <w:b/>
              <w:sz w:val="24"/>
              <w:szCs w:val="24"/>
            </w:rPr>
          </w:pPr>
          <w:r w:rsidRPr="0066771F">
            <w:rPr>
              <w:rFonts w:cs="Arial"/>
              <w:b/>
              <w:sz w:val="24"/>
              <w:szCs w:val="24"/>
              <w:lang w:val="it-IT"/>
            </w:rPr>
            <w:t>INDICE</w:t>
          </w:r>
          <w:r>
            <w:rPr>
              <w:rFonts w:cs="Arial"/>
              <w:b/>
              <w:sz w:val="24"/>
              <w:szCs w:val="24"/>
              <w:lang w:val="it-IT"/>
            </w:rPr>
            <w:t>:</w:t>
          </w:r>
        </w:p>
        <w:p w:rsidR="00D42B84" w:rsidRPr="00D42B84" w:rsidRDefault="00D42B84" w:rsidP="00D42B84">
          <w:pPr>
            <w:tabs>
              <w:tab w:val="left" w:pos="567"/>
              <w:tab w:val="right" w:leader="dot" w:pos="9072"/>
            </w:tabs>
            <w:spacing w:before="240" w:after="120"/>
            <w:ind w:left="567" w:right="567" w:hanging="567"/>
            <w:jc w:val="left"/>
            <w:rPr>
              <w:rFonts w:eastAsiaTheme="minorEastAsia" w:cs="Arial"/>
              <w:noProof/>
              <w:kern w:val="2"/>
              <w:sz w:val="24"/>
              <w:szCs w:val="24"/>
              <w:lang w:eastAsia="it-CH"/>
              <w14:ligatures w14:val="standardContextual"/>
            </w:rPr>
          </w:pPr>
          <w:r w:rsidRPr="00D42B84">
            <w:rPr>
              <w:rFonts w:cs="Arial"/>
              <w:sz w:val="24"/>
              <w:szCs w:val="24"/>
            </w:rPr>
            <w:fldChar w:fldCharType="begin"/>
          </w:r>
          <w:r w:rsidRPr="00D42B84">
            <w:rPr>
              <w:rFonts w:cs="Arial"/>
              <w:sz w:val="24"/>
              <w:szCs w:val="24"/>
            </w:rPr>
            <w:instrText xml:space="preserve"> TOC \o "1-3" \h \z \u </w:instrText>
          </w:r>
          <w:r w:rsidRPr="00D42B84">
            <w:rPr>
              <w:rFonts w:cs="Arial"/>
              <w:sz w:val="24"/>
              <w:szCs w:val="24"/>
            </w:rPr>
            <w:fldChar w:fldCharType="separate"/>
          </w:r>
          <w:hyperlink w:anchor="_Toc229326770" w:history="1">
            <w:r w:rsidRPr="00B229C4">
              <w:rPr>
                <w:rFonts w:cs="Arial"/>
                <w:noProof/>
                <w:sz w:val="24"/>
                <w:szCs w:val="24"/>
              </w:rPr>
              <w:t>1.</w:t>
            </w:r>
            <w:r w:rsidRPr="00D42B84">
              <w:rPr>
                <w:rFonts w:eastAsiaTheme="minorEastAsia" w:cs="Arial"/>
                <w:noProof/>
                <w:kern w:val="2"/>
                <w:sz w:val="24"/>
                <w:szCs w:val="24"/>
                <w:lang w:eastAsia="it-CH"/>
                <w14:ligatures w14:val="standardContextual"/>
              </w:rPr>
              <w:tab/>
            </w:r>
            <w:r w:rsidRPr="00B229C4">
              <w:rPr>
                <w:rFonts w:cs="Arial"/>
                <w:noProof/>
                <w:sz w:val="24"/>
                <w:szCs w:val="24"/>
              </w:rPr>
              <w:t>L’INIZIATIVA ELABORATA IE840</w:t>
            </w:r>
            <w:r w:rsidRPr="00D42B84">
              <w:rPr>
                <w:rFonts w:cs="Arial"/>
                <w:noProof/>
                <w:webHidden/>
                <w:sz w:val="24"/>
                <w:szCs w:val="24"/>
              </w:rPr>
              <w:tab/>
            </w:r>
            <w:r w:rsidRPr="00D42B84">
              <w:rPr>
                <w:rFonts w:cs="Arial"/>
                <w:noProof/>
                <w:webHidden/>
                <w:sz w:val="24"/>
                <w:szCs w:val="24"/>
              </w:rPr>
              <w:fldChar w:fldCharType="begin"/>
            </w:r>
            <w:r w:rsidRPr="00D42B84">
              <w:rPr>
                <w:rFonts w:cs="Arial"/>
                <w:noProof/>
                <w:webHidden/>
                <w:sz w:val="24"/>
                <w:szCs w:val="24"/>
              </w:rPr>
              <w:instrText xml:space="preserve"> PAGEREF _Toc229326770 \h </w:instrText>
            </w:r>
            <w:r w:rsidRPr="00D42B84">
              <w:rPr>
                <w:rFonts w:cs="Arial"/>
                <w:noProof/>
                <w:webHidden/>
                <w:sz w:val="24"/>
                <w:szCs w:val="24"/>
              </w:rPr>
            </w:r>
            <w:r w:rsidRPr="00D42B84">
              <w:rPr>
                <w:rFonts w:cs="Arial"/>
                <w:noProof/>
                <w:webHidden/>
                <w:sz w:val="24"/>
                <w:szCs w:val="24"/>
              </w:rPr>
              <w:fldChar w:fldCharType="separate"/>
            </w:r>
            <w:r w:rsidR="00B229C4">
              <w:rPr>
                <w:rFonts w:cs="Arial"/>
                <w:noProof/>
                <w:webHidden/>
                <w:sz w:val="24"/>
                <w:szCs w:val="24"/>
              </w:rPr>
              <w:t>1</w:t>
            </w:r>
            <w:r w:rsidRPr="00D42B84">
              <w:rPr>
                <w:rFonts w:cs="Arial"/>
                <w:noProof/>
                <w:webHidden/>
                <w:sz w:val="24"/>
                <w:szCs w:val="24"/>
              </w:rPr>
              <w:fldChar w:fldCharType="end"/>
            </w:r>
          </w:hyperlink>
        </w:p>
        <w:p w:rsidR="00D42B84" w:rsidRPr="00D42B84" w:rsidRDefault="000F40AF" w:rsidP="00D42B84">
          <w:pPr>
            <w:tabs>
              <w:tab w:val="left" w:pos="567"/>
              <w:tab w:val="right" w:leader="dot" w:pos="9072"/>
            </w:tabs>
            <w:spacing w:before="240" w:after="120"/>
            <w:ind w:left="567" w:right="567" w:hanging="567"/>
            <w:jc w:val="left"/>
            <w:rPr>
              <w:rFonts w:eastAsiaTheme="minorEastAsia" w:cs="Arial"/>
              <w:noProof/>
              <w:kern w:val="2"/>
              <w:sz w:val="24"/>
              <w:szCs w:val="24"/>
              <w:lang w:eastAsia="it-CH"/>
              <w14:ligatures w14:val="standardContextual"/>
            </w:rPr>
          </w:pPr>
          <w:hyperlink w:anchor="_Toc229326771" w:history="1">
            <w:r w:rsidR="00D42B84" w:rsidRPr="00B229C4">
              <w:rPr>
                <w:rFonts w:cs="Arial"/>
                <w:noProof/>
                <w:sz w:val="24"/>
                <w:szCs w:val="24"/>
              </w:rPr>
              <w:t>2.</w:t>
            </w:r>
            <w:r w:rsidR="00D42B84" w:rsidRPr="00D42B84">
              <w:rPr>
                <w:rFonts w:eastAsiaTheme="minorEastAsia" w:cs="Arial"/>
                <w:noProof/>
                <w:kern w:val="2"/>
                <w:sz w:val="24"/>
                <w:szCs w:val="24"/>
                <w:lang w:eastAsia="it-CH"/>
                <w14:ligatures w14:val="standardContextual"/>
              </w:rPr>
              <w:tab/>
            </w:r>
            <w:r w:rsidR="00D42B84" w:rsidRPr="00B229C4">
              <w:rPr>
                <w:rFonts w:cs="Arial"/>
                <w:noProof/>
                <w:sz w:val="24"/>
                <w:szCs w:val="24"/>
              </w:rPr>
              <w:t>POSIZIONE DEL CONSIGLIO DI STATO</w:t>
            </w:r>
            <w:r w:rsidR="00D42B84" w:rsidRPr="00D42B84">
              <w:rPr>
                <w:rFonts w:cs="Arial"/>
                <w:noProof/>
                <w:webHidden/>
                <w:sz w:val="24"/>
                <w:szCs w:val="24"/>
              </w:rPr>
              <w:tab/>
            </w:r>
            <w:r w:rsidR="00D42B84" w:rsidRPr="00D42B84">
              <w:rPr>
                <w:rFonts w:cs="Arial"/>
                <w:noProof/>
                <w:webHidden/>
                <w:sz w:val="24"/>
                <w:szCs w:val="24"/>
              </w:rPr>
              <w:fldChar w:fldCharType="begin"/>
            </w:r>
            <w:r w:rsidR="00D42B84" w:rsidRPr="00D42B84">
              <w:rPr>
                <w:rFonts w:cs="Arial"/>
                <w:noProof/>
                <w:webHidden/>
                <w:sz w:val="24"/>
                <w:szCs w:val="24"/>
              </w:rPr>
              <w:instrText xml:space="preserve"> PAGEREF _Toc229326771 \h </w:instrText>
            </w:r>
            <w:r w:rsidR="00D42B84" w:rsidRPr="00D42B84">
              <w:rPr>
                <w:rFonts w:cs="Arial"/>
                <w:noProof/>
                <w:webHidden/>
                <w:sz w:val="24"/>
                <w:szCs w:val="24"/>
              </w:rPr>
            </w:r>
            <w:r w:rsidR="00D42B84" w:rsidRPr="00D42B84">
              <w:rPr>
                <w:rFonts w:cs="Arial"/>
                <w:noProof/>
                <w:webHidden/>
                <w:sz w:val="24"/>
                <w:szCs w:val="24"/>
              </w:rPr>
              <w:fldChar w:fldCharType="separate"/>
            </w:r>
            <w:r w:rsidR="00B229C4">
              <w:rPr>
                <w:rFonts w:cs="Arial"/>
                <w:noProof/>
                <w:webHidden/>
                <w:sz w:val="24"/>
                <w:szCs w:val="24"/>
              </w:rPr>
              <w:t>2</w:t>
            </w:r>
            <w:r w:rsidR="00D42B84" w:rsidRPr="00D42B84">
              <w:rPr>
                <w:rFonts w:cs="Arial"/>
                <w:noProof/>
                <w:webHidden/>
                <w:sz w:val="24"/>
                <w:szCs w:val="24"/>
              </w:rPr>
              <w:fldChar w:fldCharType="end"/>
            </w:r>
          </w:hyperlink>
        </w:p>
        <w:p w:rsidR="00D42B84" w:rsidRPr="00D42B84" w:rsidRDefault="000F40AF" w:rsidP="00D42B84">
          <w:pPr>
            <w:tabs>
              <w:tab w:val="left" w:pos="567"/>
              <w:tab w:val="right" w:leader="dot" w:pos="9072"/>
            </w:tabs>
            <w:spacing w:before="240" w:after="120"/>
            <w:ind w:left="567" w:right="567" w:hanging="567"/>
            <w:jc w:val="left"/>
            <w:rPr>
              <w:rFonts w:eastAsiaTheme="minorEastAsia" w:cs="Arial"/>
              <w:noProof/>
              <w:kern w:val="2"/>
              <w:sz w:val="24"/>
              <w:szCs w:val="24"/>
              <w:lang w:eastAsia="it-CH"/>
              <w14:ligatures w14:val="standardContextual"/>
            </w:rPr>
          </w:pPr>
          <w:hyperlink w:anchor="_Toc229326772" w:history="1">
            <w:r w:rsidR="00D42B84" w:rsidRPr="00B229C4">
              <w:rPr>
                <w:rFonts w:cs="Arial"/>
                <w:noProof/>
                <w:sz w:val="24"/>
                <w:szCs w:val="24"/>
              </w:rPr>
              <w:t>3.</w:t>
            </w:r>
            <w:r w:rsidR="00D42B84" w:rsidRPr="00D42B84">
              <w:rPr>
                <w:rFonts w:eastAsiaTheme="minorEastAsia" w:cs="Arial"/>
                <w:noProof/>
                <w:kern w:val="2"/>
                <w:sz w:val="24"/>
                <w:szCs w:val="24"/>
                <w:lang w:eastAsia="it-CH"/>
                <w14:ligatures w14:val="standardContextual"/>
              </w:rPr>
              <w:tab/>
            </w:r>
            <w:r w:rsidR="00D42B84" w:rsidRPr="00B229C4">
              <w:rPr>
                <w:rFonts w:cs="Arial"/>
                <w:noProof/>
                <w:sz w:val="24"/>
                <w:szCs w:val="24"/>
              </w:rPr>
              <w:t>LE AUDIZIONI</w:t>
            </w:r>
            <w:r w:rsidR="00D42B84" w:rsidRPr="00D42B84">
              <w:rPr>
                <w:rFonts w:cs="Arial"/>
                <w:noProof/>
                <w:webHidden/>
                <w:sz w:val="24"/>
                <w:szCs w:val="24"/>
              </w:rPr>
              <w:tab/>
            </w:r>
            <w:r w:rsidR="00D42B84" w:rsidRPr="00D42B84">
              <w:rPr>
                <w:rFonts w:cs="Arial"/>
                <w:noProof/>
                <w:webHidden/>
                <w:sz w:val="24"/>
                <w:szCs w:val="24"/>
              </w:rPr>
              <w:fldChar w:fldCharType="begin"/>
            </w:r>
            <w:r w:rsidR="00D42B84" w:rsidRPr="00D42B84">
              <w:rPr>
                <w:rFonts w:cs="Arial"/>
                <w:noProof/>
                <w:webHidden/>
                <w:sz w:val="24"/>
                <w:szCs w:val="24"/>
              </w:rPr>
              <w:instrText xml:space="preserve"> PAGEREF _Toc229326772 \h </w:instrText>
            </w:r>
            <w:r w:rsidR="00D42B84" w:rsidRPr="00D42B84">
              <w:rPr>
                <w:rFonts w:cs="Arial"/>
                <w:noProof/>
                <w:webHidden/>
                <w:sz w:val="24"/>
                <w:szCs w:val="24"/>
              </w:rPr>
            </w:r>
            <w:r w:rsidR="00D42B84" w:rsidRPr="00D42B84">
              <w:rPr>
                <w:rFonts w:cs="Arial"/>
                <w:noProof/>
                <w:webHidden/>
                <w:sz w:val="24"/>
                <w:szCs w:val="24"/>
              </w:rPr>
              <w:fldChar w:fldCharType="separate"/>
            </w:r>
            <w:r w:rsidR="00B229C4">
              <w:rPr>
                <w:rFonts w:cs="Arial"/>
                <w:noProof/>
                <w:webHidden/>
                <w:sz w:val="24"/>
                <w:szCs w:val="24"/>
              </w:rPr>
              <w:t>3</w:t>
            </w:r>
            <w:r w:rsidR="00D42B84" w:rsidRPr="00D42B84">
              <w:rPr>
                <w:rFonts w:cs="Arial"/>
                <w:noProof/>
                <w:webHidden/>
                <w:sz w:val="24"/>
                <w:szCs w:val="24"/>
              </w:rPr>
              <w:fldChar w:fldCharType="end"/>
            </w:r>
          </w:hyperlink>
        </w:p>
        <w:p w:rsidR="00D42B84" w:rsidRPr="00D42B84" w:rsidRDefault="000F40AF" w:rsidP="00D42B84">
          <w:pPr>
            <w:tabs>
              <w:tab w:val="left" w:pos="567"/>
              <w:tab w:val="right" w:leader="dot" w:pos="9072"/>
            </w:tabs>
            <w:spacing w:before="240" w:after="120"/>
            <w:ind w:left="567" w:right="567" w:hanging="567"/>
            <w:jc w:val="left"/>
            <w:rPr>
              <w:rFonts w:eastAsiaTheme="minorEastAsia" w:cs="Arial"/>
              <w:noProof/>
              <w:kern w:val="2"/>
              <w:sz w:val="24"/>
              <w:szCs w:val="24"/>
              <w:lang w:eastAsia="it-CH"/>
              <w14:ligatures w14:val="standardContextual"/>
            </w:rPr>
          </w:pPr>
          <w:hyperlink w:anchor="_Toc229326773" w:history="1">
            <w:r w:rsidR="00D42B84" w:rsidRPr="00B229C4">
              <w:rPr>
                <w:rFonts w:cs="Arial"/>
                <w:noProof/>
                <w:sz w:val="24"/>
                <w:szCs w:val="24"/>
              </w:rPr>
              <w:t xml:space="preserve">3.1. </w:t>
            </w:r>
            <w:r w:rsidR="006E74F1">
              <w:rPr>
                <w:rFonts w:cs="Arial"/>
                <w:noProof/>
                <w:sz w:val="24"/>
                <w:szCs w:val="24"/>
              </w:rPr>
              <w:tab/>
            </w:r>
            <w:r w:rsidR="00D42B84" w:rsidRPr="00B229C4">
              <w:rPr>
                <w:rFonts w:cs="Arial"/>
                <w:noProof/>
                <w:sz w:val="24"/>
                <w:szCs w:val="24"/>
              </w:rPr>
              <w:t>Audizione con Federcommercio (L. Sommaruga) e DisTi (E. Lucibello)</w:t>
            </w:r>
            <w:r w:rsidR="00D42B84" w:rsidRPr="00D42B84">
              <w:rPr>
                <w:rFonts w:cs="Arial"/>
                <w:noProof/>
                <w:webHidden/>
                <w:sz w:val="24"/>
                <w:szCs w:val="24"/>
              </w:rPr>
              <w:tab/>
            </w:r>
            <w:r w:rsidR="00D42B84" w:rsidRPr="00D42B84">
              <w:rPr>
                <w:rFonts w:cs="Arial"/>
                <w:noProof/>
                <w:webHidden/>
                <w:sz w:val="24"/>
                <w:szCs w:val="24"/>
              </w:rPr>
              <w:fldChar w:fldCharType="begin"/>
            </w:r>
            <w:r w:rsidR="00D42B84" w:rsidRPr="00D42B84">
              <w:rPr>
                <w:rFonts w:cs="Arial"/>
                <w:noProof/>
                <w:webHidden/>
                <w:sz w:val="24"/>
                <w:szCs w:val="24"/>
              </w:rPr>
              <w:instrText xml:space="preserve"> PAGEREF _Toc229326773 \h </w:instrText>
            </w:r>
            <w:r w:rsidR="00D42B84" w:rsidRPr="00D42B84">
              <w:rPr>
                <w:rFonts w:cs="Arial"/>
                <w:noProof/>
                <w:webHidden/>
                <w:sz w:val="24"/>
                <w:szCs w:val="24"/>
              </w:rPr>
            </w:r>
            <w:r w:rsidR="00D42B84" w:rsidRPr="00D42B84">
              <w:rPr>
                <w:rFonts w:cs="Arial"/>
                <w:noProof/>
                <w:webHidden/>
                <w:sz w:val="24"/>
                <w:szCs w:val="24"/>
              </w:rPr>
              <w:fldChar w:fldCharType="separate"/>
            </w:r>
            <w:r w:rsidR="00B229C4">
              <w:rPr>
                <w:rFonts w:cs="Arial"/>
                <w:noProof/>
                <w:webHidden/>
                <w:sz w:val="24"/>
                <w:szCs w:val="24"/>
              </w:rPr>
              <w:t>3</w:t>
            </w:r>
            <w:r w:rsidR="00D42B84" w:rsidRPr="00D42B84">
              <w:rPr>
                <w:rFonts w:cs="Arial"/>
                <w:noProof/>
                <w:webHidden/>
                <w:sz w:val="24"/>
                <w:szCs w:val="24"/>
              </w:rPr>
              <w:fldChar w:fldCharType="end"/>
            </w:r>
          </w:hyperlink>
        </w:p>
        <w:p w:rsidR="00D42B84" w:rsidRPr="00D42B84" w:rsidRDefault="000F40AF" w:rsidP="00D42B84">
          <w:pPr>
            <w:tabs>
              <w:tab w:val="left" w:pos="567"/>
              <w:tab w:val="right" w:leader="dot" w:pos="9072"/>
            </w:tabs>
            <w:spacing w:before="240" w:after="120"/>
            <w:ind w:left="567" w:right="567" w:hanging="567"/>
            <w:jc w:val="left"/>
            <w:rPr>
              <w:rFonts w:eastAsiaTheme="minorEastAsia" w:cs="Arial"/>
              <w:noProof/>
              <w:kern w:val="2"/>
              <w:sz w:val="24"/>
              <w:szCs w:val="24"/>
              <w:lang w:eastAsia="it-CH"/>
              <w14:ligatures w14:val="standardContextual"/>
            </w:rPr>
          </w:pPr>
          <w:hyperlink w:anchor="_Toc229326774" w:history="1">
            <w:r w:rsidR="00D42B84" w:rsidRPr="00B229C4">
              <w:rPr>
                <w:rFonts w:cs="Arial"/>
                <w:noProof/>
                <w:sz w:val="24"/>
                <w:szCs w:val="24"/>
              </w:rPr>
              <w:t xml:space="preserve">3.2. </w:t>
            </w:r>
            <w:r w:rsidR="006E74F1">
              <w:rPr>
                <w:rFonts w:cs="Arial"/>
                <w:noProof/>
                <w:sz w:val="24"/>
                <w:szCs w:val="24"/>
              </w:rPr>
              <w:tab/>
            </w:r>
            <w:r w:rsidR="00D42B84" w:rsidRPr="00B229C4">
              <w:rPr>
                <w:rFonts w:cs="Arial"/>
                <w:noProof/>
                <w:sz w:val="24"/>
                <w:szCs w:val="24"/>
              </w:rPr>
              <w:t>Audizione con gli iniziativisti (primo firmatario G. Padlina)</w:t>
            </w:r>
            <w:r w:rsidR="00D42B84" w:rsidRPr="00D42B84">
              <w:rPr>
                <w:rFonts w:cs="Arial"/>
                <w:noProof/>
                <w:webHidden/>
                <w:sz w:val="24"/>
                <w:szCs w:val="24"/>
              </w:rPr>
              <w:tab/>
            </w:r>
            <w:r w:rsidR="00D42B84" w:rsidRPr="00D42B84">
              <w:rPr>
                <w:rFonts w:cs="Arial"/>
                <w:noProof/>
                <w:webHidden/>
                <w:sz w:val="24"/>
                <w:szCs w:val="24"/>
              </w:rPr>
              <w:fldChar w:fldCharType="begin"/>
            </w:r>
            <w:r w:rsidR="00D42B84" w:rsidRPr="00D42B84">
              <w:rPr>
                <w:rFonts w:cs="Arial"/>
                <w:noProof/>
                <w:webHidden/>
                <w:sz w:val="24"/>
                <w:szCs w:val="24"/>
              </w:rPr>
              <w:instrText xml:space="preserve"> PAGEREF _Toc229326774 \h </w:instrText>
            </w:r>
            <w:r w:rsidR="00D42B84" w:rsidRPr="00D42B84">
              <w:rPr>
                <w:rFonts w:cs="Arial"/>
                <w:noProof/>
                <w:webHidden/>
                <w:sz w:val="24"/>
                <w:szCs w:val="24"/>
              </w:rPr>
            </w:r>
            <w:r w:rsidR="00D42B84" w:rsidRPr="00D42B84">
              <w:rPr>
                <w:rFonts w:cs="Arial"/>
                <w:noProof/>
                <w:webHidden/>
                <w:sz w:val="24"/>
                <w:szCs w:val="24"/>
              </w:rPr>
              <w:fldChar w:fldCharType="separate"/>
            </w:r>
            <w:r w:rsidR="00B229C4">
              <w:rPr>
                <w:rFonts w:cs="Arial"/>
                <w:noProof/>
                <w:webHidden/>
                <w:sz w:val="24"/>
                <w:szCs w:val="24"/>
              </w:rPr>
              <w:t>4</w:t>
            </w:r>
            <w:r w:rsidR="00D42B84" w:rsidRPr="00D42B84">
              <w:rPr>
                <w:rFonts w:cs="Arial"/>
                <w:noProof/>
                <w:webHidden/>
                <w:sz w:val="24"/>
                <w:szCs w:val="24"/>
              </w:rPr>
              <w:fldChar w:fldCharType="end"/>
            </w:r>
          </w:hyperlink>
        </w:p>
        <w:p w:rsidR="00D42B84" w:rsidRPr="00D42B84" w:rsidRDefault="000F40AF" w:rsidP="00D42B84">
          <w:pPr>
            <w:tabs>
              <w:tab w:val="left" w:pos="567"/>
              <w:tab w:val="right" w:leader="dot" w:pos="9072"/>
            </w:tabs>
            <w:spacing w:before="240" w:after="120"/>
            <w:ind w:left="567" w:right="567" w:hanging="567"/>
            <w:jc w:val="left"/>
            <w:rPr>
              <w:rFonts w:eastAsiaTheme="minorEastAsia" w:cs="Arial"/>
              <w:noProof/>
              <w:kern w:val="2"/>
              <w:sz w:val="24"/>
              <w:szCs w:val="24"/>
              <w:lang w:eastAsia="it-CH"/>
              <w14:ligatures w14:val="standardContextual"/>
            </w:rPr>
          </w:pPr>
          <w:hyperlink w:anchor="_Toc229326775" w:history="1">
            <w:r w:rsidR="00D42B84" w:rsidRPr="00B229C4">
              <w:rPr>
                <w:rFonts w:cs="Arial"/>
                <w:noProof/>
                <w:sz w:val="24"/>
                <w:szCs w:val="24"/>
              </w:rPr>
              <w:t xml:space="preserve">3.3. </w:t>
            </w:r>
            <w:r w:rsidR="006E74F1">
              <w:rPr>
                <w:rFonts w:cs="Arial"/>
                <w:noProof/>
                <w:sz w:val="24"/>
                <w:szCs w:val="24"/>
              </w:rPr>
              <w:tab/>
            </w:r>
            <w:r w:rsidR="00D42B84" w:rsidRPr="00B229C4">
              <w:rPr>
                <w:rFonts w:cs="Arial"/>
                <w:noProof/>
                <w:sz w:val="24"/>
                <w:szCs w:val="24"/>
              </w:rPr>
              <w:t>Audizione con il DFE (rappresentato da S. Rizzi e G. Chioni)</w:t>
            </w:r>
            <w:r w:rsidR="00D42B84" w:rsidRPr="00D42B84">
              <w:rPr>
                <w:rFonts w:cs="Arial"/>
                <w:noProof/>
                <w:webHidden/>
                <w:sz w:val="24"/>
                <w:szCs w:val="24"/>
              </w:rPr>
              <w:tab/>
            </w:r>
            <w:r w:rsidR="00D42B84" w:rsidRPr="00D42B84">
              <w:rPr>
                <w:rFonts w:cs="Arial"/>
                <w:noProof/>
                <w:webHidden/>
                <w:sz w:val="24"/>
                <w:szCs w:val="24"/>
              </w:rPr>
              <w:fldChar w:fldCharType="begin"/>
            </w:r>
            <w:r w:rsidR="00D42B84" w:rsidRPr="00D42B84">
              <w:rPr>
                <w:rFonts w:cs="Arial"/>
                <w:noProof/>
                <w:webHidden/>
                <w:sz w:val="24"/>
                <w:szCs w:val="24"/>
              </w:rPr>
              <w:instrText xml:space="preserve"> PAGEREF _Toc229326775 \h </w:instrText>
            </w:r>
            <w:r w:rsidR="00D42B84" w:rsidRPr="00D42B84">
              <w:rPr>
                <w:rFonts w:cs="Arial"/>
                <w:noProof/>
                <w:webHidden/>
                <w:sz w:val="24"/>
                <w:szCs w:val="24"/>
              </w:rPr>
            </w:r>
            <w:r w:rsidR="00D42B84" w:rsidRPr="00D42B84">
              <w:rPr>
                <w:rFonts w:cs="Arial"/>
                <w:noProof/>
                <w:webHidden/>
                <w:sz w:val="24"/>
                <w:szCs w:val="24"/>
              </w:rPr>
              <w:fldChar w:fldCharType="separate"/>
            </w:r>
            <w:r w:rsidR="00B229C4">
              <w:rPr>
                <w:rFonts w:cs="Arial"/>
                <w:noProof/>
                <w:webHidden/>
                <w:sz w:val="24"/>
                <w:szCs w:val="24"/>
              </w:rPr>
              <w:t>4</w:t>
            </w:r>
            <w:r w:rsidR="00D42B84" w:rsidRPr="00D42B84">
              <w:rPr>
                <w:rFonts w:cs="Arial"/>
                <w:noProof/>
                <w:webHidden/>
                <w:sz w:val="24"/>
                <w:szCs w:val="24"/>
              </w:rPr>
              <w:fldChar w:fldCharType="end"/>
            </w:r>
          </w:hyperlink>
        </w:p>
        <w:p w:rsidR="00D42B84" w:rsidRPr="00D42B84" w:rsidRDefault="000F40AF" w:rsidP="00D42B84">
          <w:pPr>
            <w:tabs>
              <w:tab w:val="left" w:pos="567"/>
              <w:tab w:val="right" w:leader="dot" w:pos="9072"/>
            </w:tabs>
            <w:spacing w:before="240" w:after="120"/>
            <w:ind w:left="567" w:right="567" w:hanging="567"/>
            <w:jc w:val="left"/>
            <w:rPr>
              <w:rFonts w:eastAsiaTheme="minorEastAsia" w:cs="Arial"/>
              <w:noProof/>
              <w:kern w:val="2"/>
              <w:sz w:val="24"/>
              <w:szCs w:val="24"/>
              <w:lang w:eastAsia="it-CH"/>
              <w14:ligatures w14:val="standardContextual"/>
            </w:rPr>
          </w:pPr>
          <w:hyperlink w:anchor="_Toc229326776" w:history="1">
            <w:r w:rsidR="00D42B84" w:rsidRPr="00B229C4">
              <w:rPr>
                <w:rFonts w:cs="Arial"/>
                <w:noProof/>
                <w:sz w:val="24"/>
                <w:szCs w:val="24"/>
              </w:rPr>
              <w:t xml:space="preserve">3.4. </w:t>
            </w:r>
            <w:r w:rsidR="006E74F1">
              <w:rPr>
                <w:rFonts w:cs="Arial"/>
                <w:noProof/>
                <w:sz w:val="24"/>
                <w:szCs w:val="24"/>
              </w:rPr>
              <w:tab/>
            </w:r>
            <w:bookmarkStart w:id="0" w:name="_GoBack"/>
            <w:bookmarkEnd w:id="0"/>
            <w:r w:rsidR="00D42B84" w:rsidRPr="00B229C4">
              <w:rPr>
                <w:rFonts w:cs="Arial"/>
                <w:noProof/>
                <w:sz w:val="24"/>
                <w:szCs w:val="24"/>
              </w:rPr>
              <w:t>Ulteriori scambi tra tutte le parti coinvolte con i co-relatori</w:t>
            </w:r>
            <w:r w:rsidR="00D42B84" w:rsidRPr="00D42B84">
              <w:rPr>
                <w:rFonts w:cs="Arial"/>
                <w:noProof/>
                <w:webHidden/>
                <w:sz w:val="24"/>
                <w:szCs w:val="24"/>
              </w:rPr>
              <w:tab/>
            </w:r>
            <w:r w:rsidR="00D42B84" w:rsidRPr="00D42B84">
              <w:rPr>
                <w:rFonts w:cs="Arial"/>
                <w:noProof/>
                <w:webHidden/>
                <w:sz w:val="24"/>
                <w:szCs w:val="24"/>
              </w:rPr>
              <w:fldChar w:fldCharType="begin"/>
            </w:r>
            <w:r w:rsidR="00D42B84" w:rsidRPr="00D42B84">
              <w:rPr>
                <w:rFonts w:cs="Arial"/>
                <w:noProof/>
                <w:webHidden/>
                <w:sz w:val="24"/>
                <w:szCs w:val="24"/>
              </w:rPr>
              <w:instrText xml:space="preserve"> PAGEREF _Toc229326776 \h </w:instrText>
            </w:r>
            <w:r w:rsidR="00D42B84" w:rsidRPr="00D42B84">
              <w:rPr>
                <w:rFonts w:cs="Arial"/>
                <w:noProof/>
                <w:webHidden/>
                <w:sz w:val="24"/>
                <w:szCs w:val="24"/>
              </w:rPr>
            </w:r>
            <w:r w:rsidR="00D42B84" w:rsidRPr="00D42B84">
              <w:rPr>
                <w:rFonts w:cs="Arial"/>
                <w:noProof/>
                <w:webHidden/>
                <w:sz w:val="24"/>
                <w:szCs w:val="24"/>
              </w:rPr>
              <w:fldChar w:fldCharType="separate"/>
            </w:r>
            <w:r w:rsidR="00B229C4">
              <w:rPr>
                <w:rFonts w:cs="Arial"/>
                <w:noProof/>
                <w:webHidden/>
                <w:sz w:val="24"/>
                <w:szCs w:val="24"/>
              </w:rPr>
              <w:t>5</w:t>
            </w:r>
            <w:r w:rsidR="00D42B84" w:rsidRPr="00D42B84">
              <w:rPr>
                <w:rFonts w:cs="Arial"/>
                <w:noProof/>
                <w:webHidden/>
                <w:sz w:val="24"/>
                <w:szCs w:val="24"/>
              </w:rPr>
              <w:fldChar w:fldCharType="end"/>
            </w:r>
          </w:hyperlink>
        </w:p>
        <w:p w:rsidR="00D42B84" w:rsidRPr="00D42B84" w:rsidRDefault="000F40AF" w:rsidP="00D42B84">
          <w:pPr>
            <w:tabs>
              <w:tab w:val="left" w:pos="567"/>
              <w:tab w:val="right" w:leader="dot" w:pos="9072"/>
            </w:tabs>
            <w:spacing w:before="240" w:after="120"/>
            <w:ind w:left="567" w:right="567" w:hanging="567"/>
            <w:jc w:val="left"/>
            <w:rPr>
              <w:rFonts w:eastAsiaTheme="minorEastAsia" w:cs="Arial"/>
              <w:noProof/>
              <w:kern w:val="2"/>
              <w:sz w:val="24"/>
              <w:szCs w:val="24"/>
              <w:lang w:eastAsia="it-CH"/>
              <w14:ligatures w14:val="standardContextual"/>
            </w:rPr>
          </w:pPr>
          <w:hyperlink w:anchor="_Toc229326777" w:history="1">
            <w:r w:rsidR="00D42B84" w:rsidRPr="00B229C4">
              <w:rPr>
                <w:rFonts w:cs="Arial"/>
                <w:noProof/>
                <w:sz w:val="24"/>
                <w:szCs w:val="24"/>
              </w:rPr>
              <w:t>4.</w:t>
            </w:r>
            <w:r w:rsidR="00D42B84" w:rsidRPr="00D42B84">
              <w:rPr>
                <w:rFonts w:eastAsiaTheme="minorEastAsia" w:cs="Arial"/>
                <w:noProof/>
                <w:kern w:val="2"/>
                <w:sz w:val="24"/>
                <w:szCs w:val="24"/>
                <w:lang w:eastAsia="it-CH"/>
                <w14:ligatures w14:val="standardContextual"/>
              </w:rPr>
              <w:tab/>
            </w:r>
            <w:r w:rsidR="00D42B84" w:rsidRPr="00B229C4">
              <w:rPr>
                <w:rFonts w:cs="Arial"/>
                <w:noProof/>
                <w:sz w:val="24"/>
                <w:szCs w:val="24"/>
              </w:rPr>
              <w:t>CONSIDERAZIONI E APPROFONDIMENTO DELLA COMMISSIONE</w:t>
            </w:r>
            <w:r w:rsidR="00D42B84" w:rsidRPr="00D42B84">
              <w:rPr>
                <w:rFonts w:cs="Arial"/>
                <w:noProof/>
                <w:webHidden/>
                <w:sz w:val="24"/>
                <w:szCs w:val="24"/>
              </w:rPr>
              <w:tab/>
            </w:r>
            <w:r w:rsidR="00D42B84" w:rsidRPr="00D42B84">
              <w:rPr>
                <w:rFonts w:cs="Arial"/>
                <w:noProof/>
                <w:webHidden/>
                <w:sz w:val="24"/>
                <w:szCs w:val="24"/>
              </w:rPr>
              <w:fldChar w:fldCharType="begin"/>
            </w:r>
            <w:r w:rsidR="00D42B84" w:rsidRPr="00D42B84">
              <w:rPr>
                <w:rFonts w:cs="Arial"/>
                <w:noProof/>
                <w:webHidden/>
                <w:sz w:val="24"/>
                <w:szCs w:val="24"/>
              </w:rPr>
              <w:instrText xml:space="preserve"> PAGEREF _Toc229326777 \h </w:instrText>
            </w:r>
            <w:r w:rsidR="00D42B84" w:rsidRPr="00D42B84">
              <w:rPr>
                <w:rFonts w:cs="Arial"/>
                <w:noProof/>
                <w:webHidden/>
                <w:sz w:val="24"/>
                <w:szCs w:val="24"/>
              </w:rPr>
            </w:r>
            <w:r w:rsidR="00D42B84" w:rsidRPr="00D42B84">
              <w:rPr>
                <w:rFonts w:cs="Arial"/>
                <w:noProof/>
                <w:webHidden/>
                <w:sz w:val="24"/>
                <w:szCs w:val="24"/>
              </w:rPr>
              <w:fldChar w:fldCharType="separate"/>
            </w:r>
            <w:r w:rsidR="00B229C4">
              <w:rPr>
                <w:rFonts w:cs="Arial"/>
                <w:noProof/>
                <w:webHidden/>
                <w:sz w:val="24"/>
                <w:szCs w:val="24"/>
              </w:rPr>
              <w:t>5</w:t>
            </w:r>
            <w:r w:rsidR="00D42B84" w:rsidRPr="00D42B84">
              <w:rPr>
                <w:rFonts w:cs="Arial"/>
                <w:noProof/>
                <w:webHidden/>
                <w:sz w:val="24"/>
                <w:szCs w:val="24"/>
              </w:rPr>
              <w:fldChar w:fldCharType="end"/>
            </w:r>
          </w:hyperlink>
        </w:p>
        <w:p w:rsidR="00D42B84" w:rsidRPr="00D42B84" w:rsidRDefault="000F40AF" w:rsidP="00D42B84">
          <w:pPr>
            <w:tabs>
              <w:tab w:val="left" w:pos="567"/>
              <w:tab w:val="right" w:leader="dot" w:pos="9072"/>
            </w:tabs>
            <w:spacing w:before="240" w:after="120"/>
            <w:ind w:left="567" w:right="567" w:hanging="567"/>
            <w:jc w:val="left"/>
            <w:rPr>
              <w:rFonts w:eastAsiaTheme="minorEastAsia" w:cs="Arial"/>
              <w:noProof/>
              <w:kern w:val="2"/>
              <w:sz w:val="24"/>
              <w:szCs w:val="24"/>
              <w:lang w:eastAsia="it-CH"/>
              <w14:ligatures w14:val="standardContextual"/>
            </w:rPr>
          </w:pPr>
          <w:hyperlink w:anchor="_Toc229326778" w:history="1">
            <w:r w:rsidR="00D42B84" w:rsidRPr="00B229C4">
              <w:rPr>
                <w:rFonts w:cs="Arial"/>
                <w:noProof/>
                <w:sz w:val="24"/>
                <w:szCs w:val="24"/>
              </w:rPr>
              <w:t>5.</w:t>
            </w:r>
            <w:r w:rsidR="00D42B84" w:rsidRPr="00D42B84">
              <w:rPr>
                <w:rFonts w:eastAsiaTheme="minorEastAsia" w:cs="Arial"/>
                <w:noProof/>
                <w:kern w:val="2"/>
                <w:sz w:val="24"/>
                <w:szCs w:val="24"/>
                <w:lang w:eastAsia="it-CH"/>
                <w14:ligatures w14:val="standardContextual"/>
              </w:rPr>
              <w:tab/>
            </w:r>
            <w:r w:rsidR="00D42B84" w:rsidRPr="00B229C4">
              <w:rPr>
                <w:rFonts w:cs="Arial"/>
                <w:noProof/>
                <w:sz w:val="24"/>
                <w:szCs w:val="24"/>
              </w:rPr>
              <w:t>PROPOSTA DELLA COMMISSIONE</w:t>
            </w:r>
            <w:r w:rsidR="00D42B84" w:rsidRPr="00D42B84">
              <w:rPr>
                <w:rFonts w:cs="Arial"/>
                <w:noProof/>
                <w:webHidden/>
                <w:sz w:val="24"/>
                <w:szCs w:val="24"/>
              </w:rPr>
              <w:tab/>
            </w:r>
            <w:r w:rsidR="00D42B84" w:rsidRPr="00D42B84">
              <w:rPr>
                <w:rFonts w:cs="Arial"/>
                <w:noProof/>
                <w:webHidden/>
                <w:sz w:val="24"/>
                <w:szCs w:val="24"/>
              </w:rPr>
              <w:fldChar w:fldCharType="begin"/>
            </w:r>
            <w:r w:rsidR="00D42B84" w:rsidRPr="00D42B84">
              <w:rPr>
                <w:rFonts w:cs="Arial"/>
                <w:noProof/>
                <w:webHidden/>
                <w:sz w:val="24"/>
                <w:szCs w:val="24"/>
              </w:rPr>
              <w:instrText xml:space="preserve"> PAGEREF _Toc229326778 \h </w:instrText>
            </w:r>
            <w:r w:rsidR="00D42B84" w:rsidRPr="00D42B84">
              <w:rPr>
                <w:rFonts w:cs="Arial"/>
                <w:noProof/>
                <w:webHidden/>
                <w:sz w:val="24"/>
                <w:szCs w:val="24"/>
              </w:rPr>
            </w:r>
            <w:r w:rsidR="00D42B84" w:rsidRPr="00D42B84">
              <w:rPr>
                <w:rFonts w:cs="Arial"/>
                <w:noProof/>
                <w:webHidden/>
                <w:sz w:val="24"/>
                <w:szCs w:val="24"/>
              </w:rPr>
              <w:fldChar w:fldCharType="separate"/>
            </w:r>
            <w:r w:rsidR="00B229C4">
              <w:rPr>
                <w:rFonts w:cs="Arial"/>
                <w:noProof/>
                <w:webHidden/>
                <w:sz w:val="24"/>
                <w:szCs w:val="24"/>
              </w:rPr>
              <w:t>6</w:t>
            </w:r>
            <w:r w:rsidR="00D42B84" w:rsidRPr="00D42B84">
              <w:rPr>
                <w:rFonts w:cs="Arial"/>
                <w:noProof/>
                <w:webHidden/>
                <w:sz w:val="24"/>
                <w:szCs w:val="24"/>
              </w:rPr>
              <w:fldChar w:fldCharType="end"/>
            </w:r>
          </w:hyperlink>
        </w:p>
        <w:p w:rsidR="00D42B84" w:rsidRPr="00D42B84" w:rsidRDefault="000F40AF" w:rsidP="00D42B84">
          <w:pPr>
            <w:tabs>
              <w:tab w:val="left" w:pos="567"/>
              <w:tab w:val="right" w:leader="dot" w:pos="9072"/>
            </w:tabs>
            <w:spacing w:before="240" w:after="120"/>
            <w:ind w:left="567" w:right="567" w:hanging="567"/>
            <w:jc w:val="left"/>
            <w:rPr>
              <w:rFonts w:eastAsiaTheme="minorEastAsia" w:cs="Arial"/>
              <w:noProof/>
              <w:kern w:val="2"/>
              <w:sz w:val="24"/>
              <w:szCs w:val="24"/>
              <w:lang w:eastAsia="it-CH"/>
              <w14:ligatures w14:val="standardContextual"/>
            </w:rPr>
          </w:pPr>
          <w:hyperlink w:anchor="_Toc229326779" w:history="1">
            <w:r w:rsidR="00D42B84" w:rsidRPr="00B229C4">
              <w:rPr>
                <w:rFonts w:cs="Arial"/>
                <w:bCs/>
                <w:noProof/>
                <w:sz w:val="24"/>
                <w:szCs w:val="24"/>
              </w:rPr>
              <w:t>6.</w:t>
            </w:r>
            <w:r w:rsidR="00D42B84" w:rsidRPr="00D42B84">
              <w:rPr>
                <w:rFonts w:eastAsiaTheme="minorEastAsia" w:cs="Arial"/>
                <w:noProof/>
                <w:kern w:val="2"/>
                <w:sz w:val="24"/>
                <w:szCs w:val="24"/>
                <w:lang w:eastAsia="it-CH"/>
                <w14:ligatures w14:val="standardContextual"/>
              </w:rPr>
              <w:tab/>
            </w:r>
            <w:r w:rsidR="00D42B84" w:rsidRPr="00B229C4">
              <w:rPr>
                <w:rFonts w:cs="Arial"/>
                <w:bCs/>
                <w:noProof/>
                <w:sz w:val="24"/>
                <w:szCs w:val="24"/>
              </w:rPr>
              <w:t>CONCLUSIONI</w:t>
            </w:r>
            <w:r w:rsidR="00D42B84" w:rsidRPr="00D42B84">
              <w:rPr>
                <w:rFonts w:cs="Arial"/>
                <w:noProof/>
                <w:webHidden/>
                <w:sz w:val="24"/>
                <w:szCs w:val="24"/>
              </w:rPr>
              <w:tab/>
            </w:r>
            <w:r w:rsidR="00D42B84" w:rsidRPr="00D42B84">
              <w:rPr>
                <w:rFonts w:cs="Arial"/>
                <w:noProof/>
                <w:webHidden/>
                <w:sz w:val="24"/>
                <w:szCs w:val="24"/>
              </w:rPr>
              <w:fldChar w:fldCharType="begin"/>
            </w:r>
            <w:r w:rsidR="00D42B84" w:rsidRPr="00D42B84">
              <w:rPr>
                <w:rFonts w:cs="Arial"/>
                <w:noProof/>
                <w:webHidden/>
                <w:sz w:val="24"/>
                <w:szCs w:val="24"/>
              </w:rPr>
              <w:instrText xml:space="preserve"> PAGEREF _Toc229326779 \h </w:instrText>
            </w:r>
            <w:r w:rsidR="00D42B84" w:rsidRPr="00D42B84">
              <w:rPr>
                <w:rFonts w:cs="Arial"/>
                <w:noProof/>
                <w:webHidden/>
                <w:sz w:val="24"/>
                <w:szCs w:val="24"/>
              </w:rPr>
            </w:r>
            <w:r w:rsidR="00D42B84" w:rsidRPr="00D42B84">
              <w:rPr>
                <w:rFonts w:cs="Arial"/>
                <w:noProof/>
                <w:webHidden/>
                <w:sz w:val="24"/>
                <w:szCs w:val="24"/>
              </w:rPr>
              <w:fldChar w:fldCharType="separate"/>
            </w:r>
            <w:r w:rsidR="00B229C4">
              <w:rPr>
                <w:rFonts w:cs="Arial"/>
                <w:noProof/>
                <w:webHidden/>
                <w:sz w:val="24"/>
                <w:szCs w:val="24"/>
              </w:rPr>
              <w:t>8</w:t>
            </w:r>
            <w:r w:rsidR="00D42B84" w:rsidRPr="00D42B84">
              <w:rPr>
                <w:rFonts w:cs="Arial"/>
                <w:noProof/>
                <w:webHidden/>
                <w:sz w:val="24"/>
                <w:szCs w:val="24"/>
              </w:rPr>
              <w:fldChar w:fldCharType="end"/>
            </w:r>
          </w:hyperlink>
        </w:p>
        <w:p w:rsidR="00D42B84" w:rsidRPr="00D42B84" w:rsidRDefault="00D42B84" w:rsidP="00D42B84">
          <w:pPr>
            <w:jc w:val="left"/>
            <w:rPr>
              <w:rFonts w:eastAsia="Times New Roman" w:cs="Arial"/>
              <w:sz w:val="24"/>
              <w:szCs w:val="24"/>
              <w:lang w:eastAsia="it-IT"/>
            </w:rPr>
          </w:pPr>
          <w:r w:rsidRPr="00D42B84">
            <w:rPr>
              <w:rFonts w:eastAsia="Times New Roman" w:cs="Arial"/>
              <w:bCs/>
              <w:sz w:val="24"/>
              <w:szCs w:val="24"/>
              <w:lang w:val="it-IT" w:eastAsia="it-IT"/>
            </w:rPr>
            <w:fldChar w:fldCharType="end"/>
          </w:r>
        </w:p>
      </w:sdtContent>
    </w:sdt>
    <w:p w:rsidR="00D42B84" w:rsidRPr="00D42B84" w:rsidRDefault="00D42B84" w:rsidP="00150079">
      <w:pPr>
        <w:keepNext/>
        <w:spacing w:before="360" w:after="120"/>
        <w:jc w:val="left"/>
        <w:outlineLvl w:val="0"/>
        <w:rPr>
          <w:rFonts w:cs="Arial"/>
          <w:color w:val="000000" w:themeColor="text1"/>
          <w:sz w:val="24"/>
          <w:szCs w:val="24"/>
        </w:rPr>
      </w:pPr>
      <w:bookmarkStart w:id="1" w:name="_Toc229326770"/>
      <w:r w:rsidRPr="00D42B84">
        <w:rPr>
          <w:rFonts w:cs="Arial"/>
          <w:b/>
          <w:color w:val="000000" w:themeColor="text1"/>
          <w:sz w:val="24"/>
          <w:szCs w:val="24"/>
        </w:rPr>
        <w:t>1.</w:t>
      </w:r>
      <w:r w:rsidRPr="00D42B84">
        <w:rPr>
          <w:rFonts w:cs="Arial"/>
          <w:b/>
          <w:color w:val="000000" w:themeColor="text1"/>
          <w:sz w:val="24"/>
          <w:szCs w:val="24"/>
        </w:rPr>
        <w:tab/>
      </w:r>
      <w:r w:rsidRPr="00D42B84">
        <w:rPr>
          <w:rFonts w:eastAsia="Calibri" w:cs="Times New Roman"/>
          <w:b/>
          <w:caps/>
          <w:sz w:val="24"/>
          <w:szCs w:val="24"/>
          <w:lang w:val="it-IT" w:eastAsia="it-IT"/>
        </w:rPr>
        <w:t>L’INIZIATIVA ELABORATA IE840</w:t>
      </w:r>
      <w:bookmarkEnd w:id="1"/>
    </w:p>
    <w:p w:rsidR="00D42B84" w:rsidRPr="00D42B84" w:rsidRDefault="00D42B84" w:rsidP="00D42B84">
      <w:pPr>
        <w:rPr>
          <w:rFonts w:cs="Arial"/>
          <w:color w:val="000000" w:themeColor="text1"/>
          <w:sz w:val="24"/>
          <w:szCs w:val="24"/>
        </w:rPr>
      </w:pPr>
      <w:r w:rsidRPr="00D42B84">
        <w:rPr>
          <w:rFonts w:cs="Arial"/>
          <w:color w:val="000000" w:themeColor="text1"/>
          <w:sz w:val="24"/>
          <w:szCs w:val="24"/>
        </w:rPr>
        <w:t>L’iniziativa parlamentare elaborata del 17 settembre 2025, presentata dal deputato Gianluca Padlina e cofirmatari, propone una modifica dell’art. 13 cpv. 2 della Legge cantonale sull’apertura dei negozi (LAN), con l’obiettivo di rendere più flessibile la gestione delle aperture domenicali straordinarie.</w:t>
      </w:r>
    </w:p>
    <w:p w:rsidR="00D42B84" w:rsidRPr="00D42B84" w:rsidRDefault="00D42B84" w:rsidP="00D42B84">
      <w:pPr>
        <w:rPr>
          <w:rFonts w:cs="Arial"/>
          <w:color w:val="000000" w:themeColor="text1"/>
          <w:sz w:val="24"/>
          <w:szCs w:val="24"/>
        </w:rPr>
      </w:pPr>
      <w:r w:rsidRPr="00D42B84">
        <w:rPr>
          <w:rFonts w:cs="Arial"/>
          <w:color w:val="000000" w:themeColor="text1"/>
          <w:sz w:val="24"/>
          <w:szCs w:val="24"/>
        </w:rPr>
        <w:t xml:space="preserve">Gli iniziativisti partono dalla constatazione delle profonde trasformazioni intervenute negli ultimi anni nel settore del commercio al dettaglio, in particolare a seguito della forte crescita degli acquisti online, accelerata durante la pandemia, nonché del persistente fenomeno del turismo degli acquisti oltre confine. Tali dinamiche hanno inciso in modo significativo </w:t>
      </w:r>
      <w:r w:rsidRPr="00D42B84">
        <w:rPr>
          <w:rFonts w:cs="Arial"/>
          <w:color w:val="000000" w:themeColor="text1"/>
          <w:sz w:val="24"/>
          <w:szCs w:val="24"/>
        </w:rPr>
        <w:lastRenderedPageBreak/>
        <w:t>sulla cifra d’affari dei commerci ticinesi, mettendo sotto pressione soprattutto le piccole e medie attività locali.</w:t>
      </w:r>
    </w:p>
    <w:p w:rsidR="00D42B84" w:rsidRPr="00D42B84" w:rsidRDefault="00D42B84" w:rsidP="00D42B84">
      <w:pPr>
        <w:rPr>
          <w:rFonts w:cs="Arial"/>
          <w:color w:val="000000" w:themeColor="text1"/>
          <w:sz w:val="24"/>
          <w:szCs w:val="24"/>
        </w:rPr>
      </w:pPr>
      <w:r w:rsidRPr="00D42B84">
        <w:rPr>
          <w:rFonts w:cs="Arial"/>
          <w:color w:val="000000" w:themeColor="text1"/>
          <w:sz w:val="24"/>
          <w:szCs w:val="24"/>
        </w:rPr>
        <w:t>Parallelamente, l’iniziativa evidenzia l’evoluzione del turismo cantonale, caratterizzato da una presenza sempre più distribuita sull’arco dell’intero anno e da un’offerta diversificata su tutto il territorio. In questo contesto, il settore del commercio al dettaglio è ritenuto un elemento essenziale dell’attrattività turistica del Cantone.</w:t>
      </w:r>
    </w:p>
    <w:p w:rsidR="00D42B84" w:rsidRPr="00D42B84" w:rsidRDefault="00D42B84" w:rsidP="00D42B84">
      <w:pPr>
        <w:rPr>
          <w:rFonts w:cs="Arial"/>
          <w:color w:val="000000" w:themeColor="text1"/>
          <w:sz w:val="24"/>
          <w:szCs w:val="24"/>
        </w:rPr>
      </w:pPr>
      <w:r w:rsidRPr="00D42B84">
        <w:rPr>
          <w:rFonts w:cs="Arial"/>
          <w:color w:val="000000" w:themeColor="text1"/>
          <w:sz w:val="24"/>
          <w:szCs w:val="24"/>
        </w:rPr>
        <w:t xml:space="preserve">Sul piano normativo, l’iniziativa rileva come il diritto federale, segnatamente la Legge federale sul lavoro, consenta ai Cantoni di autorizzare fino a quattro domeniche di apertura dei negozi all’anno, lasciando agli stessi un ampio margine di manovra nell’organizzazione concreta di tali aperture, anche tenendo conto delle differenze regionali e locali. </w:t>
      </w:r>
    </w:p>
    <w:p w:rsidR="00D42B84" w:rsidRPr="00D42B84" w:rsidRDefault="00D42B84" w:rsidP="00D42B84">
      <w:pPr>
        <w:rPr>
          <w:rFonts w:cs="Arial"/>
          <w:color w:val="000000" w:themeColor="text1"/>
          <w:sz w:val="24"/>
          <w:szCs w:val="24"/>
        </w:rPr>
      </w:pPr>
    </w:p>
    <w:p w:rsidR="00D42B84" w:rsidRPr="00D42B84" w:rsidRDefault="00D42B84" w:rsidP="00D42B84">
      <w:pPr>
        <w:rPr>
          <w:rFonts w:cs="Arial"/>
          <w:color w:val="000000" w:themeColor="text1"/>
          <w:sz w:val="24"/>
          <w:szCs w:val="24"/>
        </w:rPr>
      </w:pPr>
      <w:r w:rsidRPr="00D42B84">
        <w:rPr>
          <w:rFonts w:cs="Arial"/>
          <w:color w:val="000000" w:themeColor="text1"/>
          <w:sz w:val="24"/>
          <w:szCs w:val="24"/>
        </w:rPr>
        <w:t>Le indicazioni della Segreteria di Stato dell’economia (SECO) confermano infatti la possibilità di una gestione differenziata delle domeniche di apertura, purché la competenza decisionale rimanga a livello cantonale e non sia delegata ai singoli esercizi commerciali.</w:t>
      </w:r>
    </w:p>
    <w:p w:rsidR="00D42B84" w:rsidRPr="00D42B84" w:rsidRDefault="00D42B84" w:rsidP="00D42B84">
      <w:pPr>
        <w:rPr>
          <w:rFonts w:cs="Arial"/>
          <w:color w:val="000000" w:themeColor="text1"/>
          <w:sz w:val="24"/>
          <w:szCs w:val="24"/>
        </w:rPr>
      </w:pPr>
    </w:p>
    <w:p w:rsidR="00D42B84" w:rsidRPr="00D42B84" w:rsidRDefault="00D42B84" w:rsidP="00D42B84">
      <w:pPr>
        <w:rPr>
          <w:rFonts w:cs="Arial"/>
          <w:color w:val="000000" w:themeColor="text1"/>
          <w:sz w:val="24"/>
          <w:szCs w:val="24"/>
        </w:rPr>
      </w:pPr>
      <w:r w:rsidRPr="00D42B84">
        <w:rPr>
          <w:rFonts w:cs="Arial"/>
          <w:color w:val="000000" w:themeColor="text1"/>
          <w:sz w:val="24"/>
          <w:szCs w:val="24"/>
        </w:rPr>
        <w:t>Attualmente in Ticino le quattro domeniche di apertura sono stabilite in modo uniforme per l’intero territorio cantonale. Secondo gli iniziativisti, tale impostazione non consente di valorizzare adeguatamente le specificità regionali, le manifestazioni locali o gli eventi di particolare rilevanza turistica.</w:t>
      </w:r>
    </w:p>
    <w:p w:rsidR="00D42B84" w:rsidRPr="00D42B84" w:rsidRDefault="00D42B84" w:rsidP="00D42B84">
      <w:pPr>
        <w:rPr>
          <w:rFonts w:cs="Arial"/>
          <w:color w:val="000000" w:themeColor="text1"/>
          <w:sz w:val="24"/>
          <w:szCs w:val="24"/>
        </w:rPr>
      </w:pPr>
    </w:p>
    <w:p w:rsidR="00D42B84" w:rsidRPr="00D42B84" w:rsidRDefault="00D42B84" w:rsidP="00D42B84">
      <w:pPr>
        <w:rPr>
          <w:rFonts w:cs="Arial"/>
          <w:color w:val="000000" w:themeColor="text1"/>
          <w:sz w:val="24"/>
          <w:szCs w:val="24"/>
        </w:rPr>
      </w:pPr>
      <w:r w:rsidRPr="00D42B84">
        <w:rPr>
          <w:rFonts w:cs="Arial"/>
          <w:color w:val="000000" w:themeColor="text1"/>
          <w:sz w:val="24"/>
          <w:szCs w:val="24"/>
        </w:rPr>
        <w:t xml:space="preserve">L’iniziativa propone pertanto di mantenere invariato il numero massimo di quattro domeniche di apertura annuali, ma di </w:t>
      </w:r>
      <w:r w:rsidRPr="00D42B84">
        <w:rPr>
          <w:rFonts w:cs="Arial"/>
          <w:color w:val="000000" w:themeColor="text1"/>
          <w:sz w:val="24"/>
          <w:szCs w:val="24"/>
          <w:u w:val="single"/>
        </w:rPr>
        <w:t>modificare l’art. 13 cpv. 2 LAN affinché il Dipartimento delle finanze e dell’economia possa definirle tenendo conto delle differenze regionali e locali, nonché delle richieste presentate dalle associazioni del settore del commercio al dettaglio</w:t>
      </w:r>
      <w:r w:rsidRPr="00D42B84">
        <w:rPr>
          <w:rFonts w:cs="Arial"/>
          <w:color w:val="000000" w:themeColor="text1"/>
          <w:sz w:val="24"/>
          <w:szCs w:val="24"/>
        </w:rPr>
        <w:t>. In tal modo si intende offrire ai commerci locali uno strumento supplementare per adattarsi alle evoluzioni del mercato e rafforzare l’attrattività economica delle diverse regioni del Cantone, senza aumentare il numero complessivo delle aperture domenicali.</w:t>
      </w:r>
    </w:p>
    <w:p w:rsidR="00D42B84" w:rsidRDefault="00D42B84" w:rsidP="00D42B84">
      <w:pPr>
        <w:rPr>
          <w:rFonts w:cs="Arial"/>
          <w:color w:val="000000" w:themeColor="text1"/>
          <w:sz w:val="24"/>
          <w:szCs w:val="24"/>
        </w:rPr>
      </w:pPr>
    </w:p>
    <w:p w:rsidR="00150079" w:rsidRPr="00D42B84" w:rsidRDefault="00150079" w:rsidP="00D42B84">
      <w:pPr>
        <w:rPr>
          <w:rFonts w:cs="Arial"/>
          <w:color w:val="000000" w:themeColor="text1"/>
          <w:sz w:val="24"/>
          <w:szCs w:val="24"/>
        </w:rPr>
      </w:pPr>
    </w:p>
    <w:p w:rsidR="00D42B84" w:rsidRPr="00D42B84" w:rsidRDefault="00D42B84" w:rsidP="00150079">
      <w:pPr>
        <w:pStyle w:val="Titolo1"/>
        <w:tabs>
          <w:tab w:val="left" w:pos="567"/>
        </w:tabs>
        <w:spacing w:before="0"/>
        <w:ind w:left="567" w:hanging="567"/>
        <w:jc w:val="both"/>
        <w:rPr>
          <w:rFonts w:eastAsia="Calibri" w:cs="Times New Roman"/>
          <w:caps/>
          <w:sz w:val="24"/>
          <w:szCs w:val="24"/>
          <w:lang w:val="it-IT" w:eastAsia="it-IT"/>
        </w:rPr>
      </w:pPr>
      <w:bookmarkStart w:id="2" w:name="_Toc229326771"/>
      <w:r w:rsidRPr="00D42B84">
        <w:rPr>
          <w:rFonts w:eastAsia="Calibri" w:cs="Times New Roman"/>
          <w:caps/>
          <w:sz w:val="24"/>
          <w:szCs w:val="24"/>
          <w:lang w:val="it-IT" w:eastAsia="it-IT"/>
        </w:rPr>
        <w:t>2.</w:t>
      </w:r>
      <w:r w:rsidRPr="00D42B84">
        <w:rPr>
          <w:rFonts w:eastAsia="Calibri" w:cs="Times New Roman"/>
          <w:caps/>
          <w:sz w:val="24"/>
          <w:szCs w:val="24"/>
          <w:lang w:val="it-IT" w:eastAsia="it-IT"/>
        </w:rPr>
        <w:tab/>
        <w:t>POSIZIONE DEL CONSIGLIO DI STATO</w:t>
      </w:r>
      <w:bookmarkEnd w:id="2"/>
    </w:p>
    <w:p w:rsidR="00D42B84" w:rsidRPr="00D42B84" w:rsidRDefault="00D42B84" w:rsidP="00D42B84">
      <w:pPr>
        <w:rPr>
          <w:rFonts w:cs="Arial"/>
          <w:color w:val="000000" w:themeColor="text1"/>
          <w:sz w:val="24"/>
          <w:szCs w:val="24"/>
        </w:rPr>
      </w:pPr>
      <w:r w:rsidRPr="00D42B84">
        <w:rPr>
          <w:rFonts w:cs="Arial"/>
          <w:color w:val="000000" w:themeColor="text1"/>
          <w:sz w:val="24"/>
          <w:szCs w:val="24"/>
        </w:rPr>
        <w:t>Nel messaggio no. 8645 del 21 gennaio 2026, il Consiglio di Stato prende posizione sull’iniziativa parlamentare elaborata presentata dal deputato Gianluca Padlina e cofirmatari per la modifica dell’art. 13 cpv. 2 della Legge sull’apertura dei negozi (LAN).</w:t>
      </w:r>
    </w:p>
    <w:p w:rsidR="00D42B84" w:rsidRPr="00D42B84" w:rsidRDefault="00D42B84" w:rsidP="00D42B84">
      <w:pPr>
        <w:spacing w:before="100" w:beforeAutospacing="1" w:after="100" w:afterAutospacing="1"/>
        <w:rPr>
          <w:rFonts w:cs="Arial"/>
          <w:color w:val="000000" w:themeColor="text1"/>
          <w:sz w:val="24"/>
          <w:szCs w:val="24"/>
        </w:rPr>
      </w:pPr>
      <w:r w:rsidRPr="00D42B84">
        <w:rPr>
          <w:rFonts w:cs="Arial"/>
          <w:color w:val="000000" w:themeColor="text1"/>
          <w:sz w:val="24"/>
          <w:szCs w:val="24"/>
        </w:rPr>
        <w:t xml:space="preserve">Il Governo riconosce le motivazioni addotte dagli iniziativisti, segnatamente la volontà di sostenere il commercio al dettaglio locale confrontato con una concorrenza sempre più marcata da parte del commercio online e del turismo degli acquisti oltre confine, nonché l’esigenza di adeguare il quadro normativo alle mutate abitudini dei consumatori e alle nuove dinamiche turistiche, caratterizzate da una presenza più estesa sull’arco dell’intero anno. </w:t>
      </w:r>
      <w:r w:rsidRPr="00D42B84">
        <w:rPr>
          <w:rFonts w:cs="Arial"/>
          <w:color w:val="000000" w:themeColor="text1"/>
          <w:sz w:val="24"/>
          <w:szCs w:val="24"/>
        </w:rPr>
        <w:br/>
        <w:t xml:space="preserve">Il Consiglio di Stato richiama il quadro normativo federale, ricordando come la Legge federale sul lavoro vieti di principio il lavoro domenicale, ma consenta ai Cantoni di autorizzare fino a quattro domeniche di apertura all’anno senza necessità di autorizzazione. Le indicazioni della Segreteria di Stato dell’economia (SECO) confermano che tali domeniche possono essere fissate anche tenendo conto delle differenze regionali, </w:t>
      </w:r>
      <w:r w:rsidRPr="00D42B84">
        <w:rPr>
          <w:rFonts w:cs="Arial"/>
          <w:color w:val="000000" w:themeColor="text1"/>
          <w:sz w:val="24"/>
          <w:szCs w:val="24"/>
          <w:u w:val="single"/>
        </w:rPr>
        <w:t>purché la competenza decisionale rimanga in capo all’autorità cantonale e non sia delegata ai singoli esercizi commerciali</w:t>
      </w:r>
      <w:r w:rsidRPr="00D42B84">
        <w:rPr>
          <w:rFonts w:cs="Arial"/>
          <w:color w:val="000000" w:themeColor="text1"/>
          <w:sz w:val="24"/>
          <w:szCs w:val="24"/>
        </w:rPr>
        <w:t>.</w:t>
      </w:r>
    </w:p>
    <w:p w:rsidR="00D42B84" w:rsidRPr="00D42B84" w:rsidRDefault="00D42B84" w:rsidP="00D42B84">
      <w:pPr>
        <w:rPr>
          <w:rFonts w:cs="Arial"/>
          <w:color w:val="000000" w:themeColor="text1"/>
          <w:sz w:val="24"/>
          <w:szCs w:val="24"/>
        </w:rPr>
      </w:pPr>
      <w:r w:rsidRPr="00D42B84">
        <w:rPr>
          <w:rFonts w:cs="Arial"/>
          <w:color w:val="000000" w:themeColor="text1"/>
          <w:sz w:val="24"/>
          <w:szCs w:val="24"/>
        </w:rPr>
        <w:lastRenderedPageBreak/>
        <w:t>Il Governo osserva che, di principio, il diritto federale non si oppone a una gestione regionale delle aperture domenicali, qualora sussistano particolarità che la giustifichino. Tuttavia, richiama altresì il principio, già affermato in occasione dell’adozione della LAN, di evitare aperture domenicali “a macchia di leopardo”, a tutela della certezza del diritto, della parità di trattamento e di una politica di promozione economica coordinata a livello cantonale.</w:t>
      </w:r>
    </w:p>
    <w:p w:rsidR="00D42B84" w:rsidRPr="00D42B84" w:rsidRDefault="00D42B84" w:rsidP="00D42B84">
      <w:pPr>
        <w:rPr>
          <w:rFonts w:cs="Arial"/>
          <w:color w:val="000000" w:themeColor="text1"/>
          <w:sz w:val="24"/>
          <w:szCs w:val="24"/>
        </w:rPr>
      </w:pPr>
      <w:r w:rsidRPr="00D42B84">
        <w:rPr>
          <w:rFonts w:cs="Arial"/>
          <w:color w:val="000000" w:themeColor="text1"/>
          <w:sz w:val="24"/>
          <w:szCs w:val="24"/>
        </w:rPr>
        <w:t>In tale ottica, il Consiglio di Stato accoglie favorevolmente l’impostazione dell’iniziativa nella misura in cui mantiene la competenza decisionale a livello cantonale, ma ritiene opportuno precisare e semplificare l’impianto normativo proposto. In particolare</w:t>
      </w:r>
      <w:r w:rsidRPr="00D42B84">
        <w:rPr>
          <w:rFonts w:cs="Arial"/>
          <w:color w:val="000000" w:themeColor="text1"/>
          <w:sz w:val="24"/>
          <w:szCs w:val="24"/>
          <w:u w:val="single"/>
        </w:rPr>
        <w:t>, il Governo propone un controprogetto volto a eliminare la nozione di “differenze locali”, ritenuta suscettibile di interpretazioni divergenti, limitando la flessibilizzazione alle sole differenze regionali.</w:t>
      </w:r>
    </w:p>
    <w:p w:rsidR="00D42B84" w:rsidRPr="00D42B84" w:rsidRDefault="00D42B84" w:rsidP="00D42B84">
      <w:pPr>
        <w:spacing w:before="100" w:beforeAutospacing="1" w:after="100" w:afterAutospacing="1"/>
        <w:rPr>
          <w:rFonts w:cs="Arial"/>
          <w:color w:val="000000" w:themeColor="text1"/>
          <w:sz w:val="24"/>
          <w:szCs w:val="24"/>
        </w:rPr>
      </w:pPr>
      <w:r w:rsidRPr="00D42B84">
        <w:rPr>
          <w:rFonts w:cs="Arial"/>
          <w:color w:val="000000" w:themeColor="text1"/>
          <w:sz w:val="24"/>
          <w:szCs w:val="24"/>
        </w:rPr>
        <w:t xml:space="preserve">Il controprogetto prevede pertanto che le quattro domeniche di apertura generalizzata </w:t>
      </w:r>
      <w:r w:rsidRPr="00D42B84">
        <w:rPr>
          <w:rFonts w:cs="Arial"/>
          <w:color w:val="000000" w:themeColor="text1"/>
          <w:sz w:val="24"/>
          <w:szCs w:val="24"/>
          <w:u w:val="single"/>
        </w:rPr>
        <w:t>possano essere autorizzate su base regionale, secondo la ripartizione geografica delle quattro regioni turistiche riconosciute dal Cantone, ossia Mendrisiotto e Basso Ceresio, Luganese, Lago Maggiore e Valli, Bellinzona e Valli</w:t>
      </w:r>
      <w:r w:rsidRPr="00D42B84">
        <w:rPr>
          <w:rFonts w:cs="Arial"/>
          <w:color w:val="000000" w:themeColor="text1"/>
          <w:sz w:val="24"/>
          <w:szCs w:val="24"/>
        </w:rPr>
        <w:t xml:space="preserve">. Inoltre, al fine di garantire una gestione coordinata ed efficiente, il Consiglio di Stato propone di attribuire all’associazione cantonale di riferimento del commercio al dettaglio il compito di presentare annualmente al Dipartimento un piano concordato delle aperture generalizzate, previa consultazione delle associazioni regionali e dei Comuni interessati. </w:t>
      </w:r>
    </w:p>
    <w:p w:rsidR="00D42B84" w:rsidRPr="00D42B84" w:rsidRDefault="00D42B84" w:rsidP="00D42B84">
      <w:pPr>
        <w:rPr>
          <w:rFonts w:cs="Arial"/>
          <w:color w:val="000000" w:themeColor="text1"/>
          <w:sz w:val="24"/>
          <w:szCs w:val="24"/>
        </w:rPr>
      </w:pPr>
      <w:r w:rsidRPr="00D42B84">
        <w:rPr>
          <w:rFonts w:cs="Arial"/>
          <w:color w:val="000000" w:themeColor="text1"/>
          <w:sz w:val="24"/>
          <w:szCs w:val="24"/>
        </w:rPr>
        <w:t xml:space="preserve">In conclusione, il Consiglio di Stato condivide in questo messaggio governativo l’obiettivo generale dell’iniziativa di favorire una maggiore flessibilità delle aperture domenicali a beneficio del commercio locale, ma invita il Parlamento ad approvare il controprogetto proposto, ritenuto più chiaro sotto il profilo normativo e maggiormente idoneo a garantire un’applicazione coerente e coordinata sul territorio cantonale. </w:t>
      </w:r>
    </w:p>
    <w:p w:rsidR="00D42B84" w:rsidRDefault="00D42B84" w:rsidP="00D42B84">
      <w:pPr>
        <w:rPr>
          <w:rFonts w:cs="Arial"/>
          <w:color w:val="000000" w:themeColor="text1"/>
          <w:sz w:val="24"/>
          <w:szCs w:val="24"/>
        </w:rPr>
      </w:pPr>
    </w:p>
    <w:p w:rsidR="00150079" w:rsidRPr="00D42B84" w:rsidRDefault="00150079" w:rsidP="00D42B84">
      <w:pPr>
        <w:rPr>
          <w:rFonts w:cs="Arial"/>
          <w:color w:val="000000" w:themeColor="text1"/>
          <w:sz w:val="24"/>
          <w:szCs w:val="24"/>
        </w:rPr>
      </w:pPr>
    </w:p>
    <w:p w:rsidR="00D42B84" w:rsidRPr="00D42B84" w:rsidRDefault="00D42B84" w:rsidP="00150079">
      <w:pPr>
        <w:pStyle w:val="Titolo1"/>
        <w:tabs>
          <w:tab w:val="left" w:pos="567"/>
        </w:tabs>
        <w:spacing w:before="0"/>
        <w:ind w:left="567" w:hanging="567"/>
        <w:jc w:val="both"/>
        <w:rPr>
          <w:rFonts w:cs="Arial"/>
          <w:color w:val="000000" w:themeColor="text1"/>
          <w:sz w:val="24"/>
          <w:szCs w:val="24"/>
        </w:rPr>
      </w:pPr>
      <w:bookmarkStart w:id="3" w:name="_Toc229326772"/>
      <w:r w:rsidRPr="00D42B84">
        <w:rPr>
          <w:rFonts w:cs="Arial"/>
          <w:color w:val="000000" w:themeColor="text1"/>
          <w:sz w:val="24"/>
          <w:szCs w:val="24"/>
        </w:rPr>
        <w:t>3.</w:t>
      </w:r>
      <w:r w:rsidRPr="00D42B84">
        <w:rPr>
          <w:rFonts w:cs="Arial"/>
          <w:color w:val="000000" w:themeColor="text1"/>
          <w:sz w:val="24"/>
          <w:szCs w:val="24"/>
        </w:rPr>
        <w:tab/>
        <w:t>LE AUDIZIONI</w:t>
      </w:r>
      <w:bookmarkEnd w:id="3"/>
    </w:p>
    <w:p w:rsidR="00150079" w:rsidRDefault="00150079" w:rsidP="00150079">
      <w:pPr>
        <w:pStyle w:val="Titolo2"/>
        <w:numPr>
          <w:ilvl w:val="0"/>
          <w:numId w:val="0"/>
        </w:numPr>
        <w:tabs>
          <w:tab w:val="left" w:pos="567"/>
        </w:tabs>
        <w:spacing w:before="0" w:after="120"/>
        <w:jc w:val="both"/>
        <w:rPr>
          <w:rFonts w:eastAsia="Calibri" w:cs="Times New Roman"/>
          <w:sz w:val="24"/>
          <w:lang w:val="it-IT" w:eastAsia="it-IT"/>
        </w:rPr>
      </w:pPr>
      <w:bookmarkStart w:id="4" w:name="_Toc229326773"/>
      <w:r>
        <w:rPr>
          <w:rFonts w:eastAsia="Calibri" w:cs="Times New Roman"/>
          <w:sz w:val="24"/>
          <w:lang w:val="it-IT" w:eastAsia="it-IT"/>
        </w:rPr>
        <w:t>3.1</w:t>
      </w:r>
      <w:r>
        <w:rPr>
          <w:rFonts w:eastAsia="Calibri" w:cs="Times New Roman"/>
          <w:sz w:val="24"/>
          <w:lang w:val="it-IT" w:eastAsia="it-IT"/>
        </w:rPr>
        <w:tab/>
      </w:r>
      <w:r w:rsidR="00D42B84" w:rsidRPr="00D42B84">
        <w:rPr>
          <w:rFonts w:eastAsia="Calibri" w:cs="Times New Roman"/>
          <w:sz w:val="24"/>
          <w:lang w:val="it-IT" w:eastAsia="it-IT"/>
        </w:rPr>
        <w:t>Audizione con Federcommercio (L. Sommaruga) e DisTi (E. Lucibello)</w:t>
      </w:r>
      <w:bookmarkEnd w:id="4"/>
    </w:p>
    <w:p w:rsidR="00D42B84" w:rsidRPr="00D42B84" w:rsidRDefault="00D42B84" w:rsidP="00150079">
      <w:pPr>
        <w:pStyle w:val="Titolo2"/>
        <w:numPr>
          <w:ilvl w:val="0"/>
          <w:numId w:val="0"/>
        </w:numPr>
        <w:tabs>
          <w:tab w:val="left" w:pos="567"/>
        </w:tabs>
        <w:spacing w:before="0" w:after="120"/>
        <w:jc w:val="both"/>
        <w:rPr>
          <w:rFonts w:eastAsia="Calibri" w:cs="Times New Roman"/>
          <w:b w:val="0"/>
          <w:sz w:val="24"/>
          <w:lang w:val="it-IT" w:eastAsia="it-IT"/>
        </w:rPr>
      </w:pPr>
      <w:r w:rsidRPr="00D42B84">
        <w:rPr>
          <w:rFonts w:cs="Arial"/>
          <w:b w:val="0"/>
          <w:color w:val="000000" w:themeColor="text1"/>
          <w:sz w:val="24"/>
          <w:szCs w:val="24"/>
        </w:rPr>
        <w:t xml:space="preserve">La Commissione Economia e lavoro ha proceduto, in data 3 marzo 2026, </w:t>
      </w:r>
      <w:r w:rsidRPr="00D42B84">
        <w:rPr>
          <w:rFonts w:cs="Arial"/>
          <w:b w:val="0"/>
          <w:color w:val="000000" w:themeColor="text1"/>
          <w:sz w:val="24"/>
          <w:szCs w:val="24"/>
          <w:u w:val="single"/>
        </w:rPr>
        <w:t>all’audizione di Lorenza Sommaruga, presidente di Federcommercio, ed Enzo Lucibello, presidente di Distributori Ticinesi (DisTI)</w:t>
      </w:r>
      <w:r w:rsidRPr="00D42B84">
        <w:rPr>
          <w:rFonts w:cs="Arial"/>
          <w:b w:val="0"/>
          <w:color w:val="000000" w:themeColor="text1"/>
          <w:sz w:val="24"/>
          <w:szCs w:val="24"/>
        </w:rPr>
        <w:t xml:space="preserve">, nonché, in un secondo momento nella medesima seduta, </w:t>
      </w:r>
      <w:r w:rsidRPr="00D42B84">
        <w:rPr>
          <w:rFonts w:cs="Arial"/>
          <w:b w:val="0"/>
          <w:color w:val="000000" w:themeColor="text1"/>
          <w:sz w:val="24"/>
          <w:szCs w:val="24"/>
          <w:u w:val="single"/>
        </w:rPr>
        <w:t>dell’iniziativista Gianluca Padlina</w:t>
      </w:r>
      <w:r w:rsidRPr="00D42B84">
        <w:rPr>
          <w:rFonts w:cs="Arial"/>
          <w:b w:val="0"/>
          <w:color w:val="000000" w:themeColor="text1"/>
          <w:sz w:val="24"/>
          <w:szCs w:val="24"/>
        </w:rPr>
        <w:t xml:space="preserve">, al fine di approfondire le posizioni degli attori economici coinvolti in merito alla regolamentazione delle aperture domenicali. </w:t>
      </w:r>
    </w:p>
    <w:p w:rsidR="00D42B84" w:rsidRPr="00D42B84" w:rsidRDefault="00D42B84" w:rsidP="00D42B84">
      <w:pPr>
        <w:rPr>
          <w:rFonts w:cs="Arial"/>
          <w:color w:val="000000" w:themeColor="text1"/>
          <w:sz w:val="24"/>
          <w:szCs w:val="24"/>
        </w:rPr>
      </w:pPr>
      <w:r w:rsidRPr="00D42B84">
        <w:rPr>
          <w:rFonts w:cs="Arial"/>
          <w:color w:val="000000" w:themeColor="text1"/>
          <w:sz w:val="24"/>
          <w:szCs w:val="24"/>
        </w:rPr>
        <w:t>Federcommercio ha evidenziato le difficoltà crescenti del commercio al dettaglio, in particolare delle PMI, in un contesto segnato dalla concorrenza del commercio online e transfrontaliero. In tale quadro, le aperture domenicali e serali sono state valutate positivamente quale strumento di sostegno, soprattutto se collegate a eventi locali e alle zone turistiche, dove hanno mostrato effetti favorevoli.</w:t>
      </w:r>
    </w:p>
    <w:p w:rsidR="00D42B84" w:rsidRPr="00D42B84" w:rsidRDefault="00D42B84" w:rsidP="00D42B84">
      <w:pPr>
        <w:rPr>
          <w:rFonts w:cs="Arial"/>
          <w:color w:val="000000" w:themeColor="text1"/>
          <w:sz w:val="24"/>
          <w:szCs w:val="24"/>
        </w:rPr>
      </w:pPr>
      <w:r w:rsidRPr="00D42B84">
        <w:rPr>
          <w:rFonts w:cs="Arial"/>
          <w:color w:val="000000" w:themeColor="text1"/>
          <w:sz w:val="24"/>
          <w:szCs w:val="24"/>
        </w:rPr>
        <w:t>Per quanto riguarda le quattro domeniche annue, è stata sottolineata l’importanza di quelle nel periodo natalizio, mentre per le restanti due si auspica una maggiore flessibilità nella definizione delle date, anche su base regionale, purché con modalità semplici e senza ulteriori oneri amministrativi.</w:t>
      </w:r>
    </w:p>
    <w:p w:rsidR="00D42B84" w:rsidRPr="00D42B84" w:rsidRDefault="00D42B84" w:rsidP="00D42B84">
      <w:pPr>
        <w:rPr>
          <w:rFonts w:cs="Arial"/>
          <w:color w:val="000000" w:themeColor="text1"/>
          <w:sz w:val="24"/>
          <w:szCs w:val="24"/>
        </w:rPr>
      </w:pPr>
      <w:r w:rsidRPr="00D42B84">
        <w:rPr>
          <w:rFonts w:cs="Arial"/>
          <w:color w:val="000000" w:themeColor="text1"/>
          <w:sz w:val="24"/>
          <w:szCs w:val="24"/>
        </w:rPr>
        <w:t xml:space="preserve">DisTI ha condiviso l’esigenza di maggiore flessibilità, confermando il rispetto del quadro legale e contrattuale del lavoro. È stata in particolare richiesta una migliore adattabilità </w:t>
      </w:r>
      <w:r w:rsidRPr="00D42B84">
        <w:rPr>
          <w:rFonts w:cs="Arial"/>
          <w:color w:val="000000" w:themeColor="text1"/>
          <w:sz w:val="24"/>
          <w:szCs w:val="24"/>
        </w:rPr>
        <w:lastRenderedPageBreak/>
        <w:t>territoriale delle due domeniche non natalizie, al fine di valorizzare gli eventi locali e le specificità delle diverse aree del Cantone.</w:t>
      </w:r>
    </w:p>
    <w:p w:rsidR="00D42B84" w:rsidRPr="00D42B84" w:rsidRDefault="00D42B84" w:rsidP="00D42B84">
      <w:pPr>
        <w:rPr>
          <w:rFonts w:cs="Arial"/>
          <w:color w:val="000000" w:themeColor="text1"/>
          <w:sz w:val="24"/>
          <w:szCs w:val="24"/>
        </w:rPr>
      </w:pPr>
      <w:r w:rsidRPr="00D42B84">
        <w:rPr>
          <w:rFonts w:cs="Arial"/>
          <w:color w:val="000000" w:themeColor="text1"/>
          <w:sz w:val="24"/>
          <w:szCs w:val="24"/>
        </w:rPr>
        <w:t>Entrambe le organizzazioni hanno tuttavia espresso perplessità rispetto a soluzioni troppo rigide o uniformi, ritenendo limitante il modello fondato unicamente sulle quattro regioni turistiche. È stata quindi proposta una soluzione intermedia che consenta una differenziazione a livello di Comuni o comparti commerciali, con particolare riferimento ai grandi poli di attrazione commerciale (scheda R8 del Piano direttore), quali Grancia, Sant’Antonino, Cadenazzo o Tenero.</w:t>
      </w:r>
    </w:p>
    <w:p w:rsidR="00D42B84" w:rsidRPr="00D42B84" w:rsidRDefault="00D42B84" w:rsidP="00D42B84">
      <w:pPr>
        <w:rPr>
          <w:rFonts w:cs="Arial"/>
          <w:color w:val="000000" w:themeColor="text1"/>
          <w:sz w:val="24"/>
          <w:szCs w:val="24"/>
        </w:rPr>
      </w:pPr>
    </w:p>
    <w:p w:rsidR="00D42B84" w:rsidRDefault="00D42B84" w:rsidP="00D42B84">
      <w:pPr>
        <w:rPr>
          <w:rFonts w:cs="Arial"/>
          <w:color w:val="000000" w:themeColor="text1"/>
          <w:sz w:val="24"/>
          <w:szCs w:val="24"/>
        </w:rPr>
      </w:pPr>
      <w:r w:rsidRPr="00D42B84">
        <w:rPr>
          <w:rFonts w:cs="Arial"/>
          <w:color w:val="000000" w:themeColor="text1"/>
          <w:sz w:val="24"/>
          <w:szCs w:val="24"/>
        </w:rPr>
        <w:t>Sono inoltre state segnalate criticità operative relative ai termini previsti dal messaggio governativo per la pianificazione annuale delle aperture domenicali (“entro la fine di ottobre”), ritenuti troppo anticipati rispetto alle esigenze di programmazione del settore.</w:t>
      </w:r>
    </w:p>
    <w:p w:rsidR="00150079" w:rsidRPr="00D42B84" w:rsidRDefault="00150079" w:rsidP="00D42B84">
      <w:pPr>
        <w:rPr>
          <w:rFonts w:cs="Arial"/>
          <w:color w:val="000000" w:themeColor="text1"/>
          <w:sz w:val="24"/>
          <w:szCs w:val="24"/>
        </w:rPr>
      </w:pPr>
    </w:p>
    <w:p w:rsidR="00D42B84" w:rsidRPr="00D42B84" w:rsidRDefault="00150079" w:rsidP="00150079">
      <w:pPr>
        <w:pStyle w:val="Titolo2"/>
        <w:numPr>
          <w:ilvl w:val="0"/>
          <w:numId w:val="0"/>
        </w:numPr>
        <w:tabs>
          <w:tab w:val="left" w:pos="567"/>
        </w:tabs>
        <w:spacing w:before="0" w:after="120"/>
        <w:jc w:val="both"/>
        <w:rPr>
          <w:rFonts w:eastAsia="Calibri" w:cs="Times New Roman"/>
          <w:sz w:val="24"/>
          <w:lang w:val="it-IT" w:eastAsia="it-IT"/>
        </w:rPr>
      </w:pPr>
      <w:bookmarkStart w:id="5" w:name="_Toc229326774"/>
      <w:r>
        <w:rPr>
          <w:rFonts w:eastAsia="Calibri" w:cs="Times New Roman"/>
          <w:sz w:val="24"/>
          <w:lang w:val="it-IT" w:eastAsia="it-IT"/>
        </w:rPr>
        <w:t>3.2</w:t>
      </w:r>
      <w:r>
        <w:rPr>
          <w:rFonts w:eastAsia="Calibri" w:cs="Times New Roman"/>
          <w:sz w:val="24"/>
          <w:lang w:val="it-IT" w:eastAsia="it-IT"/>
        </w:rPr>
        <w:tab/>
      </w:r>
      <w:r w:rsidR="00D42B84" w:rsidRPr="00D42B84">
        <w:rPr>
          <w:rFonts w:eastAsia="Calibri" w:cs="Times New Roman"/>
          <w:sz w:val="24"/>
          <w:lang w:val="it-IT" w:eastAsia="it-IT"/>
        </w:rPr>
        <w:t>Audizione con gli iniziativisti (primo firmatario G. Padlina)</w:t>
      </w:r>
      <w:bookmarkEnd w:id="5"/>
    </w:p>
    <w:p w:rsidR="00D42B84" w:rsidRPr="00D42B84" w:rsidRDefault="00D42B84" w:rsidP="00D42B84">
      <w:pPr>
        <w:rPr>
          <w:rFonts w:cs="Arial"/>
          <w:color w:val="000000" w:themeColor="text1"/>
          <w:sz w:val="24"/>
          <w:szCs w:val="24"/>
        </w:rPr>
      </w:pPr>
      <w:r w:rsidRPr="00D42B84">
        <w:rPr>
          <w:rFonts w:cs="Arial"/>
          <w:color w:val="000000" w:themeColor="text1"/>
          <w:sz w:val="24"/>
          <w:szCs w:val="24"/>
        </w:rPr>
        <w:t>Nella medesima seduta, la Commissione ha quindi proceduto all’</w:t>
      </w:r>
      <w:r w:rsidRPr="00D42B84">
        <w:rPr>
          <w:rFonts w:cs="Arial"/>
          <w:color w:val="000000" w:themeColor="text1"/>
          <w:sz w:val="24"/>
          <w:szCs w:val="24"/>
          <w:u w:val="single"/>
        </w:rPr>
        <w:t>audizione separata dell’iniziativista Gianluca Padlina</w:t>
      </w:r>
      <w:r w:rsidRPr="00D42B84">
        <w:rPr>
          <w:rFonts w:cs="Arial"/>
          <w:color w:val="000000" w:themeColor="text1"/>
          <w:sz w:val="24"/>
          <w:szCs w:val="24"/>
        </w:rPr>
        <w:t>.</w:t>
      </w:r>
    </w:p>
    <w:p w:rsidR="00D42B84" w:rsidRPr="00D42B84" w:rsidRDefault="00D42B84" w:rsidP="00D42B84">
      <w:pPr>
        <w:rPr>
          <w:rFonts w:cs="Arial"/>
          <w:color w:val="000000" w:themeColor="text1"/>
          <w:sz w:val="24"/>
          <w:szCs w:val="24"/>
        </w:rPr>
      </w:pPr>
      <w:r w:rsidRPr="00D42B84">
        <w:rPr>
          <w:rFonts w:cs="Arial"/>
          <w:color w:val="000000" w:themeColor="text1"/>
          <w:sz w:val="24"/>
          <w:szCs w:val="24"/>
        </w:rPr>
        <w:t>Padlina ha esposto un’analisi comparata dei regimi già adottati in altri Cantoni (Zurigo, Basilea e San Gallo) e le indicazioni della SECO, indicando che la possibilità di una differenziazione territoriale delle aperture domenicali all’interno di un perimetro definito, purché con applicazione generalizzata è già stata ampiamente confermata.</w:t>
      </w:r>
    </w:p>
    <w:p w:rsidR="00D42B84" w:rsidRPr="00D42B84" w:rsidRDefault="00D42B84" w:rsidP="00D42B84">
      <w:pPr>
        <w:rPr>
          <w:rFonts w:cs="Arial"/>
          <w:color w:val="000000" w:themeColor="text1"/>
          <w:sz w:val="24"/>
          <w:szCs w:val="24"/>
        </w:rPr>
      </w:pPr>
      <w:r w:rsidRPr="00D42B84">
        <w:rPr>
          <w:rFonts w:cs="Arial"/>
          <w:color w:val="000000" w:themeColor="text1"/>
          <w:sz w:val="24"/>
          <w:szCs w:val="24"/>
        </w:rPr>
        <w:t>Ha espresso riserve sul controprogetto governativo basato sulle quattro regioni turistiche, ritenuto insufficiente in quanto potenzialmente suscettibile di ingenerare una concorrenza interna alla singola regione, tra i grandi centri commerciali e i piccoli commerci di prossimità.</w:t>
      </w:r>
    </w:p>
    <w:p w:rsidR="00D42B84" w:rsidRPr="00D42B84" w:rsidRDefault="00D42B84" w:rsidP="00D42B84">
      <w:pPr>
        <w:rPr>
          <w:rFonts w:cs="Arial"/>
          <w:color w:val="000000" w:themeColor="text1"/>
          <w:sz w:val="24"/>
          <w:szCs w:val="24"/>
        </w:rPr>
      </w:pPr>
      <w:r w:rsidRPr="00D42B84">
        <w:rPr>
          <w:rFonts w:cs="Arial"/>
          <w:color w:val="000000" w:themeColor="text1"/>
          <w:sz w:val="24"/>
          <w:szCs w:val="24"/>
        </w:rPr>
        <w:t>Per evitare tali effetti, ha proposto una maggiore articolazione del sistema, attraverso una ripartizione su base comunale oppure mediante l’integrazione delle regioni turistiche con le zone dei grandi generatori di traffico (scheda R8 del Piano direttore), al fine di permettere che le aperture domenicali dei grandi centri commerciali, possano avvenire in momenti distinti rispetto a quelli dei negozi dei contesti urbani e locali.</w:t>
      </w:r>
    </w:p>
    <w:p w:rsidR="00D42B84" w:rsidRPr="00D42B84" w:rsidRDefault="00D42B84" w:rsidP="00D42B84">
      <w:pPr>
        <w:spacing w:before="100" w:beforeAutospacing="1" w:after="100" w:afterAutospacing="1"/>
        <w:rPr>
          <w:rFonts w:cs="Arial"/>
          <w:color w:val="000000" w:themeColor="text1"/>
          <w:sz w:val="24"/>
          <w:szCs w:val="24"/>
        </w:rPr>
      </w:pPr>
      <w:r w:rsidRPr="00D42B84">
        <w:rPr>
          <w:rFonts w:cs="Arial"/>
          <w:color w:val="000000" w:themeColor="text1"/>
          <w:sz w:val="24"/>
          <w:szCs w:val="24"/>
        </w:rPr>
        <w:t>In conclusione, Padlina ha auspicato una parziale modifica del controprogetto governativo che consenta una differenziazione territoriale più fine, privilegiando una soluzione che combini regioni turistiche e comparti dei grandi centri commerciali.</w:t>
      </w:r>
    </w:p>
    <w:p w:rsidR="00D42B84" w:rsidRPr="00D42B84" w:rsidRDefault="00150079" w:rsidP="00150079">
      <w:pPr>
        <w:pStyle w:val="Titolo2"/>
        <w:numPr>
          <w:ilvl w:val="0"/>
          <w:numId w:val="0"/>
        </w:numPr>
        <w:tabs>
          <w:tab w:val="left" w:pos="567"/>
        </w:tabs>
        <w:spacing w:before="0" w:after="120"/>
        <w:jc w:val="both"/>
        <w:rPr>
          <w:rFonts w:eastAsia="Calibri" w:cs="Times New Roman"/>
          <w:sz w:val="24"/>
          <w:lang w:val="it-IT" w:eastAsia="it-IT"/>
        </w:rPr>
      </w:pPr>
      <w:bookmarkStart w:id="6" w:name="_Toc229326775"/>
      <w:r>
        <w:rPr>
          <w:rFonts w:eastAsia="Calibri" w:cs="Times New Roman"/>
          <w:sz w:val="24"/>
          <w:lang w:val="it-IT" w:eastAsia="it-IT"/>
        </w:rPr>
        <w:t>3.3</w:t>
      </w:r>
      <w:r>
        <w:rPr>
          <w:rFonts w:eastAsia="Calibri" w:cs="Times New Roman"/>
          <w:sz w:val="24"/>
          <w:lang w:val="it-IT" w:eastAsia="it-IT"/>
        </w:rPr>
        <w:tab/>
      </w:r>
      <w:r w:rsidR="00D42B84" w:rsidRPr="00D42B84">
        <w:rPr>
          <w:rFonts w:eastAsia="Calibri" w:cs="Times New Roman"/>
          <w:sz w:val="24"/>
          <w:lang w:val="it-IT" w:eastAsia="it-IT"/>
        </w:rPr>
        <w:t>Audizione con il DFE (rappresentato da S. Rizzi e G. Chioni)</w:t>
      </w:r>
      <w:bookmarkEnd w:id="6"/>
    </w:p>
    <w:p w:rsidR="00D42B84" w:rsidRPr="00D42B84" w:rsidRDefault="00D42B84" w:rsidP="00D42B84">
      <w:pPr>
        <w:rPr>
          <w:rFonts w:cs="Arial"/>
          <w:color w:val="000000" w:themeColor="text1"/>
          <w:sz w:val="24"/>
          <w:szCs w:val="24"/>
        </w:rPr>
      </w:pPr>
      <w:r w:rsidRPr="00D42B84">
        <w:rPr>
          <w:rFonts w:cs="Arial"/>
          <w:color w:val="000000" w:themeColor="text1"/>
          <w:sz w:val="24"/>
          <w:szCs w:val="24"/>
        </w:rPr>
        <w:t xml:space="preserve">Il 10 marzo è stato convocato per l’audizione il DFE e hanno partecipato </w:t>
      </w:r>
      <w:r w:rsidRPr="00D42B84">
        <w:rPr>
          <w:rFonts w:cs="Arial"/>
          <w:color w:val="000000" w:themeColor="text1"/>
          <w:sz w:val="24"/>
          <w:szCs w:val="24"/>
          <w:u w:val="single"/>
        </w:rPr>
        <w:t>Stefano Rizzi, direttore della Divisione dell'economia accompagnato dal capo dell’Ufficio dell’ispettorato del lavoro, Gianluca Chioni</w:t>
      </w:r>
      <w:r w:rsidRPr="00D42B84">
        <w:rPr>
          <w:rFonts w:cs="Arial"/>
          <w:color w:val="000000" w:themeColor="text1"/>
          <w:sz w:val="24"/>
          <w:szCs w:val="24"/>
        </w:rPr>
        <w:t>, al fine di approfondire le motivazioni alla base del controprogetto governativo.</w:t>
      </w:r>
    </w:p>
    <w:p w:rsidR="00D42B84" w:rsidRPr="00D42B84" w:rsidRDefault="00D42B84" w:rsidP="00D42B84">
      <w:pPr>
        <w:rPr>
          <w:rFonts w:cs="Arial"/>
          <w:color w:val="000000" w:themeColor="text1"/>
          <w:sz w:val="24"/>
          <w:szCs w:val="24"/>
        </w:rPr>
      </w:pPr>
      <w:r w:rsidRPr="00D42B84">
        <w:rPr>
          <w:rFonts w:cs="Arial"/>
          <w:color w:val="000000" w:themeColor="text1"/>
          <w:sz w:val="24"/>
          <w:szCs w:val="24"/>
        </w:rPr>
        <w:t>Il Dipartimento ha confermato la coerenza del controprogetto con il quadro normativo federale e cantonale vigente, che prevede attualmente quattro domeniche di apertura uniformi a livello cantonale, quale soluzione volta a garantire semplicità applicativa e parità di trattamento.</w:t>
      </w:r>
    </w:p>
    <w:p w:rsidR="00D42B84" w:rsidRPr="00D42B84" w:rsidRDefault="00D42B84" w:rsidP="00D42B84">
      <w:pPr>
        <w:rPr>
          <w:rFonts w:cs="Arial"/>
          <w:color w:val="000000" w:themeColor="text1"/>
          <w:sz w:val="24"/>
          <w:szCs w:val="24"/>
        </w:rPr>
      </w:pPr>
      <w:r w:rsidRPr="00D42B84">
        <w:rPr>
          <w:rFonts w:cs="Arial"/>
          <w:color w:val="000000" w:themeColor="text1"/>
          <w:sz w:val="24"/>
          <w:szCs w:val="24"/>
        </w:rPr>
        <w:t>È stata riconosciuta la fondatezza delle esigenze di maggiore flessibilità espresse dagli attori economici, in linea con le indicazioni SECO, ritenendo possibile una differenziazione su base regionale. In questo senso, la soluzione delle quattro regioni turistiche è stata considerata un compromesso adeguato tra chiarezza del sistema e praticabilità operativa.</w:t>
      </w:r>
    </w:p>
    <w:p w:rsidR="00D42B84" w:rsidRPr="00D42B84" w:rsidRDefault="00D42B84" w:rsidP="00D42B84">
      <w:pPr>
        <w:rPr>
          <w:rFonts w:cs="Arial"/>
          <w:color w:val="000000" w:themeColor="text1"/>
          <w:sz w:val="24"/>
          <w:szCs w:val="24"/>
        </w:rPr>
      </w:pPr>
      <w:r w:rsidRPr="00D42B84">
        <w:rPr>
          <w:rFonts w:cs="Arial"/>
          <w:color w:val="000000" w:themeColor="text1"/>
          <w:sz w:val="24"/>
          <w:szCs w:val="24"/>
        </w:rPr>
        <w:lastRenderedPageBreak/>
        <w:t xml:space="preserve">Il Dipartimento ha comunque dichiarato la </w:t>
      </w:r>
      <w:r w:rsidRPr="00D42B84">
        <w:rPr>
          <w:rFonts w:cs="Arial"/>
          <w:color w:val="000000" w:themeColor="text1"/>
          <w:sz w:val="24"/>
          <w:szCs w:val="24"/>
          <w:u w:val="single"/>
        </w:rPr>
        <w:t>disponibilità a valutare eventuali adattamenti puntuali, quali sotto-regioni o delimitazioni più mirate e circoscritte, a condizione che non si traduca in una frammentazione eccessiva del sistema</w:t>
      </w:r>
      <w:r w:rsidRPr="00D42B84">
        <w:rPr>
          <w:rFonts w:cs="Arial"/>
          <w:color w:val="000000" w:themeColor="text1"/>
          <w:sz w:val="24"/>
          <w:szCs w:val="24"/>
        </w:rPr>
        <w:t xml:space="preserve">. È stata invece esclusa l’ipotesi di una delega ai Comuni, ritenuta non compatibile con l’impianto istituzionale vigente. </w:t>
      </w:r>
    </w:p>
    <w:p w:rsidR="00D42B84" w:rsidRPr="00D42B84" w:rsidRDefault="00D42B84" w:rsidP="00D42B84">
      <w:pPr>
        <w:spacing w:before="100" w:beforeAutospacing="1" w:after="100" w:afterAutospacing="1"/>
        <w:rPr>
          <w:rFonts w:cs="Arial"/>
          <w:color w:val="000000" w:themeColor="text1"/>
          <w:sz w:val="24"/>
          <w:szCs w:val="24"/>
        </w:rPr>
      </w:pPr>
      <w:r w:rsidRPr="00D42B84">
        <w:rPr>
          <w:rFonts w:cs="Arial"/>
          <w:color w:val="000000" w:themeColor="text1"/>
          <w:sz w:val="24"/>
          <w:szCs w:val="24"/>
        </w:rPr>
        <w:t>È stato infine ribadito il ruolo centrale del coordinamento cantonale e delle associazioni di categoria nella definizione e pianificazione delle aperture domenicali.</w:t>
      </w:r>
    </w:p>
    <w:p w:rsidR="00D42B84" w:rsidRPr="00D42B84" w:rsidRDefault="00150079" w:rsidP="00150079">
      <w:pPr>
        <w:keepNext/>
        <w:spacing w:before="360" w:after="120"/>
        <w:jc w:val="left"/>
        <w:outlineLvl w:val="0"/>
        <w:rPr>
          <w:rFonts w:cs="Arial"/>
          <w:b/>
          <w:color w:val="000000" w:themeColor="text1"/>
          <w:sz w:val="24"/>
          <w:szCs w:val="24"/>
        </w:rPr>
      </w:pPr>
      <w:bookmarkStart w:id="7" w:name="_Toc229326776"/>
      <w:r>
        <w:rPr>
          <w:rFonts w:cs="Arial"/>
          <w:b/>
          <w:color w:val="000000" w:themeColor="text1"/>
          <w:sz w:val="24"/>
          <w:szCs w:val="24"/>
        </w:rPr>
        <w:t>3.4</w:t>
      </w:r>
      <w:r>
        <w:rPr>
          <w:rFonts w:cs="Arial"/>
          <w:b/>
          <w:color w:val="000000" w:themeColor="text1"/>
          <w:sz w:val="24"/>
          <w:szCs w:val="24"/>
        </w:rPr>
        <w:tab/>
      </w:r>
      <w:r w:rsidR="00D42B84" w:rsidRPr="00D42B84">
        <w:rPr>
          <w:rFonts w:cs="Arial"/>
          <w:b/>
          <w:color w:val="000000" w:themeColor="text1"/>
          <w:sz w:val="24"/>
          <w:szCs w:val="24"/>
        </w:rPr>
        <w:t>Ulteriori scambi tra tutte le parti coinvolte con i co-relatori</w:t>
      </w:r>
      <w:bookmarkEnd w:id="7"/>
    </w:p>
    <w:p w:rsidR="00D42B84" w:rsidRPr="00D42B84" w:rsidRDefault="00D42B84" w:rsidP="00D42B84">
      <w:pPr>
        <w:rPr>
          <w:rFonts w:cs="Arial"/>
          <w:color w:val="000000" w:themeColor="text1"/>
          <w:sz w:val="24"/>
          <w:szCs w:val="24"/>
        </w:rPr>
      </w:pPr>
      <w:r w:rsidRPr="00D42B84">
        <w:rPr>
          <w:rFonts w:cs="Arial"/>
          <w:color w:val="000000" w:themeColor="text1"/>
          <w:sz w:val="24"/>
          <w:szCs w:val="24"/>
        </w:rPr>
        <w:t xml:space="preserve">Nel corso della prima metà di maggio 2026, i co-relatori hanno svolto ulteriori approfondimenti con il Direttore della Divisione dell’economia del Dipartimento delle finanze e dell’economia, Stefano Rizzi, con il primo firmatario tra gli iniziativisti, nonché con i rappresentanti delle associazioni di categoria, segnatamente Enzo Lucibello per la DisTi e Lorenza Sommaruga per Federcommercio. </w:t>
      </w:r>
    </w:p>
    <w:p w:rsidR="00D42B84" w:rsidRPr="00D42B84" w:rsidRDefault="00D42B84" w:rsidP="00D42B84">
      <w:pPr>
        <w:rPr>
          <w:rFonts w:cs="Arial"/>
          <w:color w:val="000000" w:themeColor="text1"/>
          <w:sz w:val="24"/>
          <w:szCs w:val="24"/>
        </w:rPr>
      </w:pPr>
      <w:r w:rsidRPr="00D42B84">
        <w:rPr>
          <w:rFonts w:cs="Arial"/>
          <w:color w:val="000000" w:themeColor="text1"/>
          <w:sz w:val="24"/>
          <w:szCs w:val="24"/>
        </w:rPr>
        <w:t xml:space="preserve">Tali scambi, svoltisi a più riprese in modalità telefonica e telematica via Teams, hanno permesso di approfondire gli aspetti applicativi e territoriali della modifica legislativa e di valutare possibili soluzioni condivise. </w:t>
      </w:r>
    </w:p>
    <w:p w:rsidR="00D42B84" w:rsidRPr="00D42B84" w:rsidRDefault="00D42B84" w:rsidP="00D42B84">
      <w:pPr>
        <w:rPr>
          <w:rFonts w:cs="Arial"/>
          <w:color w:val="000000" w:themeColor="text1"/>
          <w:sz w:val="24"/>
          <w:szCs w:val="24"/>
          <w:u w:val="single"/>
        </w:rPr>
      </w:pPr>
      <w:r w:rsidRPr="00D42B84">
        <w:rPr>
          <w:rFonts w:cs="Arial"/>
          <w:color w:val="000000" w:themeColor="text1"/>
          <w:sz w:val="24"/>
          <w:szCs w:val="24"/>
        </w:rPr>
        <w:t>L’obiettivo perseguito è stato quello di elaborare una proposta in grado di conciliare le aspettative espresse dagli operatori del settore con l’esigenza di mantenere un quadro normativo chiaro, coordinato e concretamente applicabile anche da parte delle autorità cantonali competenti.</w:t>
      </w:r>
    </w:p>
    <w:p w:rsidR="00D42B84" w:rsidRPr="00D42B84" w:rsidRDefault="00D42B84" w:rsidP="00D42B84">
      <w:pPr>
        <w:rPr>
          <w:rFonts w:cs="Arial"/>
          <w:color w:val="000000" w:themeColor="text1"/>
          <w:sz w:val="24"/>
          <w:szCs w:val="24"/>
        </w:rPr>
      </w:pPr>
      <w:r w:rsidRPr="00D42B84">
        <w:rPr>
          <w:rFonts w:cs="Arial"/>
          <w:color w:val="000000" w:themeColor="text1"/>
          <w:sz w:val="24"/>
          <w:szCs w:val="24"/>
        </w:rPr>
        <w:t>Nel corso dei lavori è inoltre stato ricordato come l’iniziativista Gianluca Padlina avesse già espresso la propria disponibilità a sostenere una soluzione condivisa che potesse rispondere in particolare alle esigenze manifestate dalle associazioni rappresentative del commercio al dettaglio, segnatamente DisTi e Federcommercio.</w:t>
      </w:r>
    </w:p>
    <w:p w:rsidR="00D42B84" w:rsidRPr="00D42B84" w:rsidRDefault="00D42B84" w:rsidP="00D42B84">
      <w:pPr>
        <w:spacing w:before="100" w:beforeAutospacing="1" w:after="100" w:afterAutospacing="1"/>
        <w:rPr>
          <w:rFonts w:cs="Arial"/>
          <w:color w:val="000000" w:themeColor="text1"/>
          <w:sz w:val="24"/>
          <w:szCs w:val="24"/>
        </w:rPr>
      </w:pPr>
      <w:r w:rsidRPr="00D42B84">
        <w:rPr>
          <w:rFonts w:cs="Arial"/>
          <w:color w:val="000000" w:themeColor="text1"/>
          <w:sz w:val="24"/>
          <w:szCs w:val="24"/>
        </w:rPr>
        <w:t xml:space="preserve">A seguito di tali approfondimenti, </w:t>
      </w:r>
      <w:r w:rsidRPr="00D42B84">
        <w:rPr>
          <w:rFonts w:cs="Arial"/>
          <w:color w:val="000000" w:themeColor="text1"/>
          <w:sz w:val="24"/>
          <w:szCs w:val="24"/>
          <w:u w:val="single"/>
        </w:rPr>
        <w:t>è stato possibile elaborare una proposta condivisa, ritenuta idonea a conciliare le esigenze di flessibilità espresse dal settore del commercio al dettaglio con la necessità di mantenere un quadro normativo chiaro, coordinato e coerente con l’impianto cantonale vigente.</w:t>
      </w:r>
    </w:p>
    <w:p w:rsidR="00D42B84" w:rsidRDefault="00D42B84" w:rsidP="00150079">
      <w:pPr>
        <w:rPr>
          <w:rFonts w:cs="Arial"/>
          <w:color w:val="000000" w:themeColor="text1"/>
          <w:sz w:val="24"/>
          <w:szCs w:val="24"/>
        </w:rPr>
      </w:pPr>
      <w:r w:rsidRPr="00D42B84">
        <w:rPr>
          <w:rFonts w:cs="Arial"/>
          <w:color w:val="000000" w:themeColor="text1"/>
          <w:sz w:val="24"/>
          <w:szCs w:val="24"/>
        </w:rPr>
        <w:t xml:space="preserve">La soluzione elaborata ha raccolto il consenso delle parti partecipanti agli approfondimenti, segnatamente del Dipartimento delle finanze e dell'economia, della DisTi, di Federcommercio e dell’iniziativista, in data 11 maggio 2026. </w:t>
      </w:r>
    </w:p>
    <w:p w:rsidR="00150079" w:rsidRDefault="00150079" w:rsidP="00150079">
      <w:pPr>
        <w:rPr>
          <w:rFonts w:cs="Arial"/>
          <w:color w:val="000000" w:themeColor="text1"/>
          <w:sz w:val="24"/>
          <w:szCs w:val="24"/>
        </w:rPr>
      </w:pPr>
    </w:p>
    <w:p w:rsidR="00150079" w:rsidRPr="00D42B84" w:rsidRDefault="00150079" w:rsidP="00150079">
      <w:pPr>
        <w:rPr>
          <w:rFonts w:cs="Arial"/>
          <w:color w:val="000000" w:themeColor="text1"/>
          <w:sz w:val="24"/>
          <w:szCs w:val="24"/>
        </w:rPr>
      </w:pPr>
    </w:p>
    <w:p w:rsidR="00D42B84" w:rsidRPr="00D42B84" w:rsidRDefault="00D42B84" w:rsidP="00150079">
      <w:pPr>
        <w:pStyle w:val="Titolo1"/>
        <w:tabs>
          <w:tab w:val="left" w:pos="567"/>
        </w:tabs>
        <w:spacing w:before="0"/>
        <w:ind w:left="567" w:hanging="567"/>
        <w:jc w:val="both"/>
        <w:rPr>
          <w:rFonts w:eastAsia="Calibri" w:cs="Times New Roman"/>
          <w:caps/>
          <w:sz w:val="24"/>
          <w:szCs w:val="24"/>
          <w:lang w:val="it-IT" w:eastAsia="it-IT"/>
        </w:rPr>
      </w:pPr>
      <w:bookmarkStart w:id="8" w:name="_Toc229326777"/>
      <w:r w:rsidRPr="00D42B84">
        <w:rPr>
          <w:rFonts w:eastAsia="Calibri" w:cs="Times New Roman"/>
          <w:caps/>
          <w:sz w:val="24"/>
          <w:szCs w:val="24"/>
          <w:lang w:val="it-IT" w:eastAsia="it-IT"/>
        </w:rPr>
        <w:t>4.</w:t>
      </w:r>
      <w:r w:rsidRPr="00D42B84">
        <w:rPr>
          <w:rFonts w:eastAsia="Calibri" w:cs="Times New Roman"/>
          <w:caps/>
          <w:sz w:val="24"/>
          <w:szCs w:val="24"/>
          <w:lang w:val="it-IT" w:eastAsia="it-IT"/>
        </w:rPr>
        <w:tab/>
        <w:t>CONSIDERAZIONI E APPROFONDIMENTO DELLA COMMISSIONE</w:t>
      </w:r>
      <w:bookmarkEnd w:id="8"/>
    </w:p>
    <w:p w:rsidR="00D42B84" w:rsidRDefault="00D42B84" w:rsidP="00150079">
      <w:pPr>
        <w:rPr>
          <w:rFonts w:cs="Arial"/>
          <w:color w:val="000000" w:themeColor="text1"/>
          <w:sz w:val="24"/>
          <w:szCs w:val="24"/>
        </w:rPr>
      </w:pPr>
      <w:r w:rsidRPr="00D42B84">
        <w:rPr>
          <w:rFonts w:cs="Arial"/>
          <w:color w:val="000000" w:themeColor="text1"/>
          <w:sz w:val="24"/>
          <w:szCs w:val="24"/>
        </w:rPr>
        <w:t xml:space="preserve">In tal senso, la Commissione ha proposto di affinare il testo legislativo, sulla base di una proposta condivisa con gli attori del settore (Federcommercio e DisTi) e il Dipartimento competente. La Commissione, sulla base degli elementi raccolti nel corso delle audizioni, segnatamente quelle dei rappresentanti delle associazioni di categoria e dell’iniziativista, nonché del Dipartimento delle finanze e dell’economia, ha preso atto delle diverse posizioni espresse. </w:t>
      </w:r>
    </w:p>
    <w:p w:rsidR="00150079" w:rsidRPr="00D42B84" w:rsidRDefault="00150079" w:rsidP="00150079">
      <w:pPr>
        <w:rPr>
          <w:rFonts w:cs="Arial"/>
          <w:color w:val="000000" w:themeColor="text1"/>
          <w:sz w:val="24"/>
          <w:szCs w:val="24"/>
        </w:rPr>
      </w:pPr>
    </w:p>
    <w:p w:rsidR="00D42B84" w:rsidRPr="00D42B84" w:rsidRDefault="00D42B84" w:rsidP="00150079">
      <w:pPr>
        <w:rPr>
          <w:rFonts w:cs="Arial"/>
          <w:color w:val="000000" w:themeColor="text1"/>
          <w:sz w:val="24"/>
          <w:szCs w:val="24"/>
        </w:rPr>
      </w:pPr>
      <w:r w:rsidRPr="00D42B84">
        <w:rPr>
          <w:rFonts w:cs="Arial"/>
          <w:color w:val="000000" w:themeColor="text1"/>
          <w:sz w:val="24"/>
          <w:szCs w:val="24"/>
        </w:rPr>
        <w:t xml:space="preserve">Dalle audizioni è emersa, da un lato, una convergenza sugli obiettivi generali della modifica legislativa, in particolare sulla necessità di introdurre una maggiore flessibilità nelle aperture domenicali a sostegno del commercio al dettaglio cantonale; dall’altro, la </w:t>
      </w:r>
      <w:r w:rsidRPr="00D42B84">
        <w:rPr>
          <w:rFonts w:cs="Arial"/>
          <w:color w:val="000000" w:themeColor="text1"/>
          <w:sz w:val="24"/>
          <w:szCs w:val="24"/>
        </w:rPr>
        <w:lastRenderedPageBreak/>
        <w:t>necessità di mantenere un impianto normativo chiaro, coordinato e coerente con il diritto federale e con le scelte finora operate a livello cantonale.</w:t>
      </w:r>
    </w:p>
    <w:p w:rsidR="00D42B84" w:rsidRDefault="00D42B84" w:rsidP="00D42B84">
      <w:pPr>
        <w:rPr>
          <w:rFonts w:cs="Arial"/>
          <w:color w:val="000000" w:themeColor="text1"/>
          <w:sz w:val="24"/>
          <w:szCs w:val="24"/>
        </w:rPr>
      </w:pPr>
      <w:r w:rsidRPr="00D42B84">
        <w:rPr>
          <w:rFonts w:cs="Arial"/>
          <w:color w:val="000000" w:themeColor="text1"/>
          <w:sz w:val="24"/>
          <w:szCs w:val="24"/>
        </w:rPr>
        <w:t xml:space="preserve">La Commissione richiama inoltre l’importanza del </w:t>
      </w:r>
      <w:r w:rsidRPr="00D42B84">
        <w:rPr>
          <w:rFonts w:cs="Arial"/>
          <w:color w:val="000000" w:themeColor="text1"/>
          <w:sz w:val="24"/>
          <w:szCs w:val="24"/>
          <w:u w:val="single"/>
        </w:rPr>
        <w:t>rispetto delle disposizioni previste dal diritto del lavoro in materia di occupazione del personale durante il lavoro domenicale e festivo</w:t>
      </w:r>
      <w:r w:rsidRPr="00D42B84">
        <w:rPr>
          <w:rFonts w:cs="Arial"/>
          <w:color w:val="000000" w:themeColor="text1"/>
          <w:sz w:val="24"/>
          <w:szCs w:val="24"/>
        </w:rPr>
        <w:t xml:space="preserve">, ritenendo essenziale che l’eventuale maggiore flessibilità delle aperture avvenga nel pieno rispetto delle condizioni lavorative e delle tutele previste dalla legislazione vigente. </w:t>
      </w:r>
    </w:p>
    <w:p w:rsidR="00150079" w:rsidRPr="00D42B84" w:rsidRDefault="00150079" w:rsidP="00D42B84">
      <w:pPr>
        <w:rPr>
          <w:rFonts w:cs="Arial"/>
          <w:color w:val="000000" w:themeColor="text1"/>
          <w:sz w:val="24"/>
          <w:szCs w:val="24"/>
        </w:rPr>
      </w:pPr>
    </w:p>
    <w:p w:rsidR="00D42B84" w:rsidRPr="00D42B84" w:rsidRDefault="00D42B84" w:rsidP="00D42B84">
      <w:pPr>
        <w:rPr>
          <w:rFonts w:cs="Arial"/>
          <w:color w:val="000000" w:themeColor="text1"/>
          <w:sz w:val="24"/>
          <w:szCs w:val="24"/>
        </w:rPr>
      </w:pPr>
      <w:r w:rsidRPr="00D42B84">
        <w:rPr>
          <w:rFonts w:cs="Arial"/>
          <w:color w:val="000000" w:themeColor="text1"/>
          <w:sz w:val="24"/>
          <w:szCs w:val="24"/>
        </w:rPr>
        <w:t>La Commissione rileva come vi sia una sostanziale apertura, sia da parte del Dipartimento sia da parte degli attori del settore, alla ricerca di una soluzione condivisa che consenta una differenziazione territoriale delle aperture domenicali, evitando nel contempo una frammentazione eccessiva del sistema.</w:t>
      </w:r>
    </w:p>
    <w:p w:rsidR="00D42B84" w:rsidRPr="00D42B84" w:rsidRDefault="00D42B84" w:rsidP="00D42B84">
      <w:pPr>
        <w:spacing w:before="100" w:beforeAutospacing="1" w:after="100" w:afterAutospacing="1"/>
        <w:rPr>
          <w:rFonts w:cs="Arial"/>
          <w:color w:val="000000" w:themeColor="text1"/>
          <w:sz w:val="24"/>
          <w:szCs w:val="24"/>
        </w:rPr>
      </w:pPr>
      <w:r w:rsidRPr="00D42B84">
        <w:rPr>
          <w:rFonts w:cs="Arial"/>
          <w:color w:val="000000" w:themeColor="text1"/>
          <w:sz w:val="24"/>
          <w:szCs w:val="24"/>
        </w:rPr>
        <w:t>In particolare, è emersa la possibilità di sviluppare un modello che, pur fondandosi sulla suddivisione regionale proposta dal Consiglio di Stato, consenta di tener conto anche di specifiche realtà territoriali caratterizzate dalla presenza di importanti poli commerciali, come individuati negli strumenti di pianificazione cantonale.</w:t>
      </w:r>
    </w:p>
    <w:p w:rsidR="00150079" w:rsidRDefault="00D42B84" w:rsidP="00D42B84">
      <w:pPr>
        <w:rPr>
          <w:rFonts w:cs="Arial"/>
          <w:color w:val="000000" w:themeColor="text1"/>
          <w:sz w:val="24"/>
          <w:szCs w:val="24"/>
        </w:rPr>
      </w:pPr>
      <w:r w:rsidRPr="00D42B84">
        <w:rPr>
          <w:rFonts w:cs="Arial"/>
          <w:color w:val="000000" w:themeColor="text1"/>
          <w:sz w:val="24"/>
          <w:szCs w:val="24"/>
        </w:rPr>
        <w:t>Alla luce di quanto precede, la Commissione economia e lavoro ritiene che vi siano le condizioni per elaborare una proposta normativa concreta che concili le diverse esigenze emerse, garantendo al contempo flessibilità, chiarezza applicativa e coordinamento a livello cantonale. In tal senso, la Commissione ha proposto di affinare il testo legislativo sulla base di una soluzione condivisa con il Dipartimento competente, con l’iniziativista e con gli attori del settore, segnatamente Federcommercio e DisTi.</w:t>
      </w:r>
    </w:p>
    <w:p w:rsidR="00D42B84" w:rsidRPr="00D42B84" w:rsidRDefault="00D42B84" w:rsidP="00D42B84">
      <w:pPr>
        <w:rPr>
          <w:rFonts w:cs="Arial"/>
          <w:color w:val="000000" w:themeColor="text1"/>
          <w:sz w:val="24"/>
          <w:szCs w:val="24"/>
        </w:rPr>
      </w:pPr>
      <w:r w:rsidRPr="00D42B84">
        <w:rPr>
          <w:rFonts w:cs="Arial"/>
          <w:color w:val="000000" w:themeColor="text1"/>
          <w:sz w:val="24"/>
          <w:szCs w:val="24"/>
        </w:rPr>
        <w:t xml:space="preserve"> </w:t>
      </w:r>
    </w:p>
    <w:p w:rsidR="00D42B84" w:rsidRPr="00D42B84" w:rsidRDefault="00D42B84" w:rsidP="00D42B84">
      <w:pPr>
        <w:rPr>
          <w:rFonts w:cs="Arial"/>
          <w:color w:val="000000" w:themeColor="text1"/>
          <w:sz w:val="24"/>
          <w:szCs w:val="24"/>
        </w:rPr>
      </w:pPr>
    </w:p>
    <w:p w:rsidR="00D42B84" w:rsidRPr="00D42B84" w:rsidRDefault="00D42B84" w:rsidP="00150079">
      <w:pPr>
        <w:pStyle w:val="Titolo1"/>
        <w:tabs>
          <w:tab w:val="left" w:pos="567"/>
        </w:tabs>
        <w:spacing w:before="0"/>
        <w:jc w:val="both"/>
        <w:rPr>
          <w:rFonts w:eastAsia="Calibri" w:cs="Times New Roman"/>
          <w:caps/>
          <w:sz w:val="24"/>
          <w:szCs w:val="24"/>
          <w:lang w:val="it-IT" w:eastAsia="it-IT"/>
        </w:rPr>
      </w:pPr>
      <w:bookmarkStart w:id="9" w:name="_Toc229326778"/>
      <w:r w:rsidRPr="00D42B84">
        <w:rPr>
          <w:rFonts w:eastAsia="Calibri" w:cs="Times New Roman"/>
          <w:caps/>
          <w:sz w:val="24"/>
          <w:szCs w:val="24"/>
          <w:lang w:val="it-IT" w:eastAsia="it-IT"/>
        </w:rPr>
        <w:t>5.</w:t>
      </w:r>
      <w:r w:rsidRPr="00D42B84">
        <w:rPr>
          <w:rFonts w:eastAsia="Calibri" w:cs="Times New Roman"/>
          <w:caps/>
          <w:sz w:val="24"/>
          <w:szCs w:val="24"/>
          <w:lang w:val="it-IT" w:eastAsia="it-IT"/>
        </w:rPr>
        <w:tab/>
        <w:t>PROPOSTA DELLA COMMISSIONE</w:t>
      </w:r>
      <w:bookmarkEnd w:id="9"/>
    </w:p>
    <w:p w:rsidR="00D42B84" w:rsidRPr="00D42B84" w:rsidRDefault="00D42B84" w:rsidP="00D42B84">
      <w:pPr>
        <w:spacing w:after="240"/>
        <w:rPr>
          <w:rFonts w:cs="Arial"/>
          <w:color w:val="000000" w:themeColor="text1"/>
          <w:sz w:val="24"/>
          <w:szCs w:val="24"/>
        </w:rPr>
      </w:pPr>
      <w:r w:rsidRPr="00D42B84">
        <w:rPr>
          <w:rFonts w:cs="Arial"/>
          <w:color w:val="000000" w:themeColor="text1"/>
          <w:sz w:val="24"/>
          <w:szCs w:val="24"/>
        </w:rPr>
        <w:t>Alla luce delle considerazioni che precedono, la Commissione propone una modifica dell’art. 13 cpv. 2 della Legge sull’apertura dei negozi (LAN) che tenga conto sia degli obiettivi dell’iniziativa parlamentare sia degli elementi emersi nel corso delle audizioni e degli approfondimenti successivamente svolti con il Dipartimento delle finanze e dell’economia, le associazioni di categoria e l’iniziativista.</w:t>
      </w:r>
    </w:p>
    <w:p w:rsidR="00D42B84" w:rsidRPr="00D42B84" w:rsidRDefault="00D42B84" w:rsidP="00D42B84">
      <w:pPr>
        <w:spacing w:after="240"/>
        <w:rPr>
          <w:rFonts w:cs="Arial"/>
          <w:sz w:val="24"/>
          <w:szCs w:val="24"/>
        </w:rPr>
      </w:pPr>
      <w:r w:rsidRPr="00D42B84">
        <w:rPr>
          <w:rFonts w:cs="Arial"/>
          <w:color w:val="000000" w:themeColor="text1"/>
          <w:sz w:val="24"/>
          <w:szCs w:val="24"/>
        </w:rPr>
        <w:t xml:space="preserve">La Commissione ritiene opportuno mantenere un’impostazione coordinata a livello cantonale, introducendo allo stesso tempo una maggiore flessibilità territoriale. La soluzione elaborata si fonda pertanto sulla ripartizione geografica delle quattro regioni turistiche riconosciute, prevedendo inoltre la possibilità di individuare specifiche località o comparti territoriali caratterizzati da una particolare rilevanza commerciale. A tal fine, oltre alla modifica dell’art. 13 cpv. 2 LAN, è previsto l’allestimento di uno specifico decreto esecutivo di competenza del Consiglio di Stato volto a definire concretamente le località e i comparti territoriali interessati dalle aperture generalizzate. </w:t>
      </w:r>
      <w:r w:rsidRPr="00D42B84">
        <w:rPr>
          <w:rFonts w:eastAsia="Times New Roman" w:cs="Arial"/>
          <w:sz w:val="24"/>
          <w:szCs w:val="24"/>
          <w:lang w:eastAsia="it-CH"/>
        </w:rPr>
        <w:t>La base della suddivisione in regioni è mutuata dall’ambito turistico, con alcune eccezioni concernenti alcune località. Per zone identificate dal Consiglio di Stato su proposta delle associazioni cantonali di riferimento (Federcommercio e DISTI), si intendono le seguenti località: Agno, Arbedo-Castione, Balerna e Morbio Inferiore, Bioggio, Pian Scairolo (comparto ubicato tra i comuni di Lugano, Grancia e Collina d’Oro), Sant’Antonino e Cadenazzo, Mendrisio (comparto di S. Martino), Riazzino (comparto ubicato tra i comuni di Lavertezzo e Locarno) e Tenero.</w:t>
      </w:r>
    </w:p>
    <w:p w:rsidR="00D42B84" w:rsidRPr="00D42B84" w:rsidRDefault="00D42B84" w:rsidP="00D42B84">
      <w:pPr>
        <w:spacing w:after="240"/>
        <w:rPr>
          <w:rFonts w:cs="Arial"/>
          <w:color w:val="000000" w:themeColor="text1"/>
          <w:sz w:val="24"/>
          <w:szCs w:val="24"/>
        </w:rPr>
      </w:pPr>
      <w:r w:rsidRPr="00D42B84">
        <w:rPr>
          <w:rFonts w:cs="Arial"/>
          <w:color w:val="000000" w:themeColor="text1"/>
          <w:sz w:val="24"/>
          <w:szCs w:val="24"/>
        </w:rPr>
        <w:lastRenderedPageBreak/>
        <w:t xml:space="preserve">La Commissione rileva come tale approccio consenta di mantenere nella legge un’impostazione sufficientemente flessibile e coordinata, demandando al decreto esecutivo gli aspetti territoriali di dettaglio, così da poter meglio rispondere all’evoluzione delle esigenze commerciali e del territorio. </w:t>
      </w:r>
    </w:p>
    <w:p w:rsidR="00D42B84" w:rsidRPr="00D42B84" w:rsidRDefault="00D42B84" w:rsidP="00D42B84">
      <w:pPr>
        <w:spacing w:after="240"/>
        <w:rPr>
          <w:rFonts w:cs="Arial"/>
          <w:color w:val="000000" w:themeColor="text1"/>
          <w:sz w:val="24"/>
          <w:szCs w:val="24"/>
        </w:rPr>
      </w:pPr>
      <w:r w:rsidRPr="00D42B84">
        <w:rPr>
          <w:rFonts w:cs="Arial"/>
          <w:color w:val="000000" w:themeColor="text1"/>
          <w:sz w:val="24"/>
          <w:szCs w:val="24"/>
        </w:rPr>
        <w:t>La Commissione ritiene che la soluzione individuata permetta di conciliare le esigenze di flessibilità espresse dagli operatori del settore con la necessità di garantire chiarezza normativa, semplicità applicativa e coerenza con l’impianto cantonale vigente.</w:t>
      </w:r>
    </w:p>
    <w:p w:rsidR="00D42B84" w:rsidRPr="00D42B84" w:rsidRDefault="00D42B84" w:rsidP="00D42B84">
      <w:pPr>
        <w:spacing w:after="240"/>
        <w:rPr>
          <w:rFonts w:cs="Arial"/>
          <w:color w:val="000000" w:themeColor="text1"/>
          <w:sz w:val="24"/>
          <w:szCs w:val="24"/>
        </w:rPr>
      </w:pPr>
      <w:r w:rsidRPr="00D42B84">
        <w:rPr>
          <w:rFonts w:cs="Arial"/>
          <w:color w:val="000000" w:themeColor="text1"/>
          <w:sz w:val="24"/>
          <w:szCs w:val="24"/>
        </w:rPr>
        <w:t xml:space="preserve">Anche per quanto riguarda il termine per la presentazione del piano concordato, inizialmente fissato dal Consiglio di Stato entro la fine del mese di ottobre dell’anno precedente, il dialogo tra le parti ha permesso di individuare una soluzione ritenuta maggiormente praticabile, prevedendo che il piano debba essere presentato </w:t>
      </w:r>
      <w:r w:rsidRPr="00D42B84">
        <w:rPr>
          <w:rFonts w:cs="Arial"/>
          <w:color w:val="000000" w:themeColor="text1"/>
          <w:sz w:val="24"/>
          <w:szCs w:val="24"/>
          <w:u w:val="single"/>
        </w:rPr>
        <w:t>entro 60 giorni dalla prima data richiesta</w:t>
      </w:r>
      <w:r w:rsidRPr="00D42B84">
        <w:rPr>
          <w:rFonts w:cs="Arial"/>
          <w:color w:val="000000" w:themeColor="text1"/>
          <w:sz w:val="24"/>
          <w:szCs w:val="24"/>
        </w:rPr>
        <w:t>. Tale termine tiene conto sia delle esigenze organizzative delle associazioni di categoria sia dei tempi necessari per l’emissione della decisione da parte dell’autorità competente, della relativa pubblicazione e degli eventuali termini di ricorso.</w:t>
      </w:r>
    </w:p>
    <w:p w:rsidR="00D42B84" w:rsidRPr="00D42B84" w:rsidRDefault="00D42B84" w:rsidP="00D42B84">
      <w:pPr>
        <w:spacing w:after="120"/>
        <w:rPr>
          <w:rFonts w:cs="Arial"/>
          <w:color w:val="000000" w:themeColor="text1"/>
          <w:sz w:val="24"/>
          <w:szCs w:val="24"/>
        </w:rPr>
      </w:pPr>
      <w:r w:rsidRPr="00D42B84">
        <w:rPr>
          <w:rFonts w:cs="Arial"/>
          <w:color w:val="000000" w:themeColor="text1"/>
          <w:sz w:val="24"/>
          <w:szCs w:val="24"/>
        </w:rPr>
        <w:t>La Commissione prende atto con soddisfazione del fatto che la soluzione elaborata abbia raccolto il consenso del Dipartimento competente, delle associazioni di categoria interessate, segnatamente Federcommercio e DisTi, nonché dagli iniziativisti.</w:t>
      </w:r>
    </w:p>
    <w:p w:rsidR="00D42B84" w:rsidRDefault="00D42B84" w:rsidP="00D42B84">
      <w:pPr>
        <w:rPr>
          <w:rFonts w:cs="Arial"/>
          <w:color w:val="000000" w:themeColor="text1"/>
          <w:sz w:val="24"/>
          <w:szCs w:val="24"/>
        </w:rPr>
      </w:pPr>
      <w:r w:rsidRPr="00D42B84">
        <w:rPr>
          <w:rFonts w:cs="Arial"/>
          <w:color w:val="000000" w:themeColor="text1"/>
          <w:sz w:val="24"/>
          <w:szCs w:val="24"/>
        </w:rPr>
        <w:t>A fini di chiarezza, si riporta di seguito un confronto tra il testo proposto dagli iniziativisti, il controprogetto del Consiglio di Stato e la formulazione elaborata dalla Commissione.</w:t>
      </w:r>
    </w:p>
    <w:p w:rsidR="00150079" w:rsidRPr="00D42B84" w:rsidRDefault="00150079" w:rsidP="00D42B84">
      <w:pPr>
        <w:rPr>
          <w:rFonts w:cs="Arial"/>
          <w:color w:val="000000" w:themeColor="text1"/>
          <w:sz w:val="24"/>
          <w:szCs w:val="24"/>
        </w:rPr>
      </w:pPr>
    </w:p>
    <w:p w:rsidR="00D42B84" w:rsidRPr="00D42B84" w:rsidRDefault="00D42B84" w:rsidP="00D42B84">
      <w:pPr>
        <w:spacing w:after="240"/>
        <w:rPr>
          <w:rFonts w:cs="Arial"/>
          <w:b/>
          <w:bCs/>
          <w:color w:val="000000" w:themeColor="text1"/>
          <w:sz w:val="24"/>
          <w:szCs w:val="24"/>
        </w:rPr>
      </w:pPr>
      <w:r w:rsidRPr="00D42B84">
        <w:rPr>
          <w:rFonts w:cs="Arial"/>
          <w:b/>
          <w:bCs/>
          <w:color w:val="000000" w:themeColor="text1"/>
          <w:sz w:val="24"/>
          <w:szCs w:val="24"/>
        </w:rPr>
        <w:t>Art. 13 cpv. 2 LAN</w:t>
      </w:r>
    </w:p>
    <w:tbl>
      <w:tblPr>
        <w:tblStyle w:val="Grigliatabella"/>
        <w:tblW w:w="9493" w:type="dxa"/>
        <w:tblLook w:val="04A0" w:firstRow="1" w:lastRow="0" w:firstColumn="1" w:lastColumn="0" w:noHBand="0" w:noVBand="1"/>
      </w:tblPr>
      <w:tblGrid>
        <w:gridCol w:w="2972"/>
        <w:gridCol w:w="3119"/>
        <w:gridCol w:w="3402"/>
      </w:tblGrid>
      <w:tr w:rsidR="00D42B84" w:rsidRPr="00D42B84" w:rsidTr="005A3A1E">
        <w:trPr>
          <w:cantSplit/>
          <w:trHeight w:val="584"/>
          <w:tblHeader/>
        </w:trPr>
        <w:tc>
          <w:tcPr>
            <w:tcW w:w="2972" w:type="dxa"/>
          </w:tcPr>
          <w:p w:rsidR="00D42B84" w:rsidRPr="00D42B84" w:rsidRDefault="00D42B84" w:rsidP="00D42B84">
            <w:pPr>
              <w:tabs>
                <w:tab w:val="left" w:pos="567"/>
              </w:tabs>
              <w:suppressAutoHyphens/>
              <w:rPr>
                <w:rFonts w:cs="Arial"/>
                <w:b/>
                <w:sz w:val="24"/>
                <w:szCs w:val="24"/>
              </w:rPr>
            </w:pPr>
            <w:r w:rsidRPr="00D42B84">
              <w:rPr>
                <w:rFonts w:cs="Arial"/>
                <w:b/>
                <w:sz w:val="24"/>
                <w:szCs w:val="24"/>
              </w:rPr>
              <w:t>Proposta di modifica oggetto dell’iniziativa</w:t>
            </w:r>
          </w:p>
        </w:tc>
        <w:tc>
          <w:tcPr>
            <w:tcW w:w="3119" w:type="dxa"/>
          </w:tcPr>
          <w:p w:rsidR="00D42B84" w:rsidRPr="00D42B84" w:rsidRDefault="00D42B84" w:rsidP="00D42B84">
            <w:pPr>
              <w:tabs>
                <w:tab w:val="left" w:pos="567"/>
              </w:tabs>
              <w:suppressAutoHyphens/>
              <w:rPr>
                <w:rFonts w:cs="Arial"/>
                <w:b/>
                <w:sz w:val="24"/>
                <w:szCs w:val="24"/>
              </w:rPr>
            </w:pPr>
            <w:r w:rsidRPr="00D42B84">
              <w:rPr>
                <w:rFonts w:cs="Arial"/>
                <w:b/>
                <w:sz w:val="24"/>
                <w:szCs w:val="24"/>
              </w:rPr>
              <w:t>Proposta del Governo (controprogetto)</w:t>
            </w:r>
          </w:p>
        </w:tc>
        <w:tc>
          <w:tcPr>
            <w:tcW w:w="3402" w:type="dxa"/>
          </w:tcPr>
          <w:p w:rsidR="00D42B84" w:rsidRPr="00D42B84" w:rsidRDefault="00D42B84" w:rsidP="00D42B84">
            <w:pPr>
              <w:tabs>
                <w:tab w:val="left" w:pos="567"/>
              </w:tabs>
              <w:suppressAutoHyphens/>
              <w:rPr>
                <w:rFonts w:cs="Arial"/>
                <w:b/>
                <w:sz w:val="24"/>
                <w:szCs w:val="24"/>
              </w:rPr>
            </w:pPr>
            <w:r w:rsidRPr="00D42B84">
              <w:rPr>
                <w:rFonts w:cs="Arial"/>
                <w:b/>
                <w:sz w:val="24"/>
                <w:szCs w:val="24"/>
              </w:rPr>
              <w:t>Proposta della Commissione</w:t>
            </w:r>
          </w:p>
        </w:tc>
      </w:tr>
      <w:tr w:rsidR="00D42B84" w:rsidRPr="00D42B84" w:rsidTr="005A3A1E">
        <w:trPr>
          <w:cantSplit/>
          <w:trHeight w:val="5038"/>
        </w:trPr>
        <w:tc>
          <w:tcPr>
            <w:tcW w:w="2972" w:type="dxa"/>
          </w:tcPr>
          <w:p w:rsidR="00D42B84" w:rsidRPr="00D42B84" w:rsidRDefault="00D42B84" w:rsidP="00D42B84">
            <w:pPr>
              <w:suppressAutoHyphens/>
              <w:ind w:left="179" w:hanging="142"/>
              <w:rPr>
                <w:rFonts w:cs="Arial"/>
                <w:noProof/>
              </w:rPr>
            </w:pPr>
            <w:r w:rsidRPr="00D42B84">
              <w:rPr>
                <w:rFonts w:cs="Arial"/>
                <w:noProof/>
                <w:vertAlign w:val="superscript"/>
              </w:rPr>
              <w:t xml:space="preserve">2 </w:t>
            </w:r>
            <w:r w:rsidRPr="00D42B84">
              <w:rPr>
                <w:rFonts w:cs="Arial"/>
                <w:noProof/>
                <w:vertAlign w:val="superscript"/>
              </w:rPr>
              <w:tab/>
            </w:r>
            <w:r w:rsidRPr="00D42B84">
              <w:rPr>
                <w:rFonts w:cs="Arial"/>
                <w:noProof/>
              </w:rPr>
              <w:t>L’apertura generalizzata dei negozi può essere concessa per un massimo di quattro domeniche all’anno, definite annualmente dal Dipartimento, tenendo conto delle differenze regionali e locali e delle richieste presentate delle associazioni del settore del commercio al dettaglio.</w:t>
            </w:r>
          </w:p>
        </w:tc>
        <w:tc>
          <w:tcPr>
            <w:tcW w:w="3119" w:type="dxa"/>
          </w:tcPr>
          <w:p w:rsidR="00D42B84" w:rsidRPr="00D42B84" w:rsidRDefault="00D42B84" w:rsidP="00D42B84">
            <w:pPr>
              <w:suppressAutoHyphens/>
              <w:ind w:left="118" w:right="187" w:hanging="118"/>
              <w:rPr>
                <w:rFonts w:cs="Arial"/>
                <w:noProof/>
                <w:highlight w:val="yellow"/>
              </w:rPr>
            </w:pPr>
            <w:r w:rsidRPr="00D42B84">
              <w:rPr>
                <w:rFonts w:cs="Arial"/>
                <w:noProof/>
                <w:vertAlign w:val="superscript"/>
              </w:rPr>
              <w:t>2</w:t>
            </w:r>
            <w:r w:rsidRPr="00D42B84">
              <w:rPr>
                <w:rFonts w:cs="Arial"/>
                <w:noProof/>
                <w:color w:val="FF0000"/>
              </w:rPr>
              <w:t xml:space="preserve"> </w:t>
            </w:r>
            <w:r w:rsidRPr="00D42B84">
              <w:rPr>
                <w:rFonts w:cs="Arial"/>
                <w:noProof/>
              </w:rPr>
              <w:t>L’apertura generalizzata dei negozi alla domenica e nei giorni festivi parificati alla domenica può essere concessa per un massimo di quattro domeniche all’anno, definite annualmente dal Dipartimento, tenendo conto delle differenze regionali, sulla base della ripartizione geografica delle quattro regioni turistiche riconosciute.</w:t>
            </w:r>
          </w:p>
          <w:p w:rsidR="00D42B84" w:rsidRPr="00D42B84" w:rsidRDefault="00D42B84" w:rsidP="00D42B84">
            <w:pPr>
              <w:suppressAutoHyphens/>
              <w:ind w:left="118" w:right="187" w:hanging="118"/>
              <w:rPr>
                <w:rFonts w:cs="Arial"/>
                <w:noProof/>
              </w:rPr>
            </w:pPr>
          </w:p>
          <w:p w:rsidR="00D42B84" w:rsidRPr="00D42B84" w:rsidRDefault="00D42B84" w:rsidP="00D42B84">
            <w:pPr>
              <w:suppressAutoHyphens/>
              <w:ind w:left="118" w:right="187" w:hanging="118"/>
              <w:rPr>
                <w:rFonts w:cs="Arial"/>
                <w:noProof/>
                <w:color w:val="FF0000"/>
              </w:rPr>
            </w:pPr>
            <w:r w:rsidRPr="00D42B84">
              <w:rPr>
                <w:rFonts w:cs="Arial"/>
                <w:noProof/>
              </w:rPr>
              <w:tab/>
              <w:t>L’associazione cantonale di riferimento è tenuta a presentare, entro la fine di ottobre dell’anno precedente, un piano concordato che indichi tutte le giornate di apertura generalizzata.</w:t>
            </w:r>
          </w:p>
        </w:tc>
        <w:tc>
          <w:tcPr>
            <w:tcW w:w="3402" w:type="dxa"/>
          </w:tcPr>
          <w:p w:rsidR="00D42B84" w:rsidRPr="00D42B84" w:rsidRDefault="00D42B84" w:rsidP="00D42B84">
            <w:pPr>
              <w:suppressAutoHyphens/>
              <w:ind w:left="118" w:right="187" w:hanging="118"/>
              <w:rPr>
                <w:rFonts w:cs="Arial"/>
                <w:noProof/>
                <w:highlight w:val="yellow"/>
              </w:rPr>
            </w:pPr>
            <w:r w:rsidRPr="00D42B84">
              <w:rPr>
                <w:rFonts w:cs="Arial"/>
                <w:noProof/>
                <w:vertAlign w:val="superscript"/>
              </w:rPr>
              <w:t xml:space="preserve">2 </w:t>
            </w:r>
            <w:r w:rsidRPr="00D42B84">
              <w:rPr>
                <w:rFonts w:cs="Arial"/>
                <w:noProof/>
              </w:rPr>
              <w:t>L’apertura generalizzata dei negozi alla domenica e nei giorni festivi parificati alla domenica può essere concessa per un massimo di quattro domeniche all’anno, definite annualmente dal Dipartimento, tenendo conto delle differenze regionali, sulla base della ripartizione geografica delle quattro regioni turistiche riconosciute e delle zone identificate dal Consiglio di Stato su proposta dell’associazione cantonale di riferimento.</w:t>
            </w:r>
          </w:p>
          <w:p w:rsidR="00D42B84" w:rsidRPr="00D42B84" w:rsidRDefault="00D42B84" w:rsidP="00D42B84">
            <w:pPr>
              <w:suppressAutoHyphens/>
              <w:ind w:left="118" w:right="187" w:hanging="118"/>
              <w:rPr>
                <w:rFonts w:cs="Arial"/>
                <w:noProof/>
              </w:rPr>
            </w:pPr>
          </w:p>
          <w:p w:rsidR="00D42B84" w:rsidRPr="00D42B84" w:rsidRDefault="00D42B84" w:rsidP="00D42B84">
            <w:pPr>
              <w:suppressAutoHyphens/>
              <w:ind w:left="118" w:right="187" w:hanging="118"/>
              <w:rPr>
                <w:rFonts w:cs="Arial"/>
                <w:noProof/>
                <w:vertAlign w:val="superscript"/>
              </w:rPr>
            </w:pPr>
            <w:r w:rsidRPr="00D42B84">
              <w:rPr>
                <w:rFonts w:cs="Arial"/>
                <w:noProof/>
              </w:rPr>
              <w:tab/>
              <w:t>L’associazione cantonale di riferimento è tenuta a presentare, entro 60 giorni dalla prima data richiesta, un piano concordato che indichi tutte le giornate di apertura generalizzata.</w:t>
            </w:r>
          </w:p>
        </w:tc>
      </w:tr>
    </w:tbl>
    <w:p w:rsidR="00150079" w:rsidRDefault="00150079" w:rsidP="00150079">
      <w:pPr>
        <w:pStyle w:val="EnclosuresBox1"/>
      </w:pPr>
      <w:bookmarkStart w:id="10" w:name="_Toc229326779"/>
    </w:p>
    <w:p w:rsidR="00D42B84" w:rsidRPr="00D42B84" w:rsidRDefault="00D42B84" w:rsidP="00150079">
      <w:pPr>
        <w:pStyle w:val="Titolo1"/>
        <w:tabs>
          <w:tab w:val="left" w:pos="567"/>
        </w:tabs>
        <w:spacing w:before="0"/>
        <w:ind w:left="567" w:hanging="567"/>
        <w:jc w:val="both"/>
        <w:rPr>
          <w:rFonts w:eastAsia="Calibri" w:cs="Times New Roman"/>
          <w:caps/>
          <w:sz w:val="24"/>
          <w:szCs w:val="24"/>
          <w:lang w:val="it-IT" w:eastAsia="it-IT"/>
        </w:rPr>
      </w:pPr>
      <w:r w:rsidRPr="00150079">
        <w:rPr>
          <w:rFonts w:eastAsia="Calibri" w:cs="Times New Roman"/>
          <w:caps/>
          <w:sz w:val="24"/>
          <w:szCs w:val="24"/>
          <w:lang w:val="it-IT" w:eastAsia="it-IT"/>
        </w:rPr>
        <w:lastRenderedPageBreak/>
        <w:t>6.</w:t>
      </w:r>
      <w:r w:rsidRPr="00150079">
        <w:rPr>
          <w:rFonts w:eastAsia="Calibri" w:cs="Times New Roman"/>
          <w:caps/>
          <w:sz w:val="24"/>
          <w:szCs w:val="24"/>
          <w:lang w:val="it-IT" w:eastAsia="it-IT"/>
        </w:rPr>
        <w:tab/>
        <w:t>CONCLUSIONI</w:t>
      </w:r>
      <w:bookmarkEnd w:id="10"/>
    </w:p>
    <w:p w:rsidR="00D42B84" w:rsidRPr="00D42B84" w:rsidRDefault="00D42B84" w:rsidP="00D42B84">
      <w:pPr>
        <w:rPr>
          <w:rFonts w:eastAsia="Times New Roman" w:cs="Arial"/>
          <w:color w:val="000000" w:themeColor="text1"/>
          <w:sz w:val="24"/>
          <w:szCs w:val="24"/>
          <w:lang w:eastAsia="it-CH"/>
        </w:rPr>
      </w:pPr>
      <w:r w:rsidRPr="00D42B84">
        <w:rPr>
          <w:rFonts w:eastAsia="Times New Roman" w:cs="Arial"/>
          <w:color w:val="000000" w:themeColor="text1"/>
          <w:sz w:val="24"/>
          <w:szCs w:val="24"/>
          <w:lang w:eastAsia="it-CH"/>
        </w:rPr>
        <w:t>Alla luce delle considerazioni che precedono, la Commissione economia e lavoro invita il Gran Consiglio ad accogliere l’iniziativa parlamentare elaborata, parzialmente emendata, adottando una soluzione equilibrata che consenta una maggiore flessibilità delle aperture domenicali nel rispetto di un quadro normativo chiaro e coordinato, mediante la modifica dell’art. 13 cpv. 2 della Legge sull’apertura dei negozi (LAN) secondo la formulazione proposta da</w:t>
      </w:r>
      <w:r w:rsidR="000F33FC">
        <w:rPr>
          <w:rFonts w:eastAsia="Times New Roman" w:cs="Arial"/>
          <w:color w:val="000000" w:themeColor="text1"/>
          <w:sz w:val="24"/>
          <w:szCs w:val="24"/>
          <w:lang w:eastAsia="it-CH"/>
        </w:rPr>
        <w:t>lla Commissione nel disegno di l</w:t>
      </w:r>
      <w:r w:rsidRPr="00D42B84">
        <w:rPr>
          <w:rFonts w:eastAsia="Times New Roman" w:cs="Arial"/>
          <w:color w:val="000000" w:themeColor="text1"/>
          <w:sz w:val="24"/>
          <w:szCs w:val="24"/>
          <w:lang w:eastAsia="it-CH"/>
        </w:rPr>
        <w:t>egge annesso al presente rapporto.</w:t>
      </w:r>
    </w:p>
    <w:p w:rsidR="00D42B84" w:rsidRDefault="00D42B84" w:rsidP="00D42B84">
      <w:pPr>
        <w:jc w:val="left"/>
        <w:rPr>
          <w:rFonts w:eastAsia="Times New Roman" w:cs="Arial"/>
          <w:color w:val="000000" w:themeColor="text1"/>
          <w:sz w:val="24"/>
          <w:szCs w:val="24"/>
          <w:lang w:eastAsia="it-CH"/>
        </w:rPr>
      </w:pPr>
    </w:p>
    <w:p w:rsidR="00150079" w:rsidRPr="00D42B84" w:rsidRDefault="00150079" w:rsidP="00D42B84">
      <w:pPr>
        <w:jc w:val="left"/>
        <w:rPr>
          <w:rFonts w:eastAsia="Times New Roman" w:cs="Arial"/>
          <w:color w:val="000000" w:themeColor="text1"/>
          <w:sz w:val="24"/>
          <w:szCs w:val="24"/>
          <w:lang w:eastAsia="it-CH"/>
        </w:rPr>
      </w:pPr>
    </w:p>
    <w:p w:rsidR="00D42B84" w:rsidRPr="00D42B84" w:rsidRDefault="00D42B84" w:rsidP="00150079">
      <w:pPr>
        <w:spacing w:after="120"/>
        <w:jc w:val="left"/>
        <w:rPr>
          <w:rFonts w:eastAsia="Times New Roman" w:cs="Arial"/>
          <w:color w:val="000000" w:themeColor="text1"/>
          <w:sz w:val="24"/>
          <w:szCs w:val="24"/>
          <w:lang w:eastAsia="it-CH"/>
        </w:rPr>
      </w:pPr>
      <w:r w:rsidRPr="00D42B84">
        <w:rPr>
          <w:rFonts w:eastAsia="Times New Roman" w:cs="Arial"/>
          <w:color w:val="000000" w:themeColor="text1"/>
          <w:sz w:val="24"/>
          <w:szCs w:val="24"/>
          <w:lang w:eastAsia="it-CH"/>
        </w:rPr>
        <w:t>Per la Commissione economia e lavoro:</w:t>
      </w:r>
    </w:p>
    <w:p w:rsidR="00D42B84" w:rsidRPr="00D42B84" w:rsidRDefault="00D42B84" w:rsidP="00D42B84">
      <w:pPr>
        <w:jc w:val="left"/>
        <w:rPr>
          <w:rFonts w:eastAsia="Times New Roman" w:cs="Arial"/>
          <w:color w:val="000000" w:themeColor="text1"/>
          <w:sz w:val="24"/>
          <w:szCs w:val="24"/>
          <w:lang w:eastAsia="it-CH"/>
        </w:rPr>
      </w:pPr>
      <w:r w:rsidRPr="00D42B84">
        <w:rPr>
          <w:rFonts w:eastAsia="Times New Roman" w:cs="Arial"/>
          <w:color w:val="000000" w:themeColor="text1"/>
          <w:sz w:val="24"/>
          <w:szCs w:val="24"/>
          <w:lang w:eastAsia="it-CH"/>
        </w:rPr>
        <w:t>Sara Demir</w:t>
      </w:r>
      <w:r w:rsidR="00150079" w:rsidRPr="00150079">
        <w:rPr>
          <w:rFonts w:eastAsia="Times New Roman" w:cs="Arial"/>
          <w:color w:val="000000" w:themeColor="text1"/>
          <w:sz w:val="24"/>
          <w:szCs w:val="24"/>
          <w:lang w:eastAsia="it-CH"/>
        </w:rPr>
        <w:t xml:space="preserve"> e Luca Renzetti</w:t>
      </w:r>
      <w:r w:rsidRPr="00D42B84">
        <w:rPr>
          <w:rFonts w:eastAsia="Times New Roman" w:cs="Arial"/>
          <w:color w:val="000000" w:themeColor="text1"/>
          <w:sz w:val="24"/>
          <w:szCs w:val="24"/>
          <w:lang w:eastAsia="it-CH"/>
        </w:rPr>
        <w:t xml:space="preserve">, </w:t>
      </w:r>
      <w:r w:rsidR="00150079" w:rsidRPr="00150079">
        <w:rPr>
          <w:rFonts w:eastAsia="Times New Roman" w:cs="Arial"/>
          <w:color w:val="000000" w:themeColor="text1"/>
          <w:sz w:val="24"/>
          <w:szCs w:val="24"/>
          <w:lang w:eastAsia="it-CH"/>
        </w:rPr>
        <w:t>relatori</w:t>
      </w:r>
    </w:p>
    <w:p w:rsidR="00D42B84" w:rsidRPr="00D42B84" w:rsidRDefault="00D42B84" w:rsidP="00D42B84">
      <w:pPr>
        <w:rPr>
          <w:rFonts w:eastAsia="Times New Roman" w:cs="Arial"/>
          <w:color w:val="000000" w:themeColor="text1"/>
          <w:sz w:val="24"/>
          <w:szCs w:val="24"/>
          <w:lang w:eastAsia="it-CH"/>
        </w:rPr>
      </w:pPr>
      <w:r w:rsidRPr="00D42B84">
        <w:rPr>
          <w:rFonts w:eastAsia="Times New Roman" w:cs="Arial"/>
          <w:color w:val="000000" w:themeColor="text1"/>
          <w:sz w:val="24"/>
          <w:szCs w:val="24"/>
          <w:lang w:eastAsia="it-CH"/>
        </w:rPr>
        <w:t>Balli</w:t>
      </w:r>
      <w:r w:rsidR="00150079">
        <w:rPr>
          <w:rFonts w:eastAsia="Times New Roman" w:cs="Arial"/>
          <w:color w:val="000000" w:themeColor="text1"/>
          <w:sz w:val="24"/>
          <w:szCs w:val="24"/>
          <w:lang w:eastAsia="it-CH"/>
        </w:rPr>
        <w:t xml:space="preserve"> </w:t>
      </w:r>
      <w:r w:rsidR="00553AA1">
        <w:rPr>
          <w:rFonts w:eastAsia="Times New Roman" w:cs="Arial"/>
          <w:color w:val="000000" w:themeColor="text1"/>
          <w:sz w:val="24"/>
          <w:szCs w:val="24"/>
          <w:lang w:eastAsia="it-CH"/>
        </w:rPr>
        <w:t>-</w:t>
      </w:r>
      <w:r w:rsidR="00150079">
        <w:rPr>
          <w:rFonts w:eastAsia="Times New Roman" w:cs="Arial"/>
          <w:color w:val="000000" w:themeColor="text1"/>
          <w:sz w:val="24"/>
          <w:szCs w:val="24"/>
          <w:lang w:eastAsia="it-CH"/>
        </w:rPr>
        <w:t xml:space="preserve"> </w:t>
      </w:r>
      <w:r w:rsidRPr="00D42B84">
        <w:rPr>
          <w:rFonts w:eastAsia="Times New Roman" w:cs="Arial"/>
          <w:color w:val="000000" w:themeColor="text1"/>
          <w:sz w:val="24"/>
          <w:szCs w:val="24"/>
          <w:lang w:eastAsia="it-CH"/>
        </w:rPr>
        <w:t>Bassi</w:t>
      </w:r>
      <w:r w:rsidR="00150079">
        <w:rPr>
          <w:rFonts w:eastAsia="Times New Roman" w:cs="Arial"/>
          <w:color w:val="000000" w:themeColor="text1"/>
          <w:sz w:val="24"/>
          <w:szCs w:val="24"/>
          <w:lang w:eastAsia="it-CH"/>
        </w:rPr>
        <w:t xml:space="preserve"> </w:t>
      </w:r>
      <w:r w:rsidR="00553AA1">
        <w:rPr>
          <w:rFonts w:eastAsia="Times New Roman" w:cs="Arial"/>
          <w:color w:val="000000" w:themeColor="text1"/>
          <w:sz w:val="24"/>
          <w:szCs w:val="24"/>
          <w:lang w:eastAsia="it-CH"/>
        </w:rPr>
        <w:t>-</w:t>
      </w:r>
      <w:r w:rsidR="00150079">
        <w:rPr>
          <w:rFonts w:eastAsia="Times New Roman" w:cs="Arial"/>
          <w:color w:val="000000" w:themeColor="text1"/>
          <w:sz w:val="24"/>
          <w:szCs w:val="24"/>
          <w:lang w:eastAsia="it-CH"/>
        </w:rPr>
        <w:t xml:space="preserve"> Berardi (</w:t>
      </w:r>
      <w:r w:rsidRPr="00D42B84">
        <w:rPr>
          <w:rFonts w:eastAsia="Times New Roman" w:cs="Arial"/>
          <w:color w:val="000000" w:themeColor="text1"/>
          <w:sz w:val="24"/>
          <w:szCs w:val="24"/>
          <w:lang w:eastAsia="it-CH"/>
        </w:rPr>
        <w:t>con riserva</w:t>
      </w:r>
      <w:r w:rsidR="00150079">
        <w:rPr>
          <w:rFonts w:eastAsia="Times New Roman" w:cs="Arial"/>
          <w:color w:val="000000" w:themeColor="text1"/>
          <w:sz w:val="24"/>
          <w:szCs w:val="24"/>
          <w:lang w:eastAsia="it-CH"/>
        </w:rPr>
        <w:t xml:space="preserve">) - </w:t>
      </w:r>
      <w:r w:rsidRPr="00D42B84">
        <w:rPr>
          <w:rFonts w:eastAsia="Times New Roman" w:cs="Arial"/>
          <w:color w:val="000000" w:themeColor="text1"/>
          <w:sz w:val="24"/>
          <w:szCs w:val="24"/>
          <w:lang w:eastAsia="it-CH"/>
        </w:rPr>
        <w:t xml:space="preserve">Censi </w:t>
      </w:r>
      <w:r w:rsidR="00150079">
        <w:rPr>
          <w:rFonts w:eastAsia="Times New Roman" w:cs="Arial"/>
          <w:color w:val="000000" w:themeColor="text1"/>
          <w:sz w:val="24"/>
          <w:szCs w:val="24"/>
          <w:lang w:eastAsia="it-CH"/>
        </w:rPr>
        <w:t>-</w:t>
      </w:r>
    </w:p>
    <w:p w:rsidR="00D42B84" w:rsidRPr="00D42B84" w:rsidRDefault="00D42B84" w:rsidP="00D42B84">
      <w:pPr>
        <w:rPr>
          <w:rFonts w:eastAsia="Times New Roman" w:cs="Arial"/>
          <w:color w:val="000000" w:themeColor="text1"/>
          <w:sz w:val="24"/>
          <w:szCs w:val="24"/>
          <w:lang w:eastAsia="it-CH"/>
        </w:rPr>
      </w:pPr>
      <w:r w:rsidRPr="00D42B84">
        <w:rPr>
          <w:rFonts w:eastAsia="Times New Roman" w:cs="Arial"/>
          <w:color w:val="000000" w:themeColor="text1"/>
          <w:sz w:val="24"/>
          <w:szCs w:val="24"/>
          <w:lang w:eastAsia="it-CH"/>
        </w:rPr>
        <w:t>Galeazzi</w:t>
      </w:r>
      <w:r w:rsidR="00150079">
        <w:rPr>
          <w:rFonts w:eastAsia="Times New Roman" w:cs="Arial"/>
          <w:color w:val="000000" w:themeColor="text1"/>
          <w:sz w:val="24"/>
          <w:szCs w:val="24"/>
          <w:lang w:eastAsia="it-CH"/>
        </w:rPr>
        <w:t xml:space="preserve"> - </w:t>
      </w:r>
      <w:r w:rsidRPr="00D42B84">
        <w:rPr>
          <w:rFonts w:eastAsia="Times New Roman" w:cs="Arial"/>
          <w:color w:val="000000" w:themeColor="text1"/>
          <w:sz w:val="24"/>
          <w:szCs w:val="24"/>
          <w:lang w:eastAsia="it-CH"/>
        </w:rPr>
        <w:t>Ghisla</w:t>
      </w:r>
      <w:r w:rsidR="00150079">
        <w:rPr>
          <w:rFonts w:eastAsia="Times New Roman" w:cs="Arial"/>
          <w:color w:val="000000" w:themeColor="text1"/>
          <w:sz w:val="24"/>
          <w:szCs w:val="24"/>
          <w:lang w:eastAsia="it-CH"/>
        </w:rPr>
        <w:t xml:space="preserve"> - Isabella (</w:t>
      </w:r>
      <w:r w:rsidRPr="00D42B84">
        <w:rPr>
          <w:rFonts w:eastAsia="Times New Roman" w:cs="Arial"/>
          <w:color w:val="000000" w:themeColor="text1"/>
          <w:sz w:val="24"/>
          <w:szCs w:val="24"/>
          <w:lang w:eastAsia="it-CH"/>
        </w:rPr>
        <w:t>con riserva</w:t>
      </w:r>
      <w:r w:rsidR="00150079">
        <w:rPr>
          <w:rFonts w:eastAsia="Times New Roman" w:cs="Arial"/>
          <w:color w:val="000000" w:themeColor="text1"/>
          <w:sz w:val="24"/>
          <w:szCs w:val="24"/>
          <w:lang w:eastAsia="it-CH"/>
        </w:rPr>
        <w:t xml:space="preserve">) - </w:t>
      </w:r>
      <w:r w:rsidRPr="00D42B84">
        <w:rPr>
          <w:rFonts w:eastAsia="Times New Roman" w:cs="Arial"/>
          <w:color w:val="000000" w:themeColor="text1"/>
          <w:sz w:val="24"/>
          <w:szCs w:val="24"/>
          <w:lang w:eastAsia="it-CH"/>
        </w:rPr>
        <w:t>Maderni</w:t>
      </w:r>
      <w:r w:rsidR="00150079">
        <w:rPr>
          <w:rFonts w:eastAsia="Times New Roman" w:cs="Arial"/>
          <w:color w:val="000000" w:themeColor="text1"/>
          <w:sz w:val="24"/>
          <w:szCs w:val="24"/>
          <w:lang w:eastAsia="it-CH"/>
        </w:rPr>
        <w:t xml:space="preserve"> -</w:t>
      </w:r>
    </w:p>
    <w:p w:rsidR="00D42B84" w:rsidRPr="00D42B84" w:rsidRDefault="00D42B84" w:rsidP="00D42B84">
      <w:pPr>
        <w:rPr>
          <w:rFonts w:eastAsia="Times New Roman" w:cs="Arial"/>
          <w:color w:val="000000" w:themeColor="text1"/>
          <w:sz w:val="24"/>
          <w:szCs w:val="24"/>
          <w:lang w:eastAsia="it-CH"/>
        </w:rPr>
      </w:pPr>
      <w:r w:rsidRPr="00D42B84">
        <w:rPr>
          <w:rFonts w:eastAsia="Times New Roman" w:cs="Arial"/>
          <w:color w:val="000000" w:themeColor="text1"/>
          <w:sz w:val="24"/>
          <w:szCs w:val="24"/>
          <w:lang w:eastAsia="it-CH"/>
        </w:rPr>
        <w:t>Mirante</w:t>
      </w:r>
      <w:r w:rsidR="00150079">
        <w:rPr>
          <w:rFonts w:eastAsia="Times New Roman" w:cs="Arial"/>
          <w:color w:val="000000" w:themeColor="text1"/>
          <w:sz w:val="24"/>
          <w:szCs w:val="24"/>
          <w:lang w:eastAsia="it-CH"/>
        </w:rPr>
        <w:t xml:space="preserve"> - </w:t>
      </w:r>
      <w:r w:rsidRPr="00D42B84">
        <w:rPr>
          <w:rFonts w:eastAsia="Times New Roman" w:cs="Arial"/>
          <w:color w:val="000000" w:themeColor="text1"/>
          <w:sz w:val="24"/>
          <w:szCs w:val="24"/>
          <w:lang w:eastAsia="it-CH"/>
        </w:rPr>
        <w:t xml:space="preserve">Ponti </w:t>
      </w:r>
      <w:r w:rsidR="00150079">
        <w:rPr>
          <w:rFonts w:eastAsia="Times New Roman" w:cs="Arial"/>
          <w:color w:val="000000" w:themeColor="text1"/>
          <w:sz w:val="24"/>
          <w:szCs w:val="24"/>
          <w:lang w:eastAsia="it-CH"/>
        </w:rPr>
        <w:t xml:space="preserve">- </w:t>
      </w:r>
      <w:r w:rsidRPr="00D42B84">
        <w:rPr>
          <w:rFonts w:eastAsia="Times New Roman" w:cs="Arial"/>
          <w:color w:val="000000" w:themeColor="text1"/>
          <w:sz w:val="24"/>
          <w:szCs w:val="24"/>
          <w:lang w:eastAsia="it-CH"/>
        </w:rPr>
        <w:t>Quadri</w:t>
      </w:r>
      <w:r w:rsidR="00150079">
        <w:rPr>
          <w:rFonts w:eastAsia="Times New Roman" w:cs="Arial"/>
          <w:color w:val="000000" w:themeColor="text1"/>
          <w:sz w:val="24"/>
          <w:szCs w:val="24"/>
          <w:lang w:eastAsia="it-CH"/>
        </w:rPr>
        <w:t xml:space="preserve"> - </w:t>
      </w:r>
      <w:r w:rsidRPr="00D42B84">
        <w:rPr>
          <w:rFonts w:eastAsia="Times New Roman" w:cs="Arial"/>
          <w:color w:val="000000" w:themeColor="text1"/>
          <w:sz w:val="24"/>
          <w:szCs w:val="24"/>
          <w:lang w:eastAsia="it-CH"/>
        </w:rPr>
        <w:t>Speziali</w:t>
      </w:r>
      <w:r w:rsidR="00150079">
        <w:rPr>
          <w:rFonts w:eastAsia="Times New Roman" w:cs="Arial"/>
          <w:color w:val="000000" w:themeColor="text1"/>
          <w:sz w:val="24"/>
          <w:szCs w:val="24"/>
          <w:lang w:eastAsia="it-CH"/>
        </w:rPr>
        <w:t xml:space="preserve"> - </w:t>
      </w:r>
      <w:r w:rsidRPr="00D42B84">
        <w:rPr>
          <w:rFonts w:eastAsia="Times New Roman" w:cs="Arial"/>
          <w:color w:val="000000" w:themeColor="text1"/>
          <w:sz w:val="24"/>
          <w:szCs w:val="24"/>
          <w:lang w:eastAsia="it-CH"/>
        </w:rPr>
        <w:t>Tenconi</w:t>
      </w:r>
      <w:r w:rsidRPr="00D42B84">
        <w:rPr>
          <w:rFonts w:eastAsia="Times New Roman" w:cs="Arial"/>
          <w:color w:val="000000" w:themeColor="text1"/>
          <w:sz w:val="24"/>
          <w:szCs w:val="24"/>
          <w:lang w:eastAsia="it-CH"/>
        </w:rPr>
        <w:tab/>
      </w:r>
    </w:p>
    <w:p w:rsidR="00D42B84" w:rsidRPr="00D42B84" w:rsidRDefault="00D42B84" w:rsidP="00D42B84">
      <w:pPr>
        <w:rPr>
          <w:rFonts w:eastAsia="Times New Roman" w:cs="Arial"/>
          <w:color w:val="000000" w:themeColor="text1"/>
          <w:sz w:val="24"/>
          <w:szCs w:val="24"/>
          <w:lang w:eastAsia="it-CH"/>
        </w:rPr>
      </w:pPr>
    </w:p>
    <w:p w:rsidR="00D42B84" w:rsidRPr="00D42B84" w:rsidRDefault="00D42B84" w:rsidP="00D42B84">
      <w:pPr>
        <w:rPr>
          <w:rFonts w:eastAsia="Times New Roman" w:cs="Arial"/>
          <w:color w:val="000000" w:themeColor="text1"/>
          <w:sz w:val="24"/>
          <w:szCs w:val="24"/>
          <w:lang w:eastAsia="it-CH"/>
        </w:rPr>
      </w:pPr>
      <w:r w:rsidRPr="00D42B84">
        <w:rPr>
          <w:rFonts w:eastAsia="Times New Roman" w:cs="Arial"/>
          <w:color w:val="000000" w:themeColor="text1"/>
          <w:sz w:val="24"/>
          <w:szCs w:val="24"/>
          <w:lang w:eastAsia="it-CH"/>
        </w:rPr>
        <w:br w:type="page"/>
      </w:r>
    </w:p>
    <w:p w:rsidR="00D42B84" w:rsidRPr="00D42B84" w:rsidRDefault="00D42B84" w:rsidP="00D42B84">
      <w:pPr>
        <w:jc w:val="left"/>
        <w:rPr>
          <w:rFonts w:eastAsia="Times New Roman" w:cs="Arial"/>
          <w:sz w:val="24"/>
          <w:szCs w:val="24"/>
          <w:lang w:eastAsia="it-IT"/>
        </w:rPr>
      </w:pPr>
      <w:r w:rsidRPr="00D42B84">
        <w:rPr>
          <w:rFonts w:eastAsia="Times New Roman" w:cs="Arial"/>
          <w:sz w:val="24"/>
          <w:szCs w:val="24"/>
          <w:lang w:eastAsia="it-IT"/>
        </w:rPr>
        <w:lastRenderedPageBreak/>
        <w:t>Disegno di</w:t>
      </w:r>
    </w:p>
    <w:p w:rsidR="00D42B84" w:rsidRPr="00D42B84" w:rsidRDefault="00D42B84" w:rsidP="00D42B84">
      <w:pPr>
        <w:jc w:val="left"/>
        <w:rPr>
          <w:rFonts w:eastAsia="Times New Roman" w:cs="Arial"/>
          <w:sz w:val="24"/>
          <w:szCs w:val="24"/>
          <w:lang w:eastAsia="it-IT"/>
        </w:rPr>
      </w:pPr>
    </w:p>
    <w:p w:rsidR="00D42B84" w:rsidRPr="00D42B84" w:rsidRDefault="00D42B84" w:rsidP="00D42B84">
      <w:pPr>
        <w:jc w:val="left"/>
        <w:rPr>
          <w:rFonts w:eastAsia="Times New Roman" w:cs="Arial"/>
          <w:b/>
          <w:sz w:val="24"/>
          <w:szCs w:val="24"/>
          <w:lang w:eastAsia="it-IT"/>
        </w:rPr>
      </w:pPr>
      <w:r w:rsidRPr="00D42B84">
        <w:rPr>
          <w:rFonts w:eastAsia="Times New Roman" w:cs="Arial"/>
          <w:b/>
          <w:sz w:val="24"/>
          <w:szCs w:val="24"/>
          <w:lang w:eastAsia="it-IT"/>
        </w:rPr>
        <w:t>Legge</w:t>
      </w:r>
    </w:p>
    <w:p w:rsidR="00D42B84" w:rsidRPr="00D42B84" w:rsidRDefault="00D42B84" w:rsidP="00D42B84">
      <w:pPr>
        <w:jc w:val="left"/>
        <w:rPr>
          <w:rFonts w:eastAsia="Times New Roman" w:cs="Arial"/>
          <w:b/>
          <w:bCs/>
          <w:sz w:val="24"/>
          <w:szCs w:val="24"/>
          <w:lang w:eastAsia="it-IT"/>
        </w:rPr>
      </w:pPr>
      <w:r w:rsidRPr="00D42B84">
        <w:rPr>
          <w:rFonts w:eastAsia="Times New Roman" w:cs="Arial"/>
          <w:b/>
          <w:bCs/>
          <w:sz w:val="24"/>
          <w:szCs w:val="24"/>
          <w:lang w:eastAsia="it-IT"/>
        </w:rPr>
        <w:t>sull’apertura dei negozi</w:t>
      </w:r>
    </w:p>
    <w:p w:rsidR="00D42B84" w:rsidRPr="00D42B84" w:rsidRDefault="00D42B84" w:rsidP="00D42B84">
      <w:pPr>
        <w:jc w:val="left"/>
        <w:rPr>
          <w:rFonts w:eastAsia="Times New Roman" w:cs="Arial"/>
          <w:b/>
          <w:bCs/>
          <w:sz w:val="24"/>
          <w:szCs w:val="24"/>
          <w:lang w:eastAsia="it-IT"/>
        </w:rPr>
      </w:pPr>
      <w:r w:rsidRPr="00D42B84">
        <w:rPr>
          <w:rFonts w:eastAsia="Times New Roman" w:cs="Arial"/>
          <w:b/>
          <w:bCs/>
          <w:sz w:val="24"/>
          <w:szCs w:val="24"/>
          <w:lang w:eastAsia="it-IT"/>
        </w:rPr>
        <w:t>(LAN)</w:t>
      </w:r>
    </w:p>
    <w:p w:rsidR="00D42B84" w:rsidRPr="00D42B84" w:rsidRDefault="00D42B84" w:rsidP="00D42B84">
      <w:pPr>
        <w:jc w:val="left"/>
        <w:rPr>
          <w:rFonts w:eastAsia="Times New Roman" w:cs="Arial"/>
          <w:sz w:val="24"/>
          <w:szCs w:val="24"/>
          <w:lang w:eastAsia="it-IT"/>
        </w:rPr>
      </w:pPr>
      <w:r w:rsidRPr="00D42B84">
        <w:rPr>
          <w:rFonts w:eastAsia="Times New Roman" w:cs="Arial"/>
          <w:bCs/>
          <w:sz w:val="24"/>
          <w:szCs w:val="24"/>
          <w:lang w:eastAsia="it-IT"/>
        </w:rPr>
        <w:t>modifica</w:t>
      </w:r>
      <w:r w:rsidRPr="00D42B84">
        <w:rPr>
          <w:rFonts w:eastAsia="Times New Roman" w:cs="Arial"/>
          <w:sz w:val="24"/>
          <w:szCs w:val="24"/>
          <w:lang w:eastAsia="it-IT"/>
        </w:rPr>
        <w:t xml:space="preserve"> del ....................</w:t>
      </w:r>
    </w:p>
    <w:p w:rsidR="00D42B84" w:rsidRPr="00D42B84" w:rsidRDefault="00D42B84" w:rsidP="00D42B84">
      <w:pPr>
        <w:jc w:val="left"/>
        <w:rPr>
          <w:rFonts w:eastAsia="Times New Roman" w:cs="Arial"/>
          <w:sz w:val="24"/>
          <w:szCs w:val="24"/>
          <w:lang w:eastAsia="it-IT"/>
        </w:rPr>
      </w:pPr>
    </w:p>
    <w:p w:rsidR="00D42B84" w:rsidRPr="00D42B84" w:rsidRDefault="00D42B84" w:rsidP="009F2641">
      <w:pPr>
        <w:rPr>
          <w:rFonts w:eastAsia="Times New Roman" w:cs="Arial"/>
          <w:sz w:val="24"/>
          <w:szCs w:val="24"/>
          <w:lang w:eastAsia="it-IT"/>
        </w:rPr>
      </w:pPr>
      <w:r w:rsidRPr="00D42B84">
        <w:rPr>
          <w:rFonts w:eastAsia="Times New Roman" w:cs="Arial"/>
          <w:sz w:val="24"/>
          <w:szCs w:val="24"/>
          <w:lang w:eastAsia="it-IT"/>
        </w:rPr>
        <w:t>IL GRAN CONSIGLIO</w:t>
      </w:r>
    </w:p>
    <w:p w:rsidR="00D42B84" w:rsidRPr="00D42B84" w:rsidRDefault="00D42B84" w:rsidP="009F2641">
      <w:pPr>
        <w:rPr>
          <w:rFonts w:eastAsia="Times New Roman" w:cs="Arial"/>
          <w:sz w:val="24"/>
          <w:szCs w:val="24"/>
          <w:lang w:eastAsia="it-IT"/>
        </w:rPr>
      </w:pPr>
      <w:r w:rsidRPr="00D42B84">
        <w:rPr>
          <w:rFonts w:eastAsia="Times New Roman" w:cs="Arial"/>
          <w:sz w:val="24"/>
          <w:szCs w:val="24"/>
          <w:lang w:eastAsia="it-IT"/>
        </w:rPr>
        <w:t>DELLA REPUBBLICA E CANTONE TICINO</w:t>
      </w:r>
    </w:p>
    <w:p w:rsidR="00D42B84" w:rsidRPr="00D42B84" w:rsidRDefault="00D42B84" w:rsidP="009F2641">
      <w:pPr>
        <w:rPr>
          <w:rFonts w:eastAsia="Times New Roman" w:cs="Arial"/>
          <w:sz w:val="24"/>
          <w:szCs w:val="24"/>
          <w:lang w:eastAsia="it-IT"/>
        </w:rPr>
      </w:pPr>
    </w:p>
    <w:p w:rsidR="00150079" w:rsidRDefault="00D42B84" w:rsidP="009F2641">
      <w:pPr>
        <w:rPr>
          <w:rFonts w:eastAsia="Times New Roman" w:cs="Arial"/>
          <w:sz w:val="24"/>
          <w:szCs w:val="24"/>
          <w:lang w:eastAsia="it-IT"/>
        </w:rPr>
      </w:pPr>
      <w:r w:rsidRPr="00D42B84">
        <w:rPr>
          <w:rFonts w:eastAsia="Times New Roman" w:cs="Arial"/>
          <w:sz w:val="24"/>
          <w:szCs w:val="24"/>
          <w:lang w:eastAsia="it-IT"/>
        </w:rPr>
        <w:t xml:space="preserve">vista l’iniziativa parlamentare elaborata dal 17 settembre 2025 “per </w:t>
      </w:r>
      <w:r w:rsidR="00150079">
        <w:rPr>
          <w:rFonts w:eastAsia="Times New Roman" w:cs="Arial"/>
          <w:sz w:val="24"/>
          <w:szCs w:val="24"/>
          <w:lang w:eastAsia="it-IT"/>
        </w:rPr>
        <w:t xml:space="preserve">la modifica dell’art. 13 LAN” </w:t>
      </w:r>
    </w:p>
    <w:p w:rsidR="00D42B84" w:rsidRDefault="00150079" w:rsidP="009F2641">
      <w:pPr>
        <w:rPr>
          <w:rFonts w:eastAsia="Times New Roman" w:cs="Arial"/>
          <w:sz w:val="24"/>
          <w:szCs w:val="24"/>
          <w:lang w:eastAsia="it-IT"/>
        </w:rPr>
      </w:pPr>
      <w:r>
        <w:rPr>
          <w:rFonts w:eastAsia="Times New Roman" w:cs="Arial"/>
          <w:sz w:val="24"/>
          <w:szCs w:val="24"/>
          <w:lang w:eastAsia="it-IT"/>
        </w:rPr>
        <w:t xml:space="preserve">visto </w:t>
      </w:r>
      <w:r w:rsidR="00D42B84" w:rsidRPr="00D42B84">
        <w:rPr>
          <w:rFonts w:eastAsia="Times New Roman" w:cs="Arial"/>
          <w:sz w:val="24"/>
          <w:szCs w:val="24"/>
          <w:lang w:eastAsia="it-IT"/>
        </w:rPr>
        <w:t>il messaggio governativo nr. 8645 del 21 gennaio 2026,</w:t>
      </w:r>
    </w:p>
    <w:p w:rsidR="00150079" w:rsidRPr="00D42B84" w:rsidRDefault="00150079" w:rsidP="009F2641">
      <w:pPr>
        <w:rPr>
          <w:rFonts w:eastAsia="Times New Roman" w:cs="Arial"/>
          <w:sz w:val="24"/>
          <w:szCs w:val="24"/>
          <w:lang w:eastAsia="it-IT"/>
        </w:rPr>
      </w:pPr>
      <w:r>
        <w:rPr>
          <w:rFonts w:eastAsia="Times New Roman" w:cs="Arial"/>
          <w:sz w:val="24"/>
          <w:szCs w:val="24"/>
          <w:lang w:eastAsia="it-IT"/>
        </w:rPr>
        <w:t>visto il rapporto della Commissione economia e lavoro n. 8645 R del 26 maggio 2026,</w:t>
      </w:r>
    </w:p>
    <w:p w:rsidR="00D42B84" w:rsidRPr="00D42B84" w:rsidRDefault="00D42B84" w:rsidP="009F2641">
      <w:pPr>
        <w:rPr>
          <w:rFonts w:eastAsia="Times New Roman" w:cs="Arial"/>
          <w:sz w:val="24"/>
          <w:szCs w:val="24"/>
          <w:lang w:eastAsia="it-IT"/>
        </w:rPr>
      </w:pPr>
    </w:p>
    <w:p w:rsidR="00D42B84" w:rsidRPr="00D42B84" w:rsidRDefault="00D42B84" w:rsidP="009F2641">
      <w:pPr>
        <w:rPr>
          <w:rFonts w:eastAsia="Times New Roman" w:cs="Arial"/>
          <w:sz w:val="24"/>
          <w:szCs w:val="24"/>
          <w:lang w:eastAsia="it-IT"/>
        </w:rPr>
      </w:pPr>
      <w:r w:rsidRPr="00D42B84">
        <w:rPr>
          <w:rFonts w:eastAsia="Times New Roman" w:cs="Arial"/>
          <w:sz w:val="24"/>
          <w:szCs w:val="24"/>
          <w:lang w:eastAsia="it-IT"/>
        </w:rPr>
        <w:t>decreta:</w:t>
      </w:r>
    </w:p>
    <w:p w:rsidR="00D42B84" w:rsidRPr="00D42B84" w:rsidRDefault="00D42B84" w:rsidP="009F2641">
      <w:pPr>
        <w:rPr>
          <w:rFonts w:eastAsia="Times New Roman" w:cs="Arial"/>
          <w:b/>
          <w:bCs/>
          <w:sz w:val="24"/>
          <w:szCs w:val="24"/>
          <w:lang w:eastAsia="it-IT"/>
        </w:rPr>
      </w:pPr>
    </w:p>
    <w:p w:rsidR="00D42B84" w:rsidRPr="00D42B84" w:rsidRDefault="00D42B84" w:rsidP="009F2641">
      <w:pPr>
        <w:rPr>
          <w:rFonts w:eastAsia="Times New Roman" w:cs="Arial"/>
          <w:b/>
          <w:bCs/>
          <w:sz w:val="24"/>
          <w:szCs w:val="24"/>
          <w:lang w:eastAsia="it-IT"/>
        </w:rPr>
      </w:pPr>
      <w:r w:rsidRPr="00D42B84">
        <w:rPr>
          <w:rFonts w:eastAsia="Times New Roman" w:cs="Arial"/>
          <w:b/>
          <w:bCs/>
          <w:sz w:val="24"/>
          <w:szCs w:val="24"/>
          <w:lang w:eastAsia="it-IT"/>
        </w:rPr>
        <w:t>I</w:t>
      </w:r>
    </w:p>
    <w:p w:rsidR="00D42B84" w:rsidRDefault="00D42B84" w:rsidP="009F2641">
      <w:pPr>
        <w:rPr>
          <w:rFonts w:eastAsia="Times New Roman" w:cs="Arial"/>
          <w:sz w:val="24"/>
          <w:szCs w:val="24"/>
          <w:lang w:eastAsia="it-IT"/>
        </w:rPr>
      </w:pPr>
      <w:r w:rsidRPr="00D42B84">
        <w:rPr>
          <w:rFonts w:eastAsia="Times New Roman" w:cs="Arial"/>
          <w:sz w:val="24"/>
          <w:szCs w:val="24"/>
          <w:lang w:eastAsia="it-IT"/>
        </w:rPr>
        <w:t>La legge cantonale sull’apertura dei negozi del 23 marzo 2015 (LAN) è modificata come segue:</w:t>
      </w:r>
    </w:p>
    <w:p w:rsidR="00150079" w:rsidRPr="00D42B84" w:rsidRDefault="00150079" w:rsidP="009F2641">
      <w:pPr>
        <w:rPr>
          <w:rFonts w:eastAsia="Times New Roman" w:cs="Arial"/>
          <w:sz w:val="24"/>
          <w:szCs w:val="24"/>
          <w:lang w:eastAsia="it-IT"/>
        </w:rPr>
      </w:pPr>
    </w:p>
    <w:p w:rsidR="00D42B84" w:rsidRPr="00D42B84" w:rsidRDefault="00D42B84" w:rsidP="00150079">
      <w:pPr>
        <w:jc w:val="left"/>
        <w:rPr>
          <w:rFonts w:eastAsia="Times New Roman" w:cs="Arial"/>
          <w:b/>
          <w:bCs/>
          <w:sz w:val="24"/>
          <w:szCs w:val="24"/>
          <w:lang w:eastAsia="it-IT"/>
        </w:rPr>
      </w:pPr>
      <w:r w:rsidRPr="00D42B84">
        <w:rPr>
          <w:rFonts w:eastAsia="Times New Roman" w:cs="Arial"/>
          <w:b/>
          <w:bCs/>
          <w:sz w:val="24"/>
          <w:szCs w:val="24"/>
          <w:lang w:eastAsia="it-IT"/>
        </w:rPr>
        <w:t>Deroghe di legge</w:t>
      </w:r>
    </w:p>
    <w:p w:rsidR="00D42B84" w:rsidRPr="00D42B84" w:rsidRDefault="00D42B84" w:rsidP="00150079">
      <w:pPr>
        <w:spacing w:after="120"/>
        <w:jc w:val="left"/>
        <w:rPr>
          <w:rFonts w:eastAsia="Times New Roman" w:cs="Arial"/>
          <w:b/>
          <w:bCs/>
          <w:sz w:val="24"/>
          <w:szCs w:val="24"/>
          <w:lang w:eastAsia="it-IT"/>
        </w:rPr>
      </w:pPr>
      <w:r w:rsidRPr="00D42B84">
        <w:rPr>
          <w:rFonts w:eastAsia="Times New Roman" w:cs="Arial"/>
          <w:b/>
          <w:bCs/>
          <w:sz w:val="24"/>
          <w:szCs w:val="24"/>
          <w:lang w:eastAsia="it-IT"/>
        </w:rPr>
        <w:t>a) In generale</w:t>
      </w:r>
    </w:p>
    <w:p w:rsidR="00D42B84" w:rsidRPr="00D42B84" w:rsidRDefault="00D42B84" w:rsidP="00150079">
      <w:pPr>
        <w:jc w:val="left"/>
        <w:rPr>
          <w:rFonts w:eastAsia="Times New Roman" w:cs="Arial"/>
          <w:b/>
          <w:bCs/>
          <w:sz w:val="24"/>
          <w:szCs w:val="24"/>
          <w:lang w:eastAsia="it-IT"/>
        </w:rPr>
      </w:pPr>
      <w:r w:rsidRPr="00D42B84">
        <w:rPr>
          <w:rFonts w:eastAsia="Times New Roman" w:cs="Arial"/>
          <w:b/>
          <w:bCs/>
          <w:sz w:val="24"/>
          <w:szCs w:val="24"/>
          <w:lang w:eastAsia="it-IT"/>
        </w:rPr>
        <w:t>Art. 13</w:t>
      </w:r>
    </w:p>
    <w:p w:rsidR="00D42B84" w:rsidRPr="00D42B84" w:rsidRDefault="00D42B84" w:rsidP="00150079">
      <w:pPr>
        <w:jc w:val="left"/>
        <w:rPr>
          <w:rFonts w:eastAsia="Times New Roman" w:cs="Arial"/>
          <w:sz w:val="24"/>
          <w:szCs w:val="24"/>
          <w:lang w:eastAsia="it-IT"/>
        </w:rPr>
      </w:pPr>
      <w:r w:rsidRPr="00D42B84">
        <w:rPr>
          <w:rFonts w:eastAsia="Times New Roman" w:cs="Arial"/>
          <w:sz w:val="24"/>
          <w:szCs w:val="24"/>
          <w:lang w:eastAsia="it-IT"/>
        </w:rPr>
        <w:t>[…]</w:t>
      </w:r>
    </w:p>
    <w:p w:rsidR="00D42B84" w:rsidRPr="00D42B84" w:rsidRDefault="00D42B84" w:rsidP="00150079">
      <w:pPr>
        <w:suppressAutoHyphens/>
        <w:ind w:right="187"/>
        <w:rPr>
          <w:rFonts w:eastAsia="Times New Roman" w:cs="Arial"/>
          <w:sz w:val="24"/>
          <w:szCs w:val="24"/>
          <w:lang w:eastAsia="it-IT"/>
        </w:rPr>
      </w:pPr>
      <w:r w:rsidRPr="00D42B84">
        <w:rPr>
          <w:rFonts w:eastAsia="Times New Roman" w:cs="Arial"/>
          <w:sz w:val="24"/>
          <w:szCs w:val="24"/>
          <w:vertAlign w:val="superscript"/>
          <w:lang w:eastAsia="it-IT"/>
        </w:rPr>
        <w:t>2</w:t>
      </w:r>
      <w:r w:rsidRPr="00D42B84">
        <w:rPr>
          <w:rFonts w:eastAsia="Times New Roman" w:cs="Arial"/>
          <w:sz w:val="24"/>
          <w:szCs w:val="24"/>
          <w:lang w:eastAsia="it-IT"/>
        </w:rPr>
        <w:t>L’apertura generalizzata dei negozi può essere concessa per un massimo di quattro domeniche all’anno, definite annualmente dal Dipartimento, tenendo conto delle differenze regionali, sulla base della ripartizione geografica delle quattro regioni turistiche riconosciute e delle zone identificate dal Consiglio di Stato su proposta dell’associazione cantonale di riferimento.</w:t>
      </w:r>
    </w:p>
    <w:p w:rsidR="00D42B84" w:rsidRPr="00D42B84" w:rsidRDefault="00D42B84" w:rsidP="00150079">
      <w:pPr>
        <w:suppressAutoHyphens/>
        <w:ind w:right="187"/>
        <w:rPr>
          <w:rFonts w:eastAsia="Times New Roman" w:cs="Arial"/>
          <w:sz w:val="24"/>
          <w:szCs w:val="24"/>
          <w:lang w:eastAsia="it-IT"/>
        </w:rPr>
      </w:pPr>
      <w:r w:rsidRPr="00D42B84">
        <w:rPr>
          <w:rFonts w:eastAsia="Times New Roman" w:cs="Arial"/>
          <w:sz w:val="24"/>
          <w:szCs w:val="24"/>
          <w:lang w:eastAsia="it-IT"/>
        </w:rPr>
        <w:t>L’associazione cantonale di riferimento è tenuta a presentare, entro 60 giorni dalla prima data richiesta, un piano concordato che indichi tutte le giornate di apertura generalizzata.</w:t>
      </w:r>
    </w:p>
    <w:p w:rsidR="00D42B84" w:rsidRPr="00D42B84" w:rsidRDefault="00D42B84" w:rsidP="00D42B84">
      <w:pPr>
        <w:rPr>
          <w:rFonts w:cs="Arial"/>
          <w:b/>
          <w:sz w:val="24"/>
          <w:szCs w:val="24"/>
        </w:rPr>
      </w:pPr>
    </w:p>
    <w:p w:rsidR="00D42B84" w:rsidRPr="00D42B84" w:rsidRDefault="00D42B84" w:rsidP="00D42B84">
      <w:pPr>
        <w:jc w:val="left"/>
        <w:rPr>
          <w:rFonts w:eastAsia="Times New Roman" w:cs="Arial"/>
          <w:sz w:val="24"/>
          <w:szCs w:val="24"/>
          <w:lang w:eastAsia="it-IT"/>
        </w:rPr>
      </w:pPr>
      <w:r w:rsidRPr="00D42B84">
        <w:rPr>
          <w:rFonts w:eastAsia="Times New Roman" w:cs="Arial"/>
          <w:b/>
          <w:bCs/>
          <w:sz w:val="24"/>
          <w:szCs w:val="24"/>
          <w:lang w:eastAsia="it-IT"/>
        </w:rPr>
        <w:t>II</w:t>
      </w:r>
    </w:p>
    <w:p w:rsidR="00D42B84" w:rsidRPr="00D42B84" w:rsidRDefault="00D42B84" w:rsidP="00D42B84">
      <w:pPr>
        <w:rPr>
          <w:rFonts w:eastAsia="Times New Roman" w:cs="Arial"/>
          <w:sz w:val="24"/>
          <w:szCs w:val="24"/>
          <w:lang w:eastAsia="it-IT"/>
        </w:rPr>
      </w:pPr>
      <w:r w:rsidRPr="00D42B84">
        <w:rPr>
          <w:rFonts w:eastAsia="Times New Roman" w:cs="Arial"/>
          <w:sz w:val="24"/>
          <w:szCs w:val="24"/>
          <w:vertAlign w:val="superscript"/>
          <w:lang w:eastAsia="it-IT"/>
        </w:rPr>
        <w:t>1</w:t>
      </w:r>
      <w:r w:rsidRPr="00D42B84">
        <w:rPr>
          <w:rFonts w:eastAsia="Times New Roman" w:cs="Arial"/>
          <w:sz w:val="24"/>
          <w:szCs w:val="24"/>
          <w:lang w:eastAsia="it-IT"/>
        </w:rPr>
        <w:t>La presente legge sottostà a referendum facoltativo.</w:t>
      </w:r>
    </w:p>
    <w:p w:rsidR="00D42B84" w:rsidRPr="00D42B84" w:rsidRDefault="00D42B84" w:rsidP="00D42B84">
      <w:pPr>
        <w:rPr>
          <w:rFonts w:eastAsia="Times New Roman" w:cs="Arial"/>
          <w:sz w:val="24"/>
          <w:szCs w:val="24"/>
          <w:lang w:eastAsia="it-IT"/>
        </w:rPr>
      </w:pPr>
      <w:r w:rsidRPr="00D42B84">
        <w:rPr>
          <w:rFonts w:eastAsia="Times New Roman" w:cs="Arial"/>
          <w:sz w:val="24"/>
          <w:szCs w:val="24"/>
          <w:vertAlign w:val="superscript"/>
          <w:lang w:eastAsia="it-IT"/>
        </w:rPr>
        <w:t>2</w:t>
      </w:r>
      <w:r w:rsidRPr="00D42B84">
        <w:rPr>
          <w:rFonts w:eastAsia="Times New Roman" w:cs="Arial"/>
          <w:sz w:val="24"/>
          <w:szCs w:val="24"/>
          <w:lang w:eastAsia="it-IT"/>
        </w:rPr>
        <w:t>L’entra in vigore della presente legge è fissata al 1° ottobre 2026.</w:t>
      </w:r>
    </w:p>
    <w:p w:rsidR="00D42B84" w:rsidRPr="00D42B84" w:rsidRDefault="00D42B84" w:rsidP="00D42B84">
      <w:pPr>
        <w:jc w:val="left"/>
        <w:rPr>
          <w:rFonts w:eastAsia="Times New Roman" w:cs="Arial"/>
          <w:color w:val="000000" w:themeColor="text1"/>
          <w:sz w:val="24"/>
          <w:szCs w:val="24"/>
          <w:lang w:eastAsia="it-CH"/>
        </w:rPr>
      </w:pPr>
    </w:p>
    <w:p w:rsidR="00D42B84" w:rsidRPr="00D42B84" w:rsidRDefault="00D42B84" w:rsidP="00D42B84">
      <w:pPr>
        <w:jc w:val="left"/>
        <w:rPr>
          <w:rFonts w:eastAsia="Times New Roman" w:cs="Arial"/>
          <w:color w:val="000000" w:themeColor="text1"/>
          <w:sz w:val="24"/>
          <w:szCs w:val="24"/>
          <w:lang w:eastAsia="it-CH"/>
        </w:rPr>
      </w:pPr>
    </w:p>
    <w:p w:rsidR="00D42B84" w:rsidRPr="00D42B84" w:rsidRDefault="00D42B84" w:rsidP="00D42B84">
      <w:pPr>
        <w:jc w:val="left"/>
        <w:rPr>
          <w:rFonts w:eastAsia="Times New Roman" w:cs="Arial"/>
          <w:color w:val="000000" w:themeColor="text1"/>
          <w:sz w:val="24"/>
          <w:szCs w:val="24"/>
          <w:lang w:eastAsia="it-CH"/>
        </w:rPr>
      </w:pPr>
    </w:p>
    <w:p w:rsidR="00D42B84" w:rsidRPr="00D42B84" w:rsidRDefault="00D42B84" w:rsidP="00D42B84">
      <w:pPr>
        <w:jc w:val="left"/>
        <w:rPr>
          <w:rFonts w:eastAsia="Times New Roman" w:cs="Arial"/>
          <w:b/>
          <w:bCs/>
          <w:color w:val="000000" w:themeColor="text1"/>
          <w:sz w:val="24"/>
          <w:szCs w:val="24"/>
          <w:lang w:eastAsia="it-CH"/>
        </w:rPr>
      </w:pPr>
    </w:p>
    <w:p w:rsidR="00D42B84" w:rsidRPr="00D42B84" w:rsidRDefault="00D42B84" w:rsidP="00D42B84">
      <w:pPr>
        <w:jc w:val="left"/>
        <w:rPr>
          <w:rFonts w:eastAsia="Times New Roman" w:cs="Arial"/>
          <w:b/>
          <w:bCs/>
          <w:color w:val="000000" w:themeColor="text1"/>
          <w:sz w:val="24"/>
          <w:szCs w:val="24"/>
          <w:lang w:eastAsia="it-CH"/>
        </w:rPr>
      </w:pPr>
    </w:p>
    <w:p w:rsidR="00D42B84" w:rsidRPr="00D42B84" w:rsidRDefault="00D42B84" w:rsidP="00D42B84">
      <w:pPr>
        <w:jc w:val="left"/>
        <w:rPr>
          <w:rFonts w:eastAsia="Times New Roman" w:cs="Arial"/>
          <w:b/>
          <w:bCs/>
          <w:color w:val="000000" w:themeColor="text1"/>
          <w:sz w:val="24"/>
          <w:szCs w:val="24"/>
          <w:lang w:eastAsia="it-CH"/>
        </w:rPr>
      </w:pPr>
    </w:p>
    <w:p w:rsidR="00D42B84" w:rsidRPr="00D42B84" w:rsidRDefault="00D42B84" w:rsidP="00D42B84">
      <w:pPr>
        <w:jc w:val="left"/>
        <w:rPr>
          <w:rFonts w:eastAsia="Times New Roman" w:cs="Arial"/>
          <w:b/>
          <w:bCs/>
          <w:color w:val="000000" w:themeColor="text1"/>
          <w:sz w:val="24"/>
          <w:szCs w:val="24"/>
          <w:lang w:eastAsia="it-CH"/>
        </w:rPr>
      </w:pPr>
    </w:p>
    <w:p w:rsidR="00D649A8" w:rsidRPr="00D42B84" w:rsidRDefault="00D649A8" w:rsidP="00D33940">
      <w:pPr>
        <w:pStyle w:val="StandardRisoluzionedelConsigliodiStato"/>
        <w:ind w:right="-1"/>
      </w:pPr>
    </w:p>
    <w:sectPr w:rsidR="00D649A8" w:rsidRPr="00D42B84" w:rsidSect="00375115">
      <w:headerReference w:type="default" r:id="rId11"/>
      <w:footerReference w:type="default" r:id="rId12"/>
      <w:headerReference w:type="first" r:id="rId13"/>
      <w:footerReference w:type="first" r:id="rId14"/>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2B84" w:rsidRDefault="00D42B84" w:rsidP="00F657BF">
      <w:r>
        <w:separator/>
      </w:r>
    </w:p>
  </w:endnote>
  <w:endnote w:type="continuationSeparator" w:id="0">
    <w:p w:rsidR="00D42B84" w:rsidRDefault="00D42B84"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0F40AF" w:rsidP="00912E34">
          <w:pPr>
            <w:tabs>
              <w:tab w:val="center" w:pos="2382"/>
            </w:tabs>
          </w:pPr>
        </w:p>
      </w:tc>
      <w:tc>
        <w:tcPr>
          <w:tcW w:w="721" w:type="dxa"/>
        </w:tcPr>
        <w:p w:rsidR="00912E34" w:rsidRPr="003D1008" w:rsidRDefault="00553AA1"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553AA1"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0F40AF"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0F40AF">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2B84" w:rsidRDefault="00D42B84" w:rsidP="00F657BF">
      <w:r>
        <w:separator/>
      </w:r>
    </w:p>
  </w:footnote>
  <w:footnote w:type="continuationSeparator" w:id="0">
    <w:p w:rsidR="00D42B84" w:rsidRDefault="00D42B84"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0F40AF"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0B4426F5-8943-4EC3-8CE2-305D7F5E7A67}"/>
              <w:text w:multiLine="1"/>
            </w:sdtPr>
            <w:sdtEndPr/>
            <w:sdtContent>
              <w:r w:rsidR="00553AA1">
                <w:rPr>
                  <w:rFonts w:ascii="Gill Alt One MT Light" w:hAnsi="Gill Alt One MT Light"/>
                  <w:sz w:val="16"/>
                  <w:szCs w:val="16"/>
                </w:rPr>
                <w:t>Repubblica e Cantone Ticino</w:t>
              </w:r>
            </w:sdtContent>
          </w:sdt>
        </w:p>
        <w:p w:rsidR="005012EC" w:rsidRPr="00E8185F" w:rsidRDefault="000F40AF"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0B4426F5-8943-4EC3-8CE2-305D7F5E7A67}"/>
              <w:text w:multiLine="1"/>
            </w:sdtPr>
            <w:sdtEndPr/>
            <w:sdtContent>
              <w:r w:rsidR="00BE4A69">
                <w:rPr>
                  <w:rFonts w:ascii="Gill Alt One MT Light" w:hAnsi="Gill Alt One MT Light"/>
                  <w:sz w:val="16"/>
                  <w:szCs w:val="16"/>
                </w:rPr>
                <w:t>Dipartimento delle finanze e dell’economia</w:t>
              </w:r>
            </w:sdtContent>
          </w:sdt>
        </w:p>
      </w:tc>
      <w:tc>
        <w:tcPr>
          <w:tcW w:w="1710" w:type="dxa"/>
          <w:tcBorders>
            <w:bottom w:val="single" w:sz="4" w:space="0" w:color="auto"/>
          </w:tcBorders>
          <w:vAlign w:val="bottom"/>
        </w:tcPr>
        <w:p w:rsidR="005012EC" w:rsidRPr="004204CB" w:rsidRDefault="00553AA1"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0F40AF">
            <w:rPr>
              <w:noProof/>
              <w:sz w:val="24"/>
            </w:rPr>
            <w:t>5</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0F40AF">
            <w:rPr>
              <w:noProof/>
              <w:sz w:val="24"/>
            </w:rPr>
            <w:t>9</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0B4426F5-8943-4EC3-8CE2-305D7F5E7A67}"/>
          <w:text w:multiLine="1"/>
        </w:sdtPr>
        <w:sdtEndPr/>
        <w:sdtContent>
          <w:tc>
            <w:tcPr>
              <w:tcW w:w="8383" w:type="dxa"/>
              <w:tcBorders>
                <w:left w:val="single" w:sz="4" w:space="0" w:color="auto"/>
              </w:tcBorders>
              <w:tcMar>
                <w:top w:w="0" w:type="dxa"/>
                <w:left w:w="142" w:type="dxa"/>
              </w:tcMar>
            </w:tcPr>
            <w:p w:rsidR="005012EC" w:rsidRPr="0066771F" w:rsidRDefault="00BE4A69"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8645 R del 26 maggio 2026</w:t>
              </w:r>
            </w:p>
          </w:tc>
        </w:sdtContent>
      </w:sdt>
      <w:tc>
        <w:tcPr>
          <w:tcW w:w="1710" w:type="dxa"/>
          <w:tcBorders>
            <w:top w:val="single" w:sz="4" w:space="0" w:color="auto"/>
          </w:tcBorders>
        </w:tcPr>
        <w:p w:rsidR="005012EC" w:rsidRPr="0066771F" w:rsidRDefault="000F40AF" w:rsidP="00662409">
          <w:pPr>
            <w:pStyle w:val="InvisibleLine"/>
            <w:rPr>
              <w:lang w:val="it-CH"/>
            </w:rPr>
          </w:pPr>
        </w:p>
      </w:tc>
    </w:tr>
  </w:tbl>
  <w:p w:rsidR="00F657BF" w:rsidRPr="00980362" w:rsidRDefault="00553AA1"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0B4426F5-8943-4EC3-8CE2-305D7F5E7A67}"/>
                            <w:text w:multiLine="1"/>
                          </w:sdtPr>
                          <w:sdtEndPr/>
                          <w:sdtContent>
                            <w:p w:rsidR="008065E8" w:rsidRPr="00411371" w:rsidRDefault="00553AA1"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4651C4D2-739B-4132-A44A-9E08F75869ED}"/>
                      <w:text w:multiLine="1"/>
                    </w:sdtPr>
                    <w:sdtEndPr/>
                    <w:sdtContent>
                      <w:p w:rsidR="008065E8" w:rsidRPr="00411371" w:rsidRDefault="00553AA1"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0F40AF" w:rsidP="00932E26">
          <w:pPr>
            <w:pStyle w:val="InvisibleLine"/>
            <w:spacing w:line="240" w:lineRule="auto"/>
            <w:ind w:left="15"/>
            <w:rPr>
              <w:rFonts w:ascii="Gill Alt One MT Light" w:hAnsi="Gill Alt One MT Light"/>
              <w:sz w:val="16"/>
              <w:lang w:val="it-CH"/>
            </w:rPr>
          </w:pPr>
        </w:p>
        <w:p w:rsidR="00CD5F73" w:rsidRDefault="00553AA1"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0F40AF"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0F40AF" w:rsidP="00D07D6E">
          <w:pPr>
            <w:pStyle w:val="Level"/>
            <w:ind w:left="150"/>
            <w:rPr>
              <w:sz w:val="16"/>
            </w:rPr>
          </w:pPr>
        </w:p>
      </w:tc>
      <w:tc>
        <w:tcPr>
          <w:tcW w:w="209" w:type="pct"/>
          <w:tcBorders>
            <w:top w:val="nil"/>
            <w:bottom w:val="single" w:sz="4" w:space="0" w:color="auto"/>
          </w:tcBorders>
        </w:tcPr>
        <w:p w:rsidR="00662409" w:rsidRDefault="00553AA1"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2463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553AA1"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0F40AF">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0F40AF">
            <w:rPr>
              <w:rFonts w:asciiTheme="minorHAnsi" w:hAnsiTheme="minorHAnsi" w:cstheme="minorHAnsi"/>
              <w:noProof/>
              <w:sz w:val="24"/>
            </w:rPr>
            <w:t>9</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0B4426F5-8943-4EC3-8CE2-305D7F5E7A67}"/>
          <w:text w:multiLine="1"/>
        </w:sdtPr>
        <w:sdtEndPr/>
        <w:sdtContent>
          <w:tc>
            <w:tcPr>
              <w:tcW w:w="5000" w:type="pct"/>
              <w:gridSpan w:val="6"/>
              <w:tcBorders>
                <w:left w:val="nil"/>
                <w:right w:val="nil"/>
              </w:tcBorders>
              <w:noWrap/>
              <w:tcMar>
                <w:top w:w="0" w:type="dxa"/>
              </w:tcMar>
              <w:vAlign w:val="bottom"/>
            </w:tcPr>
            <w:p w:rsidR="00662409" w:rsidRPr="008C03B5" w:rsidRDefault="00BE4A69"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553AA1"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0F40AF"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553AA1"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0F40AF"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553AA1"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0F40AF"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0F40AF"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0B4426F5-8943-4EC3-8CE2-305D7F5E7A67}"/>
              <w:text w:multiLine="1"/>
            </w:sdtPr>
            <w:sdtEndPr/>
            <w:sdtContent>
              <w:r w:rsidR="00BE4A69">
                <w:rPr>
                  <w:rFonts w:cstheme="minorHAnsi"/>
                  <w:b/>
                  <w:sz w:val="24"/>
                  <w:szCs w:val="24"/>
                </w:rPr>
                <w:t>8645 R</w:t>
              </w:r>
            </w:sdtContent>
          </w:sdt>
        </w:p>
      </w:tc>
      <w:sdt>
        <w:sdtPr>
          <w:rPr>
            <w:sz w:val="24"/>
          </w:rPr>
          <w:alias w:val="DocParam.Date"/>
          <w:id w:val="-464426178"/>
          <w:dataBinding w:xpath="//DateTime[@id='DocParam.Date']" w:storeItemID="{0B4426F5-8943-4EC3-8CE2-305D7F5E7A67}"/>
          <w:date w:fullDate="2026-05-26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BE4A69" w:rsidP="00A532F6">
              <w:pPr>
                <w:pStyle w:val="Data"/>
              </w:pPr>
              <w:r>
                <w:rPr>
                  <w:sz w:val="24"/>
                </w:rPr>
                <w:t>26 maggio 2026</w:t>
              </w:r>
            </w:p>
          </w:tc>
        </w:sdtContent>
      </w:sdt>
      <w:tc>
        <w:tcPr>
          <w:tcW w:w="3218" w:type="pct"/>
          <w:gridSpan w:val="4"/>
          <w:tcBorders>
            <w:top w:val="nil"/>
            <w:left w:val="nil"/>
            <w:bottom w:val="nil"/>
            <w:right w:val="nil"/>
          </w:tcBorders>
        </w:tcPr>
        <w:p w:rsidR="008C03B5" w:rsidRPr="00BE22A2" w:rsidRDefault="000F40AF"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0B4426F5-8943-4EC3-8CE2-305D7F5E7A67}"/>
              <w:text w:multiLine="1"/>
            </w:sdtPr>
            <w:sdtEndPr/>
            <w:sdtContent>
              <w:r w:rsidR="00BE4A69">
                <w:rPr>
                  <w:smallCaps/>
                  <w:sz w:val="23"/>
                  <w:szCs w:val="23"/>
                </w:rPr>
                <w:t>Dipartimento delle finanze e dell’economia</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0F40AF" w:rsidP="00D07D6E">
          <w:pPr>
            <w:pStyle w:val="Level"/>
            <w:ind w:left="150"/>
            <w:rPr>
              <w:rFonts w:ascii="Gill Alt One MT Light" w:hAnsi="Gill Alt One MT Light"/>
              <w:sz w:val="16"/>
              <w:szCs w:val="16"/>
            </w:rPr>
          </w:pPr>
        </w:p>
      </w:tc>
    </w:tr>
  </w:tbl>
  <w:p w:rsidR="00F657BF" w:rsidRPr="00DA2879" w:rsidRDefault="00553AA1"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1046295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0B4426F5-8943-4EC3-8CE2-305D7F5E7A67}"/>
                            <w:text w:multiLine="1"/>
                          </w:sdtPr>
                          <w:sdtEndPr/>
                          <w:sdtContent>
                            <w:p w:rsidR="00E93620" w:rsidRPr="00411371" w:rsidRDefault="00553AA1"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4651C4D2-739B-4132-A44A-9E08F75869ED}"/>
                      <w:text w:multiLine="1"/>
                    </w:sdtPr>
                    <w:sdtEndPr/>
                    <w:sdtContent>
                      <w:p w:rsidR="00E93620" w:rsidRPr="00411371" w:rsidRDefault="00553AA1"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D524CC"/>
    <w:multiLevelType w:val="multilevel"/>
    <w:tmpl w:val="953CA1B2"/>
    <w:numStyleLink w:val="HeadingList"/>
  </w:abstractNum>
  <w:num w:numId="1">
    <w:abstractNumId w:val="11"/>
  </w:num>
  <w:num w:numId="2">
    <w:abstractNumId w:val="16"/>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5"/>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B84"/>
    <w:rsid w:val="000F33FC"/>
    <w:rsid w:val="000F40AF"/>
    <w:rsid w:val="00150079"/>
    <w:rsid w:val="002B5D9F"/>
    <w:rsid w:val="003B756D"/>
    <w:rsid w:val="00403ADB"/>
    <w:rsid w:val="00511047"/>
    <w:rsid w:val="00553AA1"/>
    <w:rsid w:val="00572FD3"/>
    <w:rsid w:val="0066771F"/>
    <w:rsid w:val="006E74F1"/>
    <w:rsid w:val="008720C4"/>
    <w:rsid w:val="008F52AF"/>
    <w:rsid w:val="009C5E5A"/>
    <w:rsid w:val="009F2641"/>
    <w:rsid w:val="00AF0268"/>
    <w:rsid w:val="00B126FF"/>
    <w:rsid w:val="00B229C4"/>
    <w:rsid w:val="00BE4A69"/>
    <w:rsid w:val="00BF0A1F"/>
    <w:rsid w:val="00D33940"/>
    <w:rsid w:val="00D42B84"/>
    <w:rsid w:val="00D600FD"/>
    <w:rsid w:val="00D649A8"/>
    <w:rsid w:val="00EB088A"/>
    <w:rsid w:val="00F657BF"/>
    <w:rsid w:val="00FD186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5E8052"/>
  <w15:docId w15:val="{EB193EE4-4D5E-409E-A5C7-836D658AC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table" w:styleId="Grigliatabella">
    <w:name w:val="Table Grid"/>
    <w:basedOn w:val="Tabellanormale"/>
    <w:uiPriority w:val="59"/>
    <w:rsid w:val="00D42B84"/>
    <w:pPr>
      <w:jc w:val="left"/>
    </w:pPr>
    <w:rPr>
      <w:rFonts w:ascii="Times New Roman" w:eastAsia="Times New Roman" w:hAnsi="Times New Roman" w:cs="Times New Roman"/>
      <w:sz w:val="20"/>
      <w:szCs w:val="20"/>
      <w:lang w:val="it-CH"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FD1869"/>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FD1869"/>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primedocs\generated\5044ea25-f072-436b-a544-cf288b6e9168.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124632783</Id>
      <Width>0</Width>
      <Height>0</Height>
      <XPath>//Image[@id='Profile.Org.WappenSW']</XPath>
      <ImageHash>02f1c0cdac6aeac316213b2e7cb733a0</ImageHash>
    </ImageSizeDefinition>
    <ImageSizeDefinition>
      <Id>1046295735</Id>
      <Width>0</Width>
      <Height>0</Height>
      <XPath>//Image[@id='Profile.Org.Logo']</XPath>
      <ImageHash>c45d7cd7b68e3e6ca57220766e88079c</ImageHash>
    </ImageSizeDefinition>
  </ImageDefinitions>
</OneOffixxImageDefinition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    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D66F1DAE-FE78-4DCF-B5A3-E9514B8097FE}">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0B4426F5-8943-4EC3-8CE2-305D7F5E7A67}">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5044ea25-f072-436b-a544-cf288b6e9168.dotx</Template>
  <TotalTime>25</TotalTime>
  <Pages>9</Pages>
  <Words>3577</Words>
  <Characters>20390</Characters>
  <Application>Microsoft Office Word</Application>
  <DocSecurity>0</DocSecurity>
  <Lines>169</Lines>
  <Paragraphs>47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Venturi Luca / T128124</dc:creator>
  <cp:lastModifiedBy>Venturi Luca</cp:lastModifiedBy>
  <cp:revision>12</cp:revision>
  <cp:lastPrinted>2026-05-26T15:12:00Z</cp:lastPrinted>
  <dcterms:created xsi:type="dcterms:W3CDTF">2026-05-26T14:45:00Z</dcterms:created>
  <dcterms:modified xsi:type="dcterms:W3CDTF">2026-05-27T06:39:00Z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