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DFE" w:rsidRDefault="00034DFE" w:rsidP="00034DFE">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034DFE">
        <w:rPr>
          <w:rFonts w:eastAsia="Arial Unicode MS" w:cs="Arial"/>
          <w:b/>
          <w:bCs/>
          <w:color w:val="000000"/>
          <w:sz w:val="28"/>
          <w:szCs w:val="28"/>
          <w:u w:color="000000"/>
          <w:bdr w:val="nil"/>
          <w:lang w:eastAsia="it-IT"/>
        </w:rPr>
        <w:t xml:space="preserve">della Commissione giustizia e diritti </w:t>
      </w:r>
    </w:p>
    <w:p w:rsidR="00034DFE" w:rsidRPr="00034DFE" w:rsidRDefault="00034DFE" w:rsidP="00034DFE">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034DFE">
        <w:rPr>
          <w:rFonts w:eastAsia="Arial Unicode MS" w:cs="Arial"/>
          <w:b/>
          <w:bCs/>
          <w:color w:val="000000"/>
          <w:sz w:val="28"/>
          <w:szCs w:val="28"/>
          <w:u w:color="000000"/>
          <w:bdr w:val="nil"/>
          <w:lang w:eastAsia="it-IT"/>
        </w:rPr>
        <w:t xml:space="preserve">concernente l'elezione di un Procuratore pubblico straordinario </w:t>
      </w:r>
      <w:r w:rsidRPr="00034DFE">
        <w:rPr>
          <w:rFonts w:eastAsia="Arial Unicode MS" w:cs="Arial"/>
          <w:b/>
          <w:bCs/>
          <w:iCs/>
          <w:color w:val="000000"/>
          <w:sz w:val="28"/>
          <w:szCs w:val="28"/>
          <w:u w:color="000000"/>
          <w:bdr w:val="nil"/>
          <w:lang w:val="en-US" w:eastAsia="it-IT"/>
        </w:rPr>
        <w:t>(art. 89a LOG)</w:t>
      </w:r>
      <w:r w:rsidRPr="00034DFE">
        <w:rPr>
          <w:rFonts w:eastAsia="Arial Unicode MS" w:cs="Arial"/>
          <w:b/>
          <w:bCs/>
          <w:color w:val="000000"/>
          <w:sz w:val="28"/>
          <w:szCs w:val="28"/>
          <w:u w:color="000000"/>
          <w:bdr w:val="nil"/>
          <w:lang w:eastAsia="it-IT"/>
        </w:rPr>
        <w:t xml:space="preserve"> (concorso n. 4/26)</w:t>
      </w:r>
    </w:p>
    <w:p w:rsidR="00034DFE" w:rsidRPr="00034DFE" w:rsidRDefault="00034DFE" w:rsidP="00034DFE">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Cs/>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Cs/>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034DFE">
        <w:rPr>
          <w:rFonts w:eastAsia="Verdana" w:cs="Arial"/>
          <w:b/>
          <w:color w:val="000000"/>
          <w:sz w:val="24"/>
          <w:szCs w:val="24"/>
          <w:u w:color="000000"/>
          <w:bdr w:val="nil"/>
          <w:lang w:eastAsia="it-IT"/>
        </w:rPr>
        <w:t>1.</w:t>
      </w:r>
      <w:r w:rsidRPr="00034DFE">
        <w:rPr>
          <w:rFonts w:eastAsia="Verdana" w:cs="Arial"/>
          <w:color w:val="000000"/>
          <w:sz w:val="24"/>
          <w:szCs w:val="24"/>
          <w:u w:color="000000"/>
          <w:bdr w:val="nil"/>
          <w:lang w:eastAsia="it-IT"/>
        </w:rPr>
        <w:tab/>
        <w:t xml:space="preserve">Richiamata la modifica della Legge sull’organizzazione giudiziaria (LOG) concernente la trasformazione digitale della giustizia ticinese, adottata dal Gran Consiglio sulla base del Messaggio del Consiglio di Stato n. 8600 del 9 luglio 2025 e del rapporto della Commissione giustizia e diritti n. 8600 R parziale 1 del 22 settembre 2025, richiamato in particolare l’art. 89a LOG, che, quale disposizione transitoria, prevede l’attribuzione presso il Ministero pubblico di un Procuratore pubblico straordinario per il periodo limitato sino al 31 dicembre 2028, </w:t>
      </w:r>
      <w:r w:rsidRPr="00034DFE">
        <w:rPr>
          <w:rFonts w:eastAsia="Verdana" w:cs="Arial"/>
          <w:sz w:val="24"/>
          <w:szCs w:val="24"/>
          <w:u w:color="000000"/>
          <w:bdr w:val="nil"/>
          <w:lang w:eastAsia="it-IT"/>
        </w:rPr>
        <w:t>l</w:t>
      </w:r>
      <w:r w:rsidRPr="00034DFE">
        <w:rPr>
          <w:rFonts w:eastAsia="Verdana" w:cs="Arial"/>
          <w:color w:val="000000"/>
          <w:sz w:val="24"/>
          <w:szCs w:val="24"/>
          <w:u w:color="000000"/>
          <w:bdr w:val="nil"/>
          <w:lang w:eastAsia="it-IT"/>
        </w:rPr>
        <w:t>a Commissione giustizia e diritti ha provveduto, giusta l'art. 36 della Costituzione cantonale e gli artt. 2 e seguenti della Legge sull’ordinamento giudiziario (LOG), alla pubblicazione del seguente concorso per l'elezione di un Procuratore pubblico straordinario, per il periodo di nomina dall'entrata in funzione fino al 31 dicembre 2028 (v. FU n. 53 del 18 marzo 2026).</w:t>
      </w:r>
    </w:p>
    <w:p w:rsidR="00034DFE" w:rsidRPr="00034DFE" w:rsidRDefault="00034DFE" w:rsidP="00034DFE">
      <w:pPr>
        <w:spacing w:before="100" w:beforeAutospacing="1" w:after="100" w:afterAutospacing="1"/>
        <w:ind w:left="567"/>
        <w:jc w:val="left"/>
        <w:outlineLvl w:val="1"/>
        <w:rPr>
          <w:rFonts w:eastAsia="Times New Roman" w:cs="Arial"/>
          <w:b/>
          <w:bCs/>
          <w:sz w:val="26"/>
          <w:szCs w:val="26"/>
          <w:lang w:eastAsia="it-CH"/>
        </w:rPr>
      </w:pPr>
      <w:r w:rsidRPr="00034DFE">
        <w:rPr>
          <w:rFonts w:eastAsia="Times New Roman" w:cs="Arial"/>
          <w:b/>
          <w:bCs/>
          <w:sz w:val="26"/>
          <w:szCs w:val="26"/>
          <w:lang w:eastAsia="it-CH"/>
        </w:rPr>
        <w:t xml:space="preserve">04/26, Elezione di un Procuratore pubblico straordinario </w:t>
      </w:r>
      <w:r w:rsidRPr="00034DFE">
        <w:rPr>
          <w:rFonts w:eastAsia="Times New Roman" w:cs="Arial"/>
          <w:i/>
          <w:iCs/>
          <w:sz w:val="26"/>
          <w:szCs w:val="26"/>
          <w:lang w:eastAsia="it-CH"/>
        </w:rPr>
        <w:t>(art. 89a LOG)</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034DFE">
        <w:rPr>
          <w:rFonts w:eastAsia="Verdana" w:cs="Arial"/>
          <w:b/>
          <w:color w:val="000000"/>
          <w:sz w:val="24"/>
          <w:szCs w:val="24"/>
          <w:u w:color="000000"/>
          <w:bdr w:val="nil"/>
          <w:lang w:eastAsia="it-IT"/>
        </w:rPr>
        <w:t>2.</w:t>
      </w:r>
      <w:r w:rsidRPr="00034DFE">
        <w:rPr>
          <w:rFonts w:eastAsia="Verdana" w:cs="Arial"/>
          <w:color w:val="000000"/>
          <w:sz w:val="24"/>
          <w:szCs w:val="24"/>
          <w:u w:color="000000"/>
          <w:bdr w:val="nil"/>
          <w:lang w:eastAsia="it-IT"/>
        </w:rPr>
        <w:tab/>
        <w:t xml:space="preserve">Entro il termine di scadenza, fissato il 6 aprile 2026, sono pervenute complessivamente 4 candidature. </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ascii="Helvetica Neue" w:eastAsia="Arial Unicode MS" w:hAnsi="Helvetica Neue" w:cs="Arial Unicode MS"/>
          <w:color w:val="000000"/>
          <w:bdr w:val="nil"/>
          <w:lang w:eastAsia="it-IT"/>
        </w:rPr>
      </w:pPr>
      <w:r w:rsidRPr="00034DFE">
        <w:rPr>
          <w:rFonts w:eastAsia="Verdana" w:cs="Arial"/>
          <w:b/>
          <w:color w:val="000000"/>
          <w:sz w:val="24"/>
          <w:szCs w:val="24"/>
          <w:u w:color="000000"/>
          <w:bdr w:val="nil"/>
          <w:lang w:eastAsia="it-IT"/>
        </w:rPr>
        <w:t>3.</w:t>
      </w:r>
      <w:r w:rsidRPr="00034DFE">
        <w:rPr>
          <w:rFonts w:eastAsia="Verdana" w:cs="Arial"/>
          <w:color w:val="000000"/>
          <w:sz w:val="24"/>
          <w:szCs w:val="24"/>
          <w:u w:color="000000"/>
          <w:bdr w:val="nil"/>
          <w:lang w:eastAsia="it-IT"/>
        </w:rPr>
        <w:tab/>
      </w:r>
      <w:r w:rsidRPr="00034DFE">
        <w:rPr>
          <w:rFonts w:eastAsia="Verdana" w:cs="Arial"/>
          <w:sz w:val="24"/>
          <w:szCs w:val="24"/>
          <w:u w:color="000000"/>
          <w:bdr w:val="nil"/>
          <w:lang w:eastAsia="it-IT"/>
        </w:rPr>
        <w:t>La Commissione di esperti indipendenti per l'elezione dei magistrati, composta dall’avv. Emanuela Colombo Epiney (Presidente), già giudice e Presidente del Tribunale d’appello, dall’avv. Franco Lardelli, già giudice del Tribunale d’appello, dall’avvocato e notaio Stefano Manetti, dal già Procuratore pubblico generale, avvocato e notaio Luca Marcellini, e dalla già Procuratrice pubblica e avvocata Francesca Piffaretti-Lanz, ha svolto il mandato conferitole dal legislatore (v. artt. 5 e 6 LOG) e ha esaminato la documentazione prodotta dai partecipanti al concorso.</w:t>
      </w:r>
      <w:r w:rsidRPr="00034DFE">
        <w:rPr>
          <w:rFonts w:ascii="Helvetica Neue" w:eastAsia="Arial Unicode MS" w:hAnsi="Helvetica Neue" w:cs="Arial Unicode MS"/>
          <w:color w:val="000000"/>
          <w:bdr w:val="nil"/>
          <w:lang w:eastAsia="it-IT"/>
        </w:rPr>
        <w:t xml:space="preserve"> </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sz w:val="24"/>
          <w:szCs w:val="24"/>
          <w:u w:color="000000"/>
          <w:bdr w:val="nil"/>
          <w:lang w:eastAsia="it-IT"/>
        </w:rPr>
      </w:pPr>
      <w:r w:rsidRPr="00034DFE">
        <w:rPr>
          <w:rFonts w:eastAsia="Verdana" w:cs="Arial"/>
          <w:sz w:val="24"/>
          <w:szCs w:val="24"/>
          <w:u w:color="000000"/>
          <w:bdr w:val="nil"/>
          <w:lang w:eastAsia="it-IT"/>
        </w:rPr>
        <w:tab/>
        <w:t xml:space="preserve">Il concorso n. 4/2026 concerne l’assegnazione di un posto di Procuratore pubblico straordinario, il cui periodo di nomina è limitato, a decorrere dall’entrata in funzione, fino al 31 dicembre 2028, conformemente alla disposizione transitoria prevista dall’art. 89a LOG. La carica ha pertanto carattere straordinario e temporaneo. Il Procuratore pubblico è l’autorità incaricata dell’esercizio uniforme della pretesa punitiva dello Stato (art. 16 cpv. 1 CPP) ed è parte integrante delle autorità di perseguimento penale (art. 12 lett. b CPP). In tale veste, egli dirige la procedura preliminare (art. 61 lett. a CPP), conduce l’istruzione e, se del caso, promuove e sostiene l’accusa dinanzi alle autorità giudicanti (art. 16 cpv. 2 CPP). Nell’ambito dell’istruzione, il procuratore pubblico accerta d’ufficio tutti i fatti rilevanti (art. 6 cpv. 1 CPP), esaminando con pari attenzione le circostanze a carico e a discarico (art. 6 cpv. 2 CPP), raccoglie e valuta le prove, coordina l’attività della polizia, la quale </w:t>
      </w:r>
      <w:r w:rsidRPr="00034DFE">
        <w:rPr>
          <w:rFonts w:eastAsia="Verdana" w:cs="Arial"/>
          <w:sz w:val="24"/>
          <w:szCs w:val="24"/>
          <w:u w:color="000000"/>
          <w:bdr w:val="nil"/>
          <w:lang w:eastAsia="it-IT"/>
        </w:rPr>
        <w:lastRenderedPageBreak/>
        <w:t>agisce sotto la sua vigilanza e le sue istruzioni (art. 15 cpv. 2 CPP), e garantisce il rispetto dei principi procedurali, tra cui la celerità (art. 5 CPP) e la correttezza del procedimento (art. 3 CPP). Egli è competente a disporre gli atti istruttori necessari e a pronunciarsi sulle richieste probatorie delle parti; in tale contesto può respingere istanze probatorie non rilevanti o già comprovate (art. 318 cpv. 2 CPP). Quando l’istruzione è completa, notifica alle parti l’imminente chiusura del procedimento, indicando se intende promuovere l’accusa o abbandonare il procedimento e concedendo un termine per presentare ulteriori istanze probatorie (art. 318 cpv. 1 CPP). Il procuratore pubblico dispone l’abbandono del procedimento quando non risultano sufficienti indizi di reato, non sono adempiuti gli elementi costitutivi o sussistono impedimenti procedurali o cause legali che giustificano la rinuncia all’azione penale (art. 319 cpv. 1 CPP). Il decreto di abbandono revoca i provvedimenti coercitivi eventualmente adottati e può prevedere la confisca di oggetti o valori patrimoniali (art. 320 cpv. 2 CPP); esso pone fine al procedimento con effetti equivalenti a una decisione assolutoria (art. 320 cpv. 4 CPP). Il procedimento può essere riaperto qualora emergano nuovi fatti o mezzi di prova rilevanti (art. 323 cpv. 1 CPP). Se, per contro, il procuratore pubblico ritiene di disporre di sufficienti indizi di reato e non può emanare un decreto d’accusa, egli promuove l’accusa dinanzi al giudice competente (art. 324 cpv. 1 CPP), redigendo l’atto d’accusa che deve contenere, in particolare, l’esposizione dei fatti contestati e le disposizioni di legge applicabili (art. 325 cpv. 1 CPP), nonché eventuali richieste e indicazioni complementari (art. 326 CPP). L’atto d’accusa è quindi notificato alle parti e trasmesso al giudice competente unitamente agli atti (art. 327 CPP). Nell’ambito della procedura del decreto d’accusa, il procuratore pubblico può statuire autonomamente quando i fatti sono sufficientemente chiariti e la sanzione ritenuta adeguata rientra nei limiti stabiliti dalla legge (art. 352 CPP). In particolare, egli può infliggere:</w:t>
      </w:r>
    </w:p>
    <w:p w:rsidR="00034DFE" w:rsidRPr="00034DFE" w:rsidRDefault="00034DFE" w:rsidP="00034DFE">
      <w:pPr>
        <w:numPr>
          <w:ilvl w:val="0"/>
          <w:numId w:val="19"/>
        </w:numPr>
        <w:pBdr>
          <w:top w:val="nil"/>
          <w:left w:val="nil"/>
          <w:bottom w:val="nil"/>
          <w:right w:val="nil"/>
          <w:between w:val="nil"/>
          <w:bar w:val="nil"/>
        </w:pBdr>
        <w:tabs>
          <w:tab w:val="left" w:pos="5664"/>
          <w:tab w:val="left" w:pos="6372"/>
          <w:tab w:val="left" w:pos="7080"/>
          <w:tab w:val="left" w:pos="7788"/>
          <w:tab w:val="left" w:pos="8496"/>
          <w:tab w:val="left" w:pos="9204"/>
        </w:tabs>
        <w:spacing w:before="120"/>
        <w:ind w:left="851" w:hanging="284"/>
        <w:jc w:val="left"/>
        <w:rPr>
          <w:rFonts w:eastAsia="Verdana" w:cs="Arial"/>
          <w:sz w:val="24"/>
          <w:szCs w:val="24"/>
          <w:u w:color="000000"/>
          <w:bdr w:val="nil"/>
          <w:lang w:eastAsia="it-IT"/>
        </w:rPr>
      </w:pPr>
      <w:r w:rsidRPr="00034DFE">
        <w:rPr>
          <w:rFonts w:eastAsia="Verdana" w:cs="Arial" w:hint="eastAsia"/>
          <w:sz w:val="24"/>
          <w:szCs w:val="24"/>
          <w:u w:color="000000"/>
          <w:bdr w:val="nil"/>
          <w:lang w:eastAsia="it-IT"/>
        </w:rPr>
        <w:t>una pena pecuniaria non superiore a 180 aliquote giornaliere;</w:t>
      </w:r>
    </w:p>
    <w:p w:rsidR="00034DFE" w:rsidRPr="00034DFE" w:rsidRDefault="00034DFE" w:rsidP="00034DFE">
      <w:pPr>
        <w:numPr>
          <w:ilvl w:val="0"/>
          <w:numId w:val="19"/>
        </w:numPr>
        <w:pBdr>
          <w:top w:val="nil"/>
          <w:left w:val="nil"/>
          <w:bottom w:val="nil"/>
          <w:right w:val="nil"/>
          <w:between w:val="nil"/>
          <w:bar w:val="nil"/>
        </w:pBdr>
        <w:tabs>
          <w:tab w:val="left" w:pos="5664"/>
          <w:tab w:val="left" w:pos="6372"/>
          <w:tab w:val="left" w:pos="7080"/>
          <w:tab w:val="left" w:pos="7788"/>
          <w:tab w:val="left" w:pos="8496"/>
          <w:tab w:val="left" w:pos="9204"/>
        </w:tabs>
        <w:spacing w:before="120"/>
        <w:ind w:left="851" w:hanging="284"/>
        <w:jc w:val="left"/>
        <w:rPr>
          <w:rFonts w:eastAsia="Verdana" w:cs="Arial"/>
          <w:sz w:val="24"/>
          <w:szCs w:val="24"/>
          <w:u w:color="000000"/>
          <w:bdr w:val="nil"/>
          <w:lang w:eastAsia="it-IT"/>
        </w:rPr>
      </w:pPr>
      <w:r w:rsidRPr="00034DFE">
        <w:rPr>
          <w:rFonts w:eastAsia="Verdana" w:cs="Arial" w:hint="eastAsia"/>
          <w:sz w:val="24"/>
          <w:szCs w:val="24"/>
          <w:u w:color="000000"/>
          <w:bdr w:val="nil"/>
          <w:lang w:eastAsia="it-IT"/>
        </w:rPr>
        <w:t>un lavoro di pubblica utilità non superiore a 720 ore (v. art. 79a CPS);</w:t>
      </w:r>
    </w:p>
    <w:p w:rsidR="00034DFE" w:rsidRDefault="00034DFE" w:rsidP="00034DFE">
      <w:pPr>
        <w:numPr>
          <w:ilvl w:val="0"/>
          <w:numId w:val="19"/>
        </w:numPr>
        <w:pBdr>
          <w:top w:val="nil"/>
          <w:left w:val="nil"/>
          <w:bottom w:val="nil"/>
          <w:right w:val="nil"/>
          <w:between w:val="nil"/>
          <w:bar w:val="nil"/>
        </w:pBdr>
        <w:tabs>
          <w:tab w:val="left" w:pos="5664"/>
          <w:tab w:val="left" w:pos="6372"/>
          <w:tab w:val="left" w:pos="7080"/>
          <w:tab w:val="left" w:pos="7788"/>
          <w:tab w:val="left" w:pos="8496"/>
          <w:tab w:val="left" w:pos="9204"/>
        </w:tabs>
        <w:spacing w:before="120"/>
        <w:ind w:left="851" w:hanging="284"/>
        <w:jc w:val="left"/>
        <w:rPr>
          <w:rFonts w:eastAsia="Verdana" w:cs="Arial"/>
          <w:sz w:val="24"/>
          <w:szCs w:val="24"/>
          <w:u w:color="000000"/>
          <w:bdr w:val="nil"/>
          <w:lang w:eastAsia="it-IT"/>
        </w:rPr>
      </w:pPr>
      <w:r w:rsidRPr="00034DFE">
        <w:rPr>
          <w:rFonts w:eastAsia="Verdana" w:cs="Arial" w:hint="eastAsia"/>
          <w:sz w:val="24"/>
          <w:szCs w:val="24"/>
          <w:u w:color="000000"/>
          <w:bdr w:val="nil"/>
          <w:lang w:eastAsia="it-IT"/>
        </w:rPr>
        <w:t>una pena detentiva non superiore a sei mesi, oltre a una multa.</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spacing w:before="120"/>
        <w:ind w:left="851"/>
        <w:jc w:val="left"/>
        <w:rPr>
          <w:rFonts w:eastAsia="Verdana" w:cs="Arial"/>
          <w:sz w:val="24"/>
          <w:szCs w:val="24"/>
          <w:u w:color="000000"/>
          <w:bdr w:val="nil"/>
          <w:lang w:eastAsia="it-IT"/>
        </w:rPr>
      </w:pPr>
    </w:p>
    <w:p w:rsid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r w:rsidRPr="00034DFE">
        <w:rPr>
          <w:rFonts w:eastAsia="Verdana" w:cs="Arial"/>
          <w:sz w:val="24"/>
          <w:szCs w:val="24"/>
          <w:u w:color="000000"/>
          <w:bdr w:val="nil"/>
          <w:lang w:eastAsia="it-IT"/>
        </w:rPr>
        <w:t>Tali limiti definiscono la competenza decisionale autonoma del Procuratore pubblico nella procedura del decreto d’accusa: qualora la sanzione ipotizzata ecceda tali soglie, egli è tenuto a promuovere l’accusa dinanzi al giudice (art. 324 cpv. 1 CPP in relazione con art. 352 CPP).</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p>
    <w:p w:rsid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r w:rsidRPr="00034DFE">
        <w:rPr>
          <w:rFonts w:eastAsia="Verdana" w:cs="Arial"/>
          <w:sz w:val="24"/>
          <w:szCs w:val="24"/>
          <w:u w:color="000000"/>
          <w:bdr w:val="nil"/>
          <w:lang w:eastAsia="it-IT"/>
        </w:rPr>
        <w:t>Inoltre, il Procuratore pubblico esercita ulteriori competenze procedurali, tra cui la possibilità di rinunciare al procedimento penale nei casi previsti dalla legge (art. 8 CPP), di informare il pubblico su procedimenti pendenti nel rispetto dei diritti delle parti (art. 74 CPP), nonché di richiedere ed eseguire atti di assistenza giudiziaria nazionale e internazionale (art. 43 segg. CPP; art. 55 CPP). Il Ministero pubblico è l’autorità di perseguimento penale del Cantone, organizzata in modo gerarchico e funzionale, con sede a Lugano e competenza sull’intero territorio cantonale. È diretto dal Procuratore generale, che ne garantisce il corretto funzionamento, esercita la vigilanza sui magistrati e definisce l’organizzazione interna, inclusa la ripartizione dei procedimenti. L’ufficio è suddiviso in due sezioni specializzate per materia: una competente per i reati comuni, le contravvenzioni e i reati previsti dalla legislazione speciale, e una per i reati</w:t>
      </w:r>
      <w:r>
        <w:rPr>
          <w:rFonts w:eastAsia="Verdana" w:cs="Arial"/>
          <w:sz w:val="24"/>
          <w:szCs w:val="24"/>
          <w:u w:color="000000"/>
          <w:bdr w:val="nil"/>
          <w:lang w:eastAsia="it-IT"/>
        </w:rPr>
        <w:t xml:space="preserve"> </w:t>
      </w:r>
      <w:r w:rsidRPr="00034DFE">
        <w:rPr>
          <w:rFonts w:eastAsia="Verdana" w:cs="Arial"/>
          <w:sz w:val="24"/>
          <w:szCs w:val="24"/>
          <w:u w:color="000000"/>
          <w:bdr w:val="nil"/>
          <w:lang w:eastAsia="it-IT"/>
        </w:rPr>
        <w:t xml:space="preserve">economici e finanziari nonché per l’assistenza giudiziaria </w:t>
      </w:r>
      <w:r w:rsidRPr="00034DFE">
        <w:rPr>
          <w:rFonts w:eastAsia="Verdana" w:cs="Arial"/>
          <w:sz w:val="24"/>
          <w:szCs w:val="24"/>
          <w:u w:color="000000"/>
          <w:bdr w:val="nil"/>
          <w:lang w:eastAsia="it-IT"/>
        </w:rPr>
        <w:lastRenderedPageBreak/>
        <w:t>internazionale. Le sezioni sono dirette da procuratori generali sostituti, responsabili dell’organizzazione operativa e dell’assegnazione dei casi. I procuratori pubblici operano in modo autonomo nei procedimenti di loro competenza, mentre i sostituti procuratori pubblici li coadiuvano ed esercitano, nei limiti delle loro attribuzioni, l’azione penale, potendo in particolare emanare decreti e promuovere l’accusa dinanzi alle autorità competenti.</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r w:rsidRPr="00034DFE">
        <w:rPr>
          <w:rFonts w:eastAsia="Verdana" w:cs="Arial"/>
          <w:sz w:val="24"/>
          <w:szCs w:val="24"/>
          <w:u w:color="000000"/>
          <w:bdr w:val="nil"/>
          <w:lang w:eastAsia="it-IT"/>
        </w:rPr>
        <w:t>In sintesi, il Procuratore pubblico svolge una funzione centrale nel sistema penale. Egli decide sull’esercizio dell’azione penale – della quale è titolare – e nella fase istruttoria dirige e coordina l’attività investigativa, provvedendo – anche in prima persona - alla raccolta delle prove. Il Procuratore decide in autonomia se un procedimento penale debba essere abbandonato o se gli imputati debbano essere deferiti al giudizio del Pretore penale o di una Corte correzionale o criminale, Autorità dinnanzi alle quali dovrà personalmente sostenere l’accusa. Nei casi di minore gravità, può concludere autonomamente il procedimento emettendo un Decreto di accusa. Il Procuratore ha anche la competenza autonoma di impugnare i giudizi dei Tribunali fino all’ultima istanza federale. La carica di Procuratore pubblico richiede pertanto una buona conoscenza del sistema giudiziario cantonale e federale, esperienza pluriennale nel settore penale, capacità organizzative e di analisi, facilità di contatto con tutti gli intervenienti nella procedura penale, capacità di condurre in modo efficiente, preciso e determinato le indagini e l’istruttoria, equilibrio e capacità decisionale ed anche efficacia nel sostenere il ruolo della pubblica accusa durante i dibattimenti. La sua personalità deve permettergli di sopportare la tensione e le pressioni determinate dal ruolo e dal carico di lavoro.</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r w:rsidRPr="00034DFE">
        <w:rPr>
          <w:rFonts w:eastAsia="Verdana" w:cs="Arial"/>
          <w:sz w:val="24"/>
          <w:szCs w:val="24"/>
          <w:u w:color="000000"/>
          <w:bdr w:val="nil"/>
          <w:lang w:eastAsia="it-IT"/>
        </w:rPr>
        <w:t>La Commissione ha esaminato la documentazione prodotta dalle persone che si sono candidate e le ha ascoltate personalmente nel corso di un colloquio approfondito.</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sz w:val="24"/>
          <w:szCs w:val="24"/>
          <w:u w:color="000000"/>
          <w:bdr w:val="nil"/>
          <w:lang w:eastAsia="it-IT"/>
        </w:rPr>
      </w:pPr>
      <w:r w:rsidRPr="00034DFE">
        <w:rPr>
          <w:rFonts w:eastAsia="Verdana" w:cs="Arial"/>
          <w:sz w:val="24"/>
          <w:szCs w:val="24"/>
          <w:u w:color="000000"/>
          <w:bdr w:val="nil"/>
          <w:lang w:eastAsia="it-IT"/>
        </w:rPr>
        <w:t>Come previsto dalle disposizioni legali vigenti (LOG, Regolamento della Commissione di esperti indipendenti) la valutazione indica l’idoneità con riferimento alla carica da assumere, al momento in cui la Commissione si pronuncia.</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sz w:val="24"/>
          <w:szCs w:val="24"/>
          <w:u w:color="000000"/>
          <w:bdr w:val="nil"/>
          <w:lang w:eastAsia="it-IT"/>
        </w:rPr>
      </w:pPr>
      <w:r w:rsidRPr="00034DFE">
        <w:rPr>
          <w:rFonts w:eastAsia="Verdana" w:cs="Arial"/>
          <w:b/>
          <w:color w:val="000000"/>
          <w:sz w:val="24"/>
          <w:szCs w:val="24"/>
          <w:u w:color="000000"/>
          <w:bdr w:val="nil"/>
          <w:lang w:eastAsia="it-IT"/>
        </w:rPr>
        <w:t>4.</w:t>
      </w:r>
      <w:r w:rsidRPr="00034DFE">
        <w:rPr>
          <w:rFonts w:eastAsia="Verdana" w:cs="Arial"/>
          <w:color w:val="000000"/>
          <w:sz w:val="24"/>
          <w:szCs w:val="24"/>
          <w:u w:color="000000"/>
          <w:bdr w:val="nil"/>
          <w:lang w:eastAsia="it-IT"/>
        </w:rPr>
        <w:tab/>
        <w:t>Il rapporto e preavviso commissionale del 5 maggio 2026 è stato quindi trasmesso alla Commissione giustizia e diritti.</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034DFE">
        <w:rPr>
          <w:rFonts w:eastAsia="Verdana" w:cs="Arial"/>
          <w:b/>
          <w:color w:val="000000"/>
          <w:sz w:val="24"/>
          <w:szCs w:val="24"/>
          <w:u w:color="000000"/>
          <w:bdr w:val="nil"/>
          <w:lang w:eastAsia="it-IT"/>
        </w:rPr>
        <w:t>5.</w:t>
      </w:r>
      <w:r w:rsidRPr="00034DFE">
        <w:rPr>
          <w:rFonts w:eastAsia="Verdana" w:cs="Arial"/>
          <w:color w:val="000000"/>
          <w:sz w:val="24"/>
          <w:szCs w:val="24"/>
          <w:u w:color="000000"/>
          <w:bdr w:val="nil"/>
          <w:lang w:eastAsia="it-IT"/>
        </w:rPr>
        <w:tab/>
        <w:t>La Commissione giustizia e diritti, alla luce di tutto quanto sopra esposto e sulla base degli allegati dossier della candidata e dei candidati e del rapporto della Commissione di esperti indipendenti per l’elezione dei magistrati, può ora comunicare al Gran Consiglio:</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034DFE">
        <w:rPr>
          <w:rFonts w:eastAsia="Arial Unicode MS" w:cs="Arial"/>
          <w:b/>
          <w:caps/>
          <w:color w:val="000000"/>
          <w:sz w:val="24"/>
          <w:szCs w:val="24"/>
          <w:u w:color="000000"/>
          <w:bdr w:val="nil"/>
          <w:lang w:eastAsia="it-IT"/>
        </w:rPr>
        <w:t>I.</w:t>
      </w:r>
      <w:r w:rsidRPr="00034DFE">
        <w:rPr>
          <w:rFonts w:eastAsia="Arial Unicode MS" w:cs="Arial"/>
          <w:b/>
          <w:caps/>
          <w:color w:val="000000"/>
          <w:sz w:val="24"/>
          <w:szCs w:val="24"/>
          <w:u w:color="000000"/>
          <w:bdr w:val="nil"/>
          <w:lang w:eastAsia="it-IT"/>
        </w:rPr>
        <w:tab/>
        <w:t>l'elenco DELLe CANDIDATe E dei candidati</w:t>
      </w:r>
      <w:r w:rsidRPr="00034DFE">
        <w:rPr>
          <w:rFonts w:eastAsia="Arial Unicode MS" w:cs="Arial"/>
          <w:caps/>
          <w:color w:val="000000"/>
          <w:sz w:val="24"/>
          <w:szCs w:val="24"/>
          <w:u w:color="000000"/>
          <w:bdr w:val="nil"/>
          <w:lang w:eastAsia="it-IT"/>
        </w:rPr>
        <w:t xml:space="preserve"> (</w:t>
      </w:r>
      <w:r w:rsidRPr="00034DFE">
        <w:rPr>
          <w:rFonts w:eastAsia="Arial Unicode MS" w:cs="Arial"/>
          <w:color w:val="000000"/>
          <w:sz w:val="24"/>
          <w:szCs w:val="24"/>
          <w:u w:color="000000"/>
          <w:bdr w:val="nil"/>
          <w:lang w:eastAsia="it-IT"/>
        </w:rPr>
        <w:t>in ordine alfabetico</w:t>
      </w:r>
      <w:r w:rsidRPr="00034DFE">
        <w:rPr>
          <w:rFonts w:eastAsia="Arial Unicode MS" w:cs="Arial"/>
          <w:caps/>
          <w:color w:val="000000"/>
          <w:sz w:val="24"/>
          <w:szCs w:val="24"/>
          <w:u w:color="000000"/>
          <w:bdr w:val="nil"/>
          <w:lang w:eastAsia="it-IT"/>
        </w:rPr>
        <w:t>):</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ANASTASI Giorgio</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Cancelliere, Corte d'appello e revisione penale, Locarno</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BERNASCONI Anita</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Segretaria giudiziaria presso il Ministero pubblico, Lugano</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JANETT Raffaele</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Segretario giudiziario presso il Ministero pubblico, Lugano</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PEZZATI Barbara</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color w:val="000000"/>
          <w:sz w:val="24"/>
          <w:szCs w:val="24"/>
          <w:u w:color="000000"/>
          <w:bdr w:val="nil"/>
          <w:lang w:eastAsia="it-IT"/>
        </w:rPr>
        <w:t>Avvocata</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034DFE">
        <w:rPr>
          <w:rFonts w:eastAsia="Arial Unicode MS" w:cs="Arial"/>
          <w:b/>
          <w:caps/>
          <w:color w:val="000000"/>
          <w:sz w:val="24"/>
          <w:szCs w:val="24"/>
          <w:u w:color="000000"/>
          <w:bdr w:val="nil"/>
          <w:lang w:eastAsia="it-IT"/>
        </w:rPr>
        <w:t>II.</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034DFE">
        <w:rPr>
          <w:rFonts w:eastAsia="Arial Unicode MS" w:cs="Arial"/>
          <w:sz w:val="24"/>
          <w:szCs w:val="24"/>
          <w:u w:color="000000"/>
          <w:bdr w:val="nil"/>
          <w:lang w:eastAsia="it-IT"/>
        </w:rPr>
        <w:t>C</w:t>
      </w:r>
      <w:r w:rsidRPr="00034DFE">
        <w:rPr>
          <w:rFonts w:eastAsia="Arial Unicode MS" w:cs="Arial"/>
          <w:color w:val="000000"/>
          <w:sz w:val="24"/>
          <w:szCs w:val="24"/>
          <w:u w:color="000000"/>
          <w:bdr w:val="nil"/>
          <w:lang w:eastAsia="it-IT"/>
        </w:rPr>
        <w:t>he la Commissione di esperti indipendenti per l’elezione dei magistrati ha espresso un parere di idoneità per tutte le candidature inoltrate nell'ambito del concorso n. 4/26 per l'elezione di un Procuratore pubblico straordinario;</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034DFE">
        <w:rPr>
          <w:rFonts w:eastAsia="Arial Unicode MS" w:cs="Arial"/>
          <w:b/>
          <w:caps/>
          <w:color w:val="000000"/>
          <w:sz w:val="24"/>
          <w:szCs w:val="24"/>
          <w:u w:color="000000"/>
          <w:bdr w:val="nil"/>
          <w:lang w:eastAsia="it-IT"/>
        </w:rPr>
        <w:t>iii.</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rPr>
          <w:rFonts w:eastAsia="Arial Unicode MS" w:cs="Arial"/>
          <w:sz w:val="24"/>
          <w:szCs w:val="24"/>
          <w:u w:color="000000"/>
          <w:bdr w:val="nil"/>
          <w:lang w:eastAsia="it-IT"/>
        </w:rPr>
      </w:pPr>
      <w:r w:rsidRPr="00034DFE">
        <w:rPr>
          <w:rFonts w:eastAsia="Verdana" w:cs="Arial"/>
          <w:sz w:val="24"/>
          <w:szCs w:val="24"/>
          <w:u w:color="000000"/>
          <w:bdr w:val="nil"/>
          <w:lang w:eastAsia="it-IT"/>
        </w:rPr>
        <w:t xml:space="preserve">che la documentazione prodotta dalle candidate e dai candidati al concorso n. 4/26 è consultabile presso i Servizi del Gran Consiglio, mentre il rapporto confidenziale della Commissione di esperti indipendenti per l’elezione dei magistrati è allegato al presente rapporto; </w:t>
      </w:r>
    </w:p>
    <w:p w:rsidR="00034DFE" w:rsidRPr="00034DFE" w:rsidRDefault="00034DFE" w:rsidP="00034DFE">
      <w:pPr>
        <w:pBdr>
          <w:top w:val="nil"/>
          <w:left w:val="nil"/>
          <w:bottom w:val="nil"/>
          <w:right w:val="nil"/>
          <w:between w:val="nil"/>
          <w:bar w:val="nil"/>
        </w:pBdr>
        <w:rPr>
          <w:rFonts w:eastAsia="Verdana"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ind w:left="426" w:hanging="426"/>
        <w:rPr>
          <w:rFonts w:eastAsia="Arial Unicode MS" w:cs="Arial"/>
          <w:b/>
          <w:color w:val="000000"/>
          <w:bdr w:val="nil"/>
          <w:lang w:eastAsia="it-IT"/>
        </w:rPr>
      </w:pPr>
      <w:r w:rsidRPr="00034DFE">
        <w:rPr>
          <w:rFonts w:eastAsia="Arial Unicode MS" w:cs="Arial"/>
          <w:b/>
          <w:color w:val="000000"/>
          <w:bdr w:val="nil"/>
          <w:lang w:eastAsia="it-IT"/>
        </w:rPr>
        <w:t>IV.</w:t>
      </w:r>
    </w:p>
    <w:p w:rsidR="00034DFE" w:rsidRPr="00034DFE" w:rsidRDefault="00034DFE" w:rsidP="00034DFE">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r w:rsidRPr="00034DFE">
        <w:rPr>
          <w:rFonts w:eastAsia="Verdana" w:cs="Arial"/>
          <w:sz w:val="24"/>
          <w:szCs w:val="24"/>
          <w:u w:color="000000"/>
          <w:bdr w:val="nil"/>
          <w:lang w:eastAsia="it-IT"/>
        </w:rPr>
        <w:t>che la Commissione giustizia e diritti, dopo aver valutato le candidature e sulla scorta dell’art. 7 lett. e LOG, propone al Gran Consiglio l’elezione di PEZZATI Barbara.</w:t>
      </w: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3F3F94" w:rsidRDefault="00034DFE" w:rsidP="00034DFE">
      <w:pPr>
        <w:pBdr>
          <w:top w:val="nil"/>
          <w:left w:val="nil"/>
          <w:bottom w:val="nil"/>
          <w:right w:val="nil"/>
          <w:between w:val="nil"/>
          <w:bar w:val="nil"/>
        </w:pBdr>
        <w:spacing w:after="120"/>
        <w:rPr>
          <w:rFonts w:eastAsia="Arial Unicode MS" w:cs="Arial"/>
          <w:color w:val="000000"/>
          <w:sz w:val="24"/>
          <w:szCs w:val="24"/>
          <w:u w:color="000000"/>
          <w:bdr w:val="nil"/>
          <w:lang w:eastAsia="it-IT"/>
        </w:rPr>
      </w:pPr>
      <w:r w:rsidRPr="003F3F94">
        <w:rPr>
          <w:rFonts w:eastAsia="Arial Unicode MS" w:cs="Arial"/>
          <w:color w:val="000000"/>
          <w:sz w:val="24"/>
          <w:szCs w:val="24"/>
          <w:u w:color="000000"/>
          <w:bdr w:val="nil"/>
          <w:lang w:eastAsia="it-IT"/>
        </w:rPr>
        <w:t>Per la Commissione giustizia e diritti</w:t>
      </w:r>
      <w:r>
        <w:rPr>
          <w:rFonts w:eastAsia="Arial Unicode MS" w:cs="Arial"/>
          <w:color w:val="000000"/>
          <w:sz w:val="24"/>
          <w:szCs w:val="24"/>
          <w:u w:color="000000"/>
          <w:bdr w:val="nil"/>
          <w:lang w:eastAsia="it-IT"/>
        </w:rPr>
        <w:t>:</w:t>
      </w:r>
    </w:p>
    <w:p w:rsidR="00034DFE" w:rsidRPr="003F3F94"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sidRPr="003F3F94">
        <w:rPr>
          <w:rFonts w:eastAsia="Arial Unicode MS" w:cs="Arial"/>
          <w:color w:val="000000"/>
          <w:sz w:val="24"/>
          <w:szCs w:val="24"/>
          <w:u w:color="000000"/>
          <w:bdr w:val="nil"/>
          <w:lang w:eastAsia="it-IT"/>
        </w:rPr>
        <w:t>Cristina Maderni, Presidente</w:t>
      </w:r>
    </w:p>
    <w:p w:rsid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 xml:space="preserve">Berardi - Bertoli - Capoferri - Demir - Durisch - </w:t>
      </w:r>
    </w:p>
    <w:p w:rsid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 xml:space="preserve">Gendotti - Genini Simona - Lepori - Mazzoleni - </w:t>
      </w:r>
    </w:p>
    <w:p w:rsidR="00034DFE" w:rsidRPr="00B45470"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Minotti - Piccaluga (con riserva) - Quadranti - Zanetti</w:t>
      </w:r>
    </w:p>
    <w:p w:rsid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83787C" w:rsidRPr="00034DFE" w:rsidRDefault="0083787C"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034DFE" w:rsidRPr="00034DFE" w:rsidRDefault="00034DFE" w:rsidP="00034DFE">
      <w:pPr>
        <w:pBdr>
          <w:top w:val="nil"/>
          <w:left w:val="nil"/>
          <w:bottom w:val="nil"/>
          <w:right w:val="nil"/>
          <w:between w:val="nil"/>
          <w:bar w:val="nil"/>
        </w:pBdr>
        <w:rPr>
          <w:rFonts w:eastAsia="Arial Unicode MS" w:cs="Arial"/>
          <w:color w:val="000000"/>
          <w:sz w:val="24"/>
          <w:szCs w:val="24"/>
          <w:u w:color="000000"/>
          <w:bdr w:val="nil"/>
          <w:lang w:eastAsia="it-IT"/>
        </w:rPr>
      </w:pPr>
    </w:p>
    <w:p w:rsidR="0083787C" w:rsidRDefault="0083787C" w:rsidP="0083787C">
      <w:pPr>
        <w:pBdr>
          <w:top w:val="nil"/>
          <w:left w:val="nil"/>
          <w:bottom w:val="nil"/>
          <w:right w:val="nil"/>
          <w:between w:val="nil"/>
          <w:bar w:val="nil"/>
        </w:pBdr>
        <w:spacing w:after="120"/>
        <w:ind w:left="1134" w:hanging="1134"/>
        <w:rPr>
          <w:rFonts w:eastAsia="Arial Unicode MS" w:cs="Arial"/>
          <w:color w:val="000000"/>
          <w:sz w:val="24"/>
          <w:szCs w:val="24"/>
          <w:u w:color="000000"/>
          <w:bdr w:val="nil"/>
          <w:lang w:eastAsia="it-IT"/>
        </w:rPr>
      </w:pPr>
    </w:p>
    <w:p w:rsidR="00D649A8" w:rsidRPr="00034DFE" w:rsidRDefault="00D649A8" w:rsidP="00D33940">
      <w:pPr>
        <w:pStyle w:val="StandardRisoluzionedelConsigliodiStato"/>
        <w:ind w:right="-1"/>
      </w:pPr>
      <w:bookmarkStart w:id="0" w:name="_GoBack"/>
      <w:bookmarkEnd w:id="0"/>
    </w:p>
    <w:sectPr w:rsidR="00D649A8" w:rsidRPr="00034DFE"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DFE" w:rsidRDefault="00034DFE" w:rsidP="00F657BF">
      <w:r>
        <w:separator/>
      </w:r>
    </w:p>
  </w:endnote>
  <w:endnote w:type="continuationSeparator" w:id="0">
    <w:p w:rsidR="00034DFE" w:rsidRDefault="00034DF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12127" w:rsidP="00912E34">
          <w:pPr>
            <w:tabs>
              <w:tab w:val="center" w:pos="2382"/>
            </w:tabs>
          </w:pPr>
        </w:p>
      </w:tc>
      <w:tc>
        <w:tcPr>
          <w:tcW w:w="721" w:type="dxa"/>
        </w:tcPr>
        <w:p w:rsidR="00912E34" w:rsidRPr="003D1008" w:rsidRDefault="00417BBA"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17BBA"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12127"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12127">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DFE" w:rsidRDefault="00034DFE" w:rsidP="00F657BF">
      <w:r>
        <w:separator/>
      </w:r>
    </w:p>
  </w:footnote>
  <w:footnote w:type="continuationSeparator" w:id="0">
    <w:p w:rsidR="00034DFE" w:rsidRDefault="00034DF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12127"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0B532132-9DB3-417A-AB7B-19DDEEDFC6A7}"/>
              <w:text w:multiLine="1"/>
            </w:sdtPr>
            <w:sdtEndPr/>
            <w:sdtContent>
              <w:r w:rsidR="00417BBA">
                <w:rPr>
                  <w:rFonts w:ascii="Gill Alt One MT Light" w:hAnsi="Gill Alt One MT Light"/>
                  <w:sz w:val="16"/>
                  <w:szCs w:val="16"/>
                </w:rPr>
                <w:t>Repubblica e Cantone Ticino</w:t>
              </w:r>
            </w:sdtContent>
          </w:sdt>
        </w:p>
        <w:p w:rsidR="005012EC" w:rsidRPr="00E8185F" w:rsidRDefault="00112127"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0B532132-9DB3-417A-AB7B-19DDEEDFC6A7}"/>
              <w:text w:multiLine="1"/>
            </w:sdtPr>
            <w:sdtEndPr/>
            <w:sdtContent>
              <w:r w:rsidR="008D117E">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417BBA"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12127">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12127">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B532132-9DB3-417A-AB7B-19DDEEDFC6A7}"/>
          <w:text w:multiLine="1"/>
        </w:sdtPr>
        <w:sdtEndPr/>
        <w:sdtContent>
          <w:tc>
            <w:tcPr>
              <w:tcW w:w="8383" w:type="dxa"/>
              <w:tcBorders>
                <w:left w:val="single" w:sz="4" w:space="0" w:color="auto"/>
              </w:tcBorders>
              <w:tcMar>
                <w:top w:w="0" w:type="dxa"/>
                <w:left w:w="142" w:type="dxa"/>
              </w:tcMar>
            </w:tcPr>
            <w:p w:rsidR="005012EC" w:rsidRPr="00E8185F" w:rsidRDefault="008D117E"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26 maggio 2026</w:t>
              </w:r>
            </w:p>
          </w:tc>
        </w:sdtContent>
      </w:sdt>
      <w:tc>
        <w:tcPr>
          <w:tcW w:w="1710" w:type="dxa"/>
          <w:tcBorders>
            <w:top w:val="single" w:sz="4" w:space="0" w:color="auto"/>
          </w:tcBorders>
        </w:tcPr>
        <w:p w:rsidR="005012EC" w:rsidRPr="00E043A3" w:rsidRDefault="00112127" w:rsidP="00662409">
          <w:pPr>
            <w:pStyle w:val="InvisibleLine"/>
            <w:rPr>
              <w:lang w:val="de-DE"/>
            </w:rPr>
          </w:pPr>
        </w:p>
      </w:tc>
    </w:tr>
  </w:tbl>
  <w:p w:rsidR="00F657BF" w:rsidRPr="00980362" w:rsidRDefault="00417BBA"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B532132-9DB3-417A-AB7B-19DDEEDFC6A7}"/>
                            <w:text w:multiLine="1"/>
                          </w:sdtPr>
                          <w:sdtEndPr/>
                          <w:sdtContent>
                            <w:p w:rsidR="008065E8" w:rsidRPr="00411371" w:rsidRDefault="00417BB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4E72236-D6AC-4E3A-8AFD-7F3E859DADAE}"/>
                      <w:text w:multiLine="1"/>
                    </w:sdtPr>
                    <w:sdtEndPr/>
                    <w:sdtContent>
                      <w:p w:rsidR="008065E8" w:rsidRPr="00411371" w:rsidRDefault="00417BB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12127" w:rsidP="00932E26">
          <w:pPr>
            <w:pStyle w:val="InvisibleLine"/>
            <w:spacing w:line="240" w:lineRule="auto"/>
            <w:ind w:left="15"/>
            <w:rPr>
              <w:rFonts w:ascii="Gill Alt One MT Light" w:hAnsi="Gill Alt One MT Light"/>
              <w:sz w:val="16"/>
              <w:lang w:val="it-CH"/>
            </w:rPr>
          </w:pPr>
        </w:p>
        <w:p w:rsidR="00CD5F73" w:rsidRDefault="00417BBA"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12127"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12127" w:rsidP="00D07D6E">
          <w:pPr>
            <w:pStyle w:val="Level"/>
            <w:ind w:left="150"/>
            <w:rPr>
              <w:sz w:val="16"/>
            </w:rPr>
          </w:pPr>
        </w:p>
      </w:tc>
      <w:tc>
        <w:tcPr>
          <w:tcW w:w="209" w:type="pct"/>
          <w:tcBorders>
            <w:top w:val="nil"/>
            <w:bottom w:val="single" w:sz="4" w:space="0" w:color="auto"/>
          </w:tcBorders>
        </w:tcPr>
        <w:p w:rsidR="00662409" w:rsidRDefault="00417BBA"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9752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034DFE" w:rsidRDefault="00417BBA" w:rsidP="00D07D6E">
          <w:pPr>
            <w:pStyle w:val="HeaderDecisione"/>
            <w:spacing w:after="60"/>
            <w:ind w:left="150"/>
            <w:jc w:val="right"/>
            <w:rPr>
              <w:rFonts w:ascii="Helvetica Neue" w:hAnsi="Helvetica Neue" w:cs="Helvetica Neue"/>
              <w:sz w:val="24"/>
            </w:rPr>
          </w:pPr>
          <w:r w:rsidRPr="00034DFE">
            <w:rPr>
              <w:rFonts w:ascii="Helvetica Neue" w:hAnsi="Helvetica Neue" w:cs="Helvetica Neue"/>
              <w:sz w:val="24"/>
            </w:rPr>
            <w:fldChar w:fldCharType="begin"/>
          </w:r>
          <w:r w:rsidRPr="00034DFE">
            <w:rPr>
              <w:rFonts w:ascii="Helvetica Neue" w:hAnsi="Helvetica Neue" w:cs="Helvetica Neue"/>
              <w:sz w:val="24"/>
            </w:rPr>
            <w:instrText xml:space="preserve"> PAGE   \* MERGEFORMAT </w:instrText>
          </w:r>
          <w:r w:rsidRPr="00034DFE">
            <w:rPr>
              <w:rFonts w:ascii="Helvetica Neue" w:hAnsi="Helvetica Neue" w:cs="Helvetica Neue"/>
              <w:sz w:val="24"/>
            </w:rPr>
            <w:fldChar w:fldCharType="separate"/>
          </w:r>
          <w:r w:rsidR="00112127">
            <w:rPr>
              <w:rFonts w:ascii="Helvetica Neue" w:hAnsi="Helvetica Neue" w:cs="Helvetica Neue"/>
              <w:noProof/>
              <w:sz w:val="24"/>
            </w:rPr>
            <w:t>1</w:t>
          </w:r>
          <w:r w:rsidRPr="00034DFE">
            <w:rPr>
              <w:rFonts w:ascii="Helvetica Neue" w:hAnsi="Helvetica Neue" w:cs="Helvetica Neue"/>
              <w:sz w:val="24"/>
            </w:rPr>
            <w:fldChar w:fldCharType="end"/>
          </w:r>
          <w:r w:rsidRPr="00034DFE">
            <w:rPr>
              <w:rFonts w:ascii="Helvetica Neue" w:hAnsi="Helvetica Neue" w:cs="Helvetica Neue"/>
              <w:sz w:val="24"/>
            </w:rPr>
            <w:t xml:space="preserve"> di </w:t>
          </w:r>
          <w:r w:rsidRPr="00034DFE">
            <w:rPr>
              <w:rFonts w:ascii="Helvetica Neue" w:hAnsi="Helvetica Neue" w:cs="Helvetica Neue"/>
              <w:sz w:val="24"/>
            </w:rPr>
            <w:fldChar w:fldCharType="begin"/>
          </w:r>
          <w:r w:rsidRPr="00034DFE">
            <w:rPr>
              <w:rFonts w:ascii="Helvetica Neue" w:hAnsi="Helvetica Neue" w:cs="Helvetica Neue"/>
              <w:sz w:val="24"/>
            </w:rPr>
            <w:instrText xml:space="preserve"> NUMPAGES   \* MERGEFORMAT </w:instrText>
          </w:r>
          <w:r w:rsidRPr="00034DFE">
            <w:rPr>
              <w:rFonts w:ascii="Helvetica Neue" w:hAnsi="Helvetica Neue" w:cs="Helvetica Neue"/>
              <w:sz w:val="24"/>
            </w:rPr>
            <w:fldChar w:fldCharType="separate"/>
          </w:r>
          <w:r w:rsidR="00112127">
            <w:rPr>
              <w:rFonts w:ascii="Helvetica Neue" w:hAnsi="Helvetica Neue" w:cs="Helvetica Neue"/>
              <w:noProof/>
              <w:sz w:val="24"/>
            </w:rPr>
            <w:t>4</w:t>
          </w:r>
          <w:r w:rsidRPr="00034DFE">
            <w:rPr>
              <w:rFonts w:ascii="Helvetica Neue" w:hAnsi="Helvetica Neue" w:cs="Helvetica Neue"/>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B532132-9DB3-417A-AB7B-19DDEEDFC6A7}"/>
          <w:text w:multiLine="1"/>
        </w:sdtPr>
        <w:sdtEndPr/>
        <w:sdtContent>
          <w:tc>
            <w:tcPr>
              <w:tcW w:w="5000" w:type="pct"/>
              <w:gridSpan w:val="6"/>
              <w:tcBorders>
                <w:left w:val="nil"/>
                <w:right w:val="nil"/>
              </w:tcBorders>
              <w:noWrap/>
              <w:tcMar>
                <w:top w:w="0" w:type="dxa"/>
              </w:tcMar>
              <w:vAlign w:val="bottom"/>
            </w:tcPr>
            <w:p w:rsidR="00662409" w:rsidRPr="008C03B5" w:rsidRDefault="008D117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17BB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12127"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17BB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12127"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17BB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12127"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034DFE" w:rsidRDefault="00112127" w:rsidP="00A532F6">
          <w:pPr>
            <w:pStyle w:val="InvisibleLine"/>
            <w:spacing w:line="280" w:lineRule="exact"/>
            <w:rPr>
              <w:rFonts w:cs="Helvetica Neue"/>
              <w:b/>
              <w:sz w:val="28"/>
              <w:szCs w:val="28"/>
            </w:rPr>
          </w:pPr>
          <w:sdt>
            <w:sdtPr>
              <w:rPr>
                <w:rFonts w:cs="Helvetica Neue"/>
                <w:b/>
                <w:sz w:val="24"/>
                <w:szCs w:val="24"/>
              </w:rPr>
              <w:alias w:val="DocParam.Number"/>
              <w:id w:val="614175640"/>
              <w:dataBinding w:xpath="//Text[@id='DocParam.Number']" w:storeItemID="{0B532132-9DB3-417A-AB7B-19DDEEDFC6A7}"/>
              <w:text w:multiLine="1"/>
            </w:sdtPr>
            <w:sdtEndPr>
              <w:rPr>
                <w:rFonts w:cstheme="minorBidi"/>
                <w:b w:val="0"/>
                <w:sz w:val="2"/>
                <w:szCs w:val="22"/>
              </w:rPr>
            </w:sdtEndPr>
            <w:sdtContent>
              <w:r w:rsidR="00417BBA" w:rsidRPr="00034DFE">
                <w:t xml:space="preserve"> </w:t>
              </w:r>
            </w:sdtContent>
          </w:sdt>
        </w:p>
      </w:tc>
      <w:sdt>
        <w:sdtPr>
          <w:rPr>
            <w:sz w:val="24"/>
          </w:rPr>
          <w:alias w:val="DocParam.Date"/>
          <w:id w:val="-464426178"/>
          <w:dataBinding w:xpath="//DateTime[@id='DocParam.Date']" w:storeItemID="{0B532132-9DB3-417A-AB7B-19DDEEDFC6A7}"/>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D117E" w:rsidP="00A532F6">
              <w:pPr>
                <w:pStyle w:val="Data"/>
              </w:pPr>
              <w:r>
                <w:rPr>
                  <w:sz w:val="24"/>
                </w:rPr>
                <w:t>26 maggio 2026</w:t>
              </w:r>
            </w:p>
          </w:tc>
        </w:sdtContent>
      </w:sdt>
      <w:tc>
        <w:tcPr>
          <w:tcW w:w="3218" w:type="pct"/>
          <w:gridSpan w:val="4"/>
          <w:tcBorders>
            <w:top w:val="nil"/>
            <w:left w:val="nil"/>
            <w:bottom w:val="nil"/>
            <w:right w:val="nil"/>
          </w:tcBorders>
        </w:tcPr>
        <w:p w:rsidR="008C03B5" w:rsidRPr="00034DFE" w:rsidRDefault="00112127" w:rsidP="00A532F6">
          <w:pPr>
            <w:pStyle w:val="Data"/>
            <w:rPr>
              <w:rFonts w:ascii="Helvetica Neue" w:hAnsi="Helvetica Neue" w:cs="Helvetica Neue"/>
              <w:sz w:val="23"/>
              <w:szCs w:val="23"/>
            </w:rPr>
          </w:pPr>
          <w:sdt>
            <w:sdtPr>
              <w:rPr>
                <w:smallCaps/>
                <w:sz w:val="23"/>
                <w:szCs w:val="23"/>
              </w:rPr>
              <w:alias w:val="CustomElements.Fields.Dipartimenti"/>
              <w:id w:val="-1138097914"/>
              <w:dataBinding w:xpath="//Text[@id='CustomElements.Fields.Dipartimenti']" w:storeItemID="{0B532132-9DB3-417A-AB7B-19DDEEDFC6A7}"/>
              <w:text w:multiLine="1"/>
            </w:sdtPr>
            <w:sdtEndPr/>
            <w:sdtContent>
              <w:r w:rsidR="008D117E">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12127" w:rsidP="00D07D6E">
          <w:pPr>
            <w:pStyle w:val="Level"/>
            <w:ind w:left="150"/>
            <w:rPr>
              <w:rFonts w:ascii="Gill Alt One MT Light" w:hAnsi="Gill Alt One MT Light"/>
              <w:sz w:val="16"/>
              <w:szCs w:val="16"/>
            </w:rPr>
          </w:pPr>
        </w:p>
      </w:tc>
    </w:tr>
  </w:tbl>
  <w:p w:rsidR="00F657BF" w:rsidRPr="00DA2879" w:rsidRDefault="00417BB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7103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B532132-9DB3-417A-AB7B-19DDEEDFC6A7}"/>
                            <w:text w:multiLine="1"/>
                          </w:sdtPr>
                          <w:sdtEndPr/>
                          <w:sdtContent>
                            <w:p w:rsidR="00E93620" w:rsidRPr="00411371" w:rsidRDefault="00417BB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4E72236-D6AC-4E3A-8AFD-7F3E859DADAE}"/>
                      <w:text w:multiLine="1"/>
                    </w:sdtPr>
                    <w:sdtEndPr/>
                    <w:sdtContent>
                      <w:p w:rsidR="00E93620" w:rsidRPr="00411371" w:rsidRDefault="00417BB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D66BE"/>
    <w:multiLevelType w:val="hybridMultilevel"/>
    <w:tmpl w:val="97F0561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6C5F88"/>
    <w:multiLevelType w:val="hybridMultilevel"/>
    <w:tmpl w:val="658E56D2"/>
    <w:lvl w:ilvl="0" w:tplc="FB569AC4">
      <w:start w:val="1"/>
      <w:numFmt w:val="bullet"/>
      <w:lvlText w:val="-"/>
      <w:lvlJc w:val="left"/>
      <w:pPr>
        <w:ind w:left="720" w:hanging="360"/>
      </w:pPr>
      <w:rPr>
        <w:rFonts w:ascii="Gill Sans MT" w:hAnsi="Gill Sans M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FE"/>
    <w:rsid w:val="000032E7"/>
    <w:rsid w:val="00034DFE"/>
    <w:rsid w:val="00112127"/>
    <w:rsid w:val="0018216C"/>
    <w:rsid w:val="001A7A35"/>
    <w:rsid w:val="002B5D9F"/>
    <w:rsid w:val="003B756D"/>
    <w:rsid w:val="00403ADB"/>
    <w:rsid w:val="00417BBA"/>
    <w:rsid w:val="00572FD3"/>
    <w:rsid w:val="005C41B9"/>
    <w:rsid w:val="00697326"/>
    <w:rsid w:val="006C5C6C"/>
    <w:rsid w:val="00781226"/>
    <w:rsid w:val="0083787C"/>
    <w:rsid w:val="008720C4"/>
    <w:rsid w:val="008D117E"/>
    <w:rsid w:val="008F52AF"/>
    <w:rsid w:val="009C5E5A"/>
    <w:rsid w:val="00A63E3E"/>
    <w:rsid w:val="00AF0268"/>
    <w:rsid w:val="00BF0A1F"/>
    <w:rsid w:val="00D33940"/>
    <w:rsid w:val="00D600FD"/>
    <w:rsid w:val="00D649A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D38330"/>
  <w15:docId w15:val="{436B36E1-7F7A-4927-A094-299DC74E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18216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8216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4455f159-6a02-494c-b677-14282bd87e3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1897527512</Id>
      <Width>0</Width>
      <Height>0</Height>
      <XPath>//Image[@id='Profile.Org.WappenSW']</XPath>
      <ImageHash>02f1c0cdac6aeac316213b2e7cb733a0</ImageHash>
    </ImageSizeDefinition>
    <ImageSizeDefinition>
      <Id>1871036064</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27782BE-71CF-4387-AC7B-3A6183FCC8E8}">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0B532132-9DB3-417A-AB7B-19DDEEDFC6A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4455f159-6a02-494c-b677-14282bd87e3b.dotx</Template>
  <TotalTime>5</TotalTime>
  <Pages>4</Pages>
  <Words>1556</Words>
  <Characters>8873</Characters>
  <Application>Microsoft Office Word</Application>
  <DocSecurity>0</DocSecurity>
  <Lines>73</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12</cp:revision>
  <cp:lastPrinted>2026-05-27T07:59:00Z</cp:lastPrinted>
  <dcterms:created xsi:type="dcterms:W3CDTF">2026-05-26T16:50:00Z</dcterms:created>
  <dcterms:modified xsi:type="dcterms:W3CDTF">2026-05-27T08:04:00Z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