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531" w:rsidRPr="00B850F9" w:rsidRDefault="00A33531" w:rsidP="00A33531">
      <w:pPr>
        <w:tabs>
          <w:tab w:val="left" w:pos="426"/>
          <w:tab w:val="left" w:pos="851"/>
        </w:tabs>
        <w:spacing w:after="120"/>
        <w:ind w:right="-284"/>
        <w:jc w:val="both"/>
        <w:rPr>
          <w:rFonts w:ascii="Arial" w:eastAsia="Arial" w:hAnsi="Arial" w:cs="Arial"/>
          <w:b/>
          <w:sz w:val="23"/>
          <w:szCs w:val="23"/>
        </w:rPr>
      </w:pPr>
      <w:r w:rsidRPr="00B850F9">
        <w:rPr>
          <w:rFonts w:ascii="Arial" w:eastAsia="Arial" w:hAnsi="Arial" w:cs="Arial"/>
          <w:b/>
          <w:sz w:val="23"/>
          <w:szCs w:val="23"/>
        </w:rPr>
        <w:t>MOZIONE</w:t>
      </w:r>
    </w:p>
    <w:p w:rsidR="00A33531" w:rsidRPr="00B850F9" w:rsidRDefault="00A33531" w:rsidP="00A33531">
      <w:pPr>
        <w:tabs>
          <w:tab w:val="left" w:pos="426"/>
          <w:tab w:val="left" w:pos="851"/>
        </w:tabs>
        <w:ind w:right="-285"/>
        <w:jc w:val="both"/>
        <w:rPr>
          <w:rFonts w:ascii="Arial" w:eastAsia="Arial" w:hAnsi="Arial" w:cs="Arial"/>
          <w:sz w:val="23"/>
          <w:szCs w:val="23"/>
        </w:rPr>
      </w:pPr>
    </w:p>
    <w:p w:rsidR="00A33531" w:rsidRPr="00AD7738" w:rsidRDefault="00A33531" w:rsidP="00A33531">
      <w:pPr>
        <w:tabs>
          <w:tab w:val="left" w:pos="426"/>
          <w:tab w:val="left" w:pos="851"/>
        </w:tabs>
        <w:spacing w:after="120"/>
        <w:ind w:right="-284"/>
        <w:jc w:val="both"/>
        <w:rPr>
          <w:rFonts w:ascii="Arial" w:eastAsia="Arial" w:hAnsi="Arial" w:cs="Arial"/>
          <w:b/>
          <w:sz w:val="23"/>
          <w:szCs w:val="23"/>
          <w:u w:val="single"/>
        </w:rPr>
      </w:pPr>
      <w:r w:rsidRPr="00AD7738">
        <w:rPr>
          <w:rFonts w:ascii="Arial" w:eastAsia="Arial" w:hAnsi="Arial" w:cs="Arial"/>
          <w:b/>
          <w:sz w:val="23"/>
          <w:szCs w:val="23"/>
          <w:u w:val="single"/>
        </w:rPr>
        <w:t xml:space="preserve">Velocizzazione nelle pratiche fiscali col sistema “casuale” </w:t>
      </w:r>
    </w:p>
    <w:p w:rsidR="00A33531" w:rsidRDefault="00A33531" w:rsidP="00A33531">
      <w:pPr>
        <w:tabs>
          <w:tab w:val="left" w:pos="426"/>
          <w:tab w:val="left" w:pos="851"/>
        </w:tabs>
        <w:ind w:right="-285"/>
        <w:jc w:val="both"/>
        <w:rPr>
          <w:rFonts w:ascii="Arial" w:eastAsia="Arial" w:hAnsi="Arial" w:cs="Arial"/>
          <w:sz w:val="23"/>
          <w:szCs w:val="23"/>
        </w:rPr>
      </w:pPr>
    </w:p>
    <w:p w:rsidR="00A33531" w:rsidRPr="00B850F9" w:rsidRDefault="00A33531" w:rsidP="00A33531">
      <w:pPr>
        <w:pStyle w:val="NormaleWeb"/>
        <w:spacing w:before="0" w:beforeAutospacing="0" w:after="0" w:afterAutospacing="0"/>
        <w:jc w:val="both"/>
        <w:rPr>
          <w:rFonts w:ascii="Arial" w:hAnsi="Arial" w:cs="Arial"/>
          <w:sz w:val="23"/>
          <w:szCs w:val="23"/>
        </w:rPr>
      </w:pPr>
      <w:r>
        <w:rPr>
          <w:rFonts w:ascii="Arial" w:hAnsi="Arial" w:cs="Arial"/>
          <w:sz w:val="23"/>
          <w:szCs w:val="23"/>
          <w:lang w:val="it-IT"/>
        </w:rPr>
        <w:t>del 16 settembre 2019</w:t>
      </w:r>
    </w:p>
    <w:p w:rsidR="00A33531" w:rsidRDefault="00A33531" w:rsidP="00A33531">
      <w:pPr>
        <w:tabs>
          <w:tab w:val="left" w:pos="426"/>
          <w:tab w:val="left" w:pos="851"/>
        </w:tabs>
        <w:ind w:right="-285"/>
        <w:jc w:val="both"/>
        <w:rPr>
          <w:rFonts w:ascii="Arial" w:eastAsia="Arial" w:hAnsi="Arial" w:cs="Arial"/>
          <w:sz w:val="23"/>
          <w:szCs w:val="23"/>
        </w:rPr>
      </w:pPr>
    </w:p>
    <w:p w:rsidR="00A33531" w:rsidRPr="00B850F9" w:rsidRDefault="00A33531" w:rsidP="00A33531">
      <w:pPr>
        <w:tabs>
          <w:tab w:val="left" w:pos="426"/>
          <w:tab w:val="left" w:pos="851"/>
        </w:tabs>
        <w:ind w:right="-285"/>
        <w:jc w:val="both"/>
        <w:rPr>
          <w:rFonts w:ascii="Arial" w:eastAsia="Arial" w:hAnsi="Arial" w:cs="Arial"/>
          <w:sz w:val="23"/>
          <w:szCs w:val="23"/>
        </w:rPr>
      </w:pPr>
    </w:p>
    <w:p w:rsidR="00A33531" w:rsidRPr="00AD7738" w:rsidRDefault="00A33531" w:rsidP="00A33531">
      <w:pPr>
        <w:spacing w:after="120"/>
        <w:jc w:val="both"/>
        <w:rPr>
          <w:rFonts w:ascii="Arial" w:hAnsi="Arial" w:cs="Arial"/>
          <w:b/>
          <w:sz w:val="23"/>
          <w:szCs w:val="23"/>
        </w:rPr>
      </w:pPr>
      <w:r w:rsidRPr="00AD7738">
        <w:rPr>
          <w:rFonts w:ascii="Arial" w:eastAsia="Arial" w:hAnsi="Arial" w:cs="Arial"/>
          <w:b/>
          <w:sz w:val="23"/>
          <w:szCs w:val="23"/>
        </w:rPr>
        <w:t>Introduzione</w:t>
      </w:r>
    </w:p>
    <w:p w:rsidR="00A33531" w:rsidRPr="00B850F9" w:rsidRDefault="00A33531" w:rsidP="00A33531">
      <w:pPr>
        <w:jc w:val="both"/>
        <w:rPr>
          <w:rFonts w:ascii="Arial" w:eastAsia="Arial" w:hAnsi="Arial" w:cs="Arial"/>
          <w:color w:val="00000A"/>
          <w:sz w:val="23"/>
          <w:szCs w:val="23"/>
        </w:rPr>
      </w:pPr>
      <w:r w:rsidRPr="00B850F9">
        <w:rPr>
          <w:rFonts w:ascii="Arial" w:eastAsia="Arial" w:hAnsi="Arial" w:cs="Arial"/>
          <w:color w:val="00000A"/>
          <w:sz w:val="23"/>
          <w:szCs w:val="23"/>
        </w:rPr>
        <w:t>L’entrata in vigore del sistema elettronico di compilazione della dichiarazione fiscale è sicuramente stata buona cosa. Ovviamente non tutte le cittadine e i cittadini (quali persone fisiche) adottano questo sistema. Ad ogni modo, che sia in forma tradizionale cartacea o elettronica il lavoro dei tassatori richiede comunque delle competenze specifiche per emanare delle decisioni di tassazione corrette, considerando la difficoltà tecnica di un sempre maggior numero di dichiarazioni fiscali. La conseguenza è l’aumento del tempo necessario per emettere le notifiche d’imposta da una parte e dall’altra, l’incertezza per i contribuenti che i ritardi causano</w:t>
      </w:r>
      <w:r>
        <w:rPr>
          <w:rFonts w:ascii="Arial" w:eastAsia="Arial" w:hAnsi="Arial" w:cs="Arial"/>
          <w:color w:val="00000A"/>
          <w:sz w:val="23"/>
          <w:szCs w:val="23"/>
        </w:rPr>
        <w:t>.</w:t>
      </w:r>
      <w:r w:rsidRPr="00B850F9">
        <w:rPr>
          <w:rFonts w:ascii="Arial" w:eastAsia="Arial" w:hAnsi="Arial" w:cs="Arial"/>
          <w:color w:val="00000A"/>
          <w:sz w:val="23"/>
          <w:szCs w:val="23"/>
        </w:rPr>
        <w:t xml:space="preserve"> </w:t>
      </w:r>
    </w:p>
    <w:p w:rsidR="00A33531" w:rsidRPr="00B850F9" w:rsidRDefault="00A33531" w:rsidP="00A33531">
      <w:pPr>
        <w:jc w:val="both"/>
        <w:rPr>
          <w:rFonts w:ascii="Arial" w:eastAsia="Arial" w:hAnsi="Arial" w:cs="Arial"/>
          <w:color w:val="00000A"/>
          <w:sz w:val="23"/>
          <w:szCs w:val="23"/>
        </w:rPr>
      </w:pPr>
    </w:p>
    <w:p w:rsidR="00A33531" w:rsidRPr="00B850F9" w:rsidRDefault="00A33531" w:rsidP="00A33531">
      <w:pPr>
        <w:jc w:val="both"/>
        <w:rPr>
          <w:rFonts w:ascii="Arial" w:eastAsia="Arial" w:hAnsi="Arial" w:cs="Arial"/>
          <w:color w:val="00000A"/>
          <w:sz w:val="23"/>
          <w:szCs w:val="23"/>
        </w:rPr>
      </w:pPr>
      <w:r w:rsidRPr="00B850F9">
        <w:rPr>
          <w:rFonts w:ascii="Arial" w:eastAsia="Arial" w:hAnsi="Arial" w:cs="Arial"/>
          <w:color w:val="00000A"/>
          <w:sz w:val="23"/>
          <w:szCs w:val="23"/>
        </w:rPr>
        <w:t>Ciò ha una serie di implicazioni non di poco conto, oltre al sovraccarico per i tassatori, vi è anche il fattore del pagamento delle imposte. Più ritarda la notifica meno preciso è il calcolo nella propria economia domestica di ogni contribuente al riguardo delle imposte da versare al Cantone, al Comune e alla Confederazione.</w:t>
      </w:r>
    </w:p>
    <w:p w:rsidR="00A33531" w:rsidRPr="00B850F9" w:rsidRDefault="00A33531" w:rsidP="00A33531">
      <w:pPr>
        <w:jc w:val="both"/>
        <w:rPr>
          <w:rFonts w:ascii="Arial" w:eastAsia="Arial" w:hAnsi="Arial" w:cs="Arial"/>
          <w:color w:val="00000A"/>
          <w:sz w:val="23"/>
          <w:szCs w:val="23"/>
        </w:rPr>
      </w:pPr>
      <w:r w:rsidRPr="00B850F9">
        <w:rPr>
          <w:rFonts w:ascii="Arial" w:eastAsia="Arial" w:hAnsi="Arial" w:cs="Arial"/>
          <w:color w:val="00000A"/>
          <w:sz w:val="23"/>
          <w:szCs w:val="23"/>
        </w:rPr>
        <w:t xml:space="preserve">Ritardi che sbilanciano non solo i cittadini ma anche i preventivi e consuntivi delle Istituzioni laddove ogni anno vi sono enormi differenze di calcolo e di incasso. </w:t>
      </w:r>
    </w:p>
    <w:p w:rsidR="00A33531" w:rsidRPr="00B850F9" w:rsidRDefault="00A33531" w:rsidP="00A33531">
      <w:pPr>
        <w:jc w:val="both"/>
        <w:rPr>
          <w:rFonts w:ascii="Arial" w:eastAsia="Arial" w:hAnsi="Arial" w:cs="Arial"/>
          <w:color w:val="00000A"/>
          <w:sz w:val="23"/>
          <w:szCs w:val="23"/>
        </w:rPr>
      </w:pPr>
    </w:p>
    <w:p w:rsidR="00A33531" w:rsidRPr="00B850F9" w:rsidRDefault="00A33531" w:rsidP="00A33531">
      <w:pPr>
        <w:jc w:val="both"/>
        <w:rPr>
          <w:rFonts w:ascii="Arial" w:eastAsia="Arial" w:hAnsi="Arial" w:cs="Arial"/>
          <w:i/>
          <w:color w:val="00000A"/>
          <w:sz w:val="23"/>
          <w:szCs w:val="23"/>
        </w:rPr>
      </w:pPr>
      <w:r w:rsidRPr="00B850F9">
        <w:rPr>
          <w:rFonts w:ascii="Arial" w:eastAsia="Arial" w:hAnsi="Arial" w:cs="Arial"/>
          <w:color w:val="00000A"/>
          <w:sz w:val="23"/>
          <w:szCs w:val="23"/>
        </w:rPr>
        <w:t xml:space="preserve">Nel Cantone Zurigo sembra che il sistema fiscale di dar maggior peso ai Comuni, pare funzioni e così lo snellimento delle pratiche a livello cantonale. </w:t>
      </w:r>
      <w:r w:rsidRPr="00B850F9">
        <w:rPr>
          <w:rFonts w:ascii="Arial" w:eastAsia="Arial" w:hAnsi="Arial" w:cs="Arial"/>
          <w:i/>
          <w:color w:val="00000A"/>
          <w:sz w:val="23"/>
          <w:szCs w:val="23"/>
        </w:rPr>
        <w:t>Proprio con questo principio viene a cadere il controllo sistematico 1 a 1 per ogni dichiarazione fiscale.</w:t>
      </w:r>
    </w:p>
    <w:p w:rsidR="00A33531" w:rsidRPr="00B850F9" w:rsidRDefault="00A33531" w:rsidP="00A33531">
      <w:pPr>
        <w:jc w:val="both"/>
        <w:rPr>
          <w:rFonts w:ascii="Arial" w:eastAsia="Arial" w:hAnsi="Arial" w:cs="Arial"/>
          <w:color w:val="00000A"/>
          <w:sz w:val="23"/>
          <w:szCs w:val="23"/>
        </w:rPr>
      </w:pPr>
    </w:p>
    <w:p w:rsidR="00A33531" w:rsidRPr="00B850F9" w:rsidRDefault="00A33531" w:rsidP="00A33531">
      <w:pPr>
        <w:jc w:val="both"/>
        <w:rPr>
          <w:rFonts w:ascii="Arial" w:eastAsia="Arial" w:hAnsi="Arial" w:cs="Arial"/>
          <w:color w:val="00000A"/>
          <w:sz w:val="23"/>
          <w:szCs w:val="23"/>
        </w:rPr>
      </w:pPr>
      <w:r w:rsidRPr="00B850F9">
        <w:rPr>
          <w:rFonts w:ascii="Arial" w:eastAsia="Arial" w:hAnsi="Arial" w:cs="Arial"/>
          <w:color w:val="00000A"/>
          <w:sz w:val="23"/>
          <w:szCs w:val="23"/>
        </w:rPr>
        <w:t xml:space="preserve">In Ticino probabilmente gravare i Comuni non sarebbe una soluzione idonea, ma utilizzando un </w:t>
      </w:r>
      <w:r w:rsidRPr="00B850F9">
        <w:rPr>
          <w:rFonts w:ascii="Arial" w:eastAsia="Arial" w:hAnsi="Arial" w:cs="Arial"/>
          <w:b/>
          <w:color w:val="00000A"/>
          <w:sz w:val="23"/>
          <w:szCs w:val="23"/>
        </w:rPr>
        <w:t>sistema cantonale di verifica “casuale o a random”,</w:t>
      </w:r>
      <w:r w:rsidRPr="00B850F9">
        <w:rPr>
          <w:rFonts w:ascii="Arial" w:eastAsia="Arial" w:hAnsi="Arial" w:cs="Arial"/>
          <w:color w:val="00000A"/>
          <w:sz w:val="23"/>
          <w:szCs w:val="23"/>
        </w:rPr>
        <w:t xml:space="preserve"> il resto delle pratiche verrebbero evase senza più un approfondito controllo di dettaglio. Questo potrebbe agevolare coloro che ogni anno hanno a riprendere quasi le stesse fonti di reddito, deduzioni e sostanza. Vi sono categorie di persone come gli anziani fuori dal mondo lavorativo più lineari nel tempo, o categorie di contribuenti salariati anch’essi lineari. (esempio nell’amministrazione pubblica in generale come Cantone e Comuni)</w:t>
      </w:r>
    </w:p>
    <w:p w:rsidR="00A33531" w:rsidRPr="00B850F9" w:rsidRDefault="00A33531" w:rsidP="00A33531">
      <w:pPr>
        <w:jc w:val="both"/>
        <w:rPr>
          <w:rFonts w:ascii="Arial" w:eastAsia="Arial" w:hAnsi="Arial" w:cs="Arial"/>
          <w:color w:val="00000A"/>
          <w:sz w:val="23"/>
          <w:szCs w:val="23"/>
        </w:rPr>
      </w:pPr>
      <w:r w:rsidRPr="00B850F9">
        <w:rPr>
          <w:rFonts w:ascii="Arial" w:eastAsia="Arial" w:hAnsi="Arial" w:cs="Arial"/>
          <w:color w:val="00000A"/>
          <w:sz w:val="23"/>
          <w:szCs w:val="23"/>
        </w:rPr>
        <w:t xml:space="preserve">Come si evince dall’aggettivo </w:t>
      </w:r>
      <w:r w:rsidRPr="00B850F9">
        <w:rPr>
          <w:rFonts w:ascii="Arial" w:eastAsia="Arial" w:hAnsi="Arial" w:cs="Arial"/>
          <w:i/>
          <w:color w:val="00000A"/>
          <w:sz w:val="23"/>
          <w:szCs w:val="23"/>
        </w:rPr>
        <w:t xml:space="preserve">“casuale”, </w:t>
      </w:r>
      <w:r w:rsidRPr="00B850F9">
        <w:rPr>
          <w:rFonts w:ascii="Arial" w:eastAsia="Arial" w:hAnsi="Arial" w:cs="Arial"/>
          <w:color w:val="00000A"/>
          <w:sz w:val="23"/>
          <w:szCs w:val="23"/>
        </w:rPr>
        <w:t xml:space="preserve">le dichiarazioni fiscali (persone fisiche) da controllare verrebbero scelte in base a dei criteri specifici elaborati dalla Divisione delle contribuzioni, le rimanenti dichiarazioni fiscali verrebbero invece immediatamente notificate al contribuente al netto dei conguagli. </w:t>
      </w:r>
    </w:p>
    <w:p w:rsidR="00A33531" w:rsidRPr="00AD7738" w:rsidRDefault="00A33531" w:rsidP="00A33531">
      <w:pPr>
        <w:jc w:val="both"/>
        <w:rPr>
          <w:rFonts w:ascii="Arial" w:eastAsia="Arial" w:hAnsi="Arial" w:cs="Arial"/>
          <w:bCs/>
          <w:i/>
          <w:iCs/>
          <w:color w:val="00000A"/>
          <w:sz w:val="23"/>
          <w:szCs w:val="23"/>
        </w:rPr>
      </w:pPr>
    </w:p>
    <w:p w:rsidR="00A33531" w:rsidRPr="00AD7738" w:rsidRDefault="00A33531" w:rsidP="00A33531">
      <w:pPr>
        <w:spacing w:after="120"/>
        <w:jc w:val="both"/>
        <w:rPr>
          <w:rFonts w:ascii="Arial" w:eastAsia="Arial" w:hAnsi="Arial" w:cs="Arial"/>
          <w:color w:val="00000A"/>
          <w:sz w:val="23"/>
          <w:szCs w:val="23"/>
          <w:u w:val="single"/>
        </w:rPr>
      </w:pPr>
      <w:r w:rsidRPr="00AD7738">
        <w:rPr>
          <w:rFonts w:ascii="Arial" w:eastAsia="Arial" w:hAnsi="Arial" w:cs="Arial"/>
          <w:bCs/>
          <w:iCs/>
          <w:color w:val="00000A"/>
          <w:sz w:val="23"/>
          <w:szCs w:val="23"/>
          <w:u w:val="single"/>
        </w:rPr>
        <w:t>Vantaggi:</w:t>
      </w:r>
      <w:r w:rsidRPr="00AD7738">
        <w:rPr>
          <w:rFonts w:ascii="Arial" w:eastAsia="Arial" w:hAnsi="Arial" w:cs="Arial"/>
          <w:color w:val="00000A"/>
          <w:sz w:val="23"/>
          <w:szCs w:val="23"/>
          <w:u w:val="single"/>
        </w:rPr>
        <w:t xml:space="preserve"> </w:t>
      </w:r>
    </w:p>
    <w:p w:rsidR="00A33531" w:rsidRPr="00B850F9" w:rsidRDefault="00A33531" w:rsidP="00A33531">
      <w:pPr>
        <w:tabs>
          <w:tab w:val="left" w:pos="426"/>
        </w:tabs>
        <w:spacing w:after="120"/>
        <w:jc w:val="both"/>
        <w:rPr>
          <w:rFonts w:ascii="Arial" w:eastAsia="Arial" w:hAnsi="Arial" w:cs="Arial"/>
          <w:color w:val="00000A"/>
          <w:sz w:val="23"/>
          <w:szCs w:val="23"/>
        </w:rPr>
      </w:pPr>
      <w:r>
        <w:rPr>
          <w:rFonts w:ascii="Arial" w:eastAsia="Arial" w:hAnsi="Arial" w:cs="Arial"/>
          <w:color w:val="00000A"/>
          <w:sz w:val="23"/>
          <w:szCs w:val="23"/>
        </w:rPr>
        <w:t>a</w:t>
      </w:r>
      <w:r w:rsidRPr="00B850F9">
        <w:rPr>
          <w:rFonts w:ascii="Arial" w:eastAsia="Arial" w:hAnsi="Arial" w:cs="Arial"/>
          <w:color w:val="00000A"/>
          <w:sz w:val="23"/>
          <w:szCs w:val="23"/>
        </w:rPr>
        <w:t xml:space="preserve">) </w:t>
      </w:r>
      <w:r>
        <w:rPr>
          <w:rFonts w:ascii="Arial" w:eastAsia="Arial" w:hAnsi="Arial" w:cs="Arial"/>
          <w:color w:val="00000A"/>
          <w:sz w:val="23"/>
          <w:szCs w:val="23"/>
        </w:rPr>
        <w:tab/>
        <w:t>r</w:t>
      </w:r>
      <w:r w:rsidRPr="00B850F9">
        <w:rPr>
          <w:rFonts w:ascii="Arial" w:eastAsia="Arial" w:hAnsi="Arial" w:cs="Arial"/>
          <w:color w:val="00000A"/>
          <w:sz w:val="23"/>
          <w:szCs w:val="23"/>
        </w:rPr>
        <w:t>azionalizzazione del lavoro di controllo e verifica e immediata notifica fiscale</w:t>
      </w:r>
      <w:r>
        <w:rPr>
          <w:rFonts w:ascii="Arial" w:eastAsia="Arial" w:hAnsi="Arial" w:cs="Arial"/>
          <w:color w:val="00000A"/>
          <w:sz w:val="23"/>
          <w:szCs w:val="23"/>
        </w:rPr>
        <w:t>;</w:t>
      </w:r>
    </w:p>
    <w:p w:rsidR="00A33531" w:rsidRPr="00B850F9" w:rsidRDefault="00A33531" w:rsidP="00A33531">
      <w:pPr>
        <w:tabs>
          <w:tab w:val="left" w:pos="426"/>
        </w:tabs>
        <w:spacing w:after="120"/>
        <w:jc w:val="both"/>
        <w:rPr>
          <w:rFonts w:ascii="Arial" w:eastAsia="Arial" w:hAnsi="Arial" w:cs="Arial"/>
          <w:color w:val="00000A"/>
          <w:sz w:val="23"/>
          <w:szCs w:val="23"/>
        </w:rPr>
      </w:pPr>
      <w:r>
        <w:rPr>
          <w:rFonts w:ascii="Arial" w:eastAsia="Arial" w:hAnsi="Arial" w:cs="Arial"/>
          <w:color w:val="00000A"/>
          <w:sz w:val="23"/>
          <w:szCs w:val="23"/>
        </w:rPr>
        <w:t>b</w:t>
      </w:r>
      <w:r w:rsidRPr="00B850F9">
        <w:rPr>
          <w:rFonts w:ascii="Arial" w:eastAsia="Arial" w:hAnsi="Arial" w:cs="Arial"/>
          <w:color w:val="00000A"/>
          <w:sz w:val="23"/>
          <w:szCs w:val="23"/>
        </w:rPr>
        <w:t xml:space="preserve">) </w:t>
      </w:r>
      <w:r>
        <w:rPr>
          <w:rFonts w:ascii="Arial" w:eastAsia="Arial" w:hAnsi="Arial" w:cs="Arial"/>
          <w:color w:val="00000A"/>
          <w:sz w:val="23"/>
          <w:szCs w:val="23"/>
        </w:rPr>
        <w:tab/>
        <w:t>v</w:t>
      </w:r>
      <w:r w:rsidRPr="00B850F9">
        <w:rPr>
          <w:rFonts w:ascii="Arial" w:eastAsia="Arial" w:hAnsi="Arial" w:cs="Arial"/>
          <w:color w:val="00000A"/>
          <w:sz w:val="23"/>
          <w:szCs w:val="23"/>
        </w:rPr>
        <w:t>elocizzazione degli incassi delle imposte cantonali, comunali e federali</w:t>
      </w:r>
      <w:r>
        <w:rPr>
          <w:rFonts w:ascii="Arial" w:eastAsia="Arial" w:hAnsi="Arial" w:cs="Arial"/>
          <w:color w:val="00000A"/>
          <w:sz w:val="23"/>
          <w:szCs w:val="23"/>
        </w:rPr>
        <w:t>;</w:t>
      </w:r>
    </w:p>
    <w:p w:rsidR="00A33531" w:rsidRPr="00B850F9" w:rsidRDefault="00A33531" w:rsidP="00A33531">
      <w:pPr>
        <w:tabs>
          <w:tab w:val="left" w:pos="426"/>
        </w:tabs>
        <w:spacing w:after="120"/>
        <w:ind w:left="426" w:hanging="426"/>
        <w:jc w:val="both"/>
        <w:rPr>
          <w:rFonts w:ascii="Arial" w:eastAsia="Arial" w:hAnsi="Arial" w:cs="Arial"/>
          <w:color w:val="00000A"/>
          <w:sz w:val="23"/>
          <w:szCs w:val="23"/>
        </w:rPr>
      </w:pPr>
      <w:r>
        <w:rPr>
          <w:rFonts w:ascii="Arial" w:eastAsia="Arial" w:hAnsi="Arial" w:cs="Arial"/>
          <w:color w:val="00000A"/>
          <w:sz w:val="23"/>
          <w:szCs w:val="23"/>
        </w:rPr>
        <w:t>c</w:t>
      </w:r>
      <w:r w:rsidRPr="00B850F9">
        <w:rPr>
          <w:rFonts w:ascii="Arial" w:eastAsia="Arial" w:hAnsi="Arial" w:cs="Arial"/>
          <w:color w:val="00000A"/>
          <w:sz w:val="23"/>
          <w:szCs w:val="23"/>
        </w:rPr>
        <w:t>)</w:t>
      </w:r>
      <w:r>
        <w:rPr>
          <w:rFonts w:ascii="Arial" w:eastAsia="Arial" w:hAnsi="Arial" w:cs="Arial"/>
          <w:color w:val="00000A"/>
          <w:sz w:val="23"/>
          <w:szCs w:val="23"/>
        </w:rPr>
        <w:tab/>
        <w:t>m</w:t>
      </w:r>
      <w:r w:rsidRPr="00B850F9">
        <w:rPr>
          <w:rFonts w:ascii="Arial" w:eastAsia="Arial" w:hAnsi="Arial" w:cs="Arial"/>
          <w:color w:val="00000A"/>
          <w:sz w:val="23"/>
          <w:szCs w:val="23"/>
        </w:rPr>
        <w:t>aggior certezza per i contribuenti senza attese nel tempo (pianificazione budget famigliare)</w:t>
      </w:r>
      <w:r>
        <w:rPr>
          <w:rFonts w:ascii="Arial" w:eastAsia="Arial" w:hAnsi="Arial" w:cs="Arial"/>
          <w:color w:val="00000A"/>
          <w:sz w:val="23"/>
          <w:szCs w:val="23"/>
        </w:rPr>
        <w:t>;</w:t>
      </w:r>
    </w:p>
    <w:p w:rsidR="00A33531" w:rsidRPr="00B850F9" w:rsidRDefault="00A33531" w:rsidP="00A33531">
      <w:pPr>
        <w:tabs>
          <w:tab w:val="left" w:pos="426"/>
        </w:tabs>
        <w:jc w:val="both"/>
        <w:rPr>
          <w:rFonts w:ascii="Arial" w:eastAsia="Arial" w:hAnsi="Arial" w:cs="Arial"/>
          <w:color w:val="00000A"/>
          <w:sz w:val="23"/>
          <w:szCs w:val="23"/>
        </w:rPr>
      </w:pPr>
      <w:r>
        <w:rPr>
          <w:rFonts w:ascii="Arial" w:eastAsia="Arial" w:hAnsi="Arial" w:cs="Arial"/>
          <w:color w:val="00000A"/>
          <w:sz w:val="23"/>
          <w:szCs w:val="23"/>
        </w:rPr>
        <w:t>d</w:t>
      </w:r>
      <w:r w:rsidRPr="00B850F9">
        <w:rPr>
          <w:rFonts w:ascii="Arial" w:eastAsia="Arial" w:hAnsi="Arial" w:cs="Arial"/>
          <w:color w:val="00000A"/>
          <w:sz w:val="23"/>
          <w:szCs w:val="23"/>
        </w:rPr>
        <w:t xml:space="preserve">) </w:t>
      </w:r>
      <w:r>
        <w:rPr>
          <w:rFonts w:ascii="Arial" w:eastAsia="Arial" w:hAnsi="Arial" w:cs="Arial"/>
          <w:color w:val="00000A"/>
          <w:sz w:val="23"/>
          <w:szCs w:val="23"/>
        </w:rPr>
        <w:tab/>
        <w:t>m</w:t>
      </w:r>
      <w:r w:rsidRPr="00B850F9">
        <w:rPr>
          <w:rFonts w:ascii="Arial" w:eastAsia="Arial" w:hAnsi="Arial" w:cs="Arial"/>
          <w:color w:val="00000A"/>
          <w:sz w:val="23"/>
          <w:szCs w:val="23"/>
        </w:rPr>
        <w:t>aggior fiducia tra Stato e Cittadino (valori cardini del sistema democratico svizzero)</w:t>
      </w:r>
      <w:r>
        <w:rPr>
          <w:rFonts w:ascii="Arial" w:eastAsia="Arial" w:hAnsi="Arial" w:cs="Arial"/>
          <w:color w:val="00000A"/>
          <w:sz w:val="23"/>
          <w:szCs w:val="23"/>
        </w:rPr>
        <w:t>.</w:t>
      </w:r>
    </w:p>
    <w:p w:rsidR="00A33531" w:rsidRPr="00B850F9" w:rsidRDefault="00A33531" w:rsidP="00A33531">
      <w:pPr>
        <w:jc w:val="both"/>
        <w:rPr>
          <w:rFonts w:ascii="Arial" w:eastAsia="Arial" w:hAnsi="Arial" w:cs="Arial"/>
          <w:color w:val="00000A"/>
          <w:sz w:val="23"/>
          <w:szCs w:val="23"/>
        </w:rPr>
      </w:pPr>
    </w:p>
    <w:p w:rsidR="00A33531" w:rsidRPr="00AD7738" w:rsidRDefault="00A33531" w:rsidP="00A33531">
      <w:pPr>
        <w:spacing w:after="120"/>
        <w:jc w:val="both"/>
        <w:rPr>
          <w:rFonts w:ascii="Arial" w:eastAsia="Arial" w:hAnsi="Arial" w:cs="Arial"/>
          <w:bCs/>
          <w:iCs/>
          <w:color w:val="00000A"/>
          <w:sz w:val="23"/>
          <w:szCs w:val="23"/>
          <w:u w:val="single"/>
        </w:rPr>
      </w:pPr>
      <w:r w:rsidRPr="00AD7738">
        <w:rPr>
          <w:rFonts w:ascii="Arial" w:eastAsia="Arial" w:hAnsi="Arial" w:cs="Arial"/>
          <w:bCs/>
          <w:iCs/>
          <w:color w:val="00000A"/>
          <w:sz w:val="23"/>
          <w:szCs w:val="23"/>
          <w:u w:val="single"/>
        </w:rPr>
        <w:t>Svantaggi intravisti:</w:t>
      </w:r>
    </w:p>
    <w:p w:rsidR="00A33531" w:rsidRPr="00B850F9" w:rsidRDefault="00A33531" w:rsidP="00A33531">
      <w:pPr>
        <w:tabs>
          <w:tab w:val="left" w:pos="284"/>
        </w:tabs>
        <w:ind w:left="284" w:hanging="284"/>
        <w:jc w:val="both"/>
        <w:rPr>
          <w:rFonts w:ascii="Arial" w:eastAsia="Arial" w:hAnsi="Arial" w:cs="Arial"/>
          <w:sz w:val="23"/>
          <w:szCs w:val="23"/>
        </w:rPr>
      </w:pPr>
      <w:r>
        <w:rPr>
          <w:rFonts w:ascii="Arial" w:eastAsia="Arial" w:hAnsi="Arial" w:cs="Arial"/>
          <w:color w:val="00000A"/>
          <w:sz w:val="23"/>
          <w:szCs w:val="23"/>
        </w:rPr>
        <w:t>-</w:t>
      </w:r>
      <w:r>
        <w:rPr>
          <w:rFonts w:ascii="Arial" w:eastAsia="Arial" w:hAnsi="Arial" w:cs="Arial"/>
          <w:color w:val="00000A"/>
          <w:sz w:val="23"/>
          <w:szCs w:val="23"/>
        </w:rPr>
        <w:tab/>
        <w:t>co</w:t>
      </w:r>
      <w:r w:rsidRPr="00B850F9">
        <w:rPr>
          <w:rFonts w:ascii="Arial" w:eastAsia="Arial" w:hAnsi="Arial" w:cs="Arial"/>
          <w:color w:val="00000A"/>
          <w:sz w:val="23"/>
          <w:szCs w:val="23"/>
        </w:rPr>
        <w:t>mpilazione delle dichiarazioni fiscali inesatte o non corrispondenti alla reale situazione personale del contribuente (per errore non volontario o per omissione volontaria)</w:t>
      </w:r>
      <w:r>
        <w:rPr>
          <w:rFonts w:ascii="Arial" w:eastAsia="Arial" w:hAnsi="Arial" w:cs="Arial"/>
          <w:color w:val="00000A"/>
          <w:sz w:val="23"/>
          <w:szCs w:val="23"/>
        </w:rPr>
        <w:t>.</w:t>
      </w:r>
    </w:p>
    <w:p w:rsidR="00A33531" w:rsidRDefault="00A33531" w:rsidP="00A33531">
      <w:pPr>
        <w:jc w:val="both"/>
        <w:rPr>
          <w:rFonts w:ascii="Arial" w:eastAsia="Arial" w:hAnsi="Arial" w:cs="Arial"/>
          <w:sz w:val="23"/>
          <w:szCs w:val="23"/>
        </w:rPr>
      </w:pPr>
    </w:p>
    <w:p w:rsidR="00A33531" w:rsidRPr="00AD7738" w:rsidRDefault="00A33531" w:rsidP="00A33531">
      <w:pPr>
        <w:jc w:val="both"/>
        <w:rPr>
          <w:rFonts w:ascii="Arial" w:eastAsia="Arial" w:hAnsi="Arial" w:cs="Arial"/>
          <w:sz w:val="23"/>
          <w:szCs w:val="23"/>
        </w:rPr>
      </w:pPr>
      <w:r w:rsidRPr="00AD7738">
        <w:rPr>
          <w:rFonts w:ascii="Arial" w:eastAsia="Arial" w:hAnsi="Arial" w:cs="Arial"/>
          <w:color w:val="00000A"/>
          <w:sz w:val="23"/>
          <w:szCs w:val="23"/>
        </w:rPr>
        <w:t>In considerazione di quanto esposto si chiede di:</w:t>
      </w:r>
    </w:p>
    <w:p w:rsidR="00A33531" w:rsidRPr="00B850F9" w:rsidRDefault="00A33531" w:rsidP="00A33531">
      <w:pPr>
        <w:jc w:val="both"/>
        <w:rPr>
          <w:rFonts w:ascii="Arial" w:eastAsia="Arial" w:hAnsi="Arial" w:cs="Arial"/>
          <w:sz w:val="23"/>
          <w:szCs w:val="23"/>
        </w:rPr>
      </w:pPr>
    </w:p>
    <w:p w:rsidR="00A33531" w:rsidRPr="00AD7738" w:rsidRDefault="00A33531" w:rsidP="00A33531">
      <w:pPr>
        <w:widowControl/>
        <w:numPr>
          <w:ilvl w:val="0"/>
          <w:numId w:val="17"/>
        </w:numPr>
        <w:suppressAutoHyphens/>
        <w:autoSpaceDE/>
        <w:autoSpaceDN/>
        <w:adjustRightInd/>
        <w:ind w:left="284" w:hanging="284"/>
        <w:jc w:val="both"/>
        <w:rPr>
          <w:rFonts w:ascii="Arial" w:eastAsia="Arial" w:hAnsi="Arial" w:cs="Arial"/>
          <w:sz w:val="23"/>
          <w:szCs w:val="23"/>
        </w:rPr>
      </w:pPr>
      <w:r>
        <w:rPr>
          <w:rFonts w:ascii="Arial" w:eastAsia="Arial" w:hAnsi="Arial" w:cs="Arial"/>
          <w:sz w:val="23"/>
          <w:szCs w:val="23"/>
        </w:rPr>
        <w:t>v</w:t>
      </w:r>
      <w:r w:rsidRPr="00B850F9">
        <w:rPr>
          <w:rFonts w:ascii="Arial" w:eastAsia="Arial" w:hAnsi="Arial" w:cs="Arial"/>
          <w:sz w:val="23"/>
          <w:szCs w:val="23"/>
        </w:rPr>
        <w:t xml:space="preserve">alutare concretamente la possibilità di adottare un sistema di ottimizzazione e </w:t>
      </w:r>
      <w:r w:rsidRPr="00AD7738">
        <w:rPr>
          <w:rFonts w:ascii="Arial" w:eastAsia="Arial" w:hAnsi="Arial" w:cs="Arial"/>
          <w:sz w:val="23"/>
          <w:szCs w:val="23"/>
        </w:rPr>
        <w:t>razionalizzazione dell’evasione delle pratiche fiscali (raccolta documentazione, dati manuali ed elettroniche con E-TaxTicino) nel rilasciare la notifica fiscale, in par</w:t>
      </w:r>
      <w:r>
        <w:rPr>
          <w:rFonts w:ascii="Arial" w:eastAsia="Arial" w:hAnsi="Arial" w:cs="Arial"/>
          <w:sz w:val="23"/>
          <w:szCs w:val="23"/>
        </w:rPr>
        <w:t>ticolare per le persone fisiche;</w:t>
      </w:r>
    </w:p>
    <w:p w:rsidR="00A33531" w:rsidRPr="00AD7738" w:rsidRDefault="00A33531" w:rsidP="00A33531">
      <w:pPr>
        <w:ind w:left="284" w:hanging="284"/>
        <w:jc w:val="both"/>
        <w:rPr>
          <w:rFonts w:ascii="Arial" w:eastAsia="Arial" w:hAnsi="Arial" w:cs="Arial"/>
          <w:sz w:val="23"/>
          <w:szCs w:val="23"/>
        </w:rPr>
      </w:pPr>
    </w:p>
    <w:p w:rsidR="00A33531" w:rsidRPr="00AD7738" w:rsidRDefault="00A33531" w:rsidP="00A33531">
      <w:pPr>
        <w:widowControl/>
        <w:numPr>
          <w:ilvl w:val="0"/>
          <w:numId w:val="17"/>
        </w:numPr>
        <w:suppressAutoHyphens/>
        <w:autoSpaceDE/>
        <w:autoSpaceDN/>
        <w:adjustRightInd/>
        <w:ind w:left="284" w:hanging="284"/>
        <w:jc w:val="both"/>
        <w:rPr>
          <w:rFonts w:ascii="Arial" w:eastAsia="Arial" w:hAnsi="Arial" w:cs="Arial"/>
          <w:sz w:val="23"/>
          <w:szCs w:val="23"/>
        </w:rPr>
      </w:pPr>
      <w:r>
        <w:rPr>
          <w:rFonts w:ascii="Arial" w:eastAsia="Arial" w:hAnsi="Arial" w:cs="Arial"/>
          <w:sz w:val="23"/>
          <w:szCs w:val="23"/>
        </w:rPr>
        <w:t>v</w:t>
      </w:r>
      <w:r w:rsidRPr="00AD7738">
        <w:rPr>
          <w:rFonts w:ascii="Arial" w:eastAsia="Arial" w:hAnsi="Arial" w:cs="Arial"/>
          <w:sz w:val="23"/>
          <w:szCs w:val="23"/>
        </w:rPr>
        <w:t xml:space="preserve">alutare la possibilità di introdurre un sistema di controllo </w:t>
      </w:r>
      <w:r w:rsidRPr="00AD7738">
        <w:rPr>
          <w:rFonts w:ascii="Arial" w:eastAsia="Arial" w:hAnsi="Arial" w:cs="Arial"/>
          <w:b/>
          <w:i/>
          <w:sz w:val="23"/>
          <w:szCs w:val="23"/>
        </w:rPr>
        <w:t>“casuale o a random”</w:t>
      </w:r>
      <w:r w:rsidRPr="00AD7738">
        <w:rPr>
          <w:rFonts w:ascii="Arial" w:eastAsia="Arial" w:hAnsi="Arial" w:cs="Arial"/>
          <w:sz w:val="23"/>
          <w:szCs w:val="23"/>
        </w:rPr>
        <w:t xml:space="preserve"> (algoritmi) sulle verifiche e sui controlli, affinché si possa raggiungere l’obiettivo al punto 1.</w:t>
      </w:r>
    </w:p>
    <w:p w:rsidR="00A33531" w:rsidRDefault="00A33531" w:rsidP="00A33531">
      <w:pPr>
        <w:ind w:left="284" w:hanging="284"/>
        <w:jc w:val="both"/>
        <w:rPr>
          <w:rFonts w:ascii="Arial" w:eastAsia="Arial" w:hAnsi="Arial" w:cs="Arial"/>
          <w:sz w:val="23"/>
          <w:szCs w:val="23"/>
        </w:rPr>
      </w:pPr>
    </w:p>
    <w:p w:rsidR="00A33531" w:rsidRPr="00AD7738" w:rsidRDefault="00A33531" w:rsidP="00A33531">
      <w:pPr>
        <w:ind w:left="284" w:hanging="284"/>
        <w:jc w:val="both"/>
        <w:rPr>
          <w:rFonts w:ascii="Arial" w:eastAsia="Arial" w:hAnsi="Arial" w:cs="Arial"/>
          <w:sz w:val="23"/>
          <w:szCs w:val="23"/>
        </w:rPr>
      </w:pPr>
    </w:p>
    <w:p w:rsidR="00A33531" w:rsidRDefault="00A33531" w:rsidP="00A33531">
      <w:pPr>
        <w:jc w:val="both"/>
        <w:rPr>
          <w:rFonts w:ascii="Arial" w:eastAsia="Arial" w:hAnsi="Arial" w:cs="Arial"/>
          <w:sz w:val="23"/>
          <w:szCs w:val="23"/>
        </w:rPr>
      </w:pPr>
      <w:r w:rsidRPr="00AD7738">
        <w:rPr>
          <w:rFonts w:ascii="Arial" w:eastAsia="Arial" w:hAnsi="Arial" w:cs="Arial"/>
          <w:sz w:val="23"/>
          <w:szCs w:val="23"/>
        </w:rPr>
        <w:t>Tiziano Galeazzi</w:t>
      </w:r>
    </w:p>
    <w:p w:rsidR="006140A5" w:rsidRPr="00A33531" w:rsidRDefault="00A33531" w:rsidP="00A33531">
      <w:pPr>
        <w:jc w:val="both"/>
      </w:pPr>
      <w:r w:rsidRPr="00AD7738">
        <w:rPr>
          <w:rFonts w:ascii="Arial" w:eastAsia="Arial" w:hAnsi="Arial" w:cs="Arial"/>
          <w:sz w:val="23"/>
          <w:szCs w:val="23"/>
        </w:rPr>
        <w:t xml:space="preserve">Marchesi </w:t>
      </w:r>
      <w:r>
        <w:rPr>
          <w:rFonts w:ascii="Arial" w:eastAsia="Arial" w:hAnsi="Arial" w:cs="Arial"/>
          <w:sz w:val="23"/>
          <w:szCs w:val="23"/>
        </w:rPr>
        <w:t xml:space="preserve">- </w:t>
      </w:r>
      <w:r w:rsidRPr="00AD7738">
        <w:rPr>
          <w:rFonts w:ascii="Arial" w:eastAsia="Arial" w:hAnsi="Arial" w:cs="Arial"/>
          <w:sz w:val="23"/>
          <w:szCs w:val="23"/>
        </w:rPr>
        <w:t>Morisoli</w:t>
      </w:r>
      <w:r>
        <w:rPr>
          <w:rFonts w:ascii="Arial" w:eastAsia="Arial" w:hAnsi="Arial" w:cs="Arial"/>
          <w:sz w:val="23"/>
          <w:szCs w:val="23"/>
        </w:rPr>
        <w:t xml:space="preserve"> - </w:t>
      </w:r>
      <w:r w:rsidRPr="00AD7738">
        <w:rPr>
          <w:rFonts w:ascii="Arial" w:eastAsia="Arial" w:hAnsi="Arial" w:cs="Arial"/>
          <w:sz w:val="23"/>
          <w:szCs w:val="23"/>
        </w:rPr>
        <w:t xml:space="preserve">Pinoja </w:t>
      </w:r>
      <w:bookmarkStart w:id="0" w:name="_GoBack"/>
      <w:bookmarkEnd w:id="0"/>
    </w:p>
    <w:sectPr w:rsidR="006140A5" w:rsidRPr="00A3353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D8D" w:rsidRDefault="00620D8D" w:rsidP="00620D8D">
      <w:r>
        <w:separator/>
      </w:r>
    </w:p>
  </w:endnote>
  <w:endnote w:type="continuationSeparator" w:id="0">
    <w:p w:rsidR="00620D8D" w:rsidRDefault="00620D8D" w:rsidP="00620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D8D" w:rsidRDefault="00620D8D" w:rsidP="00620D8D">
      <w:r>
        <w:separator/>
      </w:r>
    </w:p>
  </w:footnote>
  <w:footnote w:type="continuationSeparator" w:id="0">
    <w:p w:rsidR="00620D8D" w:rsidRDefault="00620D8D" w:rsidP="00620D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1429" w:hanging="360"/>
      </w:pPr>
      <w:rPr>
        <w:position w:val="0"/>
        <w:sz w:val="20"/>
        <w:vertAlign w:val="baseline"/>
      </w:rPr>
    </w:lvl>
    <w:lvl w:ilvl="1">
      <w:start w:val="1"/>
      <w:numFmt w:val="lowerLetter"/>
      <w:lvlText w:val="%2."/>
      <w:lvlJc w:val="left"/>
      <w:pPr>
        <w:tabs>
          <w:tab w:val="num" w:pos="0"/>
        </w:tabs>
        <w:ind w:left="2149" w:hanging="360"/>
      </w:pPr>
      <w:rPr>
        <w:position w:val="0"/>
        <w:sz w:val="20"/>
        <w:vertAlign w:val="baseline"/>
      </w:rPr>
    </w:lvl>
    <w:lvl w:ilvl="2">
      <w:start w:val="1"/>
      <w:numFmt w:val="lowerRoman"/>
      <w:lvlText w:val="%2.%3."/>
      <w:lvlJc w:val="right"/>
      <w:pPr>
        <w:tabs>
          <w:tab w:val="num" w:pos="0"/>
        </w:tabs>
        <w:ind w:left="2869" w:hanging="180"/>
      </w:pPr>
      <w:rPr>
        <w:position w:val="0"/>
        <w:sz w:val="20"/>
        <w:vertAlign w:val="baseline"/>
      </w:rPr>
    </w:lvl>
    <w:lvl w:ilvl="3">
      <w:start w:val="1"/>
      <w:numFmt w:val="decimal"/>
      <w:lvlText w:val="%2.%3.%4."/>
      <w:lvlJc w:val="left"/>
      <w:pPr>
        <w:tabs>
          <w:tab w:val="num" w:pos="0"/>
        </w:tabs>
        <w:ind w:left="3589" w:hanging="360"/>
      </w:pPr>
      <w:rPr>
        <w:position w:val="0"/>
        <w:sz w:val="20"/>
        <w:vertAlign w:val="baseline"/>
      </w:rPr>
    </w:lvl>
    <w:lvl w:ilvl="4">
      <w:start w:val="1"/>
      <w:numFmt w:val="lowerLetter"/>
      <w:lvlText w:val="%2.%3.%4.%5."/>
      <w:lvlJc w:val="left"/>
      <w:pPr>
        <w:tabs>
          <w:tab w:val="num" w:pos="0"/>
        </w:tabs>
        <w:ind w:left="4309" w:hanging="360"/>
      </w:pPr>
      <w:rPr>
        <w:position w:val="0"/>
        <w:sz w:val="20"/>
        <w:vertAlign w:val="baseline"/>
      </w:rPr>
    </w:lvl>
    <w:lvl w:ilvl="5">
      <w:start w:val="1"/>
      <w:numFmt w:val="lowerRoman"/>
      <w:lvlText w:val="%2.%3.%4.%5.%6."/>
      <w:lvlJc w:val="right"/>
      <w:pPr>
        <w:tabs>
          <w:tab w:val="num" w:pos="0"/>
        </w:tabs>
        <w:ind w:left="5029" w:hanging="180"/>
      </w:pPr>
      <w:rPr>
        <w:position w:val="0"/>
        <w:sz w:val="20"/>
        <w:vertAlign w:val="baseline"/>
      </w:rPr>
    </w:lvl>
    <w:lvl w:ilvl="6">
      <w:start w:val="1"/>
      <w:numFmt w:val="decimal"/>
      <w:lvlText w:val="%2.%3.%4.%5.%6.%7."/>
      <w:lvlJc w:val="left"/>
      <w:pPr>
        <w:tabs>
          <w:tab w:val="num" w:pos="0"/>
        </w:tabs>
        <w:ind w:left="5749" w:hanging="360"/>
      </w:pPr>
      <w:rPr>
        <w:position w:val="0"/>
        <w:sz w:val="20"/>
        <w:vertAlign w:val="baseline"/>
      </w:rPr>
    </w:lvl>
    <w:lvl w:ilvl="7">
      <w:start w:val="1"/>
      <w:numFmt w:val="lowerLetter"/>
      <w:lvlText w:val="%2.%3.%4.%5.%6.%7.%8."/>
      <w:lvlJc w:val="left"/>
      <w:pPr>
        <w:tabs>
          <w:tab w:val="num" w:pos="0"/>
        </w:tabs>
        <w:ind w:left="6469" w:hanging="360"/>
      </w:pPr>
      <w:rPr>
        <w:position w:val="0"/>
        <w:sz w:val="20"/>
        <w:vertAlign w:val="baseline"/>
      </w:rPr>
    </w:lvl>
    <w:lvl w:ilvl="8">
      <w:start w:val="1"/>
      <w:numFmt w:val="lowerRoman"/>
      <w:lvlText w:val="%2.%3.%4.%5.%6.%7.%8.%9."/>
      <w:lvlJc w:val="right"/>
      <w:pPr>
        <w:tabs>
          <w:tab w:val="num" w:pos="0"/>
        </w:tabs>
        <w:ind w:left="7189" w:hanging="180"/>
      </w:pPr>
      <w:rPr>
        <w:position w:val="0"/>
        <w:sz w:val="20"/>
        <w:vertAlign w:val="baseline"/>
      </w:rPr>
    </w:lvl>
  </w:abstractNum>
  <w:abstractNum w:abstractNumId="1" w15:restartNumberingAfterBreak="0">
    <w:nsid w:val="00A27E30"/>
    <w:multiLevelType w:val="hybridMultilevel"/>
    <w:tmpl w:val="8D6E2AD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A2E2D98"/>
    <w:multiLevelType w:val="hybridMultilevel"/>
    <w:tmpl w:val="629090F0"/>
    <w:numStyleLink w:val="Puntielenco"/>
  </w:abstractNum>
  <w:abstractNum w:abstractNumId="3" w15:restartNumberingAfterBreak="0">
    <w:nsid w:val="18D73228"/>
    <w:multiLevelType w:val="hybridMultilevel"/>
    <w:tmpl w:val="7124F7AA"/>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4" w15:restartNumberingAfterBreak="0">
    <w:nsid w:val="39DD23AE"/>
    <w:multiLevelType w:val="hybridMultilevel"/>
    <w:tmpl w:val="408A4278"/>
    <w:lvl w:ilvl="0" w:tplc="7E96B1DE">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3DA178FD"/>
    <w:multiLevelType w:val="hybridMultilevel"/>
    <w:tmpl w:val="8A66D828"/>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6" w15:restartNumberingAfterBreak="0">
    <w:nsid w:val="3F9B4F09"/>
    <w:multiLevelType w:val="hybridMultilevel"/>
    <w:tmpl w:val="84809B9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426E2C32"/>
    <w:multiLevelType w:val="hybridMultilevel"/>
    <w:tmpl w:val="B414E0A4"/>
    <w:lvl w:ilvl="0" w:tplc="6A76BABE">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4C6E5480"/>
    <w:multiLevelType w:val="hybridMultilevel"/>
    <w:tmpl w:val="9754F312"/>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15:restartNumberingAfterBreak="0">
    <w:nsid w:val="4D993DA9"/>
    <w:multiLevelType w:val="hybridMultilevel"/>
    <w:tmpl w:val="629090F0"/>
    <w:styleLink w:val="Puntielenco"/>
    <w:lvl w:ilvl="0" w:tplc="CA3E63D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B4021FA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695A184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C14C1AA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68FE51C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8B32877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F8EC137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568A1E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8278BD1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0" w15:restartNumberingAfterBreak="0">
    <w:nsid w:val="51A861AE"/>
    <w:multiLevelType w:val="hybridMultilevel"/>
    <w:tmpl w:val="434AD23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532B685A"/>
    <w:multiLevelType w:val="hybridMultilevel"/>
    <w:tmpl w:val="43C42E9E"/>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5DCD58CA"/>
    <w:multiLevelType w:val="hybridMultilevel"/>
    <w:tmpl w:val="7DFE0068"/>
    <w:lvl w:ilvl="0" w:tplc="E8CC583E">
      <w:start w:val="1"/>
      <w:numFmt w:val="decimal"/>
      <w:lvlText w:val="%1."/>
      <w:lvlJc w:val="left"/>
      <w:pPr>
        <w:ind w:left="284" w:hanging="360"/>
      </w:pPr>
      <w:rPr>
        <w:rFonts w:eastAsia="Arial" w:cs="Arial" w:hint="default"/>
        <w:i w:val="0"/>
      </w:rPr>
    </w:lvl>
    <w:lvl w:ilvl="1" w:tplc="08100019" w:tentative="1">
      <w:start w:val="1"/>
      <w:numFmt w:val="lowerLetter"/>
      <w:lvlText w:val="%2."/>
      <w:lvlJc w:val="left"/>
      <w:pPr>
        <w:ind w:left="1004" w:hanging="360"/>
      </w:pPr>
    </w:lvl>
    <w:lvl w:ilvl="2" w:tplc="0810001B" w:tentative="1">
      <w:start w:val="1"/>
      <w:numFmt w:val="lowerRoman"/>
      <w:lvlText w:val="%3."/>
      <w:lvlJc w:val="right"/>
      <w:pPr>
        <w:ind w:left="1724" w:hanging="180"/>
      </w:pPr>
    </w:lvl>
    <w:lvl w:ilvl="3" w:tplc="0810000F" w:tentative="1">
      <w:start w:val="1"/>
      <w:numFmt w:val="decimal"/>
      <w:lvlText w:val="%4."/>
      <w:lvlJc w:val="left"/>
      <w:pPr>
        <w:ind w:left="2444" w:hanging="360"/>
      </w:pPr>
    </w:lvl>
    <w:lvl w:ilvl="4" w:tplc="08100019" w:tentative="1">
      <w:start w:val="1"/>
      <w:numFmt w:val="lowerLetter"/>
      <w:lvlText w:val="%5."/>
      <w:lvlJc w:val="left"/>
      <w:pPr>
        <w:ind w:left="3164" w:hanging="360"/>
      </w:pPr>
    </w:lvl>
    <w:lvl w:ilvl="5" w:tplc="0810001B" w:tentative="1">
      <w:start w:val="1"/>
      <w:numFmt w:val="lowerRoman"/>
      <w:lvlText w:val="%6."/>
      <w:lvlJc w:val="right"/>
      <w:pPr>
        <w:ind w:left="3884" w:hanging="180"/>
      </w:pPr>
    </w:lvl>
    <w:lvl w:ilvl="6" w:tplc="0810000F" w:tentative="1">
      <w:start w:val="1"/>
      <w:numFmt w:val="decimal"/>
      <w:lvlText w:val="%7."/>
      <w:lvlJc w:val="left"/>
      <w:pPr>
        <w:ind w:left="4604" w:hanging="360"/>
      </w:pPr>
    </w:lvl>
    <w:lvl w:ilvl="7" w:tplc="08100019" w:tentative="1">
      <w:start w:val="1"/>
      <w:numFmt w:val="lowerLetter"/>
      <w:lvlText w:val="%8."/>
      <w:lvlJc w:val="left"/>
      <w:pPr>
        <w:ind w:left="5324" w:hanging="360"/>
      </w:pPr>
    </w:lvl>
    <w:lvl w:ilvl="8" w:tplc="0810001B" w:tentative="1">
      <w:start w:val="1"/>
      <w:numFmt w:val="lowerRoman"/>
      <w:lvlText w:val="%9."/>
      <w:lvlJc w:val="right"/>
      <w:pPr>
        <w:ind w:left="6044" w:hanging="180"/>
      </w:pPr>
    </w:lvl>
  </w:abstractNum>
  <w:abstractNum w:abstractNumId="13" w15:restartNumberingAfterBreak="0">
    <w:nsid w:val="5F7D1957"/>
    <w:multiLevelType w:val="hybridMultilevel"/>
    <w:tmpl w:val="EC2E2F2A"/>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4" w15:restartNumberingAfterBreak="0">
    <w:nsid w:val="6C1F374D"/>
    <w:multiLevelType w:val="hybridMultilevel"/>
    <w:tmpl w:val="51603E06"/>
    <w:lvl w:ilvl="0" w:tplc="0810000F">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76086D12"/>
    <w:multiLevelType w:val="hybridMultilevel"/>
    <w:tmpl w:val="0EF66456"/>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6"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5"/>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2"/>
  </w:num>
  <w:num w:numId="5">
    <w:abstractNumId w:val="6"/>
  </w:num>
  <w:num w:numId="6">
    <w:abstractNumId w:val="11"/>
  </w:num>
  <w:num w:numId="7">
    <w:abstractNumId w:val="9"/>
  </w:num>
  <w:num w:numId="8">
    <w:abstractNumId w:val="2"/>
  </w:num>
  <w:num w:numId="9">
    <w:abstractNumId w:val="10"/>
  </w:num>
  <w:num w:numId="10">
    <w:abstractNumId w:val="5"/>
  </w:num>
  <w:num w:numId="11">
    <w:abstractNumId w:val="16"/>
  </w:num>
  <w:num w:numId="12">
    <w:abstractNumId w:val="7"/>
  </w:num>
  <w:num w:numId="13">
    <w:abstractNumId w:val="4"/>
  </w:num>
  <w:num w:numId="14">
    <w:abstractNumId w:val="3"/>
  </w:num>
  <w:num w:numId="15">
    <w:abstractNumId w:val="8"/>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E8D"/>
    <w:rsid w:val="000A603A"/>
    <w:rsid w:val="000F6DFB"/>
    <w:rsid w:val="00252E09"/>
    <w:rsid w:val="00492BE8"/>
    <w:rsid w:val="005B104A"/>
    <w:rsid w:val="005E26F1"/>
    <w:rsid w:val="006140A5"/>
    <w:rsid w:val="00620D8D"/>
    <w:rsid w:val="006A3A82"/>
    <w:rsid w:val="006E4E78"/>
    <w:rsid w:val="007632A2"/>
    <w:rsid w:val="007A02E6"/>
    <w:rsid w:val="008C2349"/>
    <w:rsid w:val="0092015C"/>
    <w:rsid w:val="009F0C2B"/>
    <w:rsid w:val="00A33531"/>
    <w:rsid w:val="00AD3254"/>
    <w:rsid w:val="00C83107"/>
    <w:rsid w:val="00CC77E8"/>
    <w:rsid w:val="00D32259"/>
    <w:rsid w:val="00D33301"/>
    <w:rsid w:val="00D35E03"/>
    <w:rsid w:val="00D43AAA"/>
    <w:rsid w:val="00D57E8D"/>
    <w:rsid w:val="00E30BB7"/>
    <w:rsid w:val="00EF0263"/>
    <w:rsid w:val="00F16FA8"/>
    <w:rsid w:val="00F83E1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177B2-C615-4C8F-87D3-EF9C74F8D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D57E8D"/>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D57E8D"/>
    <w:pPr>
      <w:ind w:left="114"/>
    </w:pPr>
    <w:rPr>
      <w:lang w:eastAsia="en-US"/>
    </w:rPr>
  </w:style>
  <w:style w:type="character" w:customStyle="1" w:styleId="CorpotestoCarattere">
    <w:name w:val="Corpo testo Carattere"/>
    <w:basedOn w:val="Carpredefinitoparagrafo"/>
    <w:link w:val="Corpotesto"/>
    <w:uiPriority w:val="1"/>
    <w:rsid w:val="00D57E8D"/>
    <w:rPr>
      <w:rFonts w:ascii="Times New Roman" w:eastAsia="Times New Roman" w:hAnsi="Times New Roman" w:cs="Times New Roman"/>
      <w:sz w:val="24"/>
      <w:szCs w:val="24"/>
    </w:rPr>
  </w:style>
  <w:style w:type="paragraph" w:styleId="Testofumetto">
    <w:name w:val="Balloon Text"/>
    <w:basedOn w:val="Normale"/>
    <w:link w:val="TestofumettoCarattere"/>
    <w:uiPriority w:val="99"/>
    <w:semiHidden/>
    <w:unhideWhenUsed/>
    <w:rsid w:val="00CC77E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C77E8"/>
    <w:rPr>
      <w:rFonts w:ascii="Segoe UI" w:eastAsia="Times New Roman" w:hAnsi="Segoe UI" w:cs="Segoe UI"/>
      <w:sz w:val="18"/>
      <w:szCs w:val="18"/>
      <w:lang w:eastAsia="it-CH"/>
    </w:rPr>
  </w:style>
  <w:style w:type="paragraph" w:styleId="Paragrafoelenco">
    <w:name w:val="List Paragraph"/>
    <w:basedOn w:val="Normale"/>
    <w:uiPriority w:val="26"/>
    <w:qFormat/>
    <w:rsid w:val="00CC77E8"/>
    <w:pPr>
      <w:ind w:left="708"/>
    </w:pPr>
  </w:style>
  <w:style w:type="paragraph" w:styleId="NormaleWeb">
    <w:name w:val="Normal (Web)"/>
    <w:basedOn w:val="Normale"/>
    <w:unhideWhenUsed/>
    <w:rsid w:val="00252E09"/>
    <w:pPr>
      <w:widowControl/>
      <w:autoSpaceDE/>
      <w:autoSpaceDN/>
      <w:adjustRightInd/>
      <w:spacing w:before="100" w:beforeAutospacing="1" w:after="100" w:afterAutospacing="1"/>
    </w:pPr>
  </w:style>
  <w:style w:type="character" w:styleId="Collegamentoipertestuale">
    <w:name w:val="Hyperlink"/>
    <w:uiPriority w:val="99"/>
    <w:rsid w:val="006A3A82"/>
    <w:rPr>
      <w:u w:val="single"/>
    </w:rPr>
  </w:style>
  <w:style w:type="paragraph" w:customStyle="1" w:styleId="Didefault">
    <w:name w:val="Di default"/>
    <w:rsid w:val="00492BE8"/>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 w:type="numbering" w:customStyle="1" w:styleId="Puntielenco">
    <w:name w:val="Punti elenco"/>
    <w:rsid w:val="00492BE8"/>
    <w:pPr>
      <w:numPr>
        <w:numId w:val="7"/>
      </w:numPr>
    </w:pPr>
  </w:style>
  <w:style w:type="character" w:customStyle="1" w:styleId="Hyperlink0">
    <w:name w:val="Hyperlink.0"/>
    <w:basedOn w:val="Carpredefinitoparagrafo"/>
    <w:rsid w:val="00492BE8"/>
    <w:rPr>
      <w:u w:val="none"/>
    </w:rPr>
  </w:style>
  <w:style w:type="paragraph" w:styleId="Testonotaapidipagina">
    <w:name w:val="footnote text"/>
    <w:basedOn w:val="Normale"/>
    <w:link w:val="TestonotaapidipaginaCarattere"/>
    <w:semiHidden/>
    <w:unhideWhenUsed/>
    <w:rsid w:val="00620D8D"/>
    <w:pPr>
      <w:widowControl/>
      <w:autoSpaceDE/>
      <w:autoSpaceDN/>
      <w:adjustRightInd/>
      <w:spacing w:before="100" w:beforeAutospacing="1" w:after="100" w:afterAutospacing="1"/>
    </w:pPr>
    <w:rPr>
      <w:rFonts w:eastAsia="Calibri"/>
    </w:rPr>
  </w:style>
  <w:style w:type="character" w:customStyle="1" w:styleId="TestonotaapidipaginaCarattere">
    <w:name w:val="Testo nota a piè di pagina Carattere"/>
    <w:basedOn w:val="Carpredefinitoparagrafo"/>
    <w:link w:val="Testonotaapidipagina"/>
    <w:semiHidden/>
    <w:rsid w:val="00620D8D"/>
    <w:rPr>
      <w:rFonts w:ascii="Times New Roman" w:eastAsia="Calibri" w:hAnsi="Times New Roman" w:cs="Times New Roman"/>
      <w:sz w:val="24"/>
      <w:szCs w:val="24"/>
      <w:lang w:eastAsia="it-CH"/>
    </w:rPr>
  </w:style>
  <w:style w:type="character" w:styleId="Rimandonotaapidipagina">
    <w:name w:val="footnote reference"/>
    <w:semiHidden/>
    <w:unhideWhenUsed/>
    <w:rsid w:val="00620D8D"/>
  </w:style>
  <w:style w:type="character" w:styleId="Enfasigrassetto">
    <w:name w:val="Strong"/>
    <w:basedOn w:val="Carpredefinitoparagrafo"/>
    <w:qFormat/>
    <w:rsid w:val="006140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532</Words>
  <Characters>3034</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2</cp:revision>
  <cp:lastPrinted>2019-09-19T08:42:00Z</cp:lastPrinted>
  <dcterms:created xsi:type="dcterms:W3CDTF">2019-09-19T08:44:00Z</dcterms:created>
  <dcterms:modified xsi:type="dcterms:W3CDTF">2019-09-19T08:44:00Z</dcterms:modified>
</cp:coreProperties>
</file>