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625" w:rsidRPr="00F54625" w:rsidRDefault="00F54625" w:rsidP="00F54625">
      <w:pPr>
        <w:jc w:val="left"/>
        <w:rPr>
          <w:b/>
          <w:sz w:val="28"/>
        </w:rPr>
      </w:pPr>
      <w:r w:rsidRPr="00F54625">
        <w:rPr>
          <w:b/>
          <w:sz w:val="28"/>
        </w:rPr>
        <w:t>dell’Ufficio presidenziale del Gran Consiglio</w:t>
      </w:r>
      <w:bookmarkStart w:id="0" w:name="_GoBack"/>
      <w:bookmarkEnd w:id="0"/>
    </w:p>
    <w:p w:rsidR="00F54625" w:rsidRPr="00F54625" w:rsidRDefault="00F54625" w:rsidP="00F54625">
      <w:pPr>
        <w:rPr>
          <w:b/>
          <w:sz w:val="28"/>
        </w:rPr>
      </w:pPr>
      <w:r w:rsidRPr="00F54625">
        <w:rPr>
          <w:b/>
          <w:sz w:val="28"/>
        </w:rPr>
        <w:t xml:space="preserve">concernente l’elezione di un Presidente, di due membri e di </w:t>
      </w:r>
      <w:r>
        <w:rPr>
          <w:b/>
          <w:sz w:val="28"/>
        </w:rPr>
        <w:t xml:space="preserve">due </w:t>
      </w:r>
      <w:r w:rsidRPr="00F54625">
        <w:rPr>
          <w:b/>
          <w:sz w:val="28"/>
        </w:rPr>
        <w:t>supplenti della Commissione di ricorso sulla magistratura per il periodo di nomina 1° gennaio 202</w:t>
      </w:r>
      <w:r w:rsidR="00A174DB">
        <w:rPr>
          <w:b/>
          <w:sz w:val="28"/>
        </w:rPr>
        <w:t>6</w:t>
      </w:r>
      <w:r w:rsidRPr="00F54625">
        <w:rPr>
          <w:b/>
          <w:sz w:val="28"/>
        </w:rPr>
        <w:t xml:space="preserve"> - 31 dicembre 20</w:t>
      </w:r>
      <w:r w:rsidR="00521D75">
        <w:rPr>
          <w:b/>
          <w:sz w:val="28"/>
        </w:rPr>
        <w:t>31</w:t>
      </w:r>
    </w:p>
    <w:p w:rsidR="00F54625" w:rsidRDefault="00F54625" w:rsidP="00F54625">
      <w:pPr>
        <w:rPr>
          <w:rFonts w:cs="Arial"/>
          <w:sz w:val="23"/>
          <w:szCs w:val="23"/>
        </w:rPr>
      </w:pPr>
    </w:p>
    <w:p w:rsidR="00F22B90" w:rsidRDefault="00F22B90" w:rsidP="00F54625">
      <w:pPr>
        <w:rPr>
          <w:rFonts w:cs="Arial"/>
          <w:sz w:val="23"/>
          <w:szCs w:val="23"/>
        </w:rPr>
      </w:pPr>
    </w:p>
    <w:p w:rsidR="00F54625" w:rsidRPr="00F54625" w:rsidRDefault="00F54625" w:rsidP="00F54625">
      <w:pPr>
        <w:rPr>
          <w:szCs w:val="24"/>
        </w:rPr>
      </w:pPr>
      <w:r w:rsidRPr="00F54625">
        <w:rPr>
          <w:szCs w:val="24"/>
        </w:rPr>
        <w:t xml:space="preserve">L'art. 85a cpv. 1 della Legge sull’organizzazione giudiziaria del 10 maggio 2006 (LOG) stabilisce che, contro la sentenza del Consiglio della magistratura, è dato ricorso a una Commissione di ricorso sulla magistratura entro il termine di trenta giorni. L’art. 85a cpv. </w:t>
      </w:r>
      <w:r w:rsidR="00EB7784">
        <w:rPr>
          <w:szCs w:val="24"/>
        </w:rPr>
        <w:t>5</w:t>
      </w:r>
      <w:r w:rsidRPr="00F54625">
        <w:rPr>
          <w:szCs w:val="24"/>
        </w:rPr>
        <w:t xml:space="preserve"> LOG precisa che la Commissione di ricorso si compone di un Presidente, due membri e due supplenti eletti dal Gran Consiglio, che devono adempiere ai requisiti di eleggibilità stabiliti all’art. 17 cpv. 1 della medesima legge; per il resto, sono applicabili per analogia le norme sul Consiglio della magistratura.</w:t>
      </w:r>
    </w:p>
    <w:p w:rsidR="00F54625" w:rsidRPr="006D79C4" w:rsidRDefault="00F54625" w:rsidP="00F54625">
      <w:pPr>
        <w:rPr>
          <w:sz w:val="20"/>
        </w:rPr>
      </w:pPr>
    </w:p>
    <w:p w:rsidR="00F54625" w:rsidRPr="00F54625" w:rsidRDefault="00F54625" w:rsidP="00F54625">
      <w:pPr>
        <w:rPr>
          <w:szCs w:val="24"/>
        </w:rPr>
      </w:pPr>
      <w:r w:rsidRPr="00F54625">
        <w:rPr>
          <w:szCs w:val="24"/>
        </w:rPr>
        <w:t>Dal profilo giuridico, si fa osservare che le elezioni qui in discussione non soggiacciono alla procedura del concorso pubblico e dell’esame e del preavviso delle nuove candidature da parte della Commissione di esperti indipendenti per l’elezione dei magistrati. Infatti, questa procedura si applica unicamente all’elezione dei magistrati indicati in modo esaustivo dall’art. 36 cpv. 1 lett. da a) a f) della Costituzione cantonale; il Presidente, i membri e i supplenti della Commissione di ricorso sulla magistratura non figurano in tale elenco.</w:t>
      </w:r>
    </w:p>
    <w:p w:rsidR="00F54625" w:rsidRPr="006D79C4" w:rsidRDefault="00F54625" w:rsidP="00F54625">
      <w:pPr>
        <w:rPr>
          <w:sz w:val="20"/>
        </w:rPr>
      </w:pPr>
    </w:p>
    <w:p w:rsidR="00F54625" w:rsidRPr="00F54625" w:rsidRDefault="00F54625" w:rsidP="00F54625">
      <w:pPr>
        <w:rPr>
          <w:szCs w:val="24"/>
        </w:rPr>
      </w:pPr>
      <w:r w:rsidRPr="00F54625">
        <w:rPr>
          <w:szCs w:val="24"/>
        </w:rPr>
        <w:t>Venendo a scadere il periodo di nomina di sei anni dell’attuale Commissione, il Gran Consiglio è ora chiamato a rinnovarne il mandato.</w:t>
      </w:r>
    </w:p>
    <w:p w:rsidR="00F54625" w:rsidRPr="006D79C4" w:rsidRDefault="00F54625" w:rsidP="00F54625">
      <w:pPr>
        <w:rPr>
          <w:rFonts w:cs="Arial"/>
          <w:sz w:val="20"/>
        </w:rPr>
      </w:pPr>
    </w:p>
    <w:p w:rsidR="00F54625" w:rsidRPr="00F54625" w:rsidRDefault="00F54625" w:rsidP="00F54625">
      <w:pPr>
        <w:spacing w:after="120"/>
        <w:rPr>
          <w:rFonts w:cs="Arial"/>
          <w:szCs w:val="24"/>
        </w:rPr>
      </w:pPr>
      <w:r w:rsidRPr="00F54625">
        <w:rPr>
          <w:rFonts w:cs="Arial"/>
          <w:szCs w:val="24"/>
        </w:rPr>
        <w:t xml:space="preserve">Alla luce di queste considerazioni, sulla scorta dell’art. 89 cpv. 1 della Legge sul Gran Consiglio e sui rapporti con il Consiglio di Stato del 24 febbraio 2015 (LGC) e dell’art. 85a cpv. 2 LOG, l’Ufficio presidenziale, preso atto della disponibilità dell’attuale Presidente, avv. </w:t>
      </w:r>
      <w:r w:rsidR="0006445C">
        <w:rPr>
          <w:rFonts w:cs="Arial"/>
          <w:szCs w:val="24"/>
        </w:rPr>
        <w:t xml:space="preserve">Franca Galfetti Soldini, </w:t>
      </w:r>
      <w:r w:rsidRPr="00F54625">
        <w:rPr>
          <w:rFonts w:cs="Arial"/>
          <w:szCs w:val="24"/>
        </w:rPr>
        <w:t xml:space="preserve">degli attuali membri, avv. Alfio Mazzola e dott. Roy Garré </w:t>
      </w:r>
      <w:r w:rsidR="0006445C">
        <w:rPr>
          <w:rFonts w:cs="Arial"/>
          <w:szCs w:val="24"/>
        </w:rPr>
        <w:t xml:space="preserve">e degli attuali supplenti, avv. Nicola Fornara e Mario Borradori </w:t>
      </w:r>
      <w:r w:rsidRPr="00F54625">
        <w:rPr>
          <w:rFonts w:cs="Arial"/>
          <w:szCs w:val="24"/>
        </w:rPr>
        <w:t>a proseguire in questa funzione, propone che siano nominati per comporre la Commissione di ricorso sulla magistratura, per un periodo di sei anni, la signora e i signori:</w:t>
      </w:r>
    </w:p>
    <w:p w:rsidR="00F54625" w:rsidRPr="00A70C24" w:rsidRDefault="00F54625" w:rsidP="003D17DF">
      <w:pPr>
        <w:pStyle w:val="Paragrafoelenco"/>
        <w:numPr>
          <w:ilvl w:val="0"/>
          <w:numId w:val="19"/>
        </w:numPr>
        <w:spacing w:before="60"/>
        <w:ind w:left="284" w:hanging="284"/>
        <w:contextualSpacing w:val="0"/>
        <w:rPr>
          <w:rFonts w:eastAsia="Times New Roman" w:cs="Arial"/>
          <w:sz w:val="24"/>
          <w:szCs w:val="24"/>
          <w:lang w:val="it-IT" w:eastAsia="it-IT"/>
        </w:rPr>
      </w:pPr>
      <w:r w:rsidRPr="00A70C24">
        <w:rPr>
          <w:rFonts w:eastAsia="Times New Roman" w:cs="Arial"/>
          <w:sz w:val="24"/>
          <w:szCs w:val="24"/>
          <w:lang w:val="it-IT" w:eastAsia="it-IT"/>
        </w:rPr>
        <w:t xml:space="preserve">avv. </w:t>
      </w:r>
      <w:r w:rsidR="00E546BA" w:rsidRPr="00A70C24">
        <w:rPr>
          <w:rFonts w:eastAsia="Times New Roman" w:cs="Arial"/>
          <w:sz w:val="24"/>
          <w:szCs w:val="24"/>
          <w:lang w:val="it-IT" w:eastAsia="it-IT"/>
        </w:rPr>
        <w:t>Franca Galfetti Soldini</w:t>
      </w:r>
      <w:r w:rsidRPr="00A70C24">
        <w:rPr>
          <w:rFonts w:eastAsia="Times New Roman" w:cs="Arial"/>
          <w:sz w:val="24"/>
          <w:szCs w:val="24"/>
          <w:lang w:val="it-IT" w:eastAsia="it-IT"/>
        </w:rPr>
        <w:t xml:space="preserve">, Presidente; </w:t>
      </w:r>
    </w:p>
    <w:p w:rsidR="00F54625" w:rsidRPr="00A70C24" w:rsidRDefault="00F54625" w:rsidP="003D17DF">
      <w:pPr>
        <w:pStyle w:val="Paragrafoelenco"/>
        <w:numPr>
          <w:ilvl w:val="0"/>
          <w:numId w:val="19"/>
        </w:numPr>
        <w:spacing w:before="60"/>
        <w:ind w:left="284" w:hanging="284"/>
        <w:contextualSpacing w:val="0"/>
        <w:rPr>
          <w:rFonts w:eastAsia="Times New Roman" w:cs="Arial"/>
          <w:sz w:val="24"/>
          <w:szCs w:val="24"/>
          <w:lang w:val="it-IT" w:eastAsia="it-IT"/>
        </w:rPr>
      </w:pPr>
      <w:r w:rsidRPr="00A70C24">
        <w:rPr>
          <w:rFonts w:eastAsia="Times New Roman" w:cs="Arial"/>
          <w:sz w:val="24"/>
          <w:szCs w:val="24"/>
          <w:lang w:val="it-IT" w:eastAsia="it-IT"/>
        </w:rPr>
        <w:t>avv. Alfio Mazzola e dott. Roy Garré, membri;</w:t>
      </w:r>
    </w:p>
    <w:p w:rsidR="00F54625" w:rsidRPr="00A70C24" w:rsidRDefault="00F54625" w:rsidP="003D17DF">
      <w:pPr>
        <w:pStyle w:val="Paragrafoelenco"/>
        <w:numPr>
          <w:ilvl w:val="0"/>
          <w:numId w:val="19"/>
        </w:numPr>
        <w:spacing w:before="60"/>
        <w:ind w:left="284" w:hanging="284"/>
        <w:contextualSpacing w:val="0"/>
        <w:rPr>
          <w:rFonts w:eastAsia="Times New Roman" w:cs="Arial"/>
          <w:sz w:val="24"/>
          <w:szCs w:val="24"/>
          <w:lang w:val="it-IT" w:eastAsia="it-IT"/>
        </w:rPr>
      </w:pPr>
      <w:r w:rsidRPr="00A70C24">
        <w:rPr>
          <w:rFonts w:eastAsia="Times New Roman" w:cs="Arial"/>
          <w:sz w:val="24"/>
          <w:szCs w:val="24"/>
          <w:lang w:val="it-IT" w:eastAsia="it-IT"/>
        </w:rPr>
        <w:t xml:space="preserve">avv. Nicola Fornara e avv. </w:t>
      </w:r>
      <w:r w:rsidR="00F274AE" w:rsidRPr="00A70C24">
        <w:rPr>
          <w:rFonts w:eastAsia="Times New Roman" w:cs="Arial"/>
          <w:sz w:val="24"/>
          <w:szCs w:val="24"/>
          <w:lang w:val="it-IT" w:eastAsia="it-IT"/>
        </w:rPr>
        <w:t>Mario Borradori</w:t>
      </w:r>
      <w:r w:rsidRPr="00A70C24">
        <w:rPr>
          <w:rFonts w:eastAsia="Times New Roman" w:cs="Arial"/>
          <w:sz w:val="24"/>
          <w:szCs w:val="24"/>
          <w:lang w:val="it-IT" w:eastAsia="it-IT"/>
        </w:rPr>
        <w:t>, membri supplenti</w:t>
      </w:r>
    </w:p>
    <w:p w:rsidR="00F54625" w:rsidRPr="00F54625" w:rsidRDefault="00F54625" w:rsidP="00F54625">
      <w:pPr>
        <w:rPr>
          <w:rFonts w:cs="Arial"/>
          <w:szCs w:val="24"/>
          <w:highlight w:val="yellow"/>
        </w:rPr>
      </w:pPr>
    </w:p>
    <w:p w:rsidR="00F54625" w:rsidRPr="00F54625" w:rsidRDefault="00F54625" w:rsidP="00F54625">
      <w:pPr>
        <w:rPr>
          <w:rFonts w:cs="Arial"/>
          <w:szCs w:val="24"/>
        </w:rPr>
      </w:pPr>
    </w:p>
    <w:p w:rsidR="00F54625" w:rsidRPr="00F54625" w:rsidRDefault="00F54625" w:rsidP="00F54625">
      <w:pPr>
        <w:rPr>
          <w:rFonts w:cs="Arial"/>
          <w:szCs w:val="24"/>
        </w:rPr>
      </w:pPr>
      <w:r w:rsidRPr="00F54625">
        <w:rPr>
          <w:rFonts w:cs="Arial"/>
          <w:szCs w:val="24"/>
        </w:rPr>
        <w:t>Per l’Ufficio presidenziale:</w:t>
      </w:r>
    </w:p>
    <w:p w:rsidR="00F54625" w:rsidRPr="00F54625" w:rsidRDefault="00F54625" w:rsidP="00F54625">
      <w:pPr>
        <w:spacing w:before="120"/>
        <w:rPr>
          <w:rFonts w:cs="Arial"/>
          <w:szCs w:val="24"/>
        </w:rPr>
      </w:pPr>
      <w:r w:rsidRPr="00F54625">
        <w:rPr>
          <w:rFonts w:cs="Arial"/>
          <w:szCs w:val="24"/>
        </w:rPr>
        <w:t xml:space="preserve">Il Presidente del Gran Consiglio, </w:t>
      </w:r>
      <w:r w:rsidR="000B2B90">
        <w:rPr>
          <w:rFonts w:cs="Arial"/>
          <w:szCs w:val="24"/>
        </w:rPr>
        <w:t>Fabio Schnellmann</w:t>
      </w:r>
    </w:p>
    <w:p w:rsidR="00F54625" w:rsidRPr="00F54625" w:rsidRDefault="00F54625" w:rsidP="00F54625">
      <w:pPr>
        <w:rPr>
          <w:rFonts w:cs="Arial"/>
          <w:szCs w:val="24"/>
        </w:rPr>
      </w:pPr>
      <w:r w:rsidRPr="00F54625">
        <w:rPr>
          <w:rFonts w:cs="Arial"/>
          <w:szCs w:val="24"/>
        </w:rPr>
        <w:t>Il Segretario generale del Gran Consiglio, Tiziano Veronelli</w:t>
      </w:r>
    </w:p>
    <w:p w:rsidR="00F54625" w:rsidRDefault="00F54625" w:rsidP="00F54625">
      <w:pPr>
        <w:rPr>
          <w:rFonts w:cs="Arial"/>
          <w:szCs w:val="24"/>
        </w:rPr>
      </w:pPr>
    </w:p>
    <w:p w:rsidR="00492304" w:rsidRPr="00F54625" w:rsidRDefault="00492304" w:rsidP="00F54625">
      <w:pPr>
        <w:rPr>
          <w:rFonts w:cs="Arial"/>
          <w:szCs w:val="24"/>
        </w:rPr>
      </w:pPr>
    </w:p>
    <w:sectPr w:rsidR="00492304" w:rsidRPr="00F54625" w:rsidSect="00492304">
      <w:headerReference w:type="default" r:id="rId11"/>
      <w:footerReference w:type="default" r:id="rId12"/>
      <w:headerReference w:type="first" r:id="rId13"/>
      <w:footerReference w:type="first" r:id="rId14"/>
      <w:pgSz w:w="11906" w:h="16838" w:code="9"/>
      <w:pgMar w:top="1985" w:right="861" w:bottom="709"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B37" w:rsidRDefault="00721B37" w:rsidP="00F657BF">
      <w:r>
        <w:separator/>
      </w:r>
    </w:p>
  </w:endnote>
  <w:endnote w:type="continuationSeparator" w:id="0">
    <w:p w:rsidR="00721B37" w:rsidRDefault="00721B3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43900" w:rsidP="00912E34">
          <w:pPr>
            <w:tabs>
              <w:tab w:val="center" w:pos="2382"/>
            </w:tabs>
          </w:pPr>
        </w:p>
      </w:tc>
      <w:tc>
        <w:tcPr>
          <w:tcW w:w="721" w:type="dxa"/>
        </w:tcPr>
        <w:p w:rsidR="00912E34" w:rsidRPr="003D1008" w:rsidRDefault="00C4541E" w:rsidP="00912E34">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5"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C4541E" w:rsidP="00912E34">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6"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43900"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4390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B37" w:rsidRDefault="00721B37" w:rsidP="00F657BF">
      <w:r>
        <w:separator/>
      </w:r>
    </w:p>
  </w:footnote>
  <w:footnote w:type="continuationSeparator" w:id="0">
    <w:p w:rsidR="00721B37" w:rsidRDefault="00721B3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C6851064-D49F-4E40-A2A4-7392AE0872A9}"/>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CE054B" w:rsidP="00A532F6">
              <w:pPr>
                <w:pStyle w:val="Page"/>
                <w:rPr>
                  <w:rFonts w:ascii="Gill Alt One MT Light" w:hAnsi="Gill Alt One MT Light"/>
                  <w:sz w:val="16"/>
                  <w:szCs w:val="16"/>
                </w:rPr>
              </w:pPr>
              <w:r>
                <w:rPr>
                  <w:rFonts w:ascii="Gill Alt One MT Light" w:hAnsi="Gill Alt One MT Light"/>
                  <w:sz w:val="16"/>
                  <w:szCs w:val="16"/>
                </w:rPr>
                <w:t>Gran Consiglio</w:t>
              </w:r>
            </w:p>
          </w:tc>
        </w:sdtContent>
      </w:sdt>
      <w:tc>
        <w:tcPr>
          <w:tcW w:w="1710" w:type="dxa"/>
          <w:tcBorders>
            <w:bottom w:val="single" w:sz="4" w:space="0" w:color="auto"/>
          </w:tcBorders>
          <w:vAlign w:val="bottom"/>
        </w:tcPr>
        <w:p w:rsidR="005012EC" w:rsidRPr="004204CB" w:rsidRDefault="00C4541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92304" w:rsidRPr="00492304">
            <w:rPr>
              <w:noProof/>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10761" w:rsidRPr="00D10761">
            <w:rPr>
              <w:noProof/>
            </w:rPr>
            <w:t>1</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6851064-D49F-4E40-A2A4-7392AE0872A9}"/>
          <w:text w:multiLine="1"/>
        </w:sdtPr>
        <w:sdtEndPr/>
        <w:sdtContent>
          <w:tc>
            <w:tcPr>
              <w:tcW w:w="8383" w:type="dxa"/>
              <w:tcBorders>
                <w:left w:val="single" w:sz="4" w:space="0" w:color="auto"/>
              </w:tcBorders>
              <w:tcMar>
                <w:top w:w="0" w:type="dxa"/>
                <w:left w:w="142" w:type="dxa"/>
              </w:tcMar>
            </w:tcPr>
            <w:p w:rsidR="005012EC" w:rsidRPr="00E8185F" w:rsidRDefault="00A2078D" w:rsidP="00020E05">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Rapporto del </w:t>
              </w:r>
              <w:r w:rsidR="00020E05">
                <w:rPr>
                  <w:rFonts w:ascii="Gill Sans Display MT Pro BdCn" w:hAnsi="Gill Sans Display MT Pro BdCn"/>
                  <w:sz w:val="18"/>
                  <w:szCs w:val="18"/>
                </w:rPr>
                <w:t>3 novembre 2025</w:t>
              </w:r>
            </w:p>
          </w:tc>
        </w:sdtContent>
      </w:sdt>
      <w:tc>
        <w:tcPr>
          <w:tcW w:w="1710" w:type="dxa"/>
          <w:tcBorders>
            <w:top w:val="single" w:sz="4" w:space="0" w:color="auto"/>
          </w:tcBorders>
        </w:tcPr>
        <w:p w:rsidR="005012EC" w:rsidRPr="00E043A3" w:rsidRDefault="00D43900" w:rsidP="00662409">
          <w:pPr>
            <w:pStyle w:val="InvisibleLine"/>
            <w:rPr>
              <w:lang w:val="de-DE"/>
            </w:rPr>
          </w:pPr>
        </w:p>
      </w:tc>
    </w:tr>
  </w:tbl>
  <w:p w:rsidR="00F657BF" w:rsidRPr="00980362" w:rsidRDefault="00C4541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6851064-D49F-4E40-A2A4-7392AE0872A9}"/>
                            <w:text w:multiLine="1"/>
                          </w:sdtPr>
                          <w:sdtEndPr/>
                          <w:sdtContent>
                            <w:p w:rsidR="008065E8" w:rsidRPr="00411371" w:rsidRDefault="00C4541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24DE617-E0C3-4273-BF4D-8D6DBA18ABCE}"/>
                      <w:text w:multiLine="1"/>
                    </w:sdtPr>
                    <w:sdtEndPr/>
                    <w:sdtContent>
                      <w:p w:rsidR="008065E8" w:rsidRPr="00411371" w:rsidRDefault="00C4541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D43900" w:rsidP="00D07D6E">
          <w:pPr>
            <w:pStyle w:val="InvisibleLine"/>
            <w:ind w:left="150"/>
            <w:rPr>
              <w:sz w:val="16"/>
            </w:rPr>
          </w:pPr>
        </w:p>
      </w:tc>
      <w:tc>
        <w:tcPr>
          <w:tcW w:w="373" w:type="pct"/>
          <w:tcBorders>
            <w:top w:val="nil"/>
            <w:bottom w:val="single" w:sz="4" w:space="0" w:color="auto"/>
          </w:tcBorders>
          <w:vAlign w:val="bottom"/>
        </w:tcPr>
        <w:p w:rsidR="00662409" w:rsidRPr="003108C0" w:rsidRDefault="00D43900" w:rsidP="00D07D6E">
          <w:pPr>
            <w:pStyle w:val="Level"/>
            <w:ind w:left="150"/>
            <w:rPr>
              <w:sz w:val="16"/>
            </w:rPr>
          </w:pPr>
        </w:p>
      </w:tc>
      <w:tc>
        <w:tcPr>
          <w:tcW w:w="209" w:type="pct"/>
          <w:tcBorders>
            <w:top w:val="nil"/>
            <w:bottom w:val="single" w:sz="4" w:space="0" w:color="auto"/>
          </w:tcBorders>
        </w:tcPr>
        <w:p w:rsidR="00662409" w:rsidRDefault="00C4541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17"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C4541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4390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43900">
            <w:rPr>
              <w:rFonts w:asciiTheme="minorHAnsi" w:hAnsiTheme="minorHAnsi" w:cstheme="minorHAnsi"/>
              <w:noProof/>
              <w:sz w:val="24"/>
            </w:rPr>
            <w:t>1</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6851064-D49F-4E40-A2A4-7392AE0872A9}"/>
          <w:text w:multiLine="1"/>
        </w:sdtPr>
        <w:sdtEndPr/>
        <w:sdtContent>
          <w:tc>
            <w:tcPr>
              <w:tcW w:w="5000" w:type="pct"/>
              <w:gridSpan w:val="6"/>
              <w:tcBorders>
                <w:left w:val="nil"/>
                <w:right w:val="nil"/>
              </w:tcBorders>
              <w:noWrap/>
              <w:tcMar>
                <w:top w:w="0" w:type="dxa"/>
              </w:tcMar>
              <w:vAlign w:val="bottom"/>
            </w:tcPr>
            <w:p w:rsidR="00662409" w:rsidRPr="008C03B5" w:rsidRDefault="00CE054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C4541E"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4390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C4541E"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4390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C4541E"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4390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4390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6851064-D49F-4E40-A2A4-7392AE0872A9}"/>
              <w:text w:multiLine="1"/>
            </w:sdtPr>
            <w:sdtEndPr/>
            <w:sdtContent>
              <w:r w:rsidR="00C4541E" w:rsidRPr="00BE22A2">
                <w:rPr>
                  <w:rFonts w:cstheme="minorHAnsi"/>
                  <w:b/>
                  <w:sz w:val="24"/>
                  <w:szCs w:val="24"/>
                </w:rPr>
                <w:t xml:space="preserve"> </w:t>
              </w:r>
            </w:sdtContent>
          </w:sdt>
        </w:p>
      </w:tc>
      <w:sdt>
        <w:sdtPr>
          <w:rPr>
            <w:sz w:val="24"/>
          </w:rPr>
          <w:alias w:val="DocParam.Date"/>
          <w:id w:val="-464426178"/>
          <w:dataBinding w:xpath="//DateTime[@id='DocParam.Date']" w:storeItemID="{C6851064-D49F-4E40-A2A4-7392AE0872A9}"/>
          <w:date w:fullDate="2025-11-03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56105A" w:rsidP="00F54625">
              <w:pPr>
                <w:pStyle w:val="Data"/>
              </w:pPr>
              <w:r>
                <w:rPr>
                  <w:sz w:val="24"/>
                </w:rPr>
                <w:t>3</w:t>
              </w:r>
              <w:r w:rsidR="00F54625">
                <w:rPr>
                  <w:sz w:val="24"/>
                </w:rPr>
                <w:t xml:space="preserve"> novembre</w:t>
              </w:r>
              <w:r>
                <w:rPr>
                  <w:sz w:val="24"/>
                </w:rPr>
                <w:t xml:space="preserve"> 2025</w:t>
              </w:r>
            </w:p>
          </w:tc>
        </w:sdtContent>
      </w:sdt>
      <w:tc>
        <w:tcPr>
          <w:tcW w:w="3218" w:type="pct"/>
          <w:gridSpan w:val="4"/>
          <w:tcBorders>
            <w:top w:val="nil"/>
            <w:left w:val="nil"/>
            <w:bottom w:val="nil"/>
            <w:right w:val="nil"/>
          </w:tcBorders>
        </w:tcPr>
        <w:p w:rsidR="008C03B5" w:rsidRPr="00BE22A2" w:rsidRDefault="00D4390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6851064-D49F-4E40-A2A4-7392AE0872A9}"/>
              <w:text w:multiLine="1"/>
            </w:sdtPr>
            <w:sdtEndPr/>
            <w:sdtContent>
              <w:r w:rsidR="00CE054B">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43900" w:rsidP="00D07D6E">
          <w:pPr>
            <w:pStyle w:val="Level"/>
            <w:ind w:left="150"/>
            <w:rPr>
              <w:rFonts w:ascii="Gill Alt One MT Light" w:hAnsi="Gill Alt One MT Light"/>
              <w:sz w:val="16"/>
              <w:szCs w:val="16"/>
            </w:rPr>
          </w:pPr>
        </w:p>
      </w:tc>
    </w:tr>
  </w:tbl>
  <w:p w:rsidR="00F657BF" w:rsidRPr="00DA2879" w:rsidRDefault="00C4541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18"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6851064-D49F-4E40-A2A4-7392AE0872A9}"/>
                            <w:text w:multiLine="1"/>
                          </w:sdtPr>
                          <w:sdtEndPr/>
                          <w:sdtContent>
                            <w:p w:rsidR="00E93620" w:rsidRPr="00411371" w:rsidRDefault="00C4541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24DE617-E0C3-4273-BF4D-8D6DBA18ABCE}"/>
                      <w:text w:multiLine="1"/>
                    </w:sdtPr>
                    <w:sdtEndPr/>
                    <w:sdtContent>
                      <w:p w:rsidR="00E93620" w:rsidRPr="00411371" w:rsidRDefault="00C4541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F6B212A"/>
    <w:multiLevelType w:val="hybridMultilevel"/>
    <w:tmpl w:val="7206F1CA"/>
    <w:lvl w:ilvl="0" w:tplc="0810000B">
      <w:start w:val="1"/>
      <w:numFmt w:val="bullet"/>
      <w:lvlText w:val=""/>
      <w:lvlJc w:val="left"/>
      <w:pPr>
        <w:ind w:left="1146" w:hanging="360"/>
      </w:pPr>
      <w:rPr>
        <w:rFonts w:ascii="Wingdings" w:hAnsi="Wingdings"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4F521E1"/>
    <w:multiLevelType w:val="hybridMultilevel"/>
    <w:tmpl w:val="C640027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BC9"/>
    <w:rsid w:val="00003BDF"/>
    <w:rsid w:val="000208C7"/>
    <w:rsid w:val="00020E05"/>
    <w:rsid w:val="00044464"/>
    <w:rsid w:val="0006445C"/>
    <w:rsid w:val="000A4A34"/>
    <w:rsid w:val="000B2B90"/>
    <w:rsid w:val="000F637D"/>
    <w:rsid w:val="001044BB"/>
    <w:rsid w:val="00107B6B"/>
    <w:rsid w:val="00126BCC"/>
    <w:rsid w:val="00153226"/>
    <w:rsid w:val="00154695"/>
    <w:rsid w:val="00154CE3"/>
    <w:rsid w:val="00154FAB"/>
    <w:rsid w:val="001571E2"/>
    <w:rsid w:val="001D2D53"/>
    <w:rsid w:val="00243402"/>
    <w:rsid w:val="00245407"/>
    <w:rsid w:val="002564C3"/>
    <w:rsid w:val="002658B9"/>
    <w:rsid w:val="002B5D9F"/>
    <w:rsid w:val="002D57E6"/>
    <w:rsid w:val="00300B40"/>
    <w:rsid w:val="00356005"/>
    <w:rsid w:val="00390801"/>
    <w:rsid w:val="003B756D"/>
    <w:rsid w:val="003D17DF"/>
    <w:rsid w:val="00403ADB"/>
    <w:rsid w:val="004239AA"/>
    <w:rsid w:val="00445566"/>
    <w:rsid w:val="00486D06"/>
    <w:rsid w:val="00492304"/>
    <w:rsid w:val="004C46AD"/>
    <w:rsid w:val="004E6814"/>
    <w:rsid w:val="00515B8D"/>
    <w:rsid w:val="00520CB7"/>
    <w:rsid w:val="00521D75"/>
    <w:rsid w:val="0056105A"/>
    <w:rsid w:val="00562E21"/>
    <w:rsid w:val="00572FD3"/>
    <w:rsid w:val="00576190"/>
    <w:rsid w:val="00581E68"/>
    <w:rsid w:val="005B18DF"/>
    <w:rsid w:val="005B76AC"/>
    <w:rsid w:val="005D2204"/>
    <w:rsid w:val="00687A16"/>
    <w:rsid w:val="006D79C4"/>
    <w:rsid w:val="006F25E5"/>
    <w:rsid w:val="00721B37"/>
    <w:rsid w:val="00783693"/>
    <w:rsid w:val="00783A9D"/>
    <w:rsid w:val="00791E79"/>
    <w:rsid w:val="007A4894"/>
    <w:rsid w:val="008720C4"/>
    <w:rsid w:val="00877A5F"/>
    <w:rsid w:val="008B5ACC"/>
    <w:rsid w:val="008B5BC9"/>
    <w:rsid w:val="008F52AF"/>
    <w:rsid w:val="00975993"/>
    <w:rsid w:val="009763E9"/>
    <w:rsid w:val="009A0BBC"/>
    <w:rsid w:val="009C5E5A"/>
    <w:rsid w:val="00A174DB"/>
    <w:rsid w:val="00A2078D"/>
    <w:rsid w:val="00A35A95"/>
    <w:rsid w:val="00A70C24"/>
    <w:rsid w:val="00A749B0"/>
    <w:rsid w:val="00A84BBC"/>
    <w:rsid w:val="00AB1386"/>
    <w:rsid w:val="00AB789A"/>
    <w:rsid w:val="00AD7FCE"/>
    <w:rsid w:val="00AF0268"/>
    <w:rsid w:val="00B0153F"/>
    <w:rsid w:val="00B4100F"/>
    <w:rsid w:val="00B71DA2"/>
    <w:rsid w:val="00BB3BD5"/>
    <w:rsid w:val="00BC3831"/>
    <w:rsid w:val="00BD66B3"/>
    <w:rsid w:val="00BF0A1F"/>
    <w:rsid w:val="00C4541E"/>
    <w:rsid w:val="00C974C5"/>
    <w:rsid w:val="00CB31D4"/>
    <w:rsid w:val="00CE054B"/>
    <w:rsid w:val="00CF1956"/>
    <w:rsid w:val="00D10369"/>
    <w:rsid w:val="00D10761"/>
    <w:rsid w:val="00D20CE4"/>
    <w:rsid w:val="00D33940"/>
    <w:rsid w:val="00D344D5"/>
    <w:rsid w:val="00D37D71"/>
    <w:rsid w:val="00D43900"/>
    <w:rsid w:val="00D600FD"/>
    <w:rsid w:val="00D63D2D"/>
    <w:rsid w:val="00D649A8"/>
    <w:rsid w:val="00D70DFB"/>
    <w:rsid w:val="00D921A8"/>
    <w:rsid w:val="00DA1FBB"/>
    <w:rsid w:val="00DA4EAC"/>
    <w:rsid w:val="00E546BA"/>
    <w:rsid w:val="00EB088A"/>
    <w:rsid w:val="00EB7784"/>
    <w:rsid w:val="00EF3C8D"/>
    <w:rsid w:val="00F22B90"/>
    <w:rsid w:val="00F274AE"/>
    <w:rsid w:val="00F44F0B"/>
    <w:rsid w:val="00F54625"/>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B1C2608-DC70-4C51-ABCF-8F670140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B5BC9"/>
    <w:rPr>
      <w:rFonts w:ascii="Arial" w:eastAsia="Times New Roman" w:hAnsi="Arial" w:cs="Times New Roman"/>
      <w:sz w:val="24"/>
      <w:szCs w:val="20"/>
      <w:lang w:val="it-IT" w:eastAsia="it-IT"/>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rFonts w:eastAsiaTheme="minorHAnsi" w:cstheme="minorBidi"/>
      <w:b/>
      <w:sz w:val="22"/>
      <w:szCs w:val="22"/>
      <w:lang w:val="it-CH"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sz w:val="22"/>
      <w:szCs w:val="22"/>
      <w:lang w:val="it-CH" w:eastAsia="en-US"/>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sz w:val="22"/>
      <w:szCs w:val="22"/>
      <w:lang w:val="it-CH" w:eastAsia="en-US"/>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sz w:val="22"/>
      <w:szCs w:val="22"/>
      <w:lang w:val="it-CH" w:eastAsia="en-US"/>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 w:val="22"/>
      <w:szCs w:val="21"/>
      <w:lang w:val="it-CH" w:eastAsia="en-US"/>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 w:val="22"/>
      <w:szCs w:val="21"/>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rFonts w:eastAsiaTheme="minorHAnsi" w:cstheme="minorBidi"/>
      <w:b/>
      <w:sz w:val="22"/>
      <w:szCs w:val="22"/>
      <w:lang w:val="it-CH" w:eastAsia="en-US"/>
    </w:rPr>
  </w:style>
  <w:style w:type="paragraph" w:styleId="Titolo">
    <w:name w:val="Title"/>
    <w:aliases w:val="NotYetCustomized2178"/>
    <w:basedOn w:val="Normale"/>
    <w:next w:val="Normale"/>
    <w:link w:val="TitoloCarattere"/>
    <w:uiPriority w:val="10"/>
    <w:qFormat/>
    <w:rsid w:val="00BC7BF9"/>
    <w:pPr>
      <w:jc w:val="left"/>
    </w:pPr>
    <w:rPr>
      <w:rFonts w:asciiTheme="majorHAnsi" w:eastAsiaTheme="minorHAnsi" w:hAnsiTheme="majorHAnsi" w:cstheme="minorBidi"/>
      <w:b/>
      <w:sz w:val="32"/>
      <w:szCs w:val="22"/>
      <w:lang w:val="it-CH"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eastAsiaTheme="minorHAnsi" w:hAnsiTheme="majorHAnsi" w:cstheme="minorBidi"/>
      <w:b/>
      <w:sz w:val="22"/>
      <w:szCs w:val="22"/>
      <w:lang w:val="it-CH"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rPr>
      <w:rFonts w:eastAsiaTheme="minorHAnsi" w:cstheme="minorBidi"/>
      <w:sz w:val="22"/>
      <w:szCs w:val="22"/>
      <w:lang w:val="it-CH" w:eastAsia="en-US"/>
    </w:rPr>
  </w:style>
  <w:style w:type="paragraph" w:styleId="Paragrafoelenco">
    <w:name w:val="List Paragraph"/>
    <w:basedOn w:val="Normale"/>
    <w:uiPriority w:val="34"/>
    <w:rsid w:val="004D7849"/>
    <w:pPr>
      <w:ind w:left="720"/>
      <w:contextualSpacing/>
    </w:pPr>
    <w:rPr>
      <w:rFonts w:eastAsiaTheme="minorHAnsi" w:cstheme="minorBidi"/>
      <w:sz w:val="22"/>
      <w:szCs w:val="22"/>
      <w:lang w:val="it-CH" w:eastAsia="en-US"/>
    </w:rPr>
  </w:style>
  <w:style w:type="paragraph" w:customStyle="1" w:styleId="ListNumeric">
    <w:name w:val="ListNumeric"/>
    <w:basedOn w:val="Normale"/>
    <w:rsid w:val="008C0661"/>
    <w:pPr>
      <w:numPr>
        <w:numId w:val="7"/>
      </w:numPr>
      <w:contextualSpacing/>
    </w:pPr>
    <w:rPr>
      <w:rFonts w:eastAsiaTheme="minorHAnsi" w:cstheme="minorBidi"/>
      <w:sz w:val="22"/>
      <w:szCs w:val="22"/>
      <w:lang w:val="it-CH" w:eastAsia="en-US"/>
    </w:rPr>
  </w:style>
  <w:style w:type="paragraph" w:customStyle="1" w:styleId="ListLine">
    <w:name w:val="ListLine"/>
    <w:basedOn w:val="Normale"/>
    <w:rsid w:val="008C0661"/>
    <w:pPr>
      <w:numPr>
        <w:numId w:val="6"/>
      </w:numPr>
      <w:contextualSpacing/>
    </w:pPr>
    <w:rPr>
      <w:rFonts w:eastAsiaTheme="minorHAnsi" w:cstheme="minorBidi"/>
      <w:sz w:val="22"/>
      <w:szCs w:val="22"/>
      <w:lang w:val="it-CH" w:eastAsia="en-US"/>
    </w:rPr>
  </w:style>
  <w:style w:type="paragraph" w:customStyle="1" w:styleId="ListBullet">
    <w:name w:val="ListBullet"/>
    <w:basedOn w:val="Normale"/>
    <w:rsid w:val="008C0661"/>
    <w:pPr>
      <w:numPr>
        <w:numId w:val="5"/>
      </w:numPr>
      <w:contextualSpacing/>
    </w:pPr>
    <w:rPr>
      <w:rFonts w:eastAsiaTheme="minorHAnsi" w:cstheme="minorBidi"/>
      <w:sz w:val="22"/>
      <w:szCs w:val="22"/>
      <w:lang w:val="it-CH"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rFonts w:eastAsiaTheme="minorHAnsi" w:cstheme="minorBidi"/>
      <w:b/>
      <w:sz w:val="22"/>
      <w:szCs w:val="22"/>
      <w:lang w:val="it-CH"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rPr>
      <w:rFonts w:eastAsiaTheme="minorHAnsi" w:cstheme="minorBidi"/>
      <w:sz w:val="22"/>
      <w:szCs w:val="22"/>
      <w:lang w:val="it-CH"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rPr>
      <w:rFonts w:eastAsiaTheme="minorHAnsi" w:cstheme="minorBidi"/>
      <w:sz w:val="22"/>
      <w:szCs w:val="22"/>
      <w:lang w:val="it-CH"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rPr>
      <w:rFonts w:eastAsiaTheme="minorHAnsi" w:cstheme="minorBidi"/>
      <w:sz w:val="22"/>
      <w:szCs w:val="22"/>
      <w:lang w:val="it-CH"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rPr>
      <w:rFonts w:eastAsiaTheme="minorHAnsi" w:cstheme="minorBidi"/>
      <w:sz w:val="22"/>
      <w:szCs w:val="22"/>
      <w:lang w:val="it-CH" w:eastAsia="en-US"/>
    </w:rPr>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szCs w:val="22"/>
      <w:lang w:val="it-CH"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rPr>
      <w:rFonts w:eastAsiaTheme="minorHAnsi" w:cstheme="minorBidi"/>
      <w:sz w:val="22"/>
      <w:szCs w:val="22"/>
      <w:lang w:val="it-CH"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rPr>
      <w:rFonts w:eastAsiaTheme="minorHAnsi" w:cstheme="minorBidi"/>
      <w:sz w:val="22"/>
      <w:szCs w:val="22"/>
      <w:lang w:val="it-CH"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eastAsiaTheme="minorHAnsi" w:hAnsi="Gill Sans MT Pro Light" w:cstheme="minorBidi"/>
      <w:sz w:val="16"/>
      <w:szCs w:val="22"/>
      <w:lang w:val="it-CH"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eastAsiaTheme="minorHAnsi" w:hAnsi="Gill Sans Display MT Pro BdCn" w:cstheme="minorBidi"/>
      <w:sz w:val="22"/>
      <w:szCs w:val="22"/>
      <w:lang w:val="it-CH"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rPr>
      <w:rFonts w:eastAsiaTheme="minorHAnsi" w:cstheme="minorBidi"/>
      <w:sz w:val="22"/>
      <w:szCs w:val="22"/>
      <w:lang w:val="it-CH" w:eastAsia="en-US"/>
    </w:rPr>
  </w:style>
  <w:style w:type="paragraph" w:customStyle="1" w:styleId="StandardRisoluzionedelConsigliodiStato">
    <w:name w:val="StandardRisoluzionedelConsigliodiStato"/>
    <w:basedOn w:val="Normale"/>
    <w:qFormat/>
    <w:rsid w:val="00FA1872"/>
    <w:rPr>
      <w:rFonts w:eastAsiaTheme="minorHAnsi" w:cstheme="minorBidi"/>
      <w:szCs w:val="22"/>
      <w:lang w:val="it-CH"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2D57E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57E6"/>
    <w:rPr>
      <w:rFonts w:ascii="Segoe UI" w:eastAsia="Times New Roman"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cf1f59ff-4ed3-4f6f-b5dc-0e1d8499df2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4B52D102-5304-4587-9C6F-C95DC6799AF0}">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C6851064-D49F-4E40-A2A4-7392AE0872A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cf1f59ff-4ed3-4f6f-b5dc-0e1d8499df29.dotx</Template>
  <TotalTime>6</TotalTime>
  <Pages>1</Pages>
  <Words>356</Words>
  <Characters>2043</Characters>
  <Application>Microsoft Office Word</Application>
  <DocSecurity>0</DocSecurity>
  <Lines>45</Lines>
  <Paragraphs>15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Venturi Luca</cp:lastModifiedBy>
  <cp:revision>23</cp:revision>
  <cp:lastPrinted>2025-11-03T12:28:00Z</cp:lastPrinted>
  <dcterms:created xsi:type="dcterms:W3CDTF">2025-11-03T08:23:00Z</dcterms:created>
  <dcterms:modified xsi:type="dcterms:W3CDTF">2025-11-03T12:51:00Z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