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644F98" w:rsidRDefault="00644F98">
      <w:pPr>
        <w:rPr>
          <w:rFonts w:ascii="Gill Sans MT" w:hAnsi="Gill Sans MT"/>
          <w:b/>
          <w:sz w:val="52"/>
          <w:szCs w:val="52"/>
        </w:rPr>
      </w:pPr>
      <w:r w:rsidRPr="00644F98">
        <w:rPr>
          <w:rFonts w:ascii="Gill Sans MT" w:hAnsi="Gill Sans MT"/>
          <w:b/>
          <w:sz w:val="52"/>
          <w:szCs w:val="52"/>
        </w:rPr>
        <w:t>Messaggio</w:t>
      </w:r>
    </w:p>
    <w:p w:rsidR="00BF3FC3" w:rsidRDefault="00BF3FC3"/>
    <w:p w:rsidR="00DF434B" w:rsidRDefault="00DF434B">
      <w:bookmarkStart w:id="0" w:name="_GoBack"/>
      <w:bookmarkEnd w:id="0"/>
    </w:p>
    <w:p w:rsidR="00BF3FC3" w:rsidRDefault="00BF3FC3"/>
    <w:p w:rsidR="00BF3FC3" w:rsidRDefault="00FC562F">
      <w:pPr>
        <w:tabs>
          <w:tab w:val="left" w:pos="2098"/>
          <w:tab w:val="left" w:pos="4933"/>
        </w:tabs>
      </w:pPr>
      <w:r>
        <w:rPr>
          <w:b/>
          <w:sz w:val="32"/>
        </w:rPr>
        <w:t>7788</w:t>
      </w:r>
      <w:r w:rsidR="00BF3FC3">
        <w:rPr>
          <w:sz w:val="28"/>
        </w:rPr>
        <w:tab/>
      </w:r>
      <w:r>
        <w:rPr>
          <w:sz w:val="28"/>
        </w:rPr>
        <w:t>5 febbraio 2020</w:t>
      </w:r>
      <w:r w:rsidR="00BF3FC3">
        <w:rPr>
          <w:sz w:val="28"/>
        </w:rPr>
        <w:tab/>
      </w:r>
      <w:r>
        <w:rPr>
          <w:sz w:val="28"/>
        </w:rPr>
        <w:t>ISTITUZIONI</w:t>
      </w:r>
    </w:p>
    <w:p w:rsidR="00BF3FC3" w:rsidRDefault="00BF3FC3"/>
    <w:p w:rsidR="00FD5A47" w:rsidRDefault="00FD5A47"/>
    <w:p w:rsidR="00BF3FC3" w:rsidRDefault="00BF3FC3"/>
    <w:p w:rsidR="00FC562F" w:rsidRPr="00FC562F" w:rsidRDefault="00FC562F" w:rsidP="00FC562F">
      <w:pPr>
        <w:rPr>
          <w:b/>
          <w:sz w:val="28"/>
          <w:szCs w:val="28"/>
        </w:rPr>
      </w:pPr>
      <w:r w:rsidRPr="00FC562F">
        <w:rPr>
          <w:b/>
          <w:sz w:val="28"/>
          <w:szCs w:val="28"/>
        </w:rPr>
        <w:t>Rapporto del Consiglio di Stato sulla mozione 5 novembre 2018 presentata da Alex Farinelli per il Gruppo PLR “Affinché tutti rispettino le regole: avviare un progetto per una lotta efficace agli abusi nell’ambito delle società bucalettere”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034604" w:rsidRDefault="00034604" w:rsidP="00034604">
      <w:r>
        <w:rPr>
          <w:rFonts w:eastAsia="Calibri" w:cs="Arial"/>
          <w:lang w:eastAsia="en-US"/>
        </w:rPr>
        <w:t>c</w:t>
      </w:r>
      <w:r w:rsidRPr="000F633A">
        <w:rPr>
          <w:rFonts w:eastAsia="Calibri" w:cs="Arial"/>
          <w:lang w:val="it-CH" w:eastAsia="en-US"/>
        </w:rPr>
        <w:t>on</w:t>
      </w:r>
      <w:r>
        <w:rPr>
          <w:rFonts w:eastAsia="Calibri" w:cs="Arial"/>
          <w:lang w:val="it-CH" w:eastAsia="en-US"/>
        </w:rPr>
        <w:t xml:space="preserve"> la mozione di cui a margine, si</w:t>
      </w:r>
      <w:r w:rsidRPr="000F633A">
        <w:rPr>
          <w:rFonts w:eastAsia="Calibri" w:cs="Arial"/>
          <w:lang w:val="it-CH" w:eastAsia="en-US"/>
        </w:rPr>
        <w:t xml:space="preserve"> propone di elaborare un nuovo progetto per una lotta più efficace contro le cosiddette “società bucalettere” e in particolare una strategia che coinvolga i diversi attor</w:t>
      </w:r>
      <w:r>
        <w:rPr>
          <w:rFonts w:eastAsia="Calibri" w:cs="Arial"/>
          <w:lang w:val="it-CH" w:eastAsia="en-US"/>
        </w:rPr>
        <w:t>i interessati, tra cui anche i C</w:t>
      </w:r>
      <w:r w:rsidRPr="000F633A">
        <w:rPr>
          <w:rFonts w:eastAsia="Calibri" w:cs="Arial"/>
          <w:lang w:val="it-CH" w:eastAsia="en-US"/>
        </w:rPr>
        <w:t>omuni.</w:t>
      </w:r>
      <w:r>
        <w:rPr>
          <w:rFonts w:eastAsia="Calibri" w:cs="Arial"/>
          <w:lang w:val="it-CH" w:eastAsia="en-US"/>
        </w:rPr>
        <w:t xml:space="preserve"> Di seguito </w:t>
      </w:r>
      <w:r>
        <w:t>esprimiamo le nostre considerazioni.</w:t>
      </w:r>
    </w:p>
    <w:p w:rsidR="00034604" w:rsidRDefault="00034604" w:rsidP="00034604"/>
    <w:p w:rsidR="00FC562F" w:rsidRDefault="00FC562F" w:rsidP="00034604"/>
    <w:p w:rsidR="00034604" w:rsidRPr="008F2975" w:rsidRDefault="00034604" w:rsidP="00034604">
      <w:pPr>
        <w:rPr>
          <w:rFonts w:eastAsia="Calibri" w:cs="Arial"/>
          <w:lang w:val="it-CH" w:eastAsia="en-US"/>
        </w:rPr>
      </w:pPr>
    </w:p>
    <w:p w:rsidR="00034604" w:rsidRPr="002A2486" w:rsidRDefault="00034604" w:rsidP="00FC562F">
      <w:pPr>
        <w:pStyle w:val="Titolo1"/>
      </w:pPr>
      <w:r w:rsidRPr="00341E0F">
        <w:t>I.</w:t>
      </w:r>
      <w:r w:rsidRPr="00341E0F">
        <w:tab/>
      </w:r>
      <w:r>
        <w:t>IN GENERALE</w:t>
      </w:r>
    </w:p>
    <w:p w:rsidR="00034604" w:rsidRDefault="00034604" w:rsidP="00034604">
      <w:pPr>
        <w:rPr>
          <w:rFonts w:eastAsia="Calibri" w:cs="Arial"/>
          <w:lang w:val="it-CH" w:eastAsia="en-US"/>
        </w:rPr>
      </w:pPr>
      <w:r w:rsidRPr="000F633A">
        <w:rPr>
          <w:rFonts w:eastAsia="Calibri" w:cs="Arial"/>
          <w:lang w:val="it-CH" w:eastAsia="en-US"/>
        </w:rPr>
        <w:t>Il fenomeno delle società bucalettere riguarda quelle società che sono attive nella gestione patrimoniale e che, non disponendo di uffici propri, non sono facilmente rintracciabili, ma che possono celare attività illecite come la truffa o il riciclaggio di denaro. Trattasi anche di società che cercano in questo modo di ottenere privilegi e sussidi dallo Stato o pilotare il fallimento per poi riprendere l’attività con altro nome.</w:t>
      </w:r>
    </w:p>
    <w:p w:rsidR="00034604" w:rsidRPr="000F633A" w:rsidRDefault="00034604" w:rsidP="00034604">
      <w:pPr>
        <w:rPr>
          <w:rFonts w:eastAsia="Calibri" w:cs="Arial"/>
          <w:lang w:val="it-CH" w:eastAsia="en-US"/>
        </w:rPr>
      </w:pPr>
    </w:p>
    <w:p w:rsidR="00034604" w:rsidRDefault="00034604" w:rsidP="00FC562F">
      <w:pPr>
        <w:rPr>
          <w:rFonts w:eastAsia="Calibri"/>
          <w:lang w:val="it-CH" w:eastAsia="en-US"/>
        </w:rPr>
      </w:pPr>
      <w:r w:rsidRPr="000F633A">
        <w:rPr>
          <w:rFonts w:eastAsia="Calibri"/>
          <w:lang w:val="it-CH" w:eastAsia="en-US"/>
        </w:rPr>
        <w:t>Ad oggi non esistono statistiche e neppure valutazioni di massima sull’ampiezza del fenomeno, che</w:t>
      </w:r>
      <w:r>
        <w:rPr>
          <w:rFonts w:eastAsia="Calibri"/>
          <w:lang w:val="it-CH" w:eastAsia="en-US"/>
        </w:rPr>
        <w:t xml:space="preserve"> comunque desta preoccupazione</w:t>
      </w:r>
      <w:r w:rsidRPr="000F633A">
        <w:rPr>
          <w:rFonts w:eastAsia="Calibri"/>
          <w:lang w:val="it-CH" w:eastAsia="en-US"/>
        </w:rPr>
        <w:t>. Infatti, il Consiglio di Stato è già stato interpellato in più occ</w:t>
      </w:r>
      <w:r>
        <w:rPr>
          <w:rFonts w:eastAsia="Calibri"/>
          <w:lang w:val="it-CH" w:eastAsia="en-US"/>
        </w:rPr>
        <w:t xml:space="preserve">asioni sulla tematica, e meglio: </w:t>
      </w:r>
    </w:p>
    <w:p w:rsidR="00034604" w:rsidRPr="000F633A" w:rsidRDefault="00034604" w:rsidP="00FC562F">
      <w:pPr>
        <w:numPr>
          <w:ilvl w:val="0"/>
          <w:numId w:val="20"/>
        </w:numPr>
        <w:tabs>
          <w:tab w:val="left" w:pos="284"/>
        </w:tabs>
        <w:spacing w:before="80"/>
        <w:ind w:left="284" w:hanging="284"/>
        <w:rPr>
          <w:rFonts w:eastAsia="Calibri" w:cs="Arial"/>
          <w:lang w:val="it-CH" w:eastAsia="en-US"/>
        </w:rPr>
      </w:pPr>
      <w:r>
        <w:rPr>
          <w:rFonts w:eastAsia="Calibri" w:cs="Arial"/>
          <w:lang w:val="it-CH" w:eastAsia="en-US"/>
        </w:rPr>
        <w:t xml:space="preserve">risposta </w:t>
      </w:r>
      <w:r w:rsidRPr="000F633A">
        <w:rPr>
          <w:rFonts w:eastAsia="Calibri" w:cs="Arial"/>
          <w:lang w:val="it-CH" w:eastAsia="en-US"/>
        </w:rPr>
        <w:t>de</w:t>
      </w:r>
      <w:r>
        <w:rPr>
          <w:rFonts w:eastAsia="Calibri" w:cs="Arial"/>
          <w:lang w:val="it-CH" w:eastAsia="en-US"/>
        </w:rPr>
        <w:t xml:space="preserve">l 1° febbraio 2017 </w:t>
      </w:r>
      <w:r w:rsidRPr="000F633A">
        <w:rPr>
          <w:rFonts w:eastAsia="Calibri" w:cs="Arial"/>
          <w:lang w:val="it-CH" w:eastAsia="en-US"/>
        </w:rPr>
        <w:t>all’interrogazione n. 176.16 “Ticino terra di bucalettere e aziende fantasma?”</w:t>
      </w:r>
      <w:r>
        <w:rPr>
          <w:rFonts w:eastAsia="Calibri" w:cs="Arial"/>
          <w:lang w:val="it-CH" w:eastAsia="en-US"/>
        </w:rPr>
        <w:t>;</w:t>
      </w:r>
    </w:p>
    <w:p w:rsidR="00034604" w:rsidRPr="000F633A" w:rsidRDefault="00034604" w:rsidP="00FC562F">
      <w:pPr>
        <w:numPr>
          <w:ilvl w:val="0"/>
          <w:numId w:val="20"/>
        </w:numPr>
        <w:tabs>
          <w:tab w:val="left" w:pos="284"/>
        </w:tabs>
        <w:spacing w:before="80"/>
        <w:ind w:left="284" w:hanging="284"/>
        <w:rPr>
          <w:rFonts w:eastAsia="Calibri" w:cs="Arial"/>
          <w:lang w:val="it-CH" w:eastAsia="en-US"/>
        </w:rPr>
      </w:pPr>
      <w:r>
        <w:rPr>
          <w:rFonts w:eastAsia="Calibri" w:cs="Arial"/>
          <w:lang w:val="it-CH" w:eastAsia="en-US"/>
        </w:rPr>
        <w:t>m</w:t>
      </w:r>
      <w:r w:rsidRPr="000F633A">
        <w:rPr>
          <w:rFonts w:eastAsia="Calibri" w:cs="Arial"/>
          <w:lang w:val="it-CH" w:eastAsia="en-US"/>
        </w:rPr>
        <w:t>essaggio n. 7459 del 15 novembre 2017 in risposta alla mozione “Criminalità organizzata: il Ticino non venga lasciato solo!”</w:t>
      </w:r>
      <w:r>
        <w:rPr>
          <w:rFonts w:eastAsia="Calibri" w:cs="Arial"/>
          <w:lang w:val="it-CH" w:eastAsia="en-US"/>
        </w:rPr>
        <w:t>;</w:t>
      </w:r>
    </w:p>
    <w:p w:rsidR="00034604" w:rsidRDefault="00034604" w:rsidP="00FC562F">
      <w:pPr>
        <w:numPr>
          <w:ilvl w:val="0"/>
          <w:numId w:val="20"/>
        </w:numPr>
        <w:tabs>
          <w:tab w:val="left" w:pos="284"/>
        </w:tabs>
        <w:spacing w:before="80"/>
        <w:ind w:left="284" w:hanging="284"/>
        <w:rPr>
          <w:rFonts w:eastAsia="Calibri" w:cs="Arial"/>
          <w:lang w:val="it-CH" w:eastAsia="en-US"/>
        </w:rPr>
      </w:pPr>
      <w:r>
        <w:rPr>
          <w:rFonts w:eastAsia="Calibri" w:cs="Arial"/>
          <w:lang w:val="it-CH" w:eastAsia="en-US"/>
        </w:rPr>
        <w:t xml:space="preserve">risposta dell’11 luglio 2018 </w:t>
      </w:r>
      <w:r w:rsidRPr="000F633A">
        <w:rPr>
          <w:rFonts w:eastAsia="Calibri" w:cs="Arial"/>
          <w:lang w:val="it-CH" w:eastAsia="en-US"/>
        </w:rPr>
        <w:t>all’interrogazione</w:t>
      </w:r>
      <w:r>
        <w:rPr>
          <w:rFonts w:eastAsia="Calibri" w:cs="Arial"/>
          <w:lang w:val="it-CH" w:eastAsia="en-US"/>
        </w:rPr>
        <w:t xml:space="preserve"> n. 14.18</w:t>
      </w:r>
      <w:r w:rsidRPr="000F633A">
        <w:rPr>
          <w:rFonts w:eastAsia="Calibri" w:cs="Arial"/>
          <w:lang w:val="it-CH" w:eastAsia="en-US"/>
        </w:rPr>
        <w:t xml:space="preserve"> “Ticino e Grigioni – uniti o disuniti sulle società bucalettere nel Moesano?”</w:t>
      </w:r>
      <w:r>
        <w:rPr>
          <w:rFonts w:eastAsia="Calibri" w:cs="Arial"/>
          <w:lang w:val="it-CH" w:eastAsia="en-US"/>
        </w:rPr>
        <w:t>.</w:t>
      </w:r>
    </w:p>
    <w:p w:rsidR="00034604" w:rsidRDefault="00034604" w:rsidP="00034604">
      <w:pPr>
        <w:contextualSpacing/>
        <w:jc w:val="left"/>
        <w:rPr>
          <w:rFonts w:eastAsia="Calibri" w:cs="Arial"/>
          <w:lang w:val="it-CH" w:eastAsia="en-US"/>
        </w:rPr>
      </w:pPr>
    </w:p>
    <w:p w:rsidR="00034604" w:rsidRDefault="00034604" w:rsidP="00034604">
      <w:pPr>
        <w:contextualSpacing/>
        <w:jc w:val="left"/>
        <w:rPr>
          <w:rFonts w:eastAsia="Calibri" w:cs="Arial"/>
          <w:lang w:val="it-CH" w:eastAsia="en-US"/>
        </w:rPr>
      </w:pPr>
      <w:r w:rsidRPr="008F2975">
        <w:rPr>
          <w:rFonts w:eastAsia="Calibri" w:cs="Arial"/>
          <w:lang w:val="it-CH" w:eastAsia="en-US"/>
        </w:rPr>
        <w:t>A livello federale, va in particolare segnalato il parere del Consiglio federale del 15 agosto 2018 all’interpellanza Merlini, di cui si dirà più avanti.</w:t>
      </w:r>
    </w:p>
    <w:p w:rsidR="00034604" w:rsidRDefault="00034604" w:rsidP="00034604">
      <w:pPr>
        <w:contextualSpacing/>
        <w:jc w:val="left"/>
        <w:rPr>
          <w:rFonts w:eastAsia="Calibri" w:cs="Arial"/>
          <w:lang w:val="it-CH" w:eastAsia="en-US"/>
        </w:rPr>
      </w:pPr>
    </w:p>
    <w:p w:rsidR="00FC562F" w:rsidRDefault="00FC562F" w:rsidP="00034604">
      <w:pPr>
        <w:contextualSpacing/>
        <w:jc w:val="left"/>
        <w:rPr>
          <w:rFonts w:eastAsia="Calibri" w:cs="Arial"/>
          <w:lang w:val="it-CH" w:eastAsia="en-US"/>
        </w:rPr>
      </w:pPr>
    </w:p>
    <w:p w:rsidR="00034604" w:rsidRPr="008F2975" w:rsidRDefault="00034604" w:rsidP="00034604">
      <w:pPr>
        <w:contextualSpacing/>
        <w:jc w:val="left"/>
        <w:rPr>
          <w:rFonts w:eastAsia="Calibri" w:cs="Arial"/>
          <w:lang w:val="it-CH" w:eastAsia="en-US"/>
        </w:rPr>
      </w:pPr>
    </w:p>
    <w:p w:rsidR="00034604" w:rsidRPr="002A2486" w:rsidRDefault="00034604" w:rsidP="00FC562F">
      <w:pPr>
        <w:pStyle w:val="Titolo1"/>
      </w:pPr>
      <w:r w:rsidRPr="00341E0F">
        <w:lastRenderedPageBreak/>
        <w:t>I</w:t>
      </w:r>
      <w:r>
        <w:t>I</w:t>
      </w:r>
      <w:r w:rsidRPr="00341E0F">
        <w:t>.</w:t>
      </w:r>
      <w:r w:rsidRPr="00341E0F">
        <w:tab/>
      </w:r>
      <w:r>
        <w:t>CONSIDERAZIONI DEL CONSIGLIO DI STATO</w:t>
      </w:r>
    </w:p>
    <w:p w:rsidR="00034604" w:rsidRPr="002A2486" w:rsidRDefault="00034604" w:rsidP="00FC562F">
      <w:pPr>
        <w:pStyle w:val="Titolo2"/>
      </w:pPr>
      <w:r w:rsidRPr="002A2486">
        <w:t>1.</w:t>
      </w:r>
      <w:r w:rsidRPr="002A2486">
        <w:tab/>
      </w:r>
      <w:r>
        <w:t>Competenze degli Uffici del registro di commercio alla luce del diritto federale</w:t>
      </w:r>
    </w:p>
    <w:p w:rsidR="00034604" w:rsidRDefault="00034604" w:rsidP="00034604">
      <w:pPr>
        <w:rPr>
          <w:rFonts w:cs="Arial"/>
        </w:rPr>
      </w:pPr>
      <w:r>
        <w:rPr>
          <w:rFonts w:cs="Arial"/>
        </w:rPr>
        <w:t xml:space="preserve">Il diritto federale prevede nell’Ordinanza sul registro di commercio (ORC) i requisiti e le formalità da espletare per le iscrizioni nel registro di commercio. Secondo l’art. 117 cpv. 2 ORC, ogni ente giuridico che intende farsi iscrivere nel registro di commercio deve indicare </w:t>
      </w:r>
      <w:r w:rsidRPr="00DF2BC7">
        <w:rPr>
          <w:rFonts w:cs="Arial"/>
        </w:rPr>
        <w:t>un domicilio legale</w:t>
      </w:r>
      <w:r>
        <w:rPr>
          <w:rFonts w:cs="Arial"/>
        </w:rPr>
        <w:t>, ovvero l’indirizzo del luogo della sede presso il quale esso</w:t>
      </w:r>
      <w:r w:rsidR="00FC562F">
        <w:rPr>
          <w:rFonts w:cs="Arial"/>
        </w:rPr>
        <w:t xml:space="preserve"> </w:t>
      </w:r>
      <w:r>
        <w:rPr>
          <w:rFonts w:cs="Arial"/>
        </w:rPr>
        <w:br/>
        <w:t xml:space="preserve">è raggiungibile (art. 2 lett. c ORC). </w:t>
      </w:r>
      <w:r w:rsidRPr="001D4A19">
        <w:rPr>
          <w:rFonts w:cs="Arial"/>
        </w:rPr>
        <w:t>Secondo la Comunicazione UFRC 2/15 del</w:t>
      </w:r>
      <w:r w:rsidR="00FC562F">
        <w:rPr>
          <w:rFonts w:cs="Arial"/>
        </w:rPr>
        <w:t xml:space="preserve"> </w:t>
      </w:r>
      <w:r>
        <w:rPr>
          <w:rFonts w:cs="Arial"/>
        </w:rPr>
        <w:br/>
      </w:r>
      <w:r w:rsidRPr="001D4A19">
        <w:rPr>
          <w:rFonts w:cs="Arial"/>
        </w:rPr>
        <w:t xml:space="preserve">30 novembre 2015, l’ente giuridico deve garantire un’offerta di prestazioni amministrative, indipendentemente dal fatto che disponga di un domicilio legale o di un indirizzo c/o concessogli da un domiciliatario. L’ente giuridico deve essere fisicamente raggiungibile dalle autorità e dai clienti; una semplice cassetta delle lettere </w:t>
      </w:r>
      <w:r>
        <w:rPr>
          <w:rFonts w:cs="Arial"/>
        </w:rPr>
        <w:t>non basta</w:t>
      </w:r>
      <w:r w:rsidRPr="001D4A19">
        <w:rPr>
          <w:rFonts w:cs="Arial"/>
        </w:rPr>
        <w:t xml:space="preserve"> come domicilio legale o recapito del domiciliatario.</w:t>
      </w:r>
      <w:r>
        <w:rPr>
          <w:rFonts w:cs="Arial"/>
        </w:rPr>
        <w:t xml:space="preserve"> </w:t>
      </w:r>
    </w:p>
    <w:p w:rsidR="00034604" w:rsidRPr="00FC562F" w:rsidRDefault="00034604" w:rsidP="00034604">
      <w:pPr>
        <w:rPr>
          <w:rFonts w:cs="Arial"/>
          <w:sz w:val="16"/>
          <w:szCs w:val="16"/>
        </w:rPr>
      </w:pPr>
    </w:p>
    <w:p w:rsidR="00034604" w:rsidRDefault="00034604" w:rsidP="00034604">
      <w:pPr>
        <w:rPr>
          <w:rFonts w:cs="Arial"/>
        </w:rPr>
      </w:pPr>
      <w:r w:rsidRPr="00303B5E">
        <w:rPr>
          <w:rFonts w:cs="Arial"/>
        </w:rPr>
        <w:t xml:space="preserve">Per quanto </w:t>
      </w:r>
      <w:r>
        <w:rPr>
          <w:rFonts w:cs="Arial"/>
        </w:rPr>
        <w:t>attiene ai</w:t>
      </w:r>
      <w:r w:rsidRPr="00303B5E">
        <w:rPr>
          <w:rFonts w:cs="Arial"/>
        </w:rPr>
        <w:t xml:space="preserve"> </w:t>
      </w:r>
      <w:r>
        <w:rPr>
          <w:rFonts w:cs="Arial"/>
        </w:rPr>
        <w:t xml:space="preserve">vari </w:t>
      </w:r>
      <w:r w:rsidRPr="00303B5E">
        <w:rPr>
          <w:rFonts w:cs="Arial"/>
        </w:rPr>
        <w:t xml:space="preserve">controlli effettuati </w:t>
      </w:r>
      <w:r>
        <w:rPr>
          <w:rFonts w:cs="Arial"/>
        </w:rPr>
        <w:t>dall’Ufficio del registro di commercio</w:t>
      </w:r>
      <w:r w:rsidRPr="00303B5E">
        <w:rPr>
          <w:rFonts w:cs="Arial"/>
        </w:rPr>
        <w:t>, si rimanda a quanto esposto nel</w:t>
      </w:r>
      <w:r>
        <w:rPr>
          <w:rFonts w:cs="Arial"/>
        </w:rPr>
        <w:t>la risposta</w:t>
      </w:r>
      <w:r w:rsidRPr="00303B5E">
        <w:rPr>
          <w:rFonts w:cs="Arial"/>
        </w:rPr>
        <w:t xml:space="preserve"> 1° febbraio 2017 all’interrogazio</w:t>
      </w:r>
      <w:r>
        <w:rPr>
          <w:rFonts w:cs="Arial"/>
        </w:rPr>
        <w:t>ne n. 176.16 citata</w:t>
      </w:r>
      <w:r w:rsidRPr="00303B5E">
        <w:rPr>
          <w:rFonts w:cs="Arial"/>
        </w:rPr>
        <w:t>.</w:t>
      </w:r>
      <w:r>
        <w:rPr>
          <w:rFonts w:cs="Arial"/>
        </w:rPr>
        <w:t xml:space="preserve"> Di principio, al momento della notificazione di una nuova iscrizione di un ente giuridico, l’Ufficio del registro di commercio non richiede documenti giustificativi, basandosi unicamente su quanto indicato nella notificazione di iscrizione. </w:t>
      </w:r>
      <w:r w:rsidRPr="00303B5E">
        <w:rPr>
          <w:rFonts w:cs="Arial"/>
        </w:rPr>
        <w:t xml:space="preserve">Il </w:t>
      </w:r>
      <w:r>
        <w:rPr>
          <w:rFonts w:cs="Arial"/>
        </w:rPr>
        <w:t xml:space="preserve">suo potere di esame </w:t>
      </w:r>
      <w:r w:rsidRPr="00303B5E">
        <w:rPr>
          <w:rFonts w:cs="Arial"/>
        </w:rPr>
        <w:t xml:space="preserve">è </w:t>
      </w:r>
      <w:r>
        <w:rPr>
          <w:rFonts w:cs="Arial"/>
        </w:rPr>
        <w:t xml:space="preserve">difatti </w:t>
      </w:r>
      <w:r w:rsidRPr="00303B5E">
        <w:rPr>
          <w:rFonts w:cs="Arial"/>
        </w:rPr>
        <w:t>di</w:t>
      </w:r>
      <w:r>
        <w:rPr>
          <w:rFonts w:cs="Arial"/>
        </w:rPr>
        <w:t xml:space="preserve"> mero</w:t>
      </w:r>
      <w:r w:rsidRPr="00303B5E">
        <w:rPr>
          <w:rFonts w:cs="Arial"/>
        </w:rPr>
        <w:t xml:space="preserve"> carattere formale, volto cioè a verificare l’adempimento delle condizioni di iscrivibilità previste dall’</w:t>
      </w:r>
      <w:r>
        <w:rPr>
          <w:rFonts w:cs="Arial"/>
        </w:rPr>
        <w:t>ORC. L’U</w:t>
      </w:r>
      <w:r w:rsidRPr="00303B5E">
        <w:rPr>
          <w:rFonts w:cs="Arial"/>
        </w:rPr>
        <w:t>f</w:t>
      </w:r>
      <w:r>
        <w:rPr>
          <w:rFonts w:cs="Arial"/>
        </w:rPr>
        <w:t xml:space="preserve">ficio iscrive quindi la sede e </w:t>
      </w:r>
      <w:r w:rsidRPr="00303B5E">
        <w:rPr>
          <w:rFonts w:cs="Arial"/>
        </w:rPr>
        <w:t>il domicilio sulla base della notificazione e, in caso di concreti indizi di abuso, procede alla relativa segnalazione al Ministero pubblico.</w:t>
      </w:r>
      <w:r>
        <w:rPr>
          <w:rFonts w:cs="Arial"/>
        </w:rPr>
        <w:t xml:space="preserve"> A norma dell’art. 26 ORC, le iscrizioni contenute nel registro di commercio devono essere conformi alla verità </w:t>
      </w:r>
      <w:r w:rsidRPr="00C45D40">
        <w:rPr>
          <w:rFonts w:cs="Arial"/>
        </w:rPr>
        <w:t>e tali da non trarre in inganno né da ledere alcun interesse pubblico.</w:t>
      </w:r>
      <w:r>
        <w:rPr>
          <w:rFonts w:cs="Arial"/>
        </w:rPr>
        <w:t xml:space="preserve"> Qualora le indicazioni contenute nella notificazione di iscrizione non siano veritiere, la persona che l’ha sottoscritta può incorrere in una violazione degli artt. 153, 251 e 253 del Codice penale. </w:t>
      </w:r>
    </w:p>
    <w:p w:rsidR="00034604" w:rsidRPr="00FC562F" w:rsidRDefault="00034604" w:rsidP="00034604">
      <w:pPr>
        <w:rPr>
          <w:rFonts w:cs="Arial"/>
          <w:sz w:val="16"/>
          <w:szCs w:val="16"/>
        </w:rPr>
      </w:pPr>
    </w:p>
    <w:p w:rsidR="00034604" w:rsidRDefault="00034604" w:rsidP="00034604">
      <w:pPr>
        <w:rPr>
          <w:rFonts w:cs="Arial"/>
        </w:rPr>
      </w:pPr>
      <w:r>
        <w:rPr>
          <w:rFonts w:cs="Arial"/>
        </w:rPr>
        <w:t>Secondo la dottrina, gli Uffici del registro di commercio hanno la facoltà, sulla base</w:t>
      </w:r>
      <w:r>
        <w:rPr>
          <w:rFonts w:cs="Arial"/>
        </w:rPr>
        <w:br/>
        <w:t xml:space="preserve">dell’art. 26 ORC, di esigere la produzione di un estratto del registro fondiario o del contratto di locazione, qualora sussistano fondati dubbi sul fatto che l’ente giuridico disponga concretamente di uffici propri all’indirizzo notificato come domicilio legale. L’Ufficio del registro di commercio del Canton Ticino, per prassi, </w:t>
      </w:r>
      <w:r w:rsidRPr="00F745AF">
        <w:rPr>
          <w:rFonts w:cs="Arial"/>
        </w:rPr>
        <w:t>richiede sempre una copia del contratto di locaz</w:t>
      </w:r>
      <w:r>
        <w:rPr>
          <w:rFonts w:cs="Arial"/>
        </w:rPr>
        <w:t>ione per le imprese individuali</w:t>
      </w:r>
      <w:r w:rsidRPr="00F745AF">
        <w:rPr>
          <w:rFonts w:cs="Arial"/>
        </w:rPr>
        <w:t xml:space="preserve"> il cui titolare è un</w:t>
      </w:r>
      <w:r>
        <w:rPr>
          <w:rFonts w:cs="Arial"/>
        </w:rPr>
        <w:t>a persona residente all’estero.</w:t>
      </w:r>
    </w:p>
    <w:p w:rsidR="00034604" w:rsidRPr="00FC562F" w:rsidRDefault="00034604" w:rsidP="00034604">
      <w:pPr>
        <w:rPr>
          <w:rFonts w:cs="Arial"/>
          <w:sz w:val="16"/>
          <w:szCs w:val="16"/>
        </w:rPr>
      </w:pPr>
    </w:p>
    <w:p w:rsidR="00034604" w:rsidRPr="002D6406" w:rsidRDefault="00034604" w:rsidP="00034604">
      <w:pPr>
        <w:rPr>
          <w:rFonts w:cs="Arial"/>
        </w:rPr>
      </w:pPr>
      <w:r>
        <w:rPr>
          <w:rFonts w:cs="Arial"/>
        </w:rPr>
        <w:t xml:space="preserve">Sia i Comuni che altre autorità amministrative (per es. </w:t>
      </w:r>
      <w:r w:rsidRPr="008C0666">
        <w:rPr>
          <w:rFonts w:cs="Arial"/>
        </w:rPr>
        <w:t xml:space="preserve">l’Ufficio dell’Ispettorato del lavoro, l’Ufficio </w:t>
      </w:r>
      <w:r>
        <w:rPr>
          <w:rFonts w:cs="Arial"/>
        </w:rPr>
        <w:t xml:space="preserve">di </w:t>
      </w:r>
      <w:r w:rsidRPr="008C0666">
        <w:rPr>
          <w:rFonts w:cs="Arial"/>
        </w:rPr>
        <w:t xml:space="preserve">tassazione </w:t>
      </w:r>
      <w:r>
        <w:rPr>
          <w:rFonts w:cs="Arial"/>
        </w:rPr>
        <w:t xml:space="preserve">delle </w:t>
      </w:r>
      <w:r w:rsidRPr="008C0666">
        <w:rPr>
          <w:rFonts w:cs="Arial"/>
        </w:rPr>
        <w:t>persone giuridich</w:t>
      </w:r>
      <w:r>
        <w:rPr>
          <w:rFonts w:cs="Arial"/>
        </w:rPr>
        <w:t xml:space="preserve">e e l’Ufficio controllo abitanti), come anche ogni privato cittadino, possono poi segnalare all’Ufficio del registro di commercio quelle società che risultano irreperibili. In questi casi, l’Ufficio dispone di un importante </w:t>
      </w:r>
      <w:r w:rsidRPr="007429FB">
        <w:rPr>
          <w:rFonts w:cs="Arial"/>
        </w:rPr>
        <w:t>mezzo di intervento tramite</w:t>
      </w:r>
      <w:r>
        <w:rPr>
          <w:rFonts w:cs="Arial"/>
        </w:rPr>
        <w:t xml:space="preserve"> le procedure d’iscrizione d’ufficio previste dall’Ordinanza sul registro di commercio (art. 152 ss. ORC). La procedura d’iscrizione d’ufficio viene avviata in caso di comunicazione da parte di terzi della presunta assenza di un domicilio legale (art. 153a ORC). </w:t>
      </w:r>
      <w:r w:rsidRPr="008C0666">
        <w:rPr>
          <w:rFonts w:cs="Arial"/>
        </w:rPr>
        <w:t>In caso di assenza di domicilio legale, l’</w:t>
      </w:r>
      <w:r>
        <w:rPr>
          <w:rFonts w:cs="Arial"/>
        </w:rPr>
        <w:t>U</w:t>
      </w:r>
      <w:r w:rsidRPr="008C0666">
        <w:rPr>
          <w:rFonts w:cs="Arial"/>
        </w:rPr>
        <w:t>fficio</w:t>
      </w:r>
      <w:r>
        <w:rPr>
          <w:rFonts w:cs="Arial"/>
        </w:rPr>
        <w:t xml:space="preserve"> del registro di commercio</w:t>
      </w:r>
      <w:r w:rsidRPr="008C0666">
        <w:rPr>
          <w:rFonts w:cs="Arial"/>
        </w:rPr>
        <w:t xml:space="preserve"> </w:t>
      </w:r>
      <w:r>
        <w:rPr>
          <w:rFonts w:cs="Arial"/>
        </w:rPr>
        <w:t xml:space="preserve">può giungere </w:t>
      </w:r>
      <w:r w:rsidRPr="008C0666">
        <w:rPr>
          <w:rFonts w:cs="Arial"/>
        </w:rPr>
        <w:t xml:space="preserve">a decretare lo scioglimento del soggetto iscritto </w:t>
      </w:r>
      <w:r>
        <w:rPr>
          <w:rFonts w:cs="Arial"/>
        </w:rPr>
        <w:t>nel registro di commercio</w:t>
      </w:r>
      <w:r w:rsidR="00FC562F">
        <w:rPr>
          <w:rFonts w:cs="Arial"/>
        </w:rPr>
        <w:t xml:space="preserve"> </w:t>
      </w:r>
      <w:r>
        <w:rPr>
          <w:rFonts w:cs="Arial"/>
        </w:rPr>
        <w:t>(art. 153b ORC)</w:t>
      </w:r>
      <w:r w:rsidRPr="008C0666">
        <w:rPr>
          <w:rFonts w:cs="Arial"/>
        </w:rPr>
        <w:t>.</w:t>
      </w:r>
      <w:r>
        <w:rPr>
          <w:rFonts w:cs="Arial"/>
        </w:rPr>
        <w:t xml:space="preserve"> Secondo l’art. 155 ORC, la procedura d’iscrizione d’ufficio </w:t>
      </w:r>
      <w:r w:rsidRPr="00D90124">
        <w:rPr>
          <w:rFonts w:cs="Arial"/>
        </w:rPr>
        <w:t>viene a</w:t>
      </w:r>
      <w:r>
        <w:rPr>
          <w:rFonts w:cs="Arial"/>
        </w:rPr>
        <w:t>vviata</w:t>
      </w:r>
      <w:r w:rsidRPr="00D90124">
        <w:rPr>
          <w:rFonts w:cs="Arial"/>
        </w:rPr>
        <w:t xml:space="preserve"> </w:t>
      </w:r>
      <w:r>
        <w:rPr>
          <w:rFonts w:cs="Arial"/>
        </w:rPr>
        <w:t>anche quando</w:t>
      </w:r>
      <w:r w:rsidRPr="00D90124">
        <w:rPr>
          <w:rFonts w:cs="Arial"/>
        </w:rPr>
        <w:t xml:space="preserve"> emergono concreti indizi</w:t>
      </w:r>
      <w:r>
        <w:rPr>
          <w:rFonts w:cs="Arial"/>
        </w:rPr>
        <w:t>, su segnalazione degli uffici di esecuzione,</w:t>
      </w:r>
      <w:r w:rsidRPr="00D90124">
        <w:rPr>
          <w:rFonts w:cs="Arial"/>
        </w:rPr>
        <w:t xml:space="preserve"> che la </w:t>
      </w:r>
      <w:r w:rsidRPr="002D6406">
        <w:rPr>
          <w:rFonts w:cs="Arial"/>
        </w:rPr>
        <w:t>società non ha più attivi realizzabili e non è più attiva.</w:t>
      </w:r>
    </w:p>
    <w:p w:rsidR="00034604" w:rsidRPr="00FC562F" w:rsidRDefault="00034604" w:rsidP="00034604">
      <w:pPr>
        <w:jc w:val="left"/>
        <w:rPr>
          <w:rFonts w:cs="Arial"/>
          <w:sz w:val="16"/>
          <w:szCs w:val="16"/>
        </w:rPr>
      </w:pPr>
    </w:p>
    <w:p w:rsidR="00034604" w:rsidRDefault="00034604" w:rsidP="00034604">
      <w:pPr>
        <w:rPr>
          <w:rFonts w:cs="Arial"/>
        </w:rPr>
      </w:pPr>
      <w:r w:rsidRPr="002D6406">
        <w:rPr>
          <w:rFonts w:cs="Arial"/>
        </w:rPr>
        <w:t>Si rammenta infine che gli Uffici del registro di commercio, entro i limiti stabiliti dal segreto d’ufficio, collabora</w:t>
      </w:r>
      <w:r>
        <w:rPr>
          <w:rFonts w:cs="Arial"/>
        </w:rPr>
        <w:t>no</w:t>
      </w:r>
      <w:r w:rsidRPr="002D6406">
        <w:rPr>
          <w:rFonts w:cs="Arial"/>
        </w:rPr>
        <w:t xml:space="preserve"> con le autorità di polizia, fornendo loro informazioni rilevanti per eventuali inchieste o indagini aperte nei confronti di enti giuridici iscritti nel registro di commercio o di persone fisiche legate a questi ultimi.</w:t>
      </w:r>
      <w:r>
        <w:rPr>
          <w:rFonts w:cs="Arial"/>
        </w:rPr>
        <w:t xml:space="preserve"> </w:t>
      </w:r>
    </w:p>
    <w:p w:rsidR="00034604" w:rsidRPr="002E6DCC" w:rsidRDefault="00034604" w:rsidP="00034604">
      <w:pPr>
        <w:rPr>
          <w:rFonts w:cs="Arial"/>
        </w:rPr>
      </w:pPr>
    </w:p>
    <w:p w:rsidR="00034604" w:rsidRDefault="00034604" w:rsidP="00034604">
      <w:pPr>
        <w:rPr>
          <w:rFonts w:cs="Arial"/>
        </w:rPr>
      </w:pPr>
      <w:r w:rsidRPr="002E6DCC">
        <w:rPr>
          <w:rFonts w:cs="Arial"/>
        </w:rPr>
        <w:lastRenderedPageBreak/>
        <w:t>Alla luce delle considerazioni che precedono, si osserva come il ruolo dell’Ufficio</w:t>
      </w:r>
      <w:r>
        <w:rPr>
          <w:rFonts w:cs="Arial"/>
        </w:rPr>
        <w:br/>
      </w:r>
      <w:r w:rsidRPr="002E6DCC">
        <w:rPr>
          <w:rFonts w:cs="Arial"/>
        </w:rPr>
        <w:t>del registro di commercio e la sua collaborazione con le altre autorità sia fondamentale nella lotta contro il fenomeno delle società bucalettere. A questo proposito, si rileva che il 17</w:t>
      </w:r>
      <w:r>
        <w:rPr>
          <w:rFonts w:cs="Arial"/>
        </w:rPr>
        <w:t xml:space="preserve"> </w:t>
      </w:r>
      <w:r w:rsidRPr="002E6DCC">
        <w:rPr>
          <w:rFonts w:cs="Arial"/>
        </w:rPr>
        <w:t>marzo 2017 il Parlamento svizzero ha accolto in votazione finale alcune modifiche delle disposizioni del Codice delle obbligazioni (CO) sul registro di commercio (FF 2017 2117). Le nuove disposizioni non sono ancora entrate in vigore, poiché occorre prima adeguare l’Ordinanza sul registro di commercio. L’entrata in vigore di queste nuove disposizioni dovrebbe avvenire nel corso del 2020 - 2021. Il nuovo art</w:t>
      </w:r>
      <w:r>
        <w:rPr>
          <w:rFonts w:cs="Arial"/>
        </w:rPr>
        <w:t>.</w:t>
      </w:r>
      <w:r w:rsidRPr="002E6DCC">
        <w:rPr>
          <w:rFonts w:cs="Arial"/>
        </w:rPr>
        <w:t xml:space="preserve"> 928a CO discipl</w:t>
      </w:r>
      <w:r>
        <w:rPr>
          <w:rFonts w:cs="Arial"/>
        </w:rPr>
        <w:t>inerà le comunicazioni tra gli Uf</w:t>
      </w:r>
      <w:r w:rsidRPr="002E6DCC">
        <w:rPr>
          <w:rFonts w:cs="Arial"/>
        </w:rPr>
        <w:t xml:space="preserve">fici del registro di commercio e le </w:t>
      </w:r>
      <w:r>
        <w:rPr>
          <w:rFonts w:cs="Arial"/>
        </w:rPr>
        <w:t>A</w:t>
      </w:r>
      <w:r w:rsidRPr="002E6DCC">
        <w:rPr>
          <w:rFonts w:cs="Arial"/>
        </w:rPr>
        <w:t xml:space="preserve">utorità giudiziarie e amministrative della Confederazione e dei Cantoni, rafforzando in tal modo l’analoga disposizione attualmente prevista solo a livello </w:t>
      </w:r>
      <w:r>
        <w:rPr>
          <w:rFonts w:cs="Arial"/>
        </w:rPr>
        <w:t>di ordinanza (art. 157 cpv. 2 ORC)</w:t>
      </w:r>
      <w:r w:rsidRPr="00264EC0">
        <w:rPr>
          <w:rFonts w:cs="Arial"/>
        </w:rPr>
        <w:t>.</w:t>
      </w:r>
    </w:p>
    <w:p w:rsidR="00034604" w:rsidRPr="00FC562F" w:rsidRDefault="00034604" w:rsidP="00034604">
      <w:pPr>
        <w:rPr>
          <w:rFonts w:cs="Arial"/>
          <w:sz w:val="20"/>
        </w:rPr>
      </w:pPr>
    </w:p>
    <w:p w:rsidR="00FC562F" w:rsidRPr="00FC562F" w:rsidRDefault="00FC562F" w:rsidP="00034604">
      <w:pPr>
        <w:rPr>
          <w:rFonts w:cs="Arial"/>
          <w:sz w:val="20"/>
        </w:rPr>
      </w:pPr>
    </w:p>
    <w:p w:rsidR="00034604" w:rsidRPr="00DA4A7D" w:rsidRDefault="00034604" w:rsidP="00FC562F">
      <w:pPr>
        <w:pStyle w:val="Titolo2"/>
      </w:pPr>
      <w:r>
        <w:t>2</w:t>
      </w:r>
      <w:r w:rsidRPr="00DA4A7D">
        <w:t>.</w:t>
      </w:r>
      <w:r w:rsidRPr="00DA4A7D">
        <w:tab/>
      </w:r>
      <w:r>
        <w:t>Parere del Consiglio federale del 15 agosto 2018 all’interpellanza Merlini</w:t>
      </w:r>
    </w:p>
    <w:p w:rsidR="00034604" w:rsidRDefault="00034604" w:rsidP="00034604">
      <w:pPr>
        <w:rPr>
          <w:rFonts w:cs="Arial"/>
        </w:rPr>
      </w:pPr>
      <w:r>
        <w:rPr>
          <w:rFonts w:cs="Arial"/>
        </w:rPr>
        <w:t>Con l’interpellanza di cui a margine, al Consiglio federale veniva chiesto di valutare una modifica dell’ORC che conferisse più poteri di controllo agli Uffici del registro di commercio. Nella sua risposta del 15 agosto 2018, il Consiglio federale ha ritenuto che non fosse necessario concedere maggiori competenze agli Uffici del registro di commercio, osservando che sarebbe stato sproporzionato esigere l’estratto del casellario giudiziale da ogni persona che intende farsi iscrivere nel registro di commercio. A mente del Consiglio federale, sono le Autorità cantonali competenti per rilasciare l’autorizzazione ad esercitare una specifica attività economica e non l’Ufficio del registro di commercio a essere le più idonee per controllare il rispetto delle condizioni di categoria necessarie per avviare tale attività.</w:t>
      </w:r>
    </w:p>
    <w:p w:rsidR="00034604" w:rsidRPr="00FC562F" w:rsidRDefault="00034604" w:rsidP="00034604">
      <w:pPr>
        <w:rPr>
          <w:rFonts w:cs="Arial"/>
          <w:sz w:val="20"/>
        </w:rPr>
      </w:pPr>
    </w:p>
    <w:p w:rsidR="00FC562F" w:rsidRPr="00FC562F" w:rsidRDefault="00FC562F" w:rsidP="00034604">
      <w:pPr>
        <w:rPr>
          <w:rFonts w:cs="Arial"/>
          <w:sz w:val="20"/>
        </w:rPr>
      </w:pPr>
    </w:p>
    <w:p w:rsidR="00034604" w:rsidRPr="007F260F" w:rsidRDefault="00034604" w:rsidP="00FC562F">
      <w:pPr>
        <w:pStyle w:val="Titolo2"/>
      </w:pPr>
      <w:r>
        <w:t>3</w:t>
      </w:r>
      <w:r w:rsidRPr="007F260F">
        <w:t>.</w:t>
      </w:r>
      <w:r w:rsidRPr="007F260F">
        <w:tab/>
      </w:r>
      <w:r>
        <w:t>Misure messe in atto dalle Autorità cantonali</w:t>
      </w:r>
    </w:p>
    <w:p w:rsidR="00034604" w:rsidRDefault="00034604" w:rsidP="00034604">
      <w:pPr>
        <w:rPr>
          <w:rFonts w:cs="Arial"/>
        </w:rPr>
      </w:pPr>
      <w:r>
        <w:rPr>
          <w:rFonts w:cs="Arial"/>
        </w:rPr>
        <w:t>Per quanto concerne anzitutto il ruolo del Ministero pubblico nella lotta contro le società bucalettere, si rileva che quest’ultimo collabora già con diverse autorità amministrative</w:t>
      </w:r>
      <w:r w:rsidRPr="00422356">
        <w:rPr>
          <w:rFonts w:cs="Arial"/>
        </w:rPr>
        <w:t xml:space="preserve"> da </w:t>
      </w:r>
      <w:r>
        <w:rPr>
          <w:rFonts w:cs="Arial"/>
        </w:rPr>
        <w:t>cui ottiene costantemente segnalazioni e denunce. Vi è una direttiva specifica che riguarda</w:t>
      </w:r>
      <w:r w:rsidRPr="00422356">
        <w:rPr>
          <w:rFonts w:cs="Arial"/>
        </w:rPr>
        <w:t xml:space="preserve"> la reciproca segnalazione di potenziali reati di natura fiscale tra il Ministero pubblico e la Divisione delle contribuzioni. Quanto ai reati di natura fallimentare, nel 2019 è stata introdotta la nuova figura del “perito contabile” presso l’Ufficio dei fallimenti, con il quale</w:t>
      </w:r>
      <w:r>
        <w:rPr>
          <w:rFonts w:cs="Arial"/>
        </w:rPr>
        <w:t xml:space="preserve"> il Ministero pubblico avrà </w:t>
      </w:r>
      <w:r w:rsidRPr="00422356">
        <w:rPr>
          <w:rFonts w:cs="Arial"/>
        </w:rPr>
        <w:t xml:space="preserve">un incontro </w:t>
      </w:r>
      <w:r>
        <w:rPr>
          <w:rFonts w:cs="Arial"/>
        </w:rPr>
        <w:t xml:space="preserve">a breve </w:t>
      </w:r>
      <w:r w:rsidRPr="00422356">
        <w:rPr>
          <w:rFonts w:cs="Arial"/>
        </w:rPr>
        <w:t>per definire, se necessar</w:t>
      </w:r>
      <w:r>
        <w:rPr>
          <w:rFonts w:cs="Arial"/>
        </w:rPr>
        <w:t xml:space="preserve">io, una </w:t>
      </w:r>
      <w:r w:rsidRPr="00422356">
        <w:rPr>
          <w:rFonts w:cs="Arial"/>
        </w:rPr>
        <w:t xml:space="preserve">direttiva </w:t>
      </w:r>
      <w:r>
        <w:rPr>
          <w:rFonts w:cs="Arial"/>
        </w:rPr>
        <w:t>che regoli le</w:t>
      </w:r>
      <w:r w:rsidRPr="00422356">
        <w:rPr>
          <w:rFonts w:cs="Arial"/>
        </w:rPr>
        <w:t xml:space="preserve"> segnalazioni di fatti commessi da organi societari sussumi</w:t>
      </w:r>
      <w:r>
        <w:rPr>
          <w:rFonts w:cs="Arial"/>
        </w:rPr>
        <w:t xml:space="preserve">bili sotto gli art. 163 ss. CP. </w:t>
      </w:r>
      <w:r w:rsidRPr="00422356">
        <w:rPr>
          <w:rFonts w:cs="Arial"/>
        </w:rPr>
        <w:t>È stata altresì formalizzata una direttiva con l’Istituto delle assicurazioni sociali concernente le segnalazioni dei reati di cui agli art</w:t>
      </w:r>
      <w:r>
        <w:rPr>
          <w:rFonts w:cs="Arial"/>
        </w:rPr>
        <w:t>t</w:t>
      </w:r>
      <w:r w:rsidRPr="00422356">
        <w:rPr>
          <w:rFonts w:cs="Arial"/>
        </w:rPr>
        <w:t xml:space="preserve">. 146 e 148a CP e di quelli previsti dalla </w:t>
      </w:r>
      <w:r>
        <w:rPr>
          <w:rFonts w:cs="Arial"/>
        </w:rPr>
        <w:t xml:space="preserve">Legge federale su l’assicurazione per la vecchiaia e per i superstiti </w:t>
      </w:r>
      <w:r w:rsidRPr="00913E76">
        <w:rPr>
          <w:rFonts w:cs="Arial"/>
        </w:rPr>
        <w:t>(</w:t>
      </w:r>
      <w:r w:rsidRPr="00464172">
        <w:rPr>
          <w:rFonts w:cs="Arial"/>
        </w:rPr>
        <w:t>LAVS)</w:t>
      </w:r>
      <w:r w:rsidRPr="00913E76">
        <w:rPr>
          <w:rFonts w:cs="Arial"/>
        </w:rPr>
        <w:t xml:space="preserve"> e dalla </w:t>
      </w:r>
      <w:r w:rsidRPr="00464172">
        <w:rPr>
          <w:rFonts w:cs="Arial"/>
        </w:rPr>
        <w:t>Legge sull’assicur</w:t>
      </w:r>
      <w:r>
        <w:rPr>
          <w:rFonts w:cs="Arial"/>
        </w:rPr>
        <w:t>azione</w:t>
      </w:r>
      <w:r w:rsidRPr="00464172">
        <w:rPr>
          <w:rFonts w:cs="Arial"/>
        </w:rPr>
        <w:t xml:space="preserve"> contro la disoccupazione (</w:t>
      </w:r>
      <w:r w:rsidRPr="00913E76">
        <w:rPr>
          <w:rFonts w:cs="Arial"/>
        </w:rPr>
        <w:t>LADI</w:t>
      </w:r>
      <w:r w:rsidRPr="00464172">
        <w:rPr>
          <w:rFonts w:cs="Arial"/>
        </w:rPr>
        <w:t>) commessi da persone fisiche, ma anche da organi attivi in seno a una società.</w:t>
      </w:r>
    </w:p>
    <w:p w:rsidR="00034604" w:rsidRPr="00FC562F" w:rsidRDefault="00034604" w:rsidP="00034604">
      <w:pPr>
        <w:rPr>
          <w:rFonts w:cs="Arial"/>
          <w:sz w:val="16"/>
          <w:szCs w:val="16"/>
        </w:rPr>
      </w:pPr>
    </w:p>
    <w:p w:rsidR="00FC562F" w:rsidRDefault="00034604" w:rsidP="00034604">
      <w:pPr>
        <w:rPr>
          <w:rFonts w:cs="Arial"/>
        </w:rPr>
      </w:pPr>
      <w:r>
        <w:rPr>
          <w:rFonts w:cs="Arial"/>
        </w:rPr>
        <w:t xml:space="preserve">Anche l’autorità fiscale riveste un ruolo importante nell’ambito della lotta contro le società bucalettere. Si pone infatti un problema di sovranità fiscale nel caso in cui la sede di una società non è quella in cui ha luogo l’amministrazione effettiva. </w:t>
      </w:r>
      <w:r w:rsidRPr="00422356">
        <w:rPr>
          <w:rFonts w:cs="Arial"/>
        </w:rPr>
        <w:t xml:space="preserve">L’assenza di personale, di uffici o di altre strutture, così come la mancanza di una linea telefonica o l’irraggiungibilità via telefono della sede, oppure ancora la deviazione d’indirizzo o il fatto che le assemblee degli organi societari non siano svolte al luogo di sede, sono da interpretare quali indizi a favore della natura puramente formale e fittizia della sede di una società. </w:t>
      </w:r>
      <w:r>
        <w:rPr>
          <w:rFonts w:cs="Arial"/>
        </w:rPr>
        <w:t xml:space="preserve">Si rileva </w:t>
      </w:r>
      <w:r w:rsidRPr="00422356">
        <w:rPr>
          <w:rFonts w:cs="Arial"/>
        </w:rPr>
        <w:t xml:space="preserve">che all’interno dell’Ufficio </w:t>
      </w:r>
      <w:r>
        <w:rPr>
          <w:rFonts w:cs="Arial"/>
        </w:rPr>
        <w:t xml:space="preserve">di </w:t>
      </w:r>
      <w:r w:rsidRPr="00422356">
        <w:rPr>
          <w:rFonts w:cs="Arial"/>
        </w:rPr>
        <w:t>tassazione</w:t>
      </w:r>
      <w:r>
        <w:rPr>
          <w:rFonts w:cs="Arial"/>
        </w:rPr>
        <w:t xml:space="preserve"> delle persone giuridiche </w:t>
      </w:r>
      <w:r w:rsidRPr="00422356">
        <w:rPr>
          <w:rFonts w:cs="Arial"/>
        </w:rPr>
        <w:t>è stata costituita nel 2017 la cosiddetta “cellula di assoggettamento”. Trattasi in concreto di un gruppo di tassatori che in caso di segnalazione di società c</w:t>
      </w:r>
      <w:r>
        <w:rPr>
          <w:rFonts w:cs="Arial"/>
        </w:rPr>
        <w:t>he hanno la propria sede fuori C</w:t>
      </w:r>
      <w:r w:rsidRPr="00422356">
        <w:rPr>
          <w:rFonts w:cs="Arial"/>
        </w:rPr>
        <w:t>antone ma che</w:t>
      </w:r>
      <w:r>
        <w:rPr>
          <w:rFonts w:cs="Arial"/>
        </w:rPr>
        <w:br/>
      </w:r>
      <w:r w:rsidRPr="00422356">
        <w:rPr>
          <w:rFonts w:cs="Arial"/>
        </w:rPr>
        <w:t xml:space="preserve">“de facto” operano in Ticino, avviano una procedura di assoggettamento. Questa procedura </w:t>
      </w:r>
      <w:r w:rsidRPr="00422356">
        <w:rPr>
          <w:rFonts w:cs="Arial"/>
        </w:rPr>
        <w:lastRenderedPageBreak/>
        <w:t>si è rivelata molto efficace, considerato che</w:t>
      </w:r>
      <w:r>
        <w:rPr>
          <w:rFonts w:cs="Arial"/>
        </w:rPr>
        <w:t xml:space="preserve"> ha già permesso di </w:t>
      </w:r>
      <w:r w:rsidRPr="00422356">
        <w:rPr>
          <w:rFonts w:cs="Arial"/>
        </w:rPr>
        <w:t>regolarizzare la situazione di diverse centinaia di società. Un’altra iniziativa promossa dalla Divisione delle contribuzioni e approvata dal Consiglio di Stato attraverso la “Piattaforma di dialogo Cantone-Comuni” riguarda la costituzione di un gruppo di lavoro, attivo dal mese di marzo 2019, che si occupa di migliorare le procedure di incasso delle imposte ordinarie.</w:t>
      </w:r>
    </w:p>
    <w:p w:rsidR="00034604" w:rsidRDefault="00034604" w:rsidP="00034604">
      <w:pPr>
        <w:rPr>
          <w:rFonts w:cs="Arial"/>
        </w:rPr>
      </w:pPr>
      <w:r w:rsidRPr="00422356">
        <w:rPr>
          <w:rFonts w:cs="Arial"/>
        </w:rPr>
        <w:t>Tale gruppo di lavoro è co</w:t>
      </w:r>
      <w:r>
        <w:rPr>
          <w:rFonts w:cs="Arial"/>
        </w:rPr>
        <w:t>stituito da rappresentanti dei C</w:t>
      </w:r>
      <w:r w:rsidRPr="00422356">
        <w:rPr>
          <w:rFonts w:cs="Arial"/>
        </w:rPr>
        <w:t>omuni, della Divisione delle contribuzioni, del</w:t>
      </w:r>
      <w:r>
        <w:rPr>
          <w:rFonts w:cs="Arial"/>
        </w:rPr>
        <w:t>la Sezione degli enti locali, dell’Ufficio della migrazione e de</w:t>
      </w:r>
      <w:r w:rsidRPr="00422356">
        <w:rPr>
          <w:rFonts w:cs="Arial"/>
        </w:rPr>
        <w:t>lla Sezione della popolazione. Il gruppo ha già raccolto e analizzato una serie di criticità che riguardano l’i</w:t>
      </w:r>
      <w:r>
        <w:rPr>
          <w:rFonts w:cs="Arial"/>
        </w:rPr>
        <w:t>ncasso delle imposte ordinarie</w:t>
      </w:r>
      <w:r w:rsidRPr="00422356">
        <w:rPr>
          <w:rFonts w:cs="Arial"/>
        </w:rPr>
        <w:t xml:space="preserve">. In questo compito è stato coinvolto anche l’Ufficio tassazione delle persone giuridiche, il quale ha sollevato alcune problematiche riguardanti le società che operano in Ticino in maniera impropria. Uno dei temi che è stato oggetto di discussione è quello dell’impiego del “registro delle attività economiche” tenuto dai </w:t>
      </w:r>
      <w:r>
        <w:rPr>
          <w:rFonts w:cs="Arial"/>
        </w:rPr>
        <w:t>C</w:t>
      </w:r>
      <w:r w:rsidRPr="00422356">
        <w:rPr>
          <w:rFonts w:cs="Arial"/>
        </w:rPr>
        <w:t>omuni nell’ambito della lotta contro le società bucalettere. Un primo rapporto di questo gruppo di lavoro è previsto per il primo trimestre del 2020.</w:t>
      </w:r>
    </w:p>
    <w:p w:rsidR="00034604" w:rsidRPr="00FC562F" w:rsidRDefault="00034604" w:rsidP="00034604">
      <w:pPr>
        <w:rPr>
          <w:rFonts w:cs="Arial"/>
          <w:sz w:val="16"/>
          <w:szCs w:val="16"/>
        </w:rPr>
      </w:pPr>
    </w:p>
    <w:p w:rsidR="00034604" w:rsidRPr="00422356" w:rsidRDefault="00034604" w:rsidP="00034604">
      <w:pPr>
        <w:rPr>
          <w:rFonts w:cs="Arial"/>
        </w:rPr>
      </w:pPr>
      <w:r w:rsidRPr="00422356">
        <w:rPr>
          <w:rFonts w:cs="Arial"/>
        </w:rPr>
        <w:t>L’Ufficio della migrazione dal canto suo, si avvale della collaborazione della Polizia cantonale, dell’Ufficio per la sorveglianza del m</w:t>
      </w:r>
      <w:r>
        <w:rPr>
          <w:rFonts w:cs="Arial"/>
        </w:rPr>
        <w:t>ercato del lavoro e dei C</w:t>
      </w:r>
      <w:r w:rsidRPr="00422356">
        <w:rPr>
          <w:rFonts w:cs="Arial"/>
        </w:rPr>
        <w:t>omuni per verificare l</w:t>
      </w:r>
      <w:r>
        <w:rPr>
          <w:rFonts w:cs="Arial"/>
        </w:rPr>
        <w:t xml:space="preserve">’eventuale </w:t>
      </w:r>
      <w:r w:rsidRPr="00422356">
        <w:rPr>
          <w:rFonts w:cs="Arial"/>
        </w:rPr>
        <w:t xml:space="preserve">presenza di </w:t>
      </w:r>
      <w:r>
        <w:rPr>
          <w:rFonts w:cs="Arial"/>
        </w:rPr>
        <w:t>società fittizie. L</w:t>
      </w:r>
      <w:r w:rsidRPr="00422356">
        <w:rPr>
          <w:rFonts w:cs="Arial"/>
        </w:rPr>
        <w:t>addove emerg</w:t>
      </w:r>
      <w:r>
        <w:rPr>
          <w:rFonts w:cs="Arial"/>
        </w:rPr>
        <w:t>e</w:t>
      </w:r>
      <w:r w:rsidRPr="00422356">
        <w:rPr>
          <w:rFonts w:cs="Arial"/>
        </w:rPr>
        <w:t xml:space="preserve"> l’assenza di un’attività economica reale, duratura ed effettiva, i dipendenti </w:t>
      </w:r>
      <w:r>
        <w:rPr>
          <w:rFonts w:cs="Arial"/>
        </w:rPr>
        <w:t>di una società non</w:t>
      </w:r>
      <w:r w:rsidRPr="00422356">
        <w:rPr>
          <w:rFonts w:cs="Arial"/>
        </w:rPr>
        <w:t xml:space="preserve"> possono</w:t>
      </w:r>
      <w:r>
        <w:rPr>
          <w:rFonts w:cs="Arial"/>
        </w:rPr>
        <w:t xml:space="preserve"> infatti</w:t>
      </w:r>
      <w:r w:rsidRPr="00422356">
        <w:rPr>
          <w:rFonts w:cs="Arial"/>
        </w:rPr>
        <w:t xml:space="preserve"> avvalersi dello statuto di lavoratore ai sensi dell’Accordo sulla libera circolazione delle persone (ALC; RS 0.142.112.681) e di conseguenza il permes</w:t>
      </w:r>
      <w:r>
        <w:rPr>
          <w:rFonts w:cs="Arial"/>
        </w:rPr>
        <w:t>so deve essere negato/revocato.</w:t>
      </w:r>
    </w:p>
    <w:p w:rsidR="00034604" w:rsidRPr="00FC562F" w:rsidRDefault="00034604" w:rsidP="00034604">
      <w:pPr>
        <w:rPr>
          <w:rFonts w:cs="Arial"/>
          <w:sz w:val="20"/>
        </w:rPr>
      </w:pPr>
    </w:p>
    <w:p w:rsidR="00FC562F" w:rsidRPr="00FC562F" w:rsidRDefault="00FC562F" w:rsidP="00034604">
      <w:pPr>
        <w:rPr>
          <w:rFonts w:cs="Arial"/>
          <w:sz w:val="20"/>
        </w:rPr>
      </w:pPr>
    </w:p>
    <w:p w:rsidR="00034604" w:rsidRPr="007F260F" w:rsidRDefault="00034604" w:rsidP="00FC562F">
      <w:pPr>
        <w:pStyle w:val="Titolo2"/>
        <w:rPr>
          <w:bCs/>
        </w:rPr>
      </w:pPr>
      <w:r>
        <w:rPr>
          <w:bCs/>
        </w:rPr>
        <w:t>4</w:t>
      </w:r>
      <w:r w:rsidRPr="007F260F">
        <w:rPr>
          <w:bCs/>
        </w:rPr>
        <w:t>.</w:t>
      </w:r>
      <w:r w:rsidRPr="007F260F">
        <w:rPr>
          <w:bCs/>
        </w:rPr>
        <w:tab/>
      </w:r>
      <w:r w:rsidRPr="007F260F">
        <w:t>Legge cantonale sull’esercizio delle professioni di fiduciario (LFid)</w:t>
      </w:r>
    </w:p>
    <w:p w:rsidR="00034604" w:rsidRDefault="00034604" w:rsidP="00034604">
      <w:pPr>
        <w:rPr>
          <w:rFonts w:cs="Arial"/>
        </w:rPr>
      </w:pPr>
      <w:r>
        <w:rPr>
          <w:rFonts w:cs="Arial"/>
        </w:rPr>
        <w:t>I C</w:t>
      </w:r>
      <w:r w:rsidRPr="002C08F4">
        <w:rPr>
          <w:rFonts w:cs="Arial"/>
        </w:rPr>
        <w:t>antoni hanno la facoltà di dotarsi di un’apposita legge che regola il regime autorizzati</w:t>
      </w:r>
      <w:r>
        <w:rPr>
          <w:rFonts w:cs="Arial"/>
        </w:rPr>
        <w:t xml:space="preserve">vo per determinate professioni. </w:t>
      </w:r>
      <w:r w:rsidRPr="002C08F4">
        <w:rPr>
          <w:rFonts w:cs="Arial"/>
        </w:rPr>
        <w:t xml:space="preserve">Come già indicato nella </w:t>
      </w:r>
      <w:r>
        <w:rPr>
          <w:rFonts w:cs="Arial"/>
        </w:rPr>
        <w:t xml:space="preserve">già citata </w:t>
      </w:r>
      <w:r w:rsidRPr="002C08F4">
        <w:rPr>
          <w:rFonts w:cs="Arial"/>
        </w:rPr>
        <w:t>risposta dell’11 luglio 2018 all’interrogazione n. 14.18, il Ticino è l’unico</w:t>
      </w:r>
      <w:r>
        <w:rPr>
          <w:rFonts w:cs="Arial"/>
        </w:rPr>
        <w:t xml:space="preserve"> Cantone</w:t>
      </w:r>
      <w:r w:rsidRPr="002C08F4">
        <w:rPr>
          <w:rFonts w:cs="Arial"/>
        </w:rPr>
        <w:t xml:space="preserve"> ad aver adottato una legge sulle attivi</w:t>
      </w:r>
      <w:r>
        <w:rPr>
          <w:rFonts w:cs="Arial"/>
        </w:rPr>
        <w:t>tà fiduciarie, ovvero la Legge cantonale s</w:t>
      </w:r>
      <w:r w:rsidRPr="002C08F4">
        <w:rPr>
          <w:rFonts w:cs="Arial"/>
        </w:rPr>
        <w:t xml:space="preserve">ull’esercizio </w:t>
      </w:r>
      <w:r>
        <w:rPr>
          <w:rFonts w:cs="Arial"/>
        </w:rPr>
        <w:t xml:space="preserve">delle professioni di fiduciario </w:t>
      </w:r>
      <w:r w:rsidRPr="002C08F4">
        <w:rPr>
          <w:rFonts w:cs="Arial"/>
        </w:rPr>
        <w:t>(LFid), condizionandole all’ottenimento di una specifica autorizzazione</w:t>
      </w:r>
      <w:r>
        <w:rPr>
          <w:rFonts w:cs="Arial"/>
        </w:rPr>
        <w:t xml:space="preserve">. Ciò </w:t>
      </w:r>
      <w:r w:rsidRPr="002C08F4">
        <w:rPr>
          <w:rFonts w:cs="Arial"/>
        </w:rPr>
        <w:t xml:space="preserve">costituisce già di per sé una </w:t>
      </w:r>
      <w:r>
        <w:rPr>
          <w:rFonts w:cs="Arial"/>
        </w:rPr>
        <w:t>forma di prevenzione che altri C</w:t>
      </w:r>
      <w:r w:rsidRPr="002C08F4">
        <w:rPr>
          <w:rFonts w:cs="Arial"/>
        </w:rPr>
        <w:t xml:space="preserve">antoni non hanno. Tale atto normativo si applica alle attività di </w:t>
      </w:r>
      <w:r>
        <w:rPr>
          <w:rFonts w:cs="Arial"/>
        </w:rPr>
        <w:t>fiduciario commercialista e</w:t>
      </w:r>
      <w:r w:rsidRPr="002C08F4">
        <w:rPr>
          <w:rFonts w:cs="Arial"/>
        </w:rPr>
        <w:t xml:space="preserve"> fiduciario immobiliare</w:t>
      </w:r>
      <w:r>
        <w:rPr>
          <w:rFonts w:cs="Arial"/>
        </w:rPr>
        <w:t xml:space="preserve"> (il fiduciario finanziario ricade dal 1° gennaio 2020 sotto la vigilanza </w:t>
      </w:r>
      <w:r w:rsidRPr="002C08F4">
        <w:rPr>
          <w:rFonts w:cs="Arial"/>
        </w:rPr>
        <w:t>dell’Autorità federale di vigilanza sui mercati finanziari</w:t>
      </w:r>
      <w:r>
        <w:rPr>
          <w:rFonts w:cs="Arial"/>
        </w:rPr>
        <w:t>, FINMA),</w:t>
      </w:r>
      <w:r w:rsidRPr="002C08F4">
        <w:rPr>
          <w:rFonts w:cs="Arial"/>
        </w:rPr>
        <w:t xml:space="preserve"> svolte per conto di terzi a titolo professionale. L’Ufficio del r</w:t>
      </w:r>
      <w:r>
        <w:rPr>
          <w:rFonts w:cs="Arial"/>
        </w:rPr>
        <w:t>egistro di commercio è tenuto a</w:t>
      </w:r>
      <w:r w:rsidRPr="002C08F4">
        <w:rPr>
          <w:rFonts w:cs="Arial"/>
        </w:rPr>
        <w:t xml:space="preserve"> eseguire delle verifiche preliminari, vale a dire prima di effettuare l’iscrizione nel registro di commercio, per quanto concerne gli enti giuridici che operano nel settore finanziario, qualora si renda necessaria un’autorizzazione da parte </w:t>
      </w:r>
      <w:r>
        <w:rPr>
          <w:rFonts w:cs="Arial"/>
        </w:rPr>
        <w:t xml:space="preserve">della FINMA. L’Autorità di vigilanza sull’esercizio delle professioni di fiduciario si occupa in particolare di accertare, nell’ambito di procedimenti contravvenzionali, amministrativi o prudenziali sui fiduciari iscritti, </w:t>
      </w:r>
      <w:r w:rsidRPr="00524E75">
        <w:rPr>
          <w:rFonts w:cs="Arial"/>
        </w:rPr>
        <w:t>l’effettiva attività svolta dalle persone giuridiche interessate</w:t>
      </w:r>
      <w:r>
        <w:rPr>
          <w:rFonts w:cs="Arial"/>
        </w:rPr>
        <w:t>, così come da quelle fisiche.</w:t>
      </w:r>
    </w:p>
    <w:p w:rsidR="00034604" w:rsidRPr="00FC562F" w:rsidRDefault="00034604" w:rsidP="00034604">
      <w:pPr>
        <w:rPr>
          <w:rFonts w:cs="Arial"/>
          <w:sz w:val="20"/>
        </w:rPr>
      </w:pPr>
    </w:p>
    <w:p w:rsidR="00FC562F" w:rsidRPr="00FC562F" w:rsidRDefault="00FC562F" w:rsidP="00034604">
      <w:pPr>
        <w:rPr>
          <w:rFonts w:cs="Arial"/>
          <w:sz w:val="20"/>
        </w:rPr>
      </w:pPr>
    </w:p>
    <w:p w:rsidR="00034604" w:rsidRPr="00FF618C" w:rsidRDefault="00034604" w:rsidP="00FC562F">
      <w:pPr>
        <w:pStyle w:val="Titolo2"/>
      </w:pPr>
      <w:r>
        <w:t>5</w:t>
      </w:r>
      <w:r w:rsidRPr="00FF618C">
        <w:t>.</w:t>
      </w:r>
      <w:r w:rsidRPr="00FF618C">
        <w:tab/>
        <w:t>Collaborazione con il Cantone Grigioni</w:t>
      </w:r>
    </w:p>
    <w:p w:rsidR="00034604" w:rsidRDefault="00034604" w:rsidP="00034604">
      <w:pPr>
        <w:rPr>
          <w:rFonts w:cs="Arial"/>
        </w:rPr>
      </w:pPr>
      <w:r w:rsidRPr="009C67E2">
        <w:rPr>
          <w:rFonts w:cs="Arial"/>
        </w:rPr>
        <w:t>Ad oggi, una legge</w:t>
      </w:r>
      <w:r>
        <w:rPr>
          <w:rFonts w:cs="Arial"/>
        </w:rPr>
        <w:t xml:space="preserve"> sulle attività fiduciarie</w:t>
      </w:r>
      <w:r w:rsidRPr="009C67E2">
        <w:rPr>
          <w:rFonts w:cs="Arial"/>
        </w:rPr>
        <w:t xml:space="preserve"> non esiste nel Cantone Grigioni. Infatti, negli ultimi anni l’Autorità di vigilanza sull’esercizio delle professioni di fiduciario </w:t>
      </w:r>
      <w:r>
        <w:rPr>
          <w:rFonts w:cs="Arial"/>
        </w:rPr>
        <w:t xml:space="preserve">ha osservato </w:t>
      </w:r>
      <w:r w:rsidRPr="009C67E2">
        <w:rPr>
          <w:rFonts w:cs="Arial"/>
        </w:rPr>
        <w:t xml:space="preserve">una preoccupante tendenza, secondo cui alcune </w:t>
      </w:r>
      <w:r>
        <w:rPr>
          <w:rFonts w:cs="Arial"/>
        </w:rPr>
        <w:t>società operative</w:t>
      </w:r>
      <w:r w:rsidRPr="009C67E2">
        <w:rPr>
          <w:rFonts w:cs="Arial"/>
        </w:rPr>
        <w:t xml:space="preserve"> nel Canton</w:t>
      </w:r>
      <w:r>
        <w:rPr>
          <w:rFonts w:cs="Arial"/>
        </w:rPr>
        <w:t>e</w:t>
      </w:r>
      <w:r w:rsidRPr="009C67E2">
        <w:rPr>
          <w:rFonts w:cs="Arial"/>
        </w:rPr>
        <w:t xml:space="preserve"> Ticino spostano fittiziamente la</w:t>
      </w:r>
      <w:r>
        <w:rPr>
          <w:rFonts w:cs="Arial"/>
        </w:rPr>
        <w:t xml:space="preserve"> propria</w:t>
      </w:r>
      <w:r w:rsidRPr="009C67E2">
        <w:rPr>
          <w:rFonts w:cs="Arial"/>
        </w:rPr>
        <w:t xml:space="preserve"> sede nel Cantone Grigioni allo scopo di eludere le condizioni autorizzative per l’accesso alla professione di fiduciario. Su questo punto si rimanda ai rapporti governativi sul fenomeno delle società bucalettere nel Moesano e in particolare alla </w:t>
      </w:r>
      <w:r>
        <w:rPr>
          <w:rFonts w:cs="Arial"/>
        </w:rPr>
        <w:t xml:space="preserve">già citata </w:t>
      </w:r>
      <w:r w:rsidRPr="009C67E2">
        <w:rPr>
          <w:rFonts w:cs="Arial"/>
        </w:rPr>
        <w:t xml:space="preserve">risposta dell’11 luglio 2018 all’interrogazione n. 14.18. </w:t>
      </w:r>
      <w:r>
        <w:rPr>
          <w:rFonts w:cs="Arial"/>
        </w:rPr>
        <w:t xml:space="preserve">Già </w:t>
      </w:r>
      <w:r w:rsidRPr="009C67E2">
        <w:rPr>
          <w:rFonts w:cs="Arial"/>
        </w:rPr>
        <w:t>dal 2015 il Direttore del Dipartimento delle istituzioni ha instaurato con il suo omologo retico una collaborazione su questo fronte, confermata dal Canton Grigion</w:t>
      </w:r>
      <w:r>
        <w:rPr>
          <w:rFonts w:cs="Arial"/>
        </w:rPr>
        <w:t>i nella risposta</w:t>
      </w:r>
      <w:r w:rsidR="00FC562F">
        <w:rPr>
          <w:rFonts w:cs="Arial"/>
        </w:rPr>
        <w:t xml:space="preserve"> </w:t>
      </w:r>
      <w:r>
        <w:rPr>
          <w:rFonts w:cs="Arial"/>
        </w:rPr>
        <w:t xml:space="preserve">30 agosto 2017 </w:t>
      </w:r>
      <w:r w:rsidRPr="009C67E2">
        <w:rPr>
          <w:rFonts w:cs="Arial"/>
        </w:rPr>
        <w:t xml:space="preserve">all’interpellanza </w:t>
      </w:r>
      <w:r w:rsidRPr="009C67E2">
        <w:rPr>
          <w:rFonts w:cs="Arial"/>
        </w:rPr>
        <w:lastRenderedPageBreak/>
        <w:t>Wellig concernente le società bucalettere e i permessi di residenza B nel Moesano. L’Ufficio della migrazione del Canton Ticino ha intensificato gli scambi con l’Ufficio per l’industria, arti e mestieri e lavoro</w:t>
      </w:r>
      <w:r>
        <w:rPr>
          <w:rFonts w:cs="Arial"/>
        </w:rPr>
        <w:t xml:space="preserve"> del Canton Grigioni (KIGA GR). Il G</w:t>
      </w:r>
      <w:r w:rsidRPr="009C67E2">
        <w:rPr>
          <w:rFonts w:cs="Arial"/>
        </w:rPr>
        <w:t xml:space="preserve">overno grigionese, </w:t>
      </w:r>
      <w:r>
        <w:rPr>
          <w:rFonts w:cs="Arial"/>
        </w:rPr>
        <w:t xml:space="preserve">nella sua </w:t>
      </w:r>
      <w:r w:rsidRPr="009C67E2">
        <w:rPr>
          <w:rFonts w:cs="Arial"/>
        </w:rPr>
        <w:t>risposta</w:t>
      </w:r>
      <w:r>
        <w:rPr>
          <w:rFonts w:cs="Arial"/>
        </w:rPr>
        <w:t xml:space="preserve"> del 22 marzo 2018</w:t>
      </w:r>
      <w:r w:rsidRPr="009C67E2">
        <w:rPr>
          <w:rFonts w:cs="Arial"/>
        </w:rPr>
        <w:t xml:space="preserve"> alla petizione “Moesano pulito” riguardo alle società bucalettere nella Regione Moesa</w:t>
      </w:r>
      <w:r>
        <w:rPr>
          <w:rFonts w:cs="Arial"/>
        </w:rPr>
        <w:t>,</w:t>
      </w:r>
      <w:r w:rsidRPr="009C67E2">
        <w:rPr>
          <w:rFonts w:cs="Arial"/>
        </w:rPr>
        <w:t xml:space="preserve"> </w:t>
      </w:r>
      <w:r>
        <w:rPr>
          <w:rFonts w:cs="Arial"/>
        </w:rPr>
        <w:t xml:space="preserve">ha </w:t>
      </w:r>
      <w:r w:rsidRPr="004026F0">
        <w:rPr>
          <w:rFonts w:cs="Arial"/>
        </w:rPr>
        <w:t xml:space="preserve">annunciato un rafforzamento della collaborazione tra i servizi interessati del Cantone, sottolineando l’importanza del ruolo dei </w:t>
      </w:r>
      <w:r>
        <w:rPr>
          <w:rFonts w:cs="Arial"/>
        </w:rPr>
        <w:t>C</w:t>
      </w:r>
      <w:r w:rsidRPr="004026F0">
        <w:rPr>
          <w:rFonts w:cs="Arial"/>
        </w:rPr>
        <w:t>omuni al fine di contrastare il fenomeno delle società bucalettere. Il postulato rafforzamento ha avuto luogo, secondo quanto indicato ai media da Peter Peyer, Consigliere di Stato e Direttore del Dipartimento di giustizia, sicurezza e sanità a inizio gennaio</w:t>
      </w:r>
      <w:r>
        <w:rPr>
          <w:rFonts w:cs="Arial"/>
        </w:rPr>
        <w:t xml:space="preserve"> (Neue Zürcher Zeitung, pag. 11)</w:t>
      </w:r>
      <w:r w:rsidRPr="004026F0">
        <w:rPr>
          <w:rFonts w:cs="Arial"/>
        </w:rPr>
        <w:t>.</w:t>
      </w:r>
    </w:p>
    <w:p w:rsidR="00034604" w:rsidRPr="00FC562F" w:rsidRDefault="00034604" w:rsidP="00034604">
      <w:pPr>
        <w:rPr>
          <w:rFonts w:cs="Arial"/>
          <w:sz w:val="20"/>
        </w:rPr>
      </w:pPr>
    </w:p>
    <w:p w:rsidR="00FC562F" w:rsidRPr="00FC562F" w:rsidRDefault="00FC562F" w:rsidP="00034604">
      <w:pPr>
        <w:rPr>
          <w:rFonts w:cs="Arial"/>
          <w:sz w:val="20"/>
        </w:rPr>
      </w:pPr>
    </w:p>
    <w:p w:rsidR="00034604" w:rsidRPr="00451618" w:rsidRDefault="00034604" w:rsidP="00FC562F">
      <w:pPr>
        <w:pStyle w:val="Titolo2"/>
      </w:pPr>
      <w:r>
        <w:t>6</w:t>
      </w:r>
      <w:r w:rsidRPr="00451618">
        <w:t>.</w:t>
      </w:r>
      <w:r w:rsidRPr="00451618">
        <w:tab/>
        <w:t>Lotta contro il riciclaggio di denaro</w:t>
      </w:r>
    </w:p>
    <w:p w:rsidR="00034604" w:rsidRPr="00451618" w:rsidRDefault="00034604" w:rsidP="00034604">
      <w:pPr>
        <w:tabs>
          <w:tab w:val="left" w:pos="426"/>
        </w:tabs>
        <w:rPr>
          <w:rFonts w:cs="Arial"/>
        </w:rPr>
      </w:pPr>
      <w:r w:rsidRPr="002274C1">
        <w:rPr>
          <w:rFonts w:cs="Arial"/>
        </w:rPr>
        <w:t>Un’altra forma di prevenzione è senz’altro costituita</w:t>
      </w:r>
      <w:r>
        <w:rPr>
          <w:rFonts w:cs="Arial"/>
        </w:rPr>
        <w:t xml:space="preserve"> dalla normativa antiriciclaggio. </w:t>
      </w:r>
      <w:r w:rsidRPr="00451618">
        <w:rPr>
          <w:rFonts w:cs="Arial"/>
        </w:rPr>
        <w:t xml:space="preserve">Come abbiamo già avuto modo di indicare nella </w:t>
      </w:r>
      <w:r>
        <w:rPr>
          <w:rFonts w:cs="Arial"/>
        </w:rPr>
        <w:t xml:space="preserve">predetta </w:t>
      </w:r>
      <w:r w:rsidRPr="00451618">
        <w:rPr>
          <w:rFonts w:cs="Arial"/>
        </w:rPr>
        <w:t>risposta dell’11 luglio 2018 all’interrogazione n. 14.18</w:t>
      </w:r>
      <w:r>
        <w:rPr>
          <w:rFonts w:cs="Arial"/>
        </w:rPr>
        <w:t>, la FINMA</w:t>
      </w:r>
      <w:r w:rsidRPr="00451618">
        <w:rPr>
          <w:rFonts w:cs="Arial"/>
        </w:rPr>
        <w:t xml:space="preserve"> autorizza l’esercizio delle attività da parte delle imprese e delle organizzazioni sottoposte alla vigilanza e ne sorveglia l’ottemperanza alle leggi, alle ordinanze, alle direttive e ai regolamenti. Gli intermediari finanziari sono sottoposti a obblighi di diligenza e di comunicazione, in caso di sospetto di riciclaggio di denaro, all'Ufficio di comunicazione in materia di riciclaggio di denaro (MROS) in seno all'Ufficio federale di polizia. In virtù della Legge sul riciclaggio di denaro (LRD), tale autorità riceve, analizza ed eventualmente trasmette alle auto</w:t>
      </w:r>
      <w:r>
        <w:rPr>
          <w:rFonts w:cs="Arial"/>
        </w:rPr>
        <w:t xml:space="preserve">rità inquirenti </w:t>
      </w:r>
      <w:r w:rsidRPr="00451618">
        <w:rPr>
          <w:rFonts w:cs="Arial"/>
        </w:rPr>
        <w:t>le comunicazioni di sospetto degli intermediari finanziari concernenti il riciclaggio di denaro, il finanziamento del terrorismo, i valori patrimoniali di illecita provenienza e le organizzazioni criminali.</w:t>
      </w:r>
    </w:p>
    <w:p w:rsidR="00034604" w:rsidRPr="00FC562F" w:rsidRDefault="00034604" w:rsidP="00034604">
      <w:pPr>
        <w:rPr>
          <w:rFonts w:cs="Arial"/>
          <w:sz w:val="20"/>
        </w:rPr>
      </w:pPr>
    </w:p>
    <w:p w:rsidR="00FC562F" w:rsidRPr="00FC562F" w:rsidRDefault="00FC562F" w:rsidP="00034604">
      <w:pPr>
        <w:rPr>
          <w:rFonts w:cs="Arial"/>
          <w:sz w:val="20"/>
        </w:rPr>
      </w:pPr>
    </w:p>
    <w:p w:rsidR="00034604" w:rsidRPr="00FC562F" w:rsidRDefault="00034604" w:rsidP="00034604">
      <w:pPr>
        <w:rPr>
          <w:rFonts w:cs="Arial"/>
          <w:bCs/>
          <w:sz w:val="20"/>
        </w:rPr>
      </w:pPr>
    </w:p>
    <w:p w:rsidR="00034604" w:rsidRPr="002A2486" w:rsidRDefault="00034604" w:rsidP="00FC562F">
      <w:pPr>
        <w:pStyle w:val="Titolo1"/>
      </w:pPr>
      <w:r w:rsidRPr="002A2486">
        <w:t>III.</w:t>
      </w:r>
      <w:r w:rsidRPr="002A2486">
        <w:tab/>
        <w:t>CONCLUSIONI</w:t>
      </w:r>
    </w:p>
    <w:p w:rsidR="00FC562F" w:rsidRDefault="00034604" w:rsidP="00034604">
      <w:pPr>
        <w:rPr>
          <w:rFonts w:cs="Arial"/>
        </w:rPr>
      </w:pPr>
      <w:r w:rsidRPr="00782130">
        <w:rPr>
          <w:rFonts w:cs="Arial"/>
        </w:rPr>
        <w:t>La legislazione attuale contiene</w:t>
      </w:r>
      <w:r>
        <w:rPr>
          <w:rFonts w:cs="Arial"/>
        </w:rPr>
        <w:t xml:space="preserve"> </w:t>
      </w:r>
      <w:r w:rsidRPr="00782130">
        <w:rPr>
          <w:rFonts w:cs="Arial"/>
        </w:rPr>
        <w:t>parecchi strumenti giuridici per arginare gli abusi nell’ambito delle società bucalettere</w:t>
      </w:r>
      <w:r>
        <w:rPr>
          <w:rFonts w:cs="Arial"/>
        </w:rPr>
        <w:t>, tema che viene già affrontato dalle varie Autorità cantonali facendo uso delle rispettive competenze</w:t>
      </w:r>
      <w:r w:rsidRPr="00782130">
        <w:rPr>
          <w:rFonts w:cs="Arial"/>
        </w:rPr>
        <w:t>.</w:t>
      </w:r>
      <w:r>
        <w:rPr>
          <w:rFonts w:cs="Arial"/>
        </w:rPr>
        <w:t xml:space="preserve"> Il Consiglio di Stato converge sull’importanza di valorizzare il ruolo dei Comuni nella lotta contro le società bucalettere e di migliorare la collaborazione fra le Autorità cantonali e comunali, in particolare, attraverso gli Uffici controllo abitanti dei singoli Comuni, entro i limiti stabiliti dal segreto d’ufficio.</w:t>
      </w:r>
    </w:p>
    <w:p w:rsidR="00034604" w:rsidRPr="005A3637" w:rsidRDefault="00034604" w:rsidP="00034604">
      <w:pPr>
        <w:rPr>
          <w:rFonts w:cs="Arial"/>
        </w:rPr>
      </w:pPr>
      <w:r>
        <w:rPr>
          <w:rFonts w:cs="Arial"/>
        </w:rPr>
        <w:t>In questo senso, ritenute le misure adottate suindicate e al fine di mettere i servizi comunali nella migliore delle condizioni per poter svolgere il compito loro affidato, si provvederà a sensibilizzare i Municipi per il tramite della Piattaforma di dialogo Cantone-Comuni e attraverso comunicazioni mirate da parte dello scrivente Consiglio.</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FC562F" w:rsidRDefault="00B01474" w:rsidP="00B01474">
      <w:pPr>
        <w:rPr>
          <w:sz w:val="20"/>
        </w:rPr>
      </w:pPr>
    </w:p>
    <w:p w:rsidR="00B01474" w:rsidRPr="00FC562F" w:rsidRDefault="00B01474" w:rsidP="00B01474">
      <w:pPr>
        <w:rPr>
          <w:sz w:val="20"/>
        </w:rPr>
      </w:pPr>
    </w:p>
    <w:p w:rsidR="00B01474" w:rsidRPr="00FC562F" w:rsidRDefault="00B01474" w:rsidP="00B01474">
      <w:pPr>
        <w:rPr>
          <w:sz w:val="20"/>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FC562F" w:rsidRDefault="00FC562F" w:rsidP="00B01474"/>
    <w:p w:rsidR="00FC562F" w:rsidRDefault="00FC562F" w:rsidP="00B01474"/>
    <w:p w:rsidR="00FC562F" w:rsidRDefault="00FC562F" w:rsidP="00FC562F">
      <w:r w:rsidRPr="00FC562F">
        <w:rPr>
          <w:sz w:val="22"/>
          <w:szCs w:val="22"/>
        </w:rPr>
        <w:t xml:space="preserve">Annessa:  Mozione </w:t>
      </w:r>
      <w:r>
        <w:rPr>
          <w:sz w:val="22"/>
          <w:szCs w:val="22"/>
        </w:rPr>
        <w:t>5 novembre</w:t>
      </w:r>
      <w:r w:rsidRPr="00FC562F">
        <w:rPr>
          <w:sz w:val="22"/>
          <w:szCs w:val="22"/>
        </w:rPr>
        <w:t xml:space="preserve"> 2018</w:t>
      </w:r>
      <w:r>
        <w:br w:type="page"/>
      </w:r>
    </w:p>
    <w:p w:rsidR="00FC562F" w:rsidRPr="00FC562F" w:rsidRDefault="00FC562F" w:rsidP="00FC562F">
      <w:pPr>
        <w:spacing w:after="120"/>
        <w:rPr>
          <w:rFonts w:cs="Arial"/>
          <w:b/>
          <w:sz w:val="22"/>
          <w:szCs w:val="22"/>
          <w:lang w:val="it-CH"/>
        </w:rPr>
      </w:pPr>
      <w:r w:rsidRPr="00FC562F">
        <w:rPr>
          <w:rFonts w:cs="Arial"/>
          <w:b/>
          <w:sz w:val="22"/>
          <w:szCs w:val="22"/>
          <w:lang w:val="it-CH"/>
        </w:rPr>
        <w:lastRenderedPageBreak/>
        <w:t>MOZIONE</w:t>
      </w:r>
    </w:p>
    <w:p w:rsidR="00FC562F" w:rsidRPr="00FC562F" w:rsidRDefault="00FC562F" w:rsidP="00FC562F">
      <w:pPr>
        <w:rPr>
          <w:rFonts w:cs="Arial"/>
          <w:sz w:val="22"/>
          <w:szCs w:val="22"/>
          <w:lang w:val="it-CH"/>
        </w:rPr>
      </w:pPr>
    </w:p>
    <w:p w:rsidR="00FC562F" w:rsidRPr="00FC562F" w:rsidRDefault="00FC562F" w:rsidP="00FC562F">
      <w:pPr>
        <w:spacing w:after="120"/>
        <w:rPr>
          <w:rFonts w:cs="Arial"/>
          <w:b/>
          <w:sz w:val="22"/>
          <w:szCs w:val="22"/>
          <w:u w:val="single"/>
          <w:lang w:val="it-CH"/>
        </w:rPr>
      </w:pPr>
      <w:r w:rsidRPr="00FC562F">
        <w:rPr>
          <w:rFonts w:cs="Arial"/>
          <w:b/>
          <w:sz w:val="22"/>
          <w:szCs w:val="22"/>
          <w:u w:val="single"/>
          <w:lang w:val="it-CH"/>
        </w:rPr>
        <w:t>Affinché tutti rispettino le regole: avviare un progetto per una lotta efficace agli abusi nell'ambito delle società bucalettere</w:t>
      </w:r>
    </w:p>
    <w:p w:rsidR="00FC562F" w:rsidRPr="00FC562F" w:rsidRDefault="00FC562F" w:rsidP="00FC562F">
      <w:pPr>
        <w:rPr>
          <w:rFonts w:cs="Arial"/>
          <w:sz w:val="22"/>
          <w:szCs w:val="22"/>
          <w:u w:val="single"/>
          <w:lang w:val="it-CH"/>
        </w:rPr>
      </w:pPr>
    </w:p>
    <w:p w:rsidR="00FC562F" w:rsidRPr="00FC562F" w:rsidRDefault="00FC562F" w:rsidP="00FC562F">
      <w:pPr>
        <w:rPr>
          <w:rFonts w:cs="Arial"/>
          <w:sz w:val="22"/>
          <w:szCs w:val="22"/>
          <w:lang w:val="it-CH"/>
        </w:rPr>
      </w:pPr>
      <w:r w:rsidRPr="00FC562F">
        <w:rPr>
          <w:rFonts w:cs="Arial"/>
          <w:sz w:val="22"/>
          <w:szCs w:val="22"/>
          <w:lang w:val="it-CH"/>
        </w:rPr>
        <w:t>del 5 novembre 2018</w:t>
      </w:r>
    </w:p>
    <w:p w:rsidR="00FC562F" w:rsidRPr="00FC562F" w:rsidRDefault="00FC562F" w:rsidP="00FC562F">
      <w:pPr>
        <w:rPr>
          <w:rFonts w:cs="Arial"/>
          <w:sz w:val="22"/>
          <w:szCs w:val="22"/>
          <w:lang w:val="it-CH"/>
        </w:rPr>
      </w:pPr>
    </w:p>
    <w:p w:rsidR="00FC562F" w:rsidRPr="00FC562F" w:rsidRDefault="00FC562F" w:rsidP="00FC562F">
      <w:pPr>
        <w:rPr>
          <w:rFonts w:cs="Arial"/>
          <w:sz w:val="22"/>
          <w:szCs w:val="22"/>
          <w:lang w:val="it-CH"/>
        </w:rPr>
      </w:pPr>
    </w:p>
    <w:p w:rsidR="00FC562F" w:rsidRPr="00FC562F" w:rsidRDefault="00FC562F" w:rsidP="00FC562F">
      <w:pPr>
        <w:rPr>
          <w:rFonts w:cs="Arial"/>
          <w:sz w:val="22"/>
          <w:szCs w:val="22"/>
          <w:lang w:val="it-CH"/>
        </w:rPr>
      </w:pPr>
      <w:r w:rsidRPr="00FC562F">
        <w:rPr>
          <w:rFonts w:cs="Arial"/>
          <w:sz w:val="22"/>
          <w:szCs w:val="22"/>
          <w:lang w:val="it-CH"/>
        </w:rPr>
        <w:t xml:space="preserve">La Svizzera attira molte società grazie alle sue condizioni quadro favorevoli: pressione fiscale competitiva, quadro giuridico stabile e amministrazione pubblica efficiente, burocrazia limitata, ecc. Un fenomeno che ha portato sviluppo economico e benessere a tutto il Cantone. Se è vero che la maggior parte delle imprese si comporta correttamente, e che eventuali fallimenti sono da ascrivere al normale rischio imprenditoriale, è altrettanto vero che nella lotta alle mele marce deve essere messo in campo uno sforzo coordinato ed efficace, questo a tutela proprio di tutti gli imprenditori onesti. </w:t>
      </w:r>
    </w:p>
    <w:p w:rsidR="00FC562F" w:rsidRPr="00FC562F" w:rsidRDefault="00FC562F" w:rsidP="00FC562F">
      <w:pPr>
        <w:spacing w:before="120"/>
        <w:rPr>
          <w:rFonts w:cs="Arial"/>
          <w:sz w:val="22"/>
          <w:szCs w:val="22"/>
          <w:lang w:val="it-CH"/>
        </w:rPr>
      </w:pPr>
      <w:r w:rsidRPr="00FC562F">
        <w:rPr>
          <w:rFonts w:cs="Arial"/>
          <w:sz w:val="22"/>
          <w:szCs w:val="22"/>
          <w:lang w:val="it-CH"/>
        </w:rPr>
        <w:t xml:space="preserve">Il tema dei furbetti che abusano del nostro sistema economico liberale per trarre profitti infrangendo le regole è da anni ormai regolarmente al centro del dibattito politico. In questo contesto più volte negli scorsi mesi si è discusso dell'adozione di misure puntuali per contrastare la diffusione di società "ombra" o "bucalettere" o, in generale, società che si insediano in Ticino per scopi illeciti. </w:t>
      </w:r>
    </w:p>
    <w:p w:rsidR="00FC562F" w:rsidRPr="00FC562F" w:rsidRDefault="00FC562F" w:rsidP="00FC562F">
      <w:pPr>
        <w:spacing w:before="120"/>
        <w:rPr>
          <w:rFonts w:cs="Arial"/>
          <w:sz w:val="22"/>
          <w:szCs w:val="22"/>
          <w:lang w:val="it-CH"/>
        </w:rPr>
      </w:pPr>
      <w:r w:rsidRPr="00FC562F">
        <w:rPr>
          <w:rFonts w:cs="Arial"/>
          <w:sz w:val="22"/>
          <w:szCs w:val="22"/>
          <w:lang w:val="it-CH"/>
        </w:rPr>
        <w:t xml:space="preserve">La stragrande maggior parte delle società, siano queste con o senza dipendenti, hanno scopi perfettamente leciti e sono un tassello importante per la nostra economia. La cronaca ha mostrato che vi sono società che abusano del nostro ordinamento per finalità illecite: truffe, frodi fiscali internazionali, riciclaggio, fallimenti programmati per ottenere ingenti indennità di disoccupazioni e prestazioni assistenziali per parenti e amici ecc. gettano ombre e creano costi al nostro Cantone. La facilità con cui si possono creare società, domiciliarle presso una persona fisica o una società, traslocarle da un Cantone all'altro sono un segno di efficienza che può purtroppo essere usato anche per nascondere e rendere meno rintracciabili eventuali truffe di vario tipo. </w:t>
      </w:r>
    </w:p>
    <w:p w:rsidR="00FC562F" w:rsidRPr="00FC562F" w:rsidRDefault="00FC562F" w:rsidP="00FC562F">
      <w:pPr>
        <w:spacing w:before="120"/>
        <w:rPr>
          <w:rFonts w:cs="Arial"/>
          <w:sz w:val="22"/>
          <w:szCs w:val="22"/>
          <w:lang w:val="it-CH"/>
        </w:rPr>
      </w:pPr>
      <w:r w:rsidRPr="00FC562F">
        <w:rPr>
          <w:rFonts w:cs="Arial"/>
          <w:sz w:val="22"/>
          <w:szCs w:val="22"/>
          <w:lang w:val="it-CH"/>
        </w:rPr>
        <w:t>La lotta contro questi fenomeni deve essere una priorità per la politica cantonale.</w:t>
      </w:r>
    </w:p>
    <w:p w:rsidR="00FC562F" w:rsidRPr="00FC562F" w:rsidRDefault="00FC562F" w:rsidP="00FC562F">
      <w:pPr>
        <w:spacing w:before="120"/>
        <w:rPr>
          <w:rFonts w:cs="Arial"/>
          <w:bCs/>
          <w:sz w:val="22"/>
          <w:szCs w:val="22"/>
          <w:lang w:val="it-CH"/>
        </w:rPr>
      </w:pPr>
      <w:r w:rsidRPr="00FC562F">
        <w:rPr>
          <w:rFonts w:cs="Arial"/>
          <w:sz w:val="22"/>
          <w:szCs w:val="22"/>
          <w:lang w:val="it-CH"/>
        </w:rPr>
        <w:t>Il Consiglio</w:t>
      </w:r>
      <w:r w:rsidRPr="00FC562F">
        <w:rPr>
          <w:rFonts w:cs="Arial"/>
          <w:bCs/>
          <w:sz w:val="22"/>
          <w:szCs w:val="22"/>
          <w:lang w:val="it-CH"/>
        </w:rPr>
        <w:t xml:space="preserve"> federale, rispondendo all'interpellanza n. 18.3453 di Giovanni Merlini</w:t>
      </w:r>
      <w:r w:rsidRPr="00FC562F">
        <w:rPr>
          <w:rStyle w:val="Rimandonotaapidipagina"/>
          <w:rFonts w:cs="Arial"/>
          <w:bCs/>
          <w:sz w:val="22"/>
          <w:szCs w:val="22"/>
          <w:lang w:val="it-CH"/>
        </w:rPr>
        <w:footnoteReference w:id="1"/>
      </w:r>
      <w:r w:rsidRPr="00FC562F">
        <w:rPr>
          <w:rFonts w:cs="Arial"/>
          <w:bCs/>
          <w:sz w:val="22"/>
          <w:szCs w:val="22"/>
          <w:lang w:val="it-CH"/>
        </w:rPr>
        <w:t>, ha spiegato che le imprese che si fanno iscrivere nel registro di commercio devono indicare un domicilio legale e nel luogo del domicilio legale deve essere garantita un'offerta di prestazioni amministrative. L'impresa deve quindi essere fisicamente raggiungibile per le autorità e i clienti. Una semplice bucalettere o una casella postale non bastano come domicilio legale ai sensi del diritto del registro di commercio.</w:t>
      </w:r>
    </w:p>
    <w:p w:rsidR="00FC562F" w:rsidRPr="00FC562F" w:rsidRDefault="00FC562F" w:rsidP="00FC562F">
      <w:pPr>
        <w:spacing w:before="120"/>
        <w:rPr>
          <w:rFonts w:cs="Arial"/>
          <w:bCs/>
          <w:sz w:val="22"/>
          <w:szCs w:val="22"/>
          <w:lang w:val="it-CH"/>
        </w:rPr>
      </w:pPr>
      <w:r w:rsidRPr="00FC562F">
        <w:rPr>
          <w:rFonts w:cs="Arial"/>
          <w:bCs/>
          <w:sz w:val="22"/>
          <w:szCs w:val="22"/>
          <w:lang w:val="it-CH"/>
        </w:rPr>
        <w:t xml:space="preserve">Il Consiglio federale ritiene tuttavia superfluo un obbligo di notifica delle autorità del registro di commercio alle autorità di vigilanza o agli organismi di autodisciplina. Quest'ultimi sono pertanto liberi di fare ricerche secondo determinati criteri. Taluni Comuni – come ad esempio Stabio – si sono dotati di prassi proprie, una sorta di "modus operandi" che permette di avere il polso della quotidianità locale e controllare così l'arrivo di nuove società sul territorio. E il punto di partenza è proprio quel registro di commercio che sancisce l'ufficialità nell'esistenza della nuova ditta. </w:t>
      </w:r>
    </w:p>
    <w:p w:rsidR="00FC562F" w:rsidRPr="00FC562F" w:rsidRDefault="00FC562F" w:rsidP="00FC562F">
      <w:pPr>
        <w:spacing w:before="120"/>
        <w:rPr>
          <w:rFonts w:cs="Arial"/>
          <w:bCs/>
          <w:sz w:val="22"/>
          <w:szCs w:val="22"/>
          <w:lang w:val="it-CH"/>
        </w:rPr>
      </w:pPr>
      <w:r w:rsidRPr="00FC562F">
        <w:rPr>
          <w:rFonts w:cs="Arial"/>
          <w:bCs/>
          <w:sz w:val="22"/>
          <w:szCs w:val="22"/>
          <w:lang w:val="it-CH"/>
        </w:rPr>
        <w:t>In ques</w:t>
      </w:r>
      <w:r w:rsidRPr="00FC562F">
        <w:rPr>
          <w:rFonts w:cs="Arial"/>
          <w:sz w:val="22"/>
          <w:szCs w:val="22"/>
          <w:lang w:val="it-CH"/>
        </w:rPr>
        <w:t xml:space="preserve">to contesto è quindi importante che a livello cantonale si sviluppi una strategia coordinata che coinvolga i diversi attori interessati, rispettivamente i due piani istituzionali. </w:t>
      </w:r>
      <w:r w:rsidRPr="00FC562F">
        <w:rPr>
          <w:rFonts w:cs="Arial"/>
          <w:bCs/>
          <w:sz w:val="22"/>
          <w:szCs w:val="22"/>
          <w:lang w:val="it-CH"/>
        </w:rPr>
        <w:t>Allo scopo di sviluppare, valutare e implementare delle misure volte a contrastare questo tipo di attività e a prevenire fenomeni illeciti, con la presente mozione chiediamo al Consiglio di Stato di:</w:t>
      </w:r>
    </w:p>
    <w:p w:rsidR="00FC562F" w:rsidRPr="00FC562F" w:rsidRDefault="00FC562F" w:rsidP="00FC562F">
      <w:pPr>
        <w:pStyle w:val="Paragrafoelenco"/>
        <w:numPr>
          <w:ilvl w:val="0"/>
          <w:numId w:val="21"/>
        </w:numPr>
        <w:spacing w:before="120"/>
        <w:ind w:left="425" w:hanging="425"/>
        <w:contextualSpacing w:val="0"/>
        <w:rPr>
          <w:rFonts w:cs="Arial"/>
          <w:sz w:val="22"/>
          <w:szCs w:val="22"/>
        </w:rPr>
      </w:pPr>
      <w:r w:rsidRPr="00FC562F">
        <w:rPr>
          <w:rFonts w:cs="Arial"/>
          <w:sz w:val="22"/>
          <w:szCs w:val="22"/>
        </w:rPr>
        <w:t>lottare contro le strutture che, agendo illecitamente, praticano una concorrenza sleale e approfittano del nostro sistema;</w:t>
      </w:r>
    </w:p>
    <w:p w:rsidR="00FC562F" w:rsidRPr="00FC562F" w:rsidRDefault="00FC562F" w:rsidP="00FC562F">
      <w:pPr>
        <w:pStyle w:val="Paragrafoelenco"/>
        <w:numPr>
          <w:ilvl w:val="0"/>
          <w:numId w:val="21"/>
        </w:numPr>
        <w:spacing w:before="120"/>
        <w:ind w:left="425" w:hanging="425"/>
        <w:contextualSpacing w:val="0"/>
        <w:rPr>
          <w:rFonts w:cs="Arial"/>
          <w:sz w:val="22"/>
          <w:szCs w:val="22"/>
        </w:rPr>
      </w:pPr>
      <w:r w:rsidRPr="00FC562F">
        <w:rPr>
          <w:rFonts w:cs="Arial"/>
          <w:sz w:val="22"/>
          <w:szCs w:val="22"/>
        </w:rPr>
        <w:t>migliorare la collaborazione tra i vari attori in favore di un modello di lotta a questi fenomeni più efficace ed efficiente;</w:t>
      </w:r>
    </w:p>
    <w:p w:rsidR="00FC562F" w:rsidRPr="00FC562F" w:rsidRDefault="00FC562F" w:rsidP="00FC562F">
      <w:pPr>
        <w:pStyle w:val="Paragrafoelenco"/>
        <w:numPr>
          <w:ilvl w:val="0"/>
          <w:numId w:val="21"/>
        </w:numPr>
        <w:spacing w:before="120"/>
        <w:ind w:left="425" w:hanging="425"/>
        <w:contextualSpacing w:val="0"/>
        <w:rPr>
          <w:rFonts w:cs="Arial"/>
          <w:sz w:val="22"/>
          <w:szCs w:val="22"/>
        </w:rPr>
      </w:pPr>
      <w:r w:rsidRPr="00FC562F">
        <w:rPr>
          <w:rFonts w:cs="Arial"/>
          <w:sz w:val="22"/>
          <w:szCs w:val="22"/>
        </w:rPr>
        <w:t>valorizzare il ruolo di primo piano dei Comuni quale livello istituzionale che conosce e controlla il territorio.</w:t>
      </w:r>
    </w:p>
    <w:p w:rsidR="00FC562F" w:rsidRPr="00FC562F" w:rsidRDefault="00FC562F" w:rsidP="00FC562F">
      <w:pPr>
        <w:rPr>
          <w:rFonts w:cs="Arial"/>
          <w:sz w:val="22"/>
          <w:szCs w:val="22"/>
        </w:rPr>
      </w:pPr>
    </w:p>
    <w:p w:rsidR="00FC562F" w:rsidRPr="00FC562F" w:rsidRDefault="00FC562F" w:rsidP="00FC562F">
      <w:pPr>
        <w:rPr>
          <w:rFonts w:cs="Arial"/>
          <w:bCs/>
          <w:sz w:val="22"/>
          <w:szCs w:val="22"/>
          <w:lang w:val="it-CH"/>
        </w:rPr>
      </w:pPr>
      <w:r w:rsidRPr="00FC562F">
        <w:rPr>
          <w:rFonts w:cs="Arial"/>
          <w:bCs/>
          <w:sz w:val="22"/>
          <w:szCs w:val="22"/>
          <w:lang w:val="it-CH"/>
        </w:rPr>
        <w:lastRenderedPageBreak/>
        <w:t xml:space="preserve">A tal proposito si invita il Consiglio di Stato a coinvolgere Comuni, uffici cantonali, associazioni interessate (in particolare nell'ambito fiduciario-finanziario) e magistratura in un progetto per individuare delle misure e definire un piano d'azione condiviso per i vari enti coinvolti e al fine di migliorarne la collaborazione e l'efficacia di intervento nella lotta a questi fenomeni. </w:t>
      </w:r>
    </w:p>
    <w:p w:rsidR="00FC562F" w:rsidRPr="00FC562F" w:rsidRDefault="00FC562F" w:rsidP="00FC562F">
      <w:pPr>
        <w:rPr>
          <w:rFonts w:cs="Arial"/>
          <w:bCs/>
          <w:sz w:val="22"/>
          <w:szCs w:val="22"/>
          <w:lang w:val="it-CH"/>
        </w:rPr>
      </w:pPr>
    </w:p>
    <w:p w:rsidR="00FC562F" w:rsidRPr="00FC562F" w:rsidRDefault="00FC562F" w:rsidP="00FC562F">
      <w:pPr>
        <w:rPr>
          <w:rFonts w:cs="Arial"/>
          <w:bCs/>
          <w:sz w:val="22"/>
          <w:szCs w:val="22"/>
          <w:lang w:val="it-CH"/>
        </w:rPr>
      </w:pPr>
    </w:p>
    <w:p w:rsidR="00FC562F" w:rsidRPr="00FC562F" w:rsidRDefault="00FC562F" w:rsidP="00FC562F">
      <w:pPr>
        <w:rPr>
          <w:rFonts w:cs="Arial"/>
          <w:bCs/>
          <w:sz w:val="22"/>
          <w:szCs w:val="22"/>
          <w:lang w:val="it-CH"/>
        </w:rPr>
      </w:pPr>
      <w:r w:rsidRPr="00FC562F">
        <w:rPr>
          <w:rFonts w:cs="Arial"/>
          <w:bCs/>
          <w:sz w:val="22"/>
          <w:szCs w:val="22"/>
          <w:lang w:val="it-CH"/>
        </w:rPr>
        <w:t>Alex Farinelli</w:t>
      </w:r>
    </w:p>
    <w:p w:rsidR="00FC562F" w:rsidRPr="00FC562F" w:rsidRDefault="00FC562F" w:rsidP="00FC562F">
      <w:pPr>
        <w:rPr>
          <w:rFonts w:cs="Arial"/>
          <w:bCs/>
          <w:sz w:val="22"/>
          <w:szCs w:val="22"/>
          <w:lang w:val="it-CH"/>
        </w:rPr>
      </w:pPr>
      <w:r w:rsidRPr="00FC562F">
        <w:rPr>
          <w:rFonts w:cs="Arial"/>
          <w:bCs/>
          <w:sz w:val="22"/>
          <w:szCs w:val="22"/>
          <w:lang w:val="it-CH"/>
        </w:rPr>
        <w:t>Per il Gruppo PLR</w:t>
      </w:r>
    </w:p>
    <w:p w:rsidR="00FC562F" w:rsidRPr="00FC562F" w:rsidRDefault="00FC562F" w:rsidP="00FC562F">
      <w:pPr>
        <w:rPr>
          <w:rFonts w:cs="Arial"/>
          <w:bCs/>
          <w:sz w:val="22"/>
          <w:szCs w:val="22"/>
          <w:lang w:val="it-CH"/>
        </w:rPr>
      </w:pPr>
    </w:p>
    <w:p w:rsidR="00FC562F" w:rsidRPr="00FC562F" w:rsidRDefault="00FC562F" w:rsidP="00B01474">
      <w:pPr>
        <w:rPr>
          <w:sz w:val="22"/>
          <w:szCs w:val="22"/>
        </w:rPr>
      </w:pPr>
    </w:p>
    <w:sectPr w:rsidR="00FC562F" w:rsidRPr="00FC562F"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44F9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 w:id="1">
    <w:p w:rsidR="00FC562F" w:rsidRPr="00FC562F" w:rsidRDefault="00FC562F" w:rsidP="00FC562F">
      <w:pPr>
        <w:pStyle w:val="Testonotaapidipagina"/>
        <w:rPr>
          <w:rFonts w:cs="Arial"/>
          <w:sz w:val="18"/>
          <w:szCs w:val="18"/>
        </w:rPr>
      </w:pPr>
      <w:r w:rsidRPr="00FC562F">
        <w:rPr>
          <w:rStyle w:val="Rimandonotaapidipagina"/>
          <w:rFonts w:cs="Arial"/>
          <w:sz w:val="18"/>
          <w:szCs w:val="18"/>
        </w:rPr>
        <w:footnoteRef/>
      </w:r>
      <w:r w:rsidRPr="00FC562F">
        <w:rPr>
          <w:rFonts w:cs="Arial"/>
          <w:sz w:val="18"/>
          <w:szCs w:val="18"/>
        </w:rPr>
        <w:t xml:space="preserve"> </w:t>
      </w:r>
      <w:hyperlink r:id="rId1" w:history="1">
        <w:r w:rsidRPr="00FC562F">
          <w:rPr>
            <w:rStyle w:val="Collegamentoipertestuale"/>
            <w:rFonts w:cs="Arial"/>
            <w:sz w:val="18"/>
            <w:szCs w:val="18"/>
          </w:rPr>
          <w:t>https://www.parlament.ch/it/ratsbetrieb/suche-curia-vista/geschaeft?AffairId=20183453</w:t>
        </w:r>
      </w:hyperlink>
      <w:r w:rsidRPr="00FC562F">
        <w:rPr>
          <w:rFonts w:cs="Arial"/>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5784C15"/>
    <w:multiLevelType w:val="hybridMultilevel"/>
    <w:tmpl w:val="D270C44C"/>
    <w:lvl w:ilvl="0" w:tplc="68FA9EBA">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41243BE9"/>
    <w:multiLevelType w:val="hybridMultilevel"/>
    <w:tmpl w:val="458C77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6"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7"/>
  </w:num>
  <w:num w:numId="6">
    <w:abstractNumId w:val="4"/>
  </w:num>
  <w:num w:numId="7">
    <w:abstractNumId w:val="14"/>
  </w:num>
  <w:num w:numId="8">
    <w:abstractNumId w:val="17"/>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9"/>
  </w:num>
  <w:num w:numId="14">
    <w:abstractNumId w:val="6"/>
  </w:num>
  <w:num w:numId="15">
    <w:abstractNumId w:val="19"/>
  </w:num>
  <w:num w:numId="16">
    <w:abstractNumId w:val="15"/>
  </w:num>
  <w:num w:numId="17">
    <w:abstractNumId w:val="2"/>
  </w:num>
  <w:num w:numId="18">
    <w:abstractNumId w:val="1"/>
  </w:num>
  <w:num w:numId="19">
    <w:abstractNumId w:val="0"/>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34604"/>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4F98"/>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C562F"/>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CCAE5"/>
  <w15:docId w15:val="{947A43F1-9716-4C43-B367-9923A86DA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parlament.ch/it/ratsbetrieb/suche-curia-vista/geschaeft?AffairId=20183453"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3120</Words>
  <Characters>18324</Characters>
  <Application>Microsoft Office Word</Application>
  <DocSecurity>0</DocSecurity>
  <Lines>152</Lines>
  <Paragraphs>42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2020-02-06T10:27:00Z</cp:lastPrinted>
  <dcterms:created xsi:type="dcterms:W3CDTF">2020-02-06T10:28:00Z</dcterms:created>
  <dcterms:modified xsi:type="dcterms:W3CDTF">2020-02-06T10:28:00Z</dcterms:modified>
</cp:coreProperties>
</file>