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E2732B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17 agosto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120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Pr="00E147C2" w:rsidRDefault="00A855E1">
      <w:pPr>
        <w:rPr>
          <w:rFonts w:ascii="Arial" w:hAnsi="Arial" w:cs="Arial"/>
          <w:sz w:val="20"/>
          <w:szCs w:val="20"/>
        </w:rPr>
      </w:pPr>
    </w:p>
    <w:p w:rsidR="00A855E1" w:rsidRPr="00E147C2" w:rsidRDefault="00A855E1">
      <w:pPr>
        <w:rPr>
          <w:rFonts w:ascii="Arial" w:hAnsi="Arial" w:cs="Arial"/>
          <w:sz w:val="20"/>
          <w:szCs w:val="20"/>
        </w:rPr>
      </w:pPr>
    </w:p>
    <w:p w:rsidR="00A855E1" w:rsidRPr="00E147C2" w:rsidRDefault="00A855E1">
      <w:pPr>
        <w:rPr>
          <w:rFonts w:ascii="Arial" w:hAnsi="Arial" w:cs="Arial"/>
          <w:sz w:val="20"/>
          <w:szCs w:val="20"/>
        </w:rPr>
      </w:pPr>
    </w:p>
    <w:p w:rsidR="005138FD" w:rsidRPr="00E147C2" w:rsidRDefault="005138FD">
      <w:pPr>
        <w:rPr>
          <w:rFonts w:ascii="Arial" w:hAnsi="Arial" w:cs="Arial"/>
          <w:sz w:val="20"/>
          <w:szCs w:val="20"/>
        </w:rPr>
      </w:pPr>
    </w:p>
    <w:p w:rsidR="00417666" w:rsidRPr="00E147C2" w:rsidRDefault="00417666">
      <w:pPr>
        <w:rPr>
          <w:rFonts w:ascii="Arial" w:hAnsi="Arial" w:cs="Arial"/>
          <w:sz w:val="20"/>
          <w:szCs w:val="20"/>
        </w:rPr>
      </w:pPr>
    </w:p>
    <w:p w:rsidR="00A855E1" w:rsidRPr="00E147C2" w:rsidRDefault="00A855E1">
      <w:pPr>
        <w:rPr>
          <w:rFonts w:ascii="Arial" w:hAnsi="Arial" w:cs="Arial"/>
          <w:sz w:val="20"/>
          <w:szCs w:val="20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Pr="00E147C2" w:rsidRDefault="00A855E1">
      <w:pPr>
        <w:rPr>
          <w:rFonts w:ascii="Arial" w:hAnsi="Arial" w:cs="Arial"/>
          <w:sz w:val="20"/>
          <w:szCs w:val="20"/>
        </w:rPr>
      </w:pPr>
    </w:p>
    <w:p w:rsidR="005138FD" w:rsidRPr="00E147C2" w:rsidRDefault="005138FD">
      <w:pPr>
        <w:rPr>
          <w:rFonts w:ascii="Arial" w:hAnsi="Arial" w:cs="Arial"/>
          <w:sz w:val="20"/>
          <w:szCs w:val="20"/>
        </w:rPr>
      </w:pPr>
    </w:p>
    <w:p w:rsidR="00A855E1" w:rsidRPr="00E147C2" w:rsidRDefault="00A855E1">
      <w:pPr>
        <w:rPr>
          <w:rFonts w:ascii="Arial" w:hAnsi="Arial" w:cs="Arial"/>
          <w:sz w:val="20"/>
          <w:szCs w:val="20"/>
        </w:rPr>
      </w:pPr>
    </w:p>
    <w:p w:rsidR="00C10368" w:rsidRPr="00E147C2" w:rsidRDefault="00C10368" w:rsidP="00C10368">
      <w:pPr>
        <w:rPr>
          <w:rFonts w:ascii="Arial" w:hAnsi="Arial" w:cs="Arial"/>
          <w:b/>
          <w:sz w:val="26"/>
          <w:szCs w:val="26"/>
          <w:highlight w:val="white"/>
        </w:rPr>
      </w:pPr>
      <w:r w:rsidRPr="00E147C2">
        <w:rPr>
          <w:rFonts w:ascii="Arial" w:hAnsi="Arial" w:cs="Arial"/>
          <w:b/>
          <w:sz w:val="26"/>
          <w:szCs w:val="26"/>
          <w:highlight w:val="white"/>
        </w:rPr>
        <w:t>Cure metadoniche senza fine?</w:t>
      </w:r>
    </w:p>
    <w:p w:rsidR="00C10368" w:rsidRPr="00E147C2" w:rsidRDefault="00C10368" w:rsidP="00C10368">
      <w:pPr>
        <w:rPr>
          <w:rFonts w:ascii="Arial" w:hAnsi="Arial" w:cs="Arial"/>
          <w:sz w:val="20"/>
          <w:szCs w:val="20"/>
          <w:highlight w:val="white"/>
        </w:rPr>
      </w:pPr>
    </w:p>
    <w:p w:rsidR="00C10368" w:rsidRPr="00E147C2" w:rsidRDefault="00C10368" w:rsidP="00C10368">
      <w:pPr>
        <w:rPr>
          <w:rFonts w:ascii="Arial" w:hAnsi="Arial" w:cs="Arial"/>
          <w:sz w:val="20"/>
          <w:szCs w:val="20"/>
          <w:highlight w:val="white"/>
        </w:rPr>
      </w:pPr>
    </w:p>
    <w:p w:rsidR="00C10368" w:rsidRPr="00E147C2" w:rsidRDefault="00C10368" w:rsidP="00E147C2">
      <w:pPr>
        <w:spacing w:after="80"/>
        <w:rPr>
          <w:rFonts w:ascii="Arial" w:hAnsi="Arial" w:cs="Arial"/>
          <w:b/>
          <w:i/>
          <w:highlight w:val="white"/>
        </w:rPr>
      </w:pPr>
      <w:r w:rsidRPr="00E147C2">
        <w:rPr>
          <w:rFonts w:ascii="Arial" w:hAnsi="Arial" w:cs="Arial"/>
          <w:b/>
          <w:i/>
          <w:highlight w:val="white"/>
        </w:rPr>
        <w:t>Premessa</w:t>
      </w:r>
    </w:p>
    <w:p w:rsidR="00C10368" w:rsidRPr="00E147C2" w:rsidRDefault="00C10368" w:rsidP="00C10368">
      <w:pPr>
        <w:rPr>
          <w:rFonts w:ascii="Arial" w:hAnsi="Arial" w:cs="Arial"/>
          <w:highlight w:val="white"/>
        </w:rPr>
      </w:pPr>
      <w:r w:rsidRPr="00E147C2">
        <w:rPr>
          <w:rFonts w:ascii="Arial" w:hAnsi="Arial" w:cs="Arial"/>
          <w:highlight w:val="white"/>
        </w:rPr>
        <w:t>Il metadone è un oppiaceo di sintesi (cioè fabbricato in laboratorio) utilizzato nella cura della tossicodipendenza da eroina ed in grado di combattere i sintomi della sindrome di astinenza di quest’ultima.</w:t>
      </w:r>
    </w:p>
    <w:p w:rsidR="00C10368" w:rsidRPr="00E147C2" w:rsidRDefault="00C10368" w:rsidP="00C10368">
      <w:pPr>
        <w:rPr>
          <w:rFonts w:ascii="Arial" w:hAnsi="Arial" w:cs="Arial"/>
          <w:highlight w:val="white"/>
        </w:rPr>
      </w:pPr>
      <w:r w:rsidRPr="00E147C2">
        <w:rPr>
          <w:rFonts w:ascii="Arial" w:hAnsi="Arial" w:cs="Arial"/>
          <w:highlight w:val="white"/>
        </w:rPr>
        <w:t>Con la riduzione progressiva della dose fino a 0 si può curare la dipendenza fisica con poca sofferenza. In genere per un certo tempo (alcune settimane) dopo la fine della disintossicazione permane un certo malessere con insonnia, nervosismo, cattivo umore.</w:t>
      </w:r>
    </w:p>
    <w:p w:rsidR="00C10368" w:rsidRPr="00E147C2" w:rsidRDefault="00C10368" w:rsidP="00C10368">
      <w:pPr>
        <w:rPr>
          <w:rFonts w:ascii="Arial" w:hAnsi="Arial" w:cs="Arial"/>
          <w:highlight w:val="white"/>
        </w:rPr>
      </w:pPr>
      <w:r w:rsidRPr="00E147C2">
        <w:rPr>
          <w:rFonts w:ascii="Arial" w:hAnsi="Arial" w:cs="Arial"/>
          <w:highlight w:val="white"/>
        </w:rPr>
        <w:t>Poi questi disturbi dovrebbero scomparire e tutto dovrebbe tornare normale.</w:t>
      </w:r>
    </w:p>
    <w:p w:rsidR="00C10368" w:rsidRPr="00E147C2" w:rsidRDefault="00C10368" w:rsidP="00C10368">
      <w:pPr>
        <w:rPr>
          <w:rFonts w:ascii="Arial" w:hAnsi="Arial" w:cs="Arial"/>
          <w:highlight w:val="white"/>
        </w:rPr>
      </w:pPr>
      <w:r w:rsidRPr="00E147C2">
        <w:rPr>
          <w:rFonts w:ascii="Arial" w:hAnsi="Arial" w:cs="Arial"/>
          <w:highlight w:val="white"/>
        </w:rPr>
        <w:t>Tutto questo però in una buona parte dei casi è solo teorico, in quanto la dipendenza fisica è solo una parte della dipendenza.</w:t>
      </w:r>
    </w:p>
    <w:p w:rsidR="00C10368" w:rsidRPr="00E147C2" w:rsidRDefault="00C10368" w:rsidP="00C10368">
      <w:pPr>
        <w:rPr>
          <w:rFonts w:ascii="Arial" w:hAnsi="Arial" w:cs="Arial"/>
          <w:highlight w:val="white"/>
        </w:rPr>
      </w:pPr>
      <w:r w:rsidRPr="00E147C2">
        <w:rPr>
          <w:rFonts w:ascii="Arial" w:hAnsi="Arial" w:cs="Arial"/>
          <w:highlight w:val="white"/>
        </w:rPr>
        <w:t>Finita la dipendenza fisica resta comunque quella psichica: il vero problema.</w:t>
      </w:r>
    </w:p>
    <w:p w:rsidR="00C10368" w:rsidRPr="00E147C2" w:rsidRDefault="00C10368" w:rsidP="00C10368">
      <w:pPr>
        <w:rPr>
          <w:rFonts w:ascii="Arial" w:hAnsi="Arial" w:cs="Arial"/>
        </w:rPr>
      </w:pPr>
      <w:r w:rsidRPr="00E147C2">
        <w:rPr>
          <w:rFonts w:ascii="Arial" w:hAnsi="Arial" w:cs="Arial"/>
          <w:highlight w:val="white"/>
        </w:rPr>
        <w:t>Il trattamento con il metadone non serve solo a curare la dipendenza fisica, ma aiuta a tenere sotto controllo anche quella psichica. Per questo non è facile “staccarsi” dal metadone perché quando si riduce la dose quotidiana il desiderio dell’eroina aumenta e diventa sempre più difficile - per chi è dipendente - resistere alla tentazione di tornare ad usare eroina.</w:t>
      </w:r>
    </w:p>
    <w:p w:rsidR="00C10368" w:rsidRPr="00E147C2" w:rsidRDefault="00C10368" w:rsidP="00C10368">
      <w:pPr>
        <w:rPr>
          <w:rFonts w:ascii="Arial" w:hAnsi="Arial" w:cs="Arial"/>
        </w:rPr>
      </w:pPr>
    </w:p>
    <w:p w:rsidR="00C10368" w:rsidRPr="00E147C2" w:rsidRDefault="00C10368" w:rsidP="00E147C2">
      <w:pPr>
        <w:spacing w:after="80"/>
        <w:rPr>
          <w:rFonts w:ascii="Arial" w:hAnsi="Arial" w:cs="Arial"/>
          <w:b/>
          <w:i/>
          <w:highlight w:val="white"/>
        </w:rPr>
      </w:pPr>
      <w:r w:rsidRPr="00E147C2">
        <w:rPr>
          <w:rFonts w:ascii="Arial" w:hAnsi="Arial" w:cs="Arial"/>
          <w:b/>
          <w:i/>
          <w:highlight w:val="white"/>
        </w:rPr>
        <w:t>La discussione e gli interventi</w:t>
      </w:r>
    </w:p>
    <w:p w:rsidR="00C10368" w:rsidRPr="00E147C2" w:rsidRDefault="00C10368" w:rsidP="00C10368">
      <w:pPr>
        <w:rPr>
          <w:rFonts w:ascii="Arial" w:hAnsi="Arial" w:cs="Arial"/>
        </w:rPr>
      </w:pPr>
      <w:r w:rsidRPr="00E147C2">
        <w:rPr>
          <w:rFonts w:ascii="Arial" w:hAnsi="Arial" w:cs="Arial"/>
        </w:rPr>
        <w:t>Nel rapporto di maggioranza (R1/ 561</w:t>
      </w:r>
      <w:r w:rsidR="00E147C2">
        <w:rPr>
          <w:rFonts w:ascii="Arial" w:hAnsi="Arial" w:cs="Arial"/>
        </w:rPr>
        <w:t>8) del 15 febbraio 2007, della C</w:t>
      </w:r>
      <w:r w:rsidRPr="00E147C2">
        <w:rPr>
          <w:rFonts w:ascii="Arial" w:hAnsi="Arial" w:cs="Arial"/>
        </w:rPr>
        <w:t>ommissione Sanità e Socialità, riguardo l’eventuale introduzion</w:t>
      </w:r>
      <w:r w:rsidR="00E147C2">
        <w:rPr>
          <w:rFonts w:ascii="Arial" w:hAnsi="Arial" w:cs="Arial"/>
        </w:rPr>
        <w:t>e di eroina a scopo medico, la C</w:t>
      </w:r>
      <w:r w:rsidRPr="00E147C2">
        <w:rPr>
          <w:rFonts w:ascii="Arial" w:hAnsi="Arial" w:cs="Arial"/>
        </w:rPr>
        <w:t>ommissione così si esprimeva:</w:t>
      </w:r>
    </w:p>
    <w:p w:rsidR="00C10368" w:rsidRPr="00E147C2" w:rsidRDefault="00C10368" w:rsidP="00C10368">
      <w:pPr>
        <w:rPr>
          <w:rFonts w:ascii="Arial" w:hAnsi="Arial" w:cs="Arial"/>
          <w:i/>
          <w:sz w:val="12"/>
          <w:szCs w:val="12"/>
        </w:rPr>
      </w:pP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</w:rPr>
      </w:pPr>
      <w:r w:rsidRPr="00E147C2">
        <w:rPr>
          <w:rFonts w:ascii="Arial" w:hAnsi="Arial" w:cs="Arial"/>
          <w:i/>
          <w:sz w:val="21"/>
          <w:szCs w:val="21"/>
        </w:rPr>
        <w:t>“Nel 1991 la Confederazione adotta un pacchetto di misure (</w:t>
      </w:r>
      <w:proofErr w:type="spellStart"/>
      <w:r w:rsidRPr="00E147C2">
        <w:rPr>
          <w:rFonts w:ascii="Arial" w:hAnsi="Arial" w:cs="Arial"/>
          <w:i/>
          <w:sz w:val="21"/>
          <w:szCs w:val="21"/>
        </w:rPr>
        <w:t>ProMeDro</w:t>
      </w:r>
      <w:proofErr w:type="spellEnd"/>
      <w:r w:rsidRPr="00E147C2">
        <w:rPr>
          <w:rFonts w:ascii="Arial" w:hAnsi="Arial" w:cs="Arial"/>
          <w:i/>
          <w:sz w:val="21"/>
          <w:szCs w:val="21"/>
        </w:rPr>
        <w:t xml:space="preserve"> 1990-1996) volte a contenere il fenomeno droga basato sui famosi quattro pilastri: prevenzione, terapia, riduzione del danno e repressione. Per la prima volta si esprime ufficialmente, da parte dell’</w:t>
      </w:r>
      <w:r w:rsidR="00E147C2" w:rsidRPr="00E147C2">
        <w:rPr>
          <w:rFonts w:ascii="Arial" w:hAnsi="Arial" w:cs="Arial"/>
          <w:i/>
          <w:sz w:val="21"/>
          <w:szCs w:val="21"/>
        </w:rPr>
        <w:t>Autorità</w:t>
      </w:r>
      <w:r w:rsidRPr="00E147C2">
        <w:rPr>
          <w:rFonts w:ascii="Arial" w:hAnsi="Arial" w:cs="Arial"/>
          <w:i/>
          <w:sz w:val="21"/>
          <w:szCs w:val="21"/>
        </w:rPr>
        <w:t xml:space="preserve">̀ Federale, l’idea di prescrivere sostanze stupefacenti, inclusa l’eroina, a tossicodipendenti, nella speranza, inizialmente espressa chiaramente, di </w:t>
      </w:r>
      <w:r w:rsidRPr="00E147C2">
        <w:rPr>
          <w:rFonts w:ascii="Arial" w:hAnsi="Arial" w:cs="Arial"/>
          <w:i/>
          <w:sz w:val="21"/>
          <w:szCs w:val="21"/>
          <w:u w:val="single"/>
        </w:rPr>
        <w:t xml:space="preserve">indurli all’astinenza, </w:t>
      </w:r>
      <w:r w:rsidR="00E147C2" w:rsidRPr="00E147C2">
        <w:rPr>
          <w:rFonts w:ascii="Arial" w:hAnsi="Arial" w:cs="Arial"/>
          <w:i/>
          <w:sz w:val="21"/>
          <w:szCs w:val="21"/>
          <w:u w:val="single"/>
        </w:rPr>
        <w:t>cioè</w:t>
      </w:r>
      <w:r w:rsidRPr="00E147C2">
        <w:rPr>
          <w:rFonts w:ascii="Arial" w:hAnsi="Arial" w:cs="Arial"/>
          <w:i/>
          <w:sz w:val="21"/>
          <w:szCs w:val="21"/>
          <w:u w:val="single"/>
        </w:rPr>
        <w:t>̀ di guarirli</w:t>
      </w:r>
      <w:r w:rsidRPr="00E147C2">
        <w:rPr>
          <w:rFonts w:ascii="Arial" w:hAnsi="Arial" w:cs="Arial"/>
          <w:i/>
          <w:sz w:val="21"/>
          <w:szCs w:val="21"/>
        </w:rPr>
        <w:t>.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</w:rPr>
      </w:pPr>
      <w:r w:rsidRPr="00E147C2">
        <w:rPr>
          <w:rFonts w:ascii="Arial" w:hAnsi="Arial" w:cs="Arial"/>
          <w:i/>
          <w:sz w:val="21"/>
          <w:szCs w:val="21"/>
        </w:rPr>
        <w:t>(...)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</w:rPr>
      </w:pPr>
      <w:r w:rsidRPr="00E147C2">
        <w:rPr>
          <w:rFonts w:ascii="Arial" w:hAnsi="Arial" w:cs="Arial"/>
          <w:i/>
          <w:sz w:val="21"/>
          <w:szCs w:val="21"/>
        </w:rPr>
        <w:t xml:space="preserve">La scena aperta, timida nei principali centri del Cantone, appare progressivamente con maggior </w:t>
      </w:r>
      <w:r w:rsidR="00E147C2" w:rsidRPr="00E147C2">
        <w:rPr>
          <w:rFonts w:ascii="Arial" w:hAnsi="Arial" w:cs="Arial"/>
          <w:i/>
          <w:sz w:val="21"/>
          <w:szCs w:val="21"/>
        </w:rPr>
        <w:t>visibilità</w:t>
      </w:r>
      <w:r w:rsidRPr="00E147C2">
        <w:rPr>
          <w:rFonts w:ascii="Arial" w:hAnsi="Arial" w:cs="Arial"/>
          <w:i/>
          <w:sz w:val="21"/>
          <w:szCs w:val="21"/>
        </w:rPr>
        <w:t>̀ a Lugano nel parco Ciani negli anni 1992-93. Il Municipio reagisce però con risolutezza e mentre da una parte sostiene finanziariamente le istituzioni d’assistenza e di ricupero poste sul suo territorio, dall’altra reprime decisamente, con interventi dissuasivi della polizia, i tentativi di “istituzionalizzazione “ del consumo e dello spaccio a cielo aperto, con il sostegno della grande maggioranza della leadership politica e della stampa.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</w:rPr>
      </w:pPr>
      <w:r w:rsidRPr="00E147C2">
        <w:rPr>
          <w:rFonts w:ascii="Arial" w:hAnsi="Arial" w:cs="Arial"/>
          <w:i/>
          <w:sz w:val="21"/>
          <w:szCs w:val="21"/>
        </w:rPr>
        <w:t>(...)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</w:rPr>
      </w:pPr>
      <w:r w:rsidRPr="00E147C2">
        <w:rPr>
          <w:rFonts w:ascii="Arial" w:hAnsi="Arial" w:cs="Arial"/>
          <w:i/>
          <w:sz w:val="21"/>
          <w:szCs w:val="21"/>
        </w:rPr>
        <w:t>Il Consiglio di Stato affida al Gruppo operativo droga (GOD) prima, al Gruppo esperti in materia di tossicomanie(GE) poi, dapprima la coordinazione degli interventi relativi ai pilastri della terapia e della riduzione del danno e infine, al Gruppo esperti, la consulenza relativa a tutti e quattro pilastri nel campo delle tossicomanie.</w:t>
      </w:r>
    </w:p>
    <w:p w:rsidR="00C10368" w:rsidRPr="00E147C2" w:rsidRDefault="00C10368" w:rsidP="00C10368">
      <w:pPr>
        <w:rPr>
          <w:rFonts w:ascii="Arial" w:hAnsi="Arial" w:cs="Arial"/>
          <w:i/>
          <w:sz w:val="16"/>
          <w:szCs w:val="16"/>
        </w:rPr>
      </w:pPr>
    </w:p>
    <w:p w:rsidR="00C10368" w:rsidRPr="00E147C2" w:rsidRDefault="00C10368" w:rsidP="00E147C2">
      <w:pPr>
        <w:spacing w:after="60"/>
        <w:rPr>
          <w:rFonts w:ascii="Arial" w:hAnsi="Arial" w:cs="Arial"/>
          <w:b/>
          <w:i/>
          <w:sz w:val="20"/>
          <w:szCs w:val="20"/>
          <w:highlight w:val="white"/>
        </w:rPr>
      </w:pPr>
      <w:r w:rsidRPr="00E147C2">
        <w:rPr>
          <w:rFonts w:ascii="Arial" w:hAnsi="Arial" w:cs="Arial"/>
          <w:b/>
          <w:i/>
          <w:sz w:val="20"/>
          <w:szCs w:val="20"/>
          <w:highlight w:val="white"/>
        </w:rPr>
        <w:t>IL PIANO CANTONALE D’INTERVENTI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  <w:highlight w:val="white"/>
        </w:rPr>
      </w:pPr>
      <w:r w:rsidRPr="00E147C2">
        <w:rPr>
          <w:rFonts w:ascii="Arial" w:hAnsi="Arial" w:cs="Arial"/>
          <w:i/>
          <w:sz w:val="21"/>
          <w:szCs w:val="21"/>
          <w:highlight w:val="white"/>
        </w:rPr>
        <w:t xml:space="preserve">Mentre il GOD ebbe un ruolo </w:t>
      </w:r>
      <w:r w:rsidR="00E147C2" w:rsidRPr="00E147C2">
        <w:rPr>
          <w:rFonts w:ascii="Arial" w:hAnsi="Arial" w:cs="Arial"/>
          <w:i/>
          <w:sz w:val="21"/>
          <w:szCs w:val="21"/>
          <w:highlight w:val="white"/>
        </w:rPr>
        <w:t>più</w:t>
      </w:r>
      <w:r w:rsidRPr="00E147C2">
        <w:rPr>
          <w:rFonts w:ascii="Arial" w:hAnsi="Arial" w:cs="Arial"/>
          <w:i/>
          <w:sz w:val="21"/>
          <w:szCs w:val="21"/>
          <w:highlight w:val="white"/>
        </w:rPr>
        <w:t xml:space="preserve">̀ operativo sul territorio, al GE venne dato un compito </w:t>
      </w:r>
      <w:r w:rsidR="00E147C2" w:rsidRPr="00E147C2">
        <w:rPr>
          <w:rFonts w:ascii="Arial" w:hAnsi="Arial" w:cs="Arial"/>
          <w:i/>
          <w:sz w:val="21"/>
          <w:szCs w:val="21"/>
          <w:highlight w:val="white"/>
        </w:rPr>
        <w:t>più</w:t>
      </w:r>
      <w:r w:rsidRPr="00E147C2">
        <w:rPr>
          <w:rFonts w:ascii="Arial" w:hAnsi="Arial" w:cs="Arial"/>
          <w:i/>
          <w:sz w:val="21"/>
          <w:szCs w:val="21"/>
          <w:highlight w:val="white"/>
        </w:rPr>
        <w:t xml:space="preserve">̀ </w:t>
      </w:r>
      <w:proofErr w:type="spellStart"/>
      <w:r w:rsidRPr="00E147C2">
        <w:rPr>
          <w:rFonts w:ascii="Arial" w:hAnsi="Arial" w:cs="Arial"/>
          <w:i/>
          <w:sz w:val="21"/>
          <w:szCs w:val="21"/>
          <w:highlight w:val="white"/>
        </w:rPr>
        <w:t>pianific</w:t>
      </w:r>
      <w:bookmarkStart w:id="0" w:name="_GoBack"/>
      <w:bookmarkEnd w:id="0"/>
      <w:r w:rsidRPr="00E147C2">
        <w:rPr>
          <w:rFonts w:ascii="Arial" w:hAnsi="Arial" w:cs="Arial"/>
          <w:i/>
          <w:sz w:val="21"/>
          <w:szCs w:val="21"/>
          <w:highlight w:val="white"/>
        </w:rPr>
        <w:t>atorio</w:t>
      </w:r>
      <w:proofErr w:type="spellEnd"/>
      <w:r w:rsidRPr="00E147C2">
        <w:rPr>
          <w:rFonts w:ascii="Arial" w:hAnsi="Arial" w:cs="Arial"/>
          <w:i/>
          <w:sz w:val="21"/>
          <w:szCs w:val="21"/>
          <w:highlight w:val="white"/>
        </w:rPr>
        <w:t xml:space="preserve">: </w:t>
      </w:r>
      <w:r w:rsidR="00E147C2" w:rsidRPr="00E147C2">
        <w:rPr>
          <w:rFonts w:ascii="Arial" w:hAnsi="Arial" w:cs="Arial"/>
          <w:i/>
          <w:sz w:val="21"/>
          <w:szCs w:val="21"/>
          <w:highlight w:val="white"/>
        </w:rPr>
        <w:t>ciò</w:t>
      </w:r>
      <w:r w:rsidRPr="00E147C2">
        <w:rPr>
          <w:rFonts w:ascii="Arial" w:hAnsi="Arial" w:cs="Arial"/>
          <w:i/>
          <w:sz w:val="21"/>
          <w:szCs w:val="21"/>
          <w:highlight w:val="white"/>
        </w:rPr>
        <w:t xml:space="preserve">̀ ebbe il pregio di fruttare l’allestimento di un Piano cantonale d’interventi in materia di tossicomanie, allestito per gli anni 2000-2004 (PCI I) e aggiornato per il periodo 2005-2008 (PCI II). Fatto proprio dal </w:t>
      </w:r>
      <w:r w:rsidRPr="00E147C2">
        <w:rPr>
          <w:rFonts w:ascii="Arial" w:hAnsi="Arial" w:cs="Arial"/>
          <w:i/>
          <w:sz w:val="21"/>
          <w:szCs w:val="21"/>
          <w:highlight w:val="white"/>
        </w:rPr>
        <w:lastRenderedPageBreak/>
        <w:t xml:space="preserve">Consiglio di Stato, il documento fissa gli orientamenti e gli </w:t>
      </w:r>
      <w:r w:rsidRPr="00E147C2">
        <w:rPr>
          <w:rFonts w:ascii="Arial" w:hAnsi="Arial" w:cs="Arial"/>
          <w:i/>
          <w:sz w:val="21"/>
          <w:szCs w:val="21"/>
          <w:highlight w:val="white"/>
          <w:u w:val="single"/>
        </w:rPr>
        <w:t>obiettivi generali nei settori della prevenzione, della presa a carico, della riduzione del danno e della repressione.</w:t>
      </w:r>
      <w:r w:rsidRPr="00E147C2">
        <w:rPr>
          <w:rFonts w:ascii="Arial" w:hAnsi="Arial" w:cs="Arial"/>
          <w:i/>
          <w:sz w:val="21"/>
          <w:szCs w:val="21"/>
          <w:highlight w:val="white"/>
        </w:rPr>
        <w:t>”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  <w:highlight w:val="white"/>
        </w:rPr>
      </w:pPr>
      <w:r w:rsidRPr="00E147C2">
        <w:rPr>
          <w:rFonts w:ascii="Arial" w:hAnsi="Arial" w:cs="Arial"/>
          <w:i/>
          <w:sz w:val="21"/>
          <w:szCs w:val="21"/>
          <w:highlight w:val="white"/>
        </w:rPr>
        <w:t>(...)</w:t>
      </w:r>
    </w:p>
    <w:p w:rsidR="00C10368" w:rsidRPr="00E147C2" w:rsidRDefault="00C10368" w:rsidP="00C10368">
      <w:pPr>
        <w:rPr>
          <w:rFonts w:ascii="Arial" w:hAnsi="Arial" w:cs="Arial"/>
          <w:i/>
          <w:sz w:val="21"/>
          <w:szCs w:val="21"/>
        </w:rPr>
      </w:pPr>
      <w:r w:rsidRPr="00E147C2">
        <w:rPr>
          <w:rFonts w:ascii="Arial" w:hAnsi="Arial" w:cs="Arial"/>
          <w:i/>
          <w:sz w:val="21"/>
          <w:szCs w:val="21"/>
        </w:rPr>
        <w:t>Il gruppo dei tossicodipendenti sotto metadone, dopo alcuni anni di sostanziale stabilità, aumenta nell’</w:t>
      </w:r>
      <w:r w:rsidR="00E147C2" w:rsidRPr="00E147C2">
        <w:rPr>
          <w:rFonts w:ascii="Arial" w:hAnsi="Arial" w:cs="Arial"/>
          <w:i/>
          <w:sz w:val="21"/>
          <w:szCs w:val="21"/>
        </w:rPr>
        <w:t>età</w:t>
      </w:r>
      <w:r w:rsidRPr="00E147C2">
        <w:rPr>
          <w:rFonts w:ascii="Arial" w:hAnsi="Arial" w:cs="Arial"/>
          <w:i/>
          <w:sz w:val="21"/>
          <w:szCs w:val="21"/>
        </w:rPr>
        <w:t>̀ media...</w:t>
      </w:r>
      <w:r w:rsidR="00E147C2" w:rsidRPr="00E147C2">
        <w:rPr>
          <w:rFonts w:ascii="Arial" w:hAnsi="Arial" w:cs="Arial"/>
          <w:i/>
          <w:sz w:val="21"/>
          <w:szCs w:val="21"/>
        </w:rPr>
        <w:t>”</w:t>
      </w:r>
    </w:p>
    <w:p w:rsidR="00C10368" w:rsidRDefault="00E147C2" w:rsidP="00E147C2">
      <w:pPr>
        <w:jc w:val="right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</w:t>
      </w:r>
    </w:p>
    <w:p w:rsidR="00E147C2" w:rsidRDefault="00E147C2" w:rsidP="00C10368">
      <w:pPr>
        <w:rPr>
          <w:rFonts w:ascii="Arial" w:hAnsi="Arial" w:cs="Arial"/>
          <w:highlight w:val="white"/>
        </w:rPr>
      </w:pPr>
    </w:p>
    <w:p w:rsidR="00E147C2" w:rsidRDefault="00E147C2" w:rsidP="00C10368">
      <w:pPr>
        <w:rPr>
          <w:rFonts w:ascii="Arial" w:hAnsi="Arial" w:cs="Arial"/>
          <w:highlight w:val="white"/>
        </w:rPr>
      </w:pPr>
    </w:p>
    <w:p w:rsidR="00E147C2" w:rsidRDefault="00E147C2" w:rsidP="00C10368">
      <w:pPr>
        <w:rPr>
          <w:rFonts w:ascii="Arial" w:hAnsi="Arial" w:cs="Arial"/>
          <w:highlight w:val="white"/>
        </w:rPr>
      </w:pPr>
    </w:p>
    <w:p w:rsidR="00E147C2" w:rsidRPr="00E147C2" w:rsidRDefault="00E147C2" w:rsidP="00C10368">
      <w:pPr>
        <w:rPr>
          <w:rFonts w:ascii="Arial" w:hAnsi="Arial" w:cs="Arial"/>
          <w:highlight w:val="white"/>
        </w:rPr>
      </w:pPr>
    </w:p>
    <w:p w:rsidR="00C10368" w:rsidRPr="00E147C2" w:rsidRDefault="00C10368" w:rsidP="00E147C2">
      <w:pPr>
        <w:spacing w:after="100"/>
        <w:rPr>
          <w:rFonts w:ascii="Arial" w:hAnsi="Arial" w:cs="Arial"/>
          <w:b/>
          <w:i/>
          <w:highlight w:val="white"/>
        </w:rPr>
      </w:pPr>
      <w:r w:rsidRPr="00E147C2">
        <w:rPr>
          <w:rFonts w:ascii="Arial" w:hAnsi="Arial" w:cs="Arial"/>
          <w:b/>
          <w:i/>
          <w:highlight w:val="white"/>
        </w:rPr>
        <w:t>La situazione attuale</w:t>
      </w:r>
    </w:p>
    <w:p w:rsidR="00C10368" w:rsidRPr="00E147C2" w:rsidRDefault="00C10368" w:rsidP="00C10368">
      <w:pPr>
        <w:rPr>
          <w:rFonts w:ascii="Arial" w:hAnsi="Arial" w:cs="Arial"/>
        </w:rPr>
      </w:pPr>
      <w:r w:rsidRPr="00E147C2">
        <w:rPr>
          <w:rFonts w:ascii="Arial" w:hAnsi="Arial" w:cs="Arial"/>
          <w:highlight w:val="white"/>
        </w:rPr>
        <w:t>Secondo il Rendiconto del Consiglio di Stato 2017, questa era l’</w:t>
      </w:r>
      <w:r w:rsidRPr="00E147C2">
        <w:rPr>
          <w:rFonts w:ascii="Arial" w:hAnsi="Arial" w:cs="Arial"/>
        </w:rPr>
        <w:t>evoluzione del numero di pazienti in cura sostitutiva con metadone nel Cantone Ticino tra il 1993 e il 2016 (al 30 giugno)</w:t>
      </w:r>
    </w:p>
    <w:p w:rsidR="00C10368" w:rsidRPr="00E147C2" w:rsidRDefault="00C10368" w:rsidP="00C10368">
      <w:pPr>
        <w:rPr>
          <w:rFonts w:ascii="Arial" w:hAnsi="Arial" w:cs="Arial"/>
          <w:sz w:val="24"/>
          <w:szCs w:val="24"/>
        </w:rPr>
      </w:pPr>
    </w:p>
    <w:p w:rsidR="00C10368" w:rsidRDefault="00C10368" w:rsidP="00C10368">
      <w:r>
        <w:rPr>
          <w:noProof/>
          <w:lang w:eastAsia="it-CH"/>
        </w:rPr>
        <w:drawing>
          <wp:inline distT="114300" distB="114300" distL="114300" distR="114300" wp14:anchorId="5669B921" wp14:editId="30F00DF1">
            <wp:extent cx="5734050" cy="285750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857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10368" w:rsidRDefault="00C10368" w:rsidP="00C10368">
      <w:pPr>
        <w:rPr>
          <w:rFonts w:ascii="Arial" w:hAnsi="Arial" w:cs="Arial"/>
        </w:rPr>
      </w:pPr>
    </w:p>
    <w:p w:rsidR="00E147C2" w:rsidRPr="00E147C2" w:rsidRDefault="00E147C2" w:rsidP="00C10368">
      <w:pPr>
        <w:rPr>
          <w:rFonts w:ascii="Arial" w:hAnsi="Arial" w:cs="Arial"/>
        </w:rPr>
      </w:pPr>
    </w:p>
    <w:p w:rsidR="00C10368" w:rsidRPr="00E147C2" w:rsidRDefault="00C10368" w:rsidP="00C10368">
      <w:pPr>
        <w:rPr>
          <w:rFonts w:ascii="Arial" w:hAnsi="Arial" w:cs="Arial"/>
        </w:rPr>
      </w:pPr>
      <w:r w:rsidRPr="00E147C2">
        <w:rPr>
          <w:rFonts w:ascii="Arial" w:hAnsi="Arial" w:cs="Arial"/>
        </w:rPr>
        <w:t>Come si può facilmente desumere dalla tabella, in 20 anni di interventi, il numero dei pazienti in cura metadonica, è rimasto praticamente invariato (con un lieve calo tra il 2001 e il 2006 forse grazie all’allora PCI I e PCI II). Ma la questione più preoccupante è l’aumento dell’età media dei tossicodipendenti in cura.</w:t>
      </w:r>
    </w:p>
    <w:p w:rsidR="00C10368" w:rsidRPr="00E147C2" w:rsidRDefault="00C10368" w:rsidP="00C10368">
      <w:pPr>
        <w:rPr>
          <w:rFonts w:ascii="Arial" w:hAnsi="Arial" w:cs="Arial"/>
        </w:rPr>
      </w:pPr>
    </w:p>
    <w:p w:rsidR="00C10368" w:rsidRPr="00E147C2" w:rsidRDefault="00E2732B" w:rsidP="00C10368">
      <w:pPr>
        <w:rPr>
          <w:rFonts w:ascii="Arial" w:hAnsi="Arial" w:cs="Arial"/>
        </w:rPr>
      </w:pPr>
      <w:r w:rsidRPr="00E147C2">
        <w:rPr>
          <w:rFonts w:ascii="Arial" w:hAnsi="Arial" w:cs="Arial"/>
        </w:rPr>
        <w:t>Per questi</w:t>
      </w:r>
      <w:r w:rsidR="00C10368" w:rsidRPr="00E147C2">
        <w:rPr>
          <w:rFonts w:ascii="Arial" w:hAnsi="Arial" w:cs="Arial"/>
        </w:rPr>
        <w:t xml:space="preserve"> motiv</w:t>
      </w:r>
      <w:r w:rsidRPr="00E147C2">
        <w:rPr>
          <w:rFonts w:ascii="Arial" w:hAnsi="Arial" w:cs="Arial"/>
        </w:rPr>
        <w:t>i</w:t>
      </w:r>
      <w:r w:rsidR="00C10368" w:rsidRPr="00E147C2">
        <w:rPr>
          <w:rFonts w:ascii="Arial" w:hAnsi="Arial" w:cs="Arial"/>
        </w:rPr>
        <w:t>, per le facoltà concesse, chiedo al Consiglio di Stato: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Considerando che in 20 anni il numero di fruitori dei metadone è rimas</w:t>
      </w:r>
      <w:r w:rsidR="00E147C2">
        <w:rPr>
          <w:rFonts w:ascii="Arial" w:hAnsi="Arial" w:cs="Arial"/>
        </w:rPr>
        <w:t>to praticamente invariato, quali</w:t>
      </w:r>
      <w:r w:rsidRPr="00E147C2">
        <w:rPr>
          <w:rFonts w:ascii="Arial" w:hAnsi="Arial" w:cs="Arial"/>
        </w:rPr>
        <w:t xml:space="preserve"> si pensa ne siano le cause?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In che misura gli obiettivi generali dei 4 pilastri sono stati rispettati?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Su qual</w:t>
      </w:r>
      <w:r w:rsidR="00E147C2">
        <w:rPr>
          <w:rFonts w:ascii="Arial" w:hAnsi="Arial" w:cs="Arial"/>
        </w:rPr>
        <w:t>i</w:t>
      </w:r>
      <w:r w:rsidRPr="00E147C2">
        <w:rPr>
          <w:rFonts w:ascii="Arial" w:hAnsi="Arial" w:cs="Arial"/>
        </w:rPr>
        <w:t xml:space="preserve"> punti bisogna ancora lavorare per indurre i tossicodipendenti all’astinenza?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Si pensa sia necessario un ripensamento riguardante le cure psicologiche?</w:t>
      </w:r>
    </w:p>
    <w:p w:rsidR="00C10368" w:rsidRPr="00E147C2" w:rsidRDefault="00E147C2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Qual è l’età </w:t>
      </w:r>
      <w:r w:rsidR="00C10368" w:rsidRPr="00E147C2">
        <w:rPr>
          <w:rFonts w:ascii="Arial" w:hAnsi="Arial" w:cs="Arial"/>
        </w:rPr>
        <w:t>media dei fruitori di metadone attuale?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Quante persone superano l’età pensionabile?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Quanti usufruiscono di questa sostanza in case anziani?</w:t>
      </w:r>
      <w:r w:rsidR="00E147C2">
        <w:rPr>
          <w:rFonts w:ascii="Arial" w:hAnsi="Arial" w:cs="Arial"/>
        </w:rPr>
        <w:t xml:space="preserve"> Con quali costi per il Cantone</w:t>
      </w:r>
      <w:r w:rsidRPr="00E147C2">
        <w:rPr>
          <w:rFonts w:ascii="Arial" w:hAnsi="Arial" w:cs="Arial"/>
        </w:rPr>
        <w:t>? Quale</w:t>
      </w:r>
      <w:r w:rsidR="00E147C2">
        <w:rPr>
          <w:rFonts w:ascii="Arial" w:hAnsi="Arial" w:cs="Arial"/>
        </w:rPr>
        <w:t xml:space="preserve"> il costo a carico delle Casse m</w:t>
      </w:r>
      <w:r w:rsidRPr="00E147C2">
        <w:rPr>
          <w:rFonts w:ascii="Arial" w:hAnsi="Arial" w:cs="Arial"/>
        </w:rPr>
        <w:t>alati?</w:t>
      </w:r>
    </w:p>
    <w:p w:rsidR="00C10368" w:rsidRPr="00E147C2" w:rsidRDefault="00C10368" w:rsidP="00E147C2">
      <w:pPr>
        <w:numPr>
          <w:ilvl w:val="0"/>
          <w:numId w:val="8"/>
        </w:numPr>
        <w:spacing w:before="100"/>
        <w:ind w:left="425" w:hanging="425"/>
        <w:rPr>
          <w:rFonts w:ascii="Arial" w:hAnsi="Arial" w:cs="Arial"/>
        </w:rPr>
      </w:pPr>
      <w:r w:rsidRPr="00E147C2">
        <w:rPr>
          <w:rFonts w:ascii="Arial" w:hAnsi="Arial" w:cs="Arial"/>
        </w:rPr>
        <w:t>Attualmente è ancora in vigore un PCI ? Se sì, con quali esiti?</w:t>
      </w:r>
    </w:p>
    <w:p w:rsidR="00C10368" w:rsidRPr="00E147C2" w:rsidRDefault="00C10368" w:rsidP="00E2732B">
      <w:pPr>
        <w:rPr>
          <w:rFonts w:ascii="Arial" w:hAnsi="Arial" w:cs="Arial"/>
        </w:rPr>
      </w:pPr>
    </w:p>
    <w:p w:rsidR="00C10368" w:rsidRPr="00E147C2" w:rsidRDefault="00C10368" w:rsidP="00E2732B">
      <w:pPr>
        <w:rPr>
          <w:rFonts w:ascii="Arial" w:hAnsi="Arial" w:cs="Arial"/>
        </w:rPr>
      </w:pPr>
    </w:p>
    <w:p w:rsidR="00C10368" w:rsidRPr="00E147C2" w:rsidRDefault="00C10368" w:rsidP="00C10368">
      <w:pPr>
        <w:rPr>
          <w:rFonts w:ascii="Arial" w:hAnsi="Arial" w:cs="Arial"/>
        </w:rPr>
      </w:pPr>
      <w:r w:rsidRPr="00E147C2">
        <w:rPr>
          <w:rFonts w:ascii="Arial" w:hAnsi="Arial" w:cs="Arial"/>
        </w:rPr>
        <w:t>Sara Beretta Piccoli</w:t>
      </w:r>
    </w:p>
    <w:p w:rsidR="00B31D0E" w:rsidRDefault="00B31D0E" w:rsidP="00B31D0E">
      <w:pPr>
        <w:rPr>
          <w:rFonts w:ascii="Arial" w:hAnsi="Arial" w:cs="Arial"/>
        </w:rPr>
      </w:pPr>
    </w:p>
    <w:sectPr w:rsidR="00B31D0E" w:rsidSect="00E147C2">
      <w:pgSz w:w="11906" w:h="16838" w:code="9"/>
      <w:pgMar w:top="567" w:right="1134" w:bottom="907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92207E"/>
    <w:multiLevelType w:val="multilevel"/>
    <w:tmpl w:val="8F9028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A62A45"/>
    <w:multiLevelType w:val="multilevel"/>
    <w:tmpl w:val="87ECE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10368"/>
    <w:rsid w:val="00CF6858"/>
    <w:rsid w:val="00D50981"/>
    <w:rsid w:val="00DA01B1"/>
    <w:rsid w:val="00E147C2"/>
    <w:rsid w:val="00E2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2018-08-20T09:31:00Z</cp:lastPrinted>
  <dcterms:created xsi:type="dcterms:W3CDTF">2018-08-20T07:21:00Z</dcterms:created>
  <dcterms:modified xsi:type="dcterms:W3CDTF">2018-08-20T09:32:00Z</dcterms:modified>
</cp:coreProperties>
</file>