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C2" w:rsidRDefault="00247CE7" w:rsidP="00B860C2">
      <w:r>
        <w:rPr>
          <w:rFonts w:ascii="Gill Sans MT" w:hAnsi="Gill Sans MT"/>
          <w:b/>
          <w:sz w:val="56"/>
          <w:szCs w:val="56"/>
        </w:rPr>
        <w:t>Rapporto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F9676E" w:rsidRDefault="00F9676E" w:rsidP="00F9676E">
      <w:pPr>
        <w:tabs>
          <w:tab w:val="left" w:pos="2098"/>
          <w:tab w:val="left" w:pos="4933"/>
        </w:tabs>
        <w:rPr>
          <w:rFonts w:cs="Arial"/>
          <w:szCs w:val="24"/>
        </w:rPr>
      </w:pPr>
      <w:bookmarkStart w:id="0" w:name="_Toc532286235"/>
      <w:r>
        <w:rPr>
          <w:rFonts w:cs="Arial"/>
          <w:b/>
          <w:sz w:val="32"/>
          <w:szCs w:val="32"/>
        </w:rPr>
        <w:t>7813</w:t>
      </w:r>
      <w:r w:rsidRPr="008B4137">
        <w:rPr>
          <w:rFonts w:cs="Arial"/>
          <w:b/>
          <w:sz w:val="32"/>
          <w:szCs w:val="32"/>
        </w:rPr>
        <w:t xml:space="preserve"> R</w:t>
      </w:r>
      <w:r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30 novembre 2020</w:t>
      </w:r>
      <w:r w:rsidRPr="008B4137">
        <w:rPr>
          <w:rFonts w:cs="Arial"/>
          <w:sz w:val="28"/>
          <w:szCs w:val="28"/>
        </w:rPr>
        <w:tab/>
      </w:r>
      <w:r>
        <w:rPr>
          <w:sz w:val="28"/>
        </w:rPr>
        <w:t>FINANZE E ECONOMIA</w:t>
      </w:r>
    </w:p>
    <w:p w:rsidR="00F9676E" w:rsidRPr="00247CE7" w:rsidRDefault="00F9676E" w:rsidP="00F9676E">
      <w:pPr>
        <w:rPr>
          <w:rFonts w:cs="Arial"/>
          <w:sz w:val="22"/>
        </w:rPr>
      </w:pPr>
    </w:p>
    <w:p w:rsidR="00F9676E" w:rsidRPr="00247CE7" w:rsidRDefault="00F9676E" w:rsidP="00F9676E">
      <w:pPr>
        <w:rPr>
          <w:rFonts w:cs="Arial"/>
          <w:sz w:val="22"/>
        </w:rPr>
      </w:pPr>
    </w:p>
    <w:p w:rsidR="00F9676E" w:rsidRPr="00247CE7" w:rsidRDefault="00F9676E" w:rsidP="00F9676E">
      <w:pPr>
        <w:rPr>
          <w:rFonts w:cs="Arial"/>
          <w:sz w:val="22"/>
        </w:rPr>
      </w:pPr>
    </w:p>
    <w:p w:rsidR="00F9676E" w:rsidRPr="008B4137" w:rsidRDefault="00F9676E" w:rsidP="00F9676E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</w:t>
      </w:r>
      <w:r>
        <w:rPr>
          <w:rFonts w:cs="Arial"/>
          <w:b/>
          <w:sz w:val="28"/>
          <w:szCs w:val="28"/>
        </w:rPr>
        <w:t>gestione e finanze</w:t>
      </w:r>
    </w:p>
    <w:p w:rsidR="00F9676E" w:rsidRPr="008B4137" w:rsidRDefault="00F9676E" w:rsidP="00F9676E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>sul messaggio</w:t>
      </w:r>
      <w:r>
        <w:rPr>
          <w:rFonts w:cs="Arial"/>
          <w:b/>
          <w:sz w:val="28"/>
          <w:szCs w:val="28"/>
        </w:rPr>
        <w:t xml:space="preserve"> 6 maggio 2020 concernente l’</w:t>
      </w:r>
      <w:r w:rsidRPr="00630F49">
        <w:rPr>
          <w:rFonts w:cs="Arial"/>
          <w:b/>
          <w:sz w:val="28"/>
          <w:szCs w:val="28"/>
        </w:rPr>
        <w:t>approvazione del conto economico e del bilancio al 31 dicembre 201</w:t>
      </w:r>
      <w:r>
        <w:rPr>
          <w:rFonts w:cs="Arial"/>
          <w:b/>
          <w:sz w:val="28"/>
          <w:szCs w:val="28"/>
        </w:rPr>
        <w:t>9</w:t>
      </w:r>
      <w:r w:rsidRPr="00630F49">
        <w:rPr>
          <w:rFonts w:cs="Arial"/>
          <w:b/>
          <w:sz w:val="28"/>
          <w:szCs w:val="28"/>
        </w:rPr>
        <w:t xml:space="preserve"> della Banca dello Stato del Cantone Ticino</w:t>
      </w:r>
    </w:p>
    <w:p w:rsidR="00F9676E" w:rsidRPr="00E357E9" w:rsidRDefault="00F9676E" w:rsidP="00F9676E">
      <w:pPr>
        <w:rPr>
          <w:rFonts w:cs="Arial"/>
          <w:sz w:val="32"/>
          <w:szCs w:val="32"/>
        </w:rPr>
      </w:pPr>
    </w:p>
    <w:p w:rsidR="00F9676E" w:rsidRPr="007863ED" w:rsidRDefault="00F9676E" w:rsidP="00F9676E">
      <w:pPr>
        <w:rPr>
          <w:rFonts w:cs="Arial"/>
          <w:b/>
        </w:rPr>
      </w:pPr>
      <w:r w:rsidRPr="007863ED">
        <w:rPr>
          <w:rFonts w:cs="Arial"/>
          <w:b/>
        </w:rPr>
        <w:t>Allegato: Rapporto della Commissione del controllo del mandato pubblico della Banca dello</w:t>
      </w:r>
      <w:r>
        <w:rPr>
          <w:rFonts w:cs="Arial"/>
          <w:b/>
        </w:rPr>
        <w:t xml:space="preserve"> Stato all’attenzione del Gran C</w:t>
      </w:r>
      <w:r w:rsidRPr="007863ED">
        <w:rPr>
          <w:rFonts w:cs="Arial"/>
          <w:b/>
        </w:rPr>
        <w:t>onsiglio sul grado di raggiungimento degli obiettivi di mandato pubblico della Banca</w:t>
      </w:r>
    </w:p>
    <w:p w:rsidR="00F9676E" w:rsidRPr="00247CE7" w:rsidRDefault="00F9676E" w:rsidP="00F9676E">
      <w:pPr>
        <w:rPr>
          <w:rFonts w:cs="Arial"/>
          <w:sz w:val="22"/>
        </w:rPr>
      </w:pPr>
    </w:p>
    <w:p w:rsidR="00E357E9" w:rsidRPr="00247CE7" w:rsidRDefault="00E357E9" w:rsidP="00F9676E">
      <w:pPr>
        <w:rPr>
          <w:rFonts w:cs="Arial"/>
          <w:sz w:val="22"/>
        </w:rPr>
      </w:pPr>
    </w:p>
    <w:p w:rsidR="00F9676E" w:rsidRPr="00247CE7" w:rsidRDefault="00F9676E" w:rsidP="00F9676E">
      <w:pPr>
        <w:rPr>
          <w:rFonts w:cs="Arial"/>
          <w:sz w:val="22"/>
        </w:rPr>
      </w:pPr>
    </w:p>
    <w:p w:rsidR="00F9676E" w:rsidRPr="00D33A56" w:rsidRDefault="00F9676E" w:rsidP="00F9676E">
      <w:pPr>
        <w:pStyle w:val="Titolo1"/>
      </w:pPr>
      <w:r w:rsidRPr="00D33A56">
        <w:t>Introduzione</w:t>
      </w:r>
    </w:p>
    <w:p w:rsidR="00F9676E" w:rsidRDefault="00F9676E" w:rsidP="00F9676E">
      <w:pPr>
        <w:tabs>
          <w:tab w:val="left" w:pos="284"/>
          <w:tab w:val="left" w:pos="709"/>
          <w:tab w:val="left" w:pos="1304"/>
          <w:tab w:val="right" w:pos="9498"/>
        </w:tabs>
        <w:ind w:right="-1"/>
        <w:rPr>
          <w:rFonts w:cs="Arial"/>
        </w:rPr>
      </w:pPr>
      <w:r w:rsidRPr="006441AF">
        <w:rPr>
          <w:rFonts w:cs="Arial"/>
        </w:rPr>
        <w:t xml:space="preserve">Con il messaggio in esame, il Consiglio di Stato chiede </w:t>
      </w:r>
      <w:r w:rsidRPr="00214622">
        <w:rPr>
          <w:rFonts w:cs="Arial"/>
        </w:rPr>
        <w:t>l’approvazione del conto economico e del bilancio della Banca</w:t>
      </w:r>
      <w:r>
        <w:rPr>
          <w:rFonts w:cs="Arial"/>
        </w:rPr>
        <w:t xml:space="preserve"> dello Stato del Cantone Ticino (in seguito Banca Stato)</w:t>
      </w:r>
      <w:r w:rsidRPr="00DE5A7D">
        <w:rPr>
          <w:rFonts w:cs="Arial"/>
        </w:rPr>
        <w:t xml:space="preserve"> </w:t>
      </w:r>
      <w:r>
        <w:rPr>
          <w:rFonts w:cs="Arial"/>
        </w:rPr>
        <w:t>al 31 dicembre 2019 e dunque del relativo rapporto annuale.</w:t>
      </w:r>
    </w:p>
    <w:p w:rsidR="00F9676E" w:rsidRDefault="00F9676E" w:rsidP="00F9676E">
      <w:pPr>
        <w:tabs>
          <w:tab w:val="left" w:pos="284"/>
          <w:tab w:val="left" w:pos="709"/>
          <w:tab w:val="left" w:pos="1304"/>
          <w:tab w:val="right" w:pos="9498"/>
        </w:tabs>
        <w:ind w:right="-1"/>
        <w:rPr>
          <w:rFonts w:cs="Arial"/>
        </w:rPr>
      </w:pPr>
    </w:p>
    <w:p w:rsidR="00F9676E" w:rsidRPr="00DE5A7D" w:rsidRDefault="00F9676E" w:rsidP="00F9676E">
      <w:pPr>
        <w:tabs>
          <w:tab w:val="left" w:pos="284"/>
          <w:tab w:val="left" w:pos="709"/>
          <w:tab w:val="left" w:pos="1304"/>
          <w:tab w:val="right" w:pos="9498"/>
        </w:tabs>
        <w:ind w:right="-1"/>
        <w:rPr>
          <w:rFonts w:cs="Arial"/>
        </w:rPr>
      </w:pPr>
      <w:r w:rsidRPr="004063BB">
        <w:rPr>
          <w:rFonts w:cs="Arial"/>
        </w:rPr>
        <w:t>Il rapporto annuale di Banca Stato comprende la relazione del Consiglio di amministrazione; • i conti annuali di gruppo e individuali 2019 • il rapporto dell'Ufficio di revisione esterno del 30 marzo 2019, con il quale si conferma che la proposta d’impiego dell’utile è conforme alle normative e si raccomanda l’approvazione del conto annuale individuale e consolidato. Al messaggio in esame è pure allegato il relativo bilancio sociale e ambientale 2019.</w:t>
      </w:r>
    </w:p>
    <w:p w:rsidR="00F9676E" w:rsidRPr="00247CE7" w:rsidRDefault="00F9676E" w:rsidP="00F9676E">
      <w:pPr>
        <w:tabs>
          <w:tab w:val="left" w:pos="284"/>
          <w:tab w:val="left" w:pos="709"/>
          <w:tab w:val="left" w:pos="1304"/>
          <w:tab w:val="right" w:pos="9498"/>
        </w:tabs>
        <w:ind w:right="-1"/>
        <w:rPr>
          <w:rFonts w:cs="Arial"/>
          <w:sz w:val="22"/>
        </w:rPr>
      </w:pPr>
    </w:p>
    <w:p w:rsidR="00F9676E" w:rsidRPr="00247CE7" w:rsidRDefault="00F9676E" w:rsidP="00F9676E">
      <w:pPr>
        <w:tabs>
          <w:tab w:val="left" w:pos="284"/>
          <w:tab w:val="left" w:pos="709"/>
          <w:tab w:val="left" w:pos="1304"/>
          <w:tab w:val="right" w:pos="9498"/>
        </w:tabs>
        <w:ind w:right="-1"/>
        <w:rPr>
          <w:rFonts w:cs="Arial"/>
          <w:sz w:val="22"/>
        </w:rPr>
      </w:pPr>
    </w:p>
    <w:p w:rsidR="00F9676E" w:rsidRPr="00247CE7" w:rsidRDefault="00F9676E" w:rsidP="00F9676E">
      <w:pPr>
        <w:rPr>
          <w:rFonts w:cs="Arial"/>
          <w:sz w:val="22"/>
        </w:rPr>
      </w:pPr>
    </w:p>
    <w:p w:rsidR="00F9676E" w:rsidRDefault="00F9676E" w:rsidP="00F9676E">
      <w:pPr>
        <w:pStyle w:val="Titolo1"/>
      </w:pPr>
      <w:r>
        <w:t xml:space="preserve">I risultati </w:t>
      </w:r>
    </w:p>
    <w:p w:rsidR="00F9676E" w:rsidRDefault="00F9676E" w:rsidP="00F9676E">
      <w:pPr>
        <w:rPr>
          <w:rFonts w:cs="Arial"/>
        </w:rPr>
      </w:pPr>
      <w:r>
        <w:rPr>
          <w:rFonts w:cs="Arial"/>
        </w:rPr>
        <w:t xml:space="preserve">I risultati principali </w:t>
      </w:r>
      <w:r w:rsidRPr="00214622">
        <w:rPr>
          <w:rFonts w:cs="Arial"/>
        </w:rPr>
        <w:t>del conto</w:t>
      </w:r>
      <w:r>
        <w:rPr>
          <w:rFonts w:cs="Arial"/>
        </w:rPr>
        <w:t xml:space="preserve"> economico e del bilancio di </w:t>
      </w:r>
      <w:r w:rsidRPr="00214622">
        <w:rPr>
          <w:rFonts w:cs="Arial"/>
        </w:rPr>
        <w:t>Banca</w:t>
      </w:r>
      <w:r>
        <w:rPr>
          <w:rFonts w:cs="Arial"/>
        </w:rPr>
        <w:t xml:space="preserve"> Stato al 31 dicembre 2019 e dunque del relativo rapporto annuale, già esposti nel messaggio in oggetto, sono in sintesi i seguenti.</w:t>
      </w:r>
    </w:p>
    <w:p w:rsidR="00F9676E" w:rsidRPr="00247CE7" w:rsidRDefault="00F9676E" w:rsidP="00F9676E">
      <w:pPr>
        <w:rPr>
          <w:rFonts w:cs="Arial"/>
          <w:sz w:val="22"/>
        </w:rPr>
      </w:pPr>
    </w:p>
    <w:p w:rsidR="00F9676E" w:rsidRPr="00A440E1" w:rsidRDefault="00F9676E" w:rsidP="00F9676E">
      <w:pPr>
        <w:rPr>
          <w:rFonts w:cs="Arial"/>
        </w:rPr>
      </w:pPr>
      <w:r w:rsidRPr="00A359B5">
        <w:rPr>
          <w:rFonts w:cs="Arial"/>
        </w:rPr>
        <w:t xml:space="preserve">Il risultato d’esercizio è di CHF </w:t>
      </w:r>
      <w:r>
        <w:rPr>
          <w:rFonts w:cs="Arial"/>
        </w:rPr>
        <w:t>85.4</w:t>
      </w:r>
      <w:r w:rsidRPr="00A359B5">
        <w:rPr>
          <w:rFonts w:cs="Arial"/>
        </w:rPr>
        <w:t xml:space="preserve"> milioni, con un aumento </w:t>
      </w:r>
      <w:r>
        <w:rPr>
          <w:rFonts w:cs="Arial"/>
        </w:rPr>
        <w:t>del 17%</w:t>
      </w:r>
      <w:r w:rsidRPr="00A359B5">
        <w:rPr>
          <w:rFonts w:cs="Arial"/>
        </w:rPr>
        <w:t xml:space="preserve"> rispetto al 201</w:t>
      </w:r>
      <w:r>
        <w:rPr>
          <w:rFonts w:cs="Arial"/>
        </w:rPr>
        <w:t>8</w:t>
      </w:r>
      <w:r w:rsidRPr="00A359B5">
        <w:rPr>
          <w:rFonts w:cs="Arial"/>
        </w:rPr>
        <w:t xml:space="preserve">. </w:t>
      </w:r>
      <w:r w:rsidRPr="00F63993">
        <w:rPr>
          <w:rFonts w:cs="Arial"/>
        </w:rPr>
        <w:t xml:space="preserve">I </w:t>
      </w:r>
      <w:r w:rsidRPr="00580308">
        <w:rPr>
          <w:rFonts w:cs="Arial"/>
        </w:rPr>
        <w:t>ricavi netti ammontano a CHF 202.2 milioni, con un aumento del 6% rispetto al 2018.</w:t>
      </w:r>
      <w:r w:rsidRPr="00A359B5">
        <w:rPr>
          <w:rFonts w:cs="Arial"/>
        </w:rPr>
        <w:t xml:space="preserve"> Questo risultato permette a Banca Stato di rafforzare il livello dei fondi propri, con un’attribuzione alle riserve per rischi bancari generali di CHF </w:t>
      </w:r>
      <w:r>
        <w:rPr>
          <w:rFonts w:cs="Arial"/>
        </w:rPr>
        <w:t>31</w:t>
      </w:r>
      <w:r w:rsidRPr="00A359B5">
        <w:rPr>
          <w:rFonts w:cs="Arial"/>
        </w:rPr>
        <w:t xml:space="preserve"> milioni, </w:t>
      </w:r>
      <w:r>
        <w:rPr>
          <w:rFonts w:cs="Arial"/>
        </w:rPr>
        <w:t>in crescita di CHF 5 milioni rispetto al 2018. Inoltre la banca ha assegnato ulteriori CHF 10.2 milioni alla riserva legale da utili.</w:t>
      </w:r>
      <w:r w:rsidRPr="00A359B5">
        <w:rPr>
          <w:rFonts w:cs="Arial"/>
        </w:rPr>
        <w:t xml:space="preserve"> Nonostante quest</w:t>
      </w:r>
      <w:r>
        <w:rPr>
          <w:rFonts w:cs="Arial"/>
        </w:rPr>
        <w:t>e</w:t>
      </w:r>
      <w:r w:rsidRPr="00A359B5">
        <w:rPr>
          <w:rFonts w:cs="Arial"/>
        </w:rPr>
        <w:t xml:space="preserve"> important</w:t>
      </w:r>
      <w:r>
        <w:rPr>
          <w:rFonts w:cs="Arial"/>
        </w:rPr>
        <w:t>i</w:t>
      </w:r>
      <w:r w:rsidRPr="00A359B5">
        <w:rPr>
          <w:rFonts w:cs="Arial"/>
        </w:rPr>
        <w:t xml:space="preserve"> attribuzion</w:t>
      </w:r>
      <w:r>
        <w:rPr>
          <w:rFonts w:cs="Arial"/>
        </w:rPr>
        <w:t>i</w:t>
      </w:r>
      <w:r w:rsidRPr="00A359B5">
        <w:rPr>
          <w:rFonts w:cs="Arial"/>
        </w:rPr>
        <w:t xml:space="preserve">, l’utile netto cresce da CHF </w:t>
      </w:r>
      <w:r>
        <w:rPr>
          <w:rFonts w:cs="Arial"/>
        </w:rPr>
        <w:t>50</w:t>
      </w:r>
      <w:r w:rsidRPr="00A359B5">
        <w:rPr>
          <w:rFonts w:cs="Arial"/>
        </w:rPr>
        <w:t xml:space="preserve"> milioni a CHF 5</w:t>
      </w:r>
      <w:r>
        <w:rPr>
          <w:rFonts w:cs="Arial"/>
        </w:rPr>
        <w:t>2</w:t>
      </w:r>
      <w:r w:rsidRPr="00A359B5">
        <w:rPr>
          <w:rFonts w:cs="Arial"/>
        </w:rPr>
        <w:t xml:space="preserve"> milioni, con un aumento del 4%</w:t>
      </w:r>
      <w:r>
        <w:rPr>
          <w:rFonts w:cs="Arial"/>
        </w:rPr>
        <w:t xml:space="preserve"> (come nel 2018)</w:t>
      </w:r>
      <w:r w:rsidRPr="00A359B5">
        <w:rPr>
          <w:rFonts w:cs="Arial"/>
        </w:rPr>
        <w:t xml:space="preserve">. Il versamento al Cantone, quale proprietario, si attesta a CHF </w:t>
      </w:r>
      <w:r>
        <w:rPr>
          <w:rFonts w:cs="Arial"/>
        </w:rPr>
        <w:t>41</w:t>
      </w:r>
      <w:r w:rsidRPr="00A359B5">
        <w:rPr>
          <w:rFonts w:cs="Arial"/>
        </w:rPr>
        <w:t>.</w:t>
      </w:r>
      <w:r>
        <w:rPr>
          <w:rFonts w:cs="Arial"/>
        </w:rPr>
        <w:t>8</w:t>
      </w:r>
      <w:r w:rsidRPr="00A359B5">
        <w:rPr>
          <w:rFonts w:cs="Arial"/>
        </w:rPr>
        <w:t xml:space="preserve"> milioni rispetto a quello di CHF </w:t>
      </w:r>
      <w:r>
        <w:rPr>
          <w:rFonts w:cs="Arial"/>
        </w:rPr>
        <w:t>38</w:t>
      </w:r>
      <w:r w:rsidRPr="00A359B5">
        <w:rPr>
          <w:rFonts w:cs="Arial"/>
        </w:rPr>
        <w:t>.</w:t>
      </w:r>
      <w:r>
        <w:rPr>
          <w:rFonts w:cs="Arial"/>
        </w:rPr>
        <w:t>4</w:t>
      </w:r>
      <w:r w:rsidRPr="00A359B5">
        <w:rPr>
          <w:rFonts w:cs="Arial"/>
        </w:rPr>
        <w:t xml:space="preserve"> milioni del 201</w:t>
      </w:r>
      <w:r>
        <w:rPr>
          <w:rFonts w:cs="Arial"/>
        </w:rPr>
        <w:t>8.</w:t>
      </w:r>
    </w:p>
    <w:p w:rsidR="00F9676E" w:rsidRPr="00247CE7" w:rsidRDefault="00F9676E" w:rsidP="00F9676E">
      <w:pPr>
        <w:rPr>
          <w:rFonts w:cs="Arial"/>
          <w:sz w:val="22"/>
        </w:rPr>
      </w:pPr>
      <w:bookmarkStart w:id="1" w:name="_GoBack"/>
      <w:bookmarkEnd w:id="1"/>
    </w:p>
    <w:p w:rsidR="00F9676E" w:rsidRDefault="00F9676E" w:rsidP="00F9676E">
      <w:pPr>
        <w:rPr>
          <w:rFonts w:cs="Arial"/>
        </w:rPr>
      </w:pPr>
      <w:r w:rsidRPr="00230032">
        <w:rPr>
          <w:rFonts w:cs="Arial"/>
        </w:rPr>
        <w:t xml:space="preserve">La voce principale dei ricavi di Banca Stato è quella concernente il risultato da operazioni su interessi di CHF </w:t>
      </w:r>
      <w:r>
        <w:rPr>
          <w:rFonts w:cs="Arial"/>
        </w:rPr>
        <w:t>146</w:t>
      </w:r>
      <w:r w:rsidRPr="00230032">
        <w:rPr>
          <w:rFonts w:cs="Arial"/>
        </w:rPr>
        <w:t xml:space="preserve"> milioni, con un aumento di CHF 1.7 milioni e dunque </w:t>
      </w:r>
      <w:r>
        <w:rPr>
          <w:rFonts w:cs="Arial"/>
        </w:rPr>
        <w:t>dello 0.8%</w:t>
      </w:r>
      <w:r w:rsidRPr="00230032">
        <w:rPr>
          <w:rFonts w:cs="Arial"/>
        </w:rPr>
        <w:t xml:space="preserve">. Il risultato da operazioni in commissione e da prestazioni è di CHF </w:t>
      </w:r>
      <w:r>
        <w:rPr>
          <w:rFonts w:cs="Arial"/>
        </w:rPr>
        <w:t>29.5</w:t>
      </w:r>
      <w:r w:rsidRPr="00230032">
        <w:rPr>
          <w:rFonts w:cs="Arial"/>
        </w:rPr>
        <w:t xml:space="preserve"> milioni, con </w:t>
      </w:r>
      <w:r>
        <w:rPr>
          <w:rFonts w:cs="Arial"/>
        </w:rPr>
        <w:t>aumento</w:t>
      </w:r>
      <w:r w:rsidRPr="00230032">
        <w:rPr>
          <w:rFonts w:cs="Arial"/>
        </w:rPr>
        <w:t xml:space="preserve"> </w:t>
      </w:r>
      <w:r w:rsidRPr="00230032">
        <w:rPr>
          <w:rFonts w:cs="Arial"/>
        </w:rPr>
        <w:lastRenderedPageBreak/>
        <w:t>di CHF 0.</w:t>
      </w:r>
      <w:r>
        <w:rPr>
          <w:rFonts w:cs="Arial"/>
        </w:rPr>
        <w:t>8</w:t>
      </w:r>
      <w:r w:rsidRPr="00230032">
        <w:rPr>
          <w:rFonts w:cs="Arial"/>
        </w:rPr>
        <w:t xml:space="preserve"> milioni, pari </w:t>
      </w:r>
      <w:r>
        <w:rPr>
          <w:rFonts w:cs="Arial"/>
        </w:rPr>
        <w:t>al 2.8% (recuperando così la leggera flessione registrata nel 2018)</w:t>
      </w:r>
      <w:r w:rsidRPr="00230032">
        <w:rPr>
          <w:rFonts w:cs="Arial"/>
        </w:rPr>
        <w:t>. L’attività di negoziazione è di CHF 1</w:t>
      </w:r>
      <w:r>
        <w:rPr>
          <w:rFonts w:cs="Arial"/>
        </w:rPr>
        <w:t>4</w:t>
      </w:r>
      <w:r w:rsidRPr="00230032">
        <w:rPr>
          <w:rFonts w:cs="Arial"/>
        </w:rPr>
        <w:t>.</w:t>
      </w:r>
      <w:r>
        <w:rPr>
          <w:rFonts w:cs="Arial"/>
        </w:rPr>
        <w:t>8</w:t>
      </w:r>
      <w:r w:rsidRPr="00230032">
        <w:rPr>
          <w:rFonts w:cs="Arial"/>
        </w:rPr>
        <w:t xml:space="preserve"> milioni, con </w:t>
      </w:r>
      <w:r>
        <w:rPr>
          <w:rFonts w:cs="Arial"/>
        </w:rPr>
        <w:t>un</w:t>
      </w:r>
      <w:r w:rsidRPr="00230032">
        <w:rPr>
          <w:rFonts w:cs="Arial"/>
        </w:rPr>
        <w:t xml:space="preserve"> </w:t>
      </w:r>
      <w:r>
        <w:rPr>
          <w:rFonts w:cs="Arial"/>
        </w:rPr>
        <w:t>aumento</w:t>
      </w:r>
      <w:r w:rsidRPr="00230032">
        <w:rPr>
          <w:rFonts w:cs="Arial"/>
        </w:rPr>
        <w:t xml:space="preserve"> di CHF 2.</w:t>
      </w:r>
      <w:r>
        <w:rPr>
          <w:rFonts w:cs="Arial"/>
        </w:rPr>
        <w:t>5</w:t>
      </w:r>
      <w:r w:rsidRPr="00230032">
        <w:rPr>
          <w:rFonts w:cs="Arial"/>
        </w:rPr>
        <w:t xml:space="preserve"> milioni, pari al </w:t>
      </w:r>
      <w:r>
        <w:rPr>
          <w:rFonts w:cs="Arial"/>
        </w:rPr>
        <w:t>20.3</w:t>
      </w:r>
      <w:r w:rsidRPr="00230032">
        <w:rPr>
          <w:rFonts w:cs="Arial"/>
        </w:rPr>
        <w:t>% rispetto al 201</w:t>
      </w:r>
      <w:r>
        <w:rPr>
          <w:rFonts w:cs="Arial"/>
        </w:rPr>
        <w:t>8 (anche in questo caso è stata recuperata la flessione registrata nel 2018)</w:t>
      </w:r>
      <w:r w:rsidRPr="00230032">
        <w:rPr>
          <w:rFonts w:cs="Arial"/>
        </w:rPr>
        <w:t>.</w:t>
      </w: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  <w:r>
        <w:rPr>
          <w:rFonts w:cs="Arial"/>
        </w:rPr>
        <w:t>I costi d’esercizio ammontano a CHF 105.6</w:t>
      </w:r>
      <w:r w:rsidRPr="002E1FB7">
        <w:rPr>
          <w:rFonts w:cs="Arial"/>
        </w:rPr>
        <w:t xml:space="preserve"> milioni, </w:t>
      </w:r>
      <w:r>
        <w:rPr>
          <w:rFonts w:cs="Arial"/>
        </w:rPr>
        <w:t xml:space="preserve">con una diminuzione di CHF 4 milioni e dunque del 3.7 % rispetto al 2018. È quindi sostanzialmente diminuito il maggior costo, registrato nel 2018, riconducibile alla decisione della banca di spesare subito il prepensionamento del personale che si realizzerà entro il 2020. </w:t>
      </w:r>
    </w:p>
    <w:p w:rsidR="00F9676E" w:rsidRDefault="00F9676E" w:rsidP="00F9676E">
      <w:pPr>
        <w:rPr>
          <w:rFonts w:cs="Arial"/>
        </w:rPr>
      </w:pPr>
    </w:p>
    <w:p w:rsidR="00F9676E" w:rsidRPr="00803F8D" w:rsidRDefault="00F9676E" w:rsidP="00F9676E">
      <w:pPr>
        <w:rPr>
          <w:rFonts w:cs="Arial"/>
        </w:rPr>
      </w:pPr>
      <w:r w:rsidRPr="00803F8D">
        <w:rPr>
          <w:rFonts w:cs="Arial"/>
        </w:rPr>
        <w:t>Come noto, la principale attività di Banca Stato concerne la concessione di crediti ipotecari, come tale pari a CHF 9.</w:t>
      </w:r>
      <w:r>
        <w:rPr>
          <w:rFonts w:cs="Arial"/>
        </w:rPr>
        <w:t>8</w:t>
      </w:r>
      <w:r w:rsidRPr="00803F8D">
        <w:rPr>
          <w:rFonts w:cs="Arial"/>
        </w:rPr>
        <w:t xml:space="preserve"> miliardi, con una crescita di CHF </w:t>
      </w:r>
      <w:r>
        <w:rPr>
          <w:rFonts w:cs="Arial"/>
        </w:rPr>
        <w:t>426</w:t>
      </w:r>
      <w:r w:rsidRPr="00803F8D">
        <w:rPr>
          <w:rFonts w:cs="Arial"/>
        </w:rPr>
        <w:t xml:space="preserve"> milioni e dunque del </w:t>
      </w:r>
      <w:r>
        <w:rPr>
          <w:rFonts w:cs="Arial"/>
        </w:rPr>
        <w:t>4.5</w:t>
      </w:r>
      <w:r w:rsidRPr="00803F8D">
        <w:rPr>
          <w:rFonts w:cs="Arial"/>
        </w:rPr>
        <w:t>%, rispetto al 201</w:t>
      </w:r>
      <w:r>
        <w:rPr>
          <w:rFonts w:cs="Arial"/>
        </w:rPr>
        <w:t>8</w:t>
      </w:r>
      <w:r w:rsidRPr="00803F8D">
        <w:rPr>
          <w:rFonts w:cs="Arial"/>
        </w:rPr>
        <w:t>. I crediti in favore della clientela</w:t>
      </w:r>
      <w:r>
        <w:rPr>
          <w:rFonts w:cs="Arial"/>
        </w:rPr>
        <w:t xml:space="preserve"> hanno “sfondato” la soglia del miliardo e, grazie a una crescita di CHF 58 milioni (parti al 3.7%),</w:t>
      </w:r>
      <w:r w:rsidRPr="00803F8D">
        <w:rPr>
          <w:rFonts w:cs="Arial"/>
        </w:rPr>
        <w:t xml:space="preserve"> </w:t>
      </w:r>
      <w:r>
        <w:rPr>
          <w:rFonts w:cs="Arial"/>
        </w:rPr>
        <w:t>si assestano ora a HF 1.03 miliardi</w:t>
      </w:r>
      <w:r w:rsidRPr="00803F8D">
        <w:rPr>
          <w:rFonts w:cs="Arial"/>
        </w:rPr>
        <w:t xml:space="preserve">. </w:t>
      </w:r>
      <w:r>
        <w:rPr>
          <w:rFonts w:cs="Arial"/>
        </w:rPr>
        <w:t xml:space="preserve">I crediti </w:t>
      </w:r>
      <w:r w:rsidRPr="00803F8D">
        <w:rPr>
          <w:rFonts w:cs="Arial"/>
        </w:rPr>
        <w:t xml:space="preserve">a favore degli enti pubblici ammontano a CHF </w:t>
      </w:r>
      <w:r>
        <w:rPr>
          <w:rFonts w:cs="Arial"/>
        </w:rPr>
        <w:t>670</w:t>
      </w:r>
      <w:r w:rsidRPr="00803F8D">
        <w:rPr>
          <w:rFonts w:cs="Arial"/>
        </w:rPr>
        <w:t xml:space="preserve"> milioni, con </w:t>
      </w:r>
      <w:r>
        <w:rPr>
          <w:rFonts w:cs="Arial"/>
        </w:rPr>
        <w:t>una regressione del 5.1% rispetto al 2018</w:t>
      </w:r>
      <w:r w:rsidRPr="00803F8D">
        <w:rPr>
          <w:rFonts w:cs="Arial"/>
        </w:rPr>
        <w:t xml:space="preserve">. Il volume dei patrimoni in gestione presso Banca Stato è aumentato di CHF </w:t>
      </w:r>
      <w:r>
        <w:rPr>
          <w:rFonts w:cs="Arial"/>
        </w:rPr>
        <w:t>862</w:t>
      </w:r>
      <w:r w:rsidRPr="00803F8D">
        <w:rPr>
          <w:rFonts w:cs="Arial"/>
        </w:rPr>
        <w:t xml:space="preserve"> milioni, pari al 7</w:t>
      </w:r>
      <w:r>
        <w:rPr>
          <w:rFonts w:cs="Arial"/>
        </w:rPr>
        <w:t>.5</w:t>
      </w:r>
      <w:r w:rsidRPr="00803F8D">
        <w:rPr>
          <w:rFonts w:cs="Arial"/>
        </w:rPr>
        <w:t>%, attestandosi a oltre CHF 1</w:t>
      </w:r>
      <w:r>
        <w:rPr>
          <w:rFonts w:cs="Arial"/>
        </w:rPr>
        <w:t>2</w:t>
      </w:r>
      <w:r w:rsidRPr="00803F8D">
        <w:rPr>
          <w:rFonts w:cs="Arial"/>
        </w:rPr>
        <w:t>.</w:t>
      </w:r>
      <w:r>
        <w:rPr>
          <w:rFonts w:cs="Arial"/>
        </w:rPr>
        <w:t>4</w:t>
      </w:r>
      <w:r w:rsidRPr="00803F8D">
        <w:rPr>
          <w:rFonts w:cs="Arial"/>
        </w:rPr>
        <w:t xml:space="preserve"> miliardi. L’afflusso netto di denaro fresco (Net New Money) è di CHF </w:t>
      </w:r>
      <w:r>
        <w:rPr>
          <w:rFonts w:cs="Arial"/>
        </w:rPr>
        <w:t>601</w:t>
      </w:r>
      <w:r w:rsidRPr="00803F8D">
        <w:rPr>
          <w:rFonts w:cs="Arial"/>
        </w:rPr>
        <w:t xml:space="preserve"> milioni</w:t>
      </w:r>
      <w:r>
        <w:rPr>
          <w:rFonts w:cs="Arial"/>
        </w:rPr>
        <w:t xml:space="preserve"> (in flessione del 16%)</w:t>
      </w:r>
      <w:r w:rsidRPr="00803F8D">
        <w:rPr>
          <w:rFonts w:cs="Arial"/>
        </w:rPr>
        <w:t>.</w:t>
      </w:r>
    </w:p>
    <w:p w:rsidR="00F9676E" w:rsidRPr="00803F8D" w:rsidRDefault="00F9676E" w:rsidP="00F9676E">
      <w:pPr>
        <w:rPr>
          <w:rFonts w:cs="Arial"/>
        </w:rPr>
      </w:pPr>
    </w:p>
    <w:p w:rsidR="00F9676E" w:rsidRPr="00803F8D" w:rsidRDefault="00F9676E" w:rsidP="00F9676E">
      <w:pPr>
        <w:rPr>
          <w:rFonts w:cs="Arial"/>
        </w:rPr>
      </w:pPr>
      <w:r w:rsidRPr="00803F8D">
        <w:rPr>
          <w:rFonts w:cs="Arial"/>
        </w:rPr>
        <w:t xml:space="preserve">I principali indicatori di Banca Stato </w:t>
      </w:r>
      <w:r>
        <w:rPr>
          <w:rFonts w:cs="Arial"/>
        </w:rPr>
        <w:t>si presentano come segue</w:t>
      </w:r>
      <w:r w:rsidRPr="00803F8D">
        <w:rPr>
          <w:rFonts w:cs="Arial"/>
        </w:rPr>
        <w:t>: la redditività dei fondi propri (Return on Equity, ROE) è diminuita al 7.</w:t>
      </w:r>
      <w:r>
        <w:rPr>
          <w:rFonts w:cs="Arial"/>
        </w:rPr>
        <w:t>1</w:t>
      </w:r>
      <w:r w:rsidRPr="00803F8D">
        <w:rPr>
          <w:rFonts w:cs="Arial"/>
        </w:rPr>
        <w:t>% (rispetto all’8.3% del 2017</w:t>
      </w:r>
      <w:r>
        <w:rPr>
          <w:rFonts w:cs="Arial"/>
        </w:rPr>
        <w:t xml:space="preserve"> e al 7.6% del 2018</w:t>
      </w:r>
      <w:r w:rsidRPr="00803F8D">
        <w:rPr>
          <w:rFonts w:cs="Arial"/>
        </w:rPr>
        <w:t>); quella dei fondi propri aggiustati al rischio (Return on Risk Adjusted Capital, RORAC) passa dal 14.</w:t>
      </w:r>
      <w:r>
        <w:rPr>
          <w:rFonts w:cs="Arial"/>
        </w:rPr>
        <w:t>2</w:t>
      </w:r>
      <w:r w:rsidRPr="00803F8D">
        <w:rPr>
          <w:rFonts w:cs="Arial"/>
        </w:rPr>
        <w:t>% al 14.</w:t>
      </w:r>
      <w:r>
        <w:rPr>
          <w:rFonts w:cs="Arial"/>
        </w:rPr>
        <w:t>9</w:t>
      </w:r>
      <w:r w:rsidRPr="00803F8D">
        <w:rPr>
          <w:rFonts w:cs="Arial"/>
        </w:rPr>
        <w:t>%</w:t>
      </w:r>
      <w:r>
        <w:rPr>
          <w:rFonts w:cs="Arial"/>
        </w:rPr>
        <w:t xml:space="preserve"> (ritornando quindi ai livelli del 2017, quando il RORAC era al 14.8%).</w:t>
      </w:r>
      <w:r w:rsidRPr="00803F8D">
        <w:rPr>
          <w:rFonts w:cs="Arial"/>
        </w:rPr>
        <w:t xml:space="preserve"> L’indicatore </w:t>
      </w:r>
      <w:r w:rsidRPr="00592A07">
        <w:rPr>
          <w:rFonts w:cs="Arial"/>
        </w:rPr>
        <w:t>di efficienza è del 52.2%, rispetto a quello del 54.6% del 2018. Gli effettivi del personale corrispondono a 370.7 UP, rispetto 380.9 UP del 2018.</w:t>
      </w:r>
    </w:p>
    <w:p w:rsidR="00F9676E" w:rsidRPr="00803F8D" w:rsidRDefault="00F9676E" w:rsidP="00F9676E">
      <w:pPr>
        <w:rPr>
          <w:rFonts w:cs="Arial"/>
        </w:rPr>
      </w:pPr>
    </w:p>
    <w:p w:rsidR="00F9676E" w:rsidRPr="00803F8D" w:rsidRDefault="00F9676E" w:rsidP="00F9676E">
      <w:pPr>
        <w:rPr>
          <w:rFonts w:cs="Arial"/>
        </w:rPr>
      </w:pPr>
      <w:r w:rsidRPr="00803F8D">
        <w:rPr>
          <w:rFonts w:cs="Arial"/>
        </w:rPr>
        <w:t>In merito alle attività dell’Axion SWISS Bank SA, i ricavi netti sono passati da CHF 3</w:t>
      </w:r>
      <w:r>
        <w:rPr>
          <w:rFonts w:cs="Arial"/>
        </w:rPr>
        <w:t>4</w:t>
      </w:r>
      <w:r w:rsidRPr="00803F8D">
        <w:rPr>
          <w:rFonts w:cs="Arial"/>
        </w:rPr>
        <w:t>.</w:t>
      </w:r>
      <w:r>
        <w:rPr>
          <w:rFonts w:cs="Arial"/>
        </w:rPr>
        <w:t>9</w:t>
      </w:r>
      <w:r w:rsidRPr="00803F8D">
        <w:rPr>
          <w:rFonts w:cs="Arial"/>
        </w:rPr>
        <w:t xml:space="preserve"> milioni del 201</w:t>
      </w:r>
      <w:r>
        <w:rPr>
          <w:rFonts w:cs="Arial"/>
        </w:rPr>
        <w:t>8</w:t>
      </w:r>
      <w:r w:rsidRPr="00803F8D">
        <w:rPr>
          <w:rFonts w:cs="Arial"/>
        </w:rPr>
        <w:t xml:space="preserve"> a CHF </w:t>
      </w:r>
      <w:r>
        <w:rPr>
          <w:rFonts w:cs="Arial"/>
        </w:rPr>
        <w:t>36</w:t>
      </w:r>
      <w:r w:rsidRPr="00803F8D">
        <w:rPr>
          <w:rFonts w:cs="Arial"/>
        </w:rPr>
        <w:t>.</w:t>
      </w:r>
      <w:r>
        <w:rPr>
          <w:rFonts w:cs="Arial"/>
        </w:rPr>
        <w:t>1</w:t>
      </w:r>
      <w:r w:rsidRPr="00803F8D">
        <w:rPr>
          <w:rFonts w:cs="Arial"/>
        </w:rPr>
        <w:t xml:space="preserve"> milioni, con un aumento del</w:t>
      </w:r>
      <w:r>
        <w:rPr>
          <w:rFonts w:cs="Arial"/>
        </w:rPr>
        <w:t xml:space="preserve"> 3.5%</w:t>
      </w:r>
      <w:r w:rsidRPr="00803F8D">
        <w:rPr>
          <w:rFonts w:cs="Arial"/>
        </w:rPr>
        <w:t>. I costi d’esercizio sono passati da CHF 2</w:t>
      </w:r>
      <w:r>
        <w:rPr>
          <w:rFonts w:cs="Arial"/>
        </w:rPr>
        <w:t>5</w:t>
      </w:r>
      <w:r w:rsidRPr="00803F8D">
        <w:rPr>
          <w:rFonts w:cs="Arial"/>
        </w:rPr>
        <w:t>.</w:t>
      </w:r>
      <w:r>
        <w:rPr>
          <w:rFonts w:cs="Arial"/>
        </w:rPr>
        <w:t>1</w:t>
      </w:r>
      <w:r w:rsidRPr="00803F8D">
        <w:rPr>
          <w:rFonts w:cs="Arial"/>
        </w:rPr>
        <w:t xml:space="preserve"> milioni a CHF 25.</w:t>
      </w:r>
      <w:r>
        <w:rPr>
          <w:rFonts w:cs="Arial"/>
        </w:rPr>
        <w:t>3</w:t>
      </w:r>
      <w:r w:rsidRPr="00803F8D">
        <w:rPr>
          <w:rFonts w:cs="Arial"/>
        </w:rPr>
        <w:t xml:space="preserve"> milioni, </w:t>
      </w:r>
      <w:r>
        <w:rPr>
          <w:rFonts w:cs="Arial"/>
        </w:rPr>
        <w:t>quindi pressoché invariati.</w:t>
      </w:r>
      <w:r w:rsidRPr="00803F8D">
        <w:rPr>
          <w:rFonts w:cs="Arial"/>
        </w:rPr>
        <w:t xml:space="preserve"> L’utile netto è stato di CHF </w:t>
      </w:r>
      <w:r>
        <w:rPr>
          <w:rFonts w:cs="Arial"/>
        </w:rPr>
        <w:t>4</w:t>
      </w:r>
      <w:r w:rsidRPr="00803F8D">
        <w:rPr>
          <w:rFonts w:cs="Arial"/>
        </w:rPr>
        <w:t>.</w:t>
      </w:r>
      <w:r>
        <w:rPr>
          <w:rFonts w:cs="Arial"/>
        </w:rPr>
        <w:t>2</w:t>
      </w:r>
      <w:r w:rsidRPr="00803F8D">
        <w:rPr>
          <w:rFonts w:cs="Arial"/>
        </w:rPr>
        <w:t xml:space="preserve"> milioni, con un aumento del </w:t>
      </w:r>
      <w:r>
        <w:rPr>
          <w:rFonts w:cs="Arial"/>
        </w:rPr>
        <w:t>7.6</w:t>
      </w:r>
      <w:r w:rsidRPr="00803F8D">
        <w:rPr>
          <w:rFonts w:cs="Arial"/>
        </w:rPr>
        <w:t xml:space="preserve">%. Gli </w:t>
      </w:r>
      <w:r w:rsidRPr="00803F8D">
        <w:rPr>
          <w:rFonts w:cs="Arial"/>
          <w:i/>
        </w:rPr>
        <w:t>Assets under Management</w:t>
      </w:r>
      <w:r w:rsidRPr="00803F8D">
        <w:rPr>
          <w:rFonts w:cs="Arial"/>
        </w:rPr>
        <w:t xml:space="preserve"> sono passati da CHF 4.</w:t>
      </w:r>
      <w:r>
        <w:rPr>
          <w:rFonts w:cs="Arial"/>
        </w:rPr>
        <w:t>13</w:t>
      </w:r>
      <w:r w:rsidRPr="00803F8D">
        <w:rPr>
          <w:rFonts w:cs="Arial"/>
        </w:rPr>
        <w:t xml:space="preserve"> miliardi a oltre CHF 4.</w:t>
      </w:r>
      <w:r>
        <w:rPr>
          <w:rFonts w:cs="Arial"/>
        </w:rPr>
        <w:t>8</w:t>
      </w:r>
      <w:r w:rsidRPr="00803F8D">
        <w:rPr>
          <w:rFonts w:cs="Arial"/>
        </w:rPr>
        <w:t xml:space="preserve"> miliardi, con un</w:t>
      </w:r>
      <w:r>
        <w:rPr>
          <w:rFonts w:cs="Arial"/>
        </w:rPr>
        <w:t xml:space="preserve"> aumento </w:t>
      </w:r>
      <w:r w:rsidRPr="00803F8D">
        <w:rPr>
          <w:rFonts w:cs="Arial"/>
        </w:rPr>
        <w:t xml:space="preserve">di ca. </w:t>
      </w:r>
      <w:r>
        <w:rPr>
          <w:rFonts w:cs="Arial"/>
        </w:rPr>
        <w:t>666</w:t>
      </w:r>
      <w:r w:rsidRPr="00803F8D">
        <w:rPr>
          <w:rFonts w:cs="Arial"/>
        </w:rPr>
        <w:t xml:space="preserve"> milioni di franchi</w:t>
      </w:r>
      <w:r>
        <w:rPr>
          <w:rFonts w:cs="Arial"/>
        </w:rPr>
        <w:t>, di cui CHF 480 milioni di denaro fresco</w:t>
      </w:r>
      <w:r w:rsidRPr="00803F8D">
        <w:rPr>
          <w:rFonts w:cs="Arial"/>
        </w:rPr>
        <w:t>.</w:t>
      </w:r>
    </w:p>
    <w:p w:rsidR="00F9676E" w:rsidRPr="00803F8D" w:rsidRDefault="00F9676E" w:rsidP="00F9676E">
      <w:pPr>
        <w:rPr>
          <w:rFonts w:cs="Arial"/>
        </w:rPr>
      </w:pPr>
    </w:p>
    <w:p w:rsidR="00F9676E" w:rsidRPr="002E1FB7" w:rsidRDefault="00F9676E" w:rsidP="00F9676E">
      <w:pPr>
        <w:rPr>
          <w:rFonts w:cs="Arial"/>
        </w:rPr>
      </w:pPr>
      <w:r w:rsidRPr="00803F8D">
        <w:rPr>
          <w:rFonts w:cs="Arial"/>
        </w:rPr>
        <w:t xml:space="preserve">A livello consolidato, l’utile di gruppo è di CHF </w:t>
      </w:r>
      <w:r>
        <w:rPr>
          <w:rFonts w:cs="Arial"/>
        </w:rPr>
        <w:t>52</w:t>
      </w:r>
      <w:r w:rsidRPr="00803F8D">
        <w:rPr>
          <w:rFonts w:cs="Arial"/>
        </w:rPr>
        <w:t>.</w:t>
      </w:r>
      <w:r>
        <w:rPr>
          <w:rFonts w:cs="Arial"/>
        </w:rPr>
        <w:t>9</w:t>
      </w:r>
      <w:r w:rsidRPr="00803F8D">
        <w:rPr>
          <w:rFonts w:cs="Arial"/>
        </w:rPr>
        <w:t xml:space="preserve"> milioni, con un aumento di CHF </w:t>
      </w:r>
      <w:r>
        <w:rPr>
          <w:rFonts w:cs="Arial"/>
        </w:rPr>
        <w:t>3.6</w:t>
      </w:r>
      <w:r w:rsidRPr="00803F8D">
        <w:rPr>
          <w:rFonts w:cs="Arial"/>
        </w:rPr>
        <w:t xml:space="preserve"> milioni, ovvero del </w:t>
      </w:r>
      <w:r>
        <w:rPr>
          <w:rFonts w:cs="Arial"/>
        </w:rPr>
        <w:t>7.6</w:t>
      </w:r>
      <w:r w:rsidRPr="00803F8D">
        <w:rPr>
          <w:rFonts w:cs="Arial"/>
        </w:rPr>
        <w:t>% rispetto al 201</w:t>
      </w:r>
      <w:r>
        <w:rPr>
          <w:rFonts w:cs="Arial"/>
        </w:rPr>
        <w:t>8</w:t>
      </w:r>
      <w:r w:rsidRPr="00803F8D">
        <w:rPr>
          <w:rFonts w:cs="Arial"/>
        </w:rPr>
        <w:t xml:space="preserve">. Il grado di solidità della banca, calcolato secondo i criteri di Basilea III, passa dal </w:t>
      </w:r>
      <w:r>
        <w:rPr>
          <w:rFonts w:cs="Arial"/>
        </w:rPr>
        <w:t>207.8</w:t>
      </w:r>
      <w:r w:rsidRPr="00803F8D">
        <w:rPr>
          <w:rFonts w:cs="Arial"/>
        </w:rPr>
        <w:t xml:space="preserve">% del 2017 al </w:t>
      </w:r>
      <w:r>
        <w:rPr>
          <w:rFonts w:cs="Arial"/>
        </w:rPr>
        <w:t>209.2</w:t>
      </w:r>
      <w:r w:rsidRPr="00803F8D">
        <w:rPr>
          <w:rFonts w:cs="Arial"/>
        </w:rPr>
        <w:t>% del 2018</w:t>
      </w:r>
      <w:r>
        <w:rPr>
          <w:rFonts w:cs="Arial"/>
        </w:rPr>
        <w:t>.</w:t>
      </w:r>
    </w:p>
    <w:p w:rsidR="00F9676E" w:rsidRDefault="00F9676E" w:rsidP="00F9676E">
      <w:pPr>
        <w:rPr>
          <w:rFonts w:cs="Arial"/>
        </w:rPr>
      </w:pPr>
    </w:p>
    <w:p w:rsidR="00E357E9" w:rsidRDefault="00E357E9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pStyle w:val="Titolo1"/>
      </w:pPr>
      <w:r>
        <w:t>L’esame commissionale</w:t>
      </w:r>
    </w:p>
    <w:p w:rsidR="00F9676E" w:rsidRDefault="00F9676E" w:rsidP="00F9676E">
      <w:pPr>
        <w:rPr>
          <w:rFonts w:cs="Arial"/>
        </w:rPr>
      </w:pPr>
      <w:r>
        <w:rPr>
          <w:rFonts w:cs="Arial"/>
        </w:rPr>
        <w:t xml:space="preserve">La Commissione gestione e finanze ha esaminato il messaggio ed il rapporto di Banca Stato in oggetto. </w:t>
      </w:r>
    </w:p>
    <w:p w:rsidR="00F9676E" w:rsidRDefault="00F9676E" w:rsidP="00F9676E">
      <w:pPr>
        <w:rPr>
          <w:rFonts w:cs="Arial"/>
        </w:rPr>
      </w:pPr>
    </w:p>
    <w:p w:rsidR="00F9676E" w:rsidRDefault="00F9676E" w:rsidP="00E357E9">
      <w:r>
        <w:t>Essa ha preso atto dei risultati conseguiti da Banca Stato nel 2019 che si pongono rallegrante continuità con quelli degli ultimi. Sono aumentati l’utile d’esercizio e l’utile netto, come pure le principali voci di bilancio. Il livello dei fondi propri è stato rafforzato, così da rispondere al meglio alle sempre più severe disposizioni in materia e per finanziare la crescita degli affari. I principali indicatori di redditività, efficienza e solidità sono pure in continuità con quelli degli ultimi anni.</w:t>
      </w:r>
    </w:p>
    <w:p w:rsidR="00F9676E" w:rsidRDefault="00F9676E" w:rsidP="00E357E9"/>
    <w:p w:rsidR="00F9676E" w:rsidRDefault="00F9676E" w:rsidP="00E357E9">
      <w:r>
        <w:lastRenderedPageBreak/>
        <w:t>BancaStato, nel 2019, ha deciso di sostenere con un importo di CHF 2 milioni, tramite la Fondazione del Centenario di BancaStato, le start-up innovative ticinesi; ha inoltre proseguito nella politica di sponsorizzazione di eventi e realtà in ambito culturale, sportivo e sociale (degna di nota la sponsorizzazione dell’OSI, eccellenza artistica del nostro Cantone), nonché continuato a versare CHF 100'000 a favore dell’iniziativa Ticino Ticket.</w:t>
      </w:r>
    </w:p>
    <w:p w:rsidR="00F9676E" w:rsidRDefault="00F9676E" w:rsidP="00E357E9"/>
    <w:p w:rsidR="00F9676E" w:rsidRDefault="00F9676E" w:rsidP="00E357E9">
      <w:r>
        <w:t>Il ruolo di BancaStato ha assunto e assumerà un ruolo ancora più significativo a dipendenza della situazione socio-economica determinata dal Covid-19, in questo senso il rafforzamento della banca negli ultimi anni è senz’altro un elemento positivo; ciò premesso le attività svolte da BancaStato in relazione al Covid-19 saranno oggetto del rapporto sui conti del 2020.</w:t>
      </w: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  <w:r>
        <w:rPr>
          <w:rFonts w:cs="Arial"/>
        </w:rPr>
        <w:t>La Commissione, come l’anno scorso, ribadisce l’importanza, per BancaStato, di continuare a beneficiare della garanzia del Cantone, per la rilevanza che tale elemento ha nell’operatività della banca; in questo senso si invita il Consiglio di Stato, per quanto di sua competenza, a portare questa preoccupazione nell’ambito delle discussioni relative all’accordo istituzionale con l’Unione europea.</w:t>
      </w: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  <w:r>
        <w:rPr>
          <w:rFonts w:cs="Arial"/>
        </w:rPr>
        <w:t xml:space="preserve">Per gli ulteriori aspetti si rinvia al Rapporto della Commissione di controllo relativo al </w:t>
      </w:r>
      <w:r w:rsidRPr="00AD09E2">
        <w:rPr>
          <w:rFonts w:cs="Arial"/>
        </w:rPr>
        <w:t>bilancio sociale e ambientale 201</w:t>
      </w:r>
      <w:r>
        <w:rPr>
          <w:rFonts w:cs="Arial"/>
        </w:rPr>
        <w:t>9</w:t>
      </w:r>
      <w:r w:rsidRPr="00AD09E2">
        <w:rPr>
          <w:rFonts w:cs="Arial"/>
        </w:rPr>
        <w:t>.</w:t>
      </w: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</w:p>
    <w:p w:rsidR="00F9676E" w:rsidRPr="006934E7" w:rsidRDefault="00F9676E" w:rsidP="00F9676E">
      <w:pPr>
        <w:pStyle w:val="Titolo1"/>
      </w:pPr>
      <w:r>
        <w:t>Conclusione</w:t>
      </w:r>
    </w:p>
    <w:p w:rsidR="00F9676E" w:rsidRDefault="00F9676E" w:rsidP="00F9676E">
      <w:pPr>
        <w:rPr>
          <w:rFonts w:cs="Arial"/>
        </w:rPr>
      </w:pPr>
      <w:r w:rsidRPr="00230032">
        <w:rPr>
          <w:rFonts w:cs="Arial"/>
        </w:rPr>
        <w:t>La Commissione gestione e finanze propone quindi al Gran Consiglio di approvare il messaggio in oggetto ed il relativo decreto e dunque il conto economico ed il bilancio al 31.12.201</w:t>
      </w:r>
      <w:r>
        <w:rPr>
          <w:rFonts w:cs="Arial"/>
        </w:rPr>
        <w:t>9</w:t>
      </w:r>
      <w:r w:rsidRPr="00230032">
        <w:rPr>
          <w:rFonts w:cs="Arial"/>
        </w:rPr>
        <w:t xml:space="preserve"> di Banca Stato e la destinazione dell’utile di CHF </w:t>
      </w:r>
      <w:r>
        <w:rPr>
          <w:rFonts w:cs="Arial"/>
        </w:rPr>
        <w:t>52</w:t>
      </w:r>
      <w:r w:rsidRPr="00230032">
        <w:rPr>
          <w:rFonts w:cs="Arial"/>
        </w:rPr>
        <w:t>.</w:t>
      </w:r>
      <w:r>
        <w:rPr>
          <w:rFonts w:cs="Arial"/>
        </w:rPr>
        <w:t>022</w:t>
      </w:r>
      <w:r w:rsidRPr="00230032">
        <w:rPr>
          <w:rFonts w:cs="Arial"/>
        </w:rPr>
        <w:t xml:space="preserve"> milioni al Cantone e dando scarico al Consiglio di amministrazione e alla Direzione.</w:t>
      </w:r>
    </w:p>
    <w:p w:rsidR="00F9676E" w:rsidRDefault="00F9676E" w:rsidP="00F9676E">
      <w:pPr>
        <w:rPr>
          <w:rFonts w:cs="Arial"/>
          <w:szCs w:val="24"/>
        </w:rPr>
      </w:pPr>
    </w:p>
    <w:p w:rsidR="00E357E9" w:rsidRDefault="00E357E9" w:rsidP="00F9676E">
      <w:pPr>
        <w:rPr>
          <w:rFonts w:cs="Arial"/>
          <w:szCs w:val="24"/>
        </w:rPr>
      </w:pPr>
    </w:p>
    <w:p w:rsidR="00E357E9" w:rsidRPr="00076E70" w:rsidRDefault="00E357E9" w:rsidP="00F9676E">
      <w:pPr>
        <w:rPr>
          <w:rFonts w:cs="Arial"/>
          <w:szCs w:val="24"/>
        </w:rPr>
      </w:pPr>
    </w:p>
    <w:p w:rsidR="00F9676E" w:rsidRPr="00076E70" w:rsidRDefault="00F9676E" w:rsidP="00F9676E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</w:t>
      </w:r>
      <w:r w:rsidRPr="008F247D">
        <w:rPr>
          <w:rFonts w:cs="Arial"/>
          <w:szCs w:val="24"/>
        </w:rPr>
        <w:t>gestione e finanze</w:t>
      </w:r>
      <w:r w:rsidRPr="00076E70">
        <w:rPr>
          <w:rFonts w:cs="Arial"/>
          <w:szCs w:val="24"/>
        </w:rPr>
        <w:t>:</w:t>
      </w:r>
    </w:p>
    <w:p w:rsidR="00F9676E" w:rsidRPr="00076E70" w:rsidRDefault="00F9676E" w:rsidP="00F9676E">
      <w:pPr>
        <w:rPr>
          <w:rFonts w:cs="Arial"/>
          <w:szCs w:val="24"/>
        </w:rPr>
      </w:pPr>
      <w:r>
        <w:rPr>
          <w:rFonts w:cs="Arial"/>
          <w:szCs w:val="24"/>
        </w:rPr>
        <w:t>Maurizio Agustoni</w:t>
      </w:r>
      <w:r w:rsidRPr="00076E70">
        <w:rPr>
          <w:rFonts w:cs="Arial"/>
          <w:szCs w:val="24"/>
        </w:rPr>
        <w:t>, relatore</w:t>
      </w:r>
    </w:p>
    <w:p w:rsidR="00E357E9" w:rsidRDefault="00E357E9" w:rsidP="00E357E9">
      <w:pPr>
        <w:rPr>
          <w:rFonts w:cs="Arial"/>
        </w:rPr>
      </w:pPr>
      <w:bookmarkStart w:id="2" w:name="OLE_LINK1"/>
      <w:bookmarkStart w:id="3" w:name="OLE_LINK2"/>
      <w:r>
        <w:rPr>
          <w:rFonts w:cs="Arial"/>
        </w:rPr>
        <w:t xml:space="preserve">Bang - Bignasca - Biscossa - Bourgoin - </w:t>
      </w:r>
    </w:p>
    <w:p w:rsidR="00E357E9" w:rsidRDefault="00E357E9" w:rsidP="00E357E9">
      <w:pPr>
        <w:rPr>
          <w:rFonts w:cs="Arial"/>
        </w:rPr>
      </w:pPr>
      <w:r>
        <w:rPr>
          <w:rFonts w:cs="Arial"/>
        </w:rPr>
        <w:t xml:space="preserve">Caprara - Dadò - Durisch - Ferrara - </w:t>
      </w:r>
    </w:p>
    <w:p w:rsidR="00E357E9" w:rsidRDefault="00E357E9" w:rsidP="00E357E9">
      <w:pPr>
        <w:rPr>
          <w:rFonts w:cs="Arial"/>
        </w:rPr>
      </w:pPr>
      <w:r>
        <w:rPr>
          <w:rFonts w:cs="Arial"/>
        </w:rPr>
        <w:t xml:space="preserve">Foletti - Gianella Alessandra - Jelmini - </w:t>
      </w:r>
    </w:p>
    <w:p w:rsidR="00E357E9" w:rsidRDefault="00E357E9" w:rsidP="00E357E9">
      <w:pPr>
        <w:rPr>
          <w:rFonts w:cs="Arial"/>
        </w:rPr>
      </w:pPr>
      <w:r>
        <w:rPr>
          <w:rFonts w:cs="Arial"/>
        </w:rPr>
        <w:t>Pini - Quadranti</w:t>
      </w:r>
    </w:p>
    <w:bookmarkEnd w:id="2"/>
    <w:bookmarkEnd w:id="3"/>
    <w:p w:rsidR="00F9676E" w:rsidRDefault="00F9676E" w:rsidP="00F9676E">
      <w:pPr>
        <w:tabs>
          <w:tab w:val="left" w:pos="284"/>
        </w:tabs>
      </w:pPr>
    </w:p>
    <w:p w:rsidR="00F9676E" w:rsidRDefault="00F9676E" w:rsidP="00F9676E"/>
    <w:p w:rsidR="00E357E9" w:rsidRDefault="00E357E9" w:rsidP="00F9676E"/>
    <w:p w:rsidR="00E357E9" w:rsidRDefault="00E357E9" w:rsidP="00F9676E"/>
    <w:p w:rsidR="00E357E9" w:rsidRDefault="00E357E9" w:rsidP="00F9676E"/>
    <w:p w:rsidR="00E357E9" w:rsidRDefault="00E357E9" w:rsidP="00F9676E"/>
    <w:p w:rsidR="00E357E9" w:rsidRPr="00CB793E" w:rsidRDefault="00E357E9" w:rsidP="00F9676E"/>
    <w:p w:rsidR="00F9676E" w:rsidRPr="00B860C2" w:rsidRDefault="00F9676E" w:rsidP="00F9676E"/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</w:p>
    <w:p w:rsidR="00F9676E" w:rsidRDefault="00F9676E" w:rsidP="00F9676E">
      <w:pPr>
        <w:rPr>
          <w:rFonts w:cs="Arial"/>
        </w:rPr>
      </w:pPr>
    </w:p>
    <w:p w:rsidR="00F9676E" w:rsidRPr="00A47D27" w:rsidRDefault="00F9676E" w:rsidP="00F9676E">
      <w:pPr>
        <w:tabs>
          <w:tab w:val="left" w:pos="993"/>
        </w:tabs>
        <w:autoSpaceDE w:val="0"/>
        <w:autoSpaceDN w:val="0"/>
        <w:adjustRightInd w:val="0"/>
        <w:ind w:left="993" w:hanging="993"/>
        <w:rPr>
          <w:rFonts w:cs="Arial"/>
          <w:sz w:val="22"/>
        </w:rPr>
      </w:pPr>
      <w:r w:rsidRPr="00457D33">
        <w:rPr>
          <w:rFonts w:cs="Arial"/>
          <w:sz w:val="22"/>
          <w:u w:val="single"/>
        </w:rPr>
        <w:t>Allegat</w:t>
      </w:r>
      <w:r>
        <w:rPr>
          <w:rFonts w:cs="Arial"/>
          <w:sz w:val="22"/>
          <w:u w:val="single"/>
        </w:rPr>
        <w:t>o</w:t>
      </w:r>
      <w:r w:rsidRPr="00457D33">
        <w:rPr>
          <w:rFonts w:cs="Arial"/>
          <w:sz w:val="22"/>
        </w:rPr>
        <w:t>:</w:t>
      </w:r>
      <w:r>
        <w:rPr>
          <w:rFonts w:cs="Arial"/>
          <w:sz w:val="22"/>
        </w:rPr>
        <w:tab/>
      </w:r>
      <w:r w:rsidRPr="00457D33">
        <w:rPr>
          <w:rFonts w:cs="Arial"/>
          <w:sz w:val="22"/>
        </w:rPr>
        <w:t>Rapporto della Commissione del controllo del mandato pubbl</w:t>
      </w:r>
      <w:r>
        <w:rPr>
          <w:rFonts w:cs="Arial"/>
          <w:sz w:val="22"/>
        </w:rPr>
        <w:t>ico della Banca dello Stato all'</w:t>
      </w:r>
      <w:r w:rsidRPr="00457D33">
        <w:rPr>
          <w:rFonts w:cs="Arial"/>
          <w:sz w:val="22"/>
        </w:rPr>
        <w:t xml:space="preserve">attenzione del Gran Consiglio sul grado di raggiungimento degli obiettivi di </w:t>
      </w:r>
      <w:r>
        <w:rPr>
          <w:rFonts w:cs="Arial"/>
          <w:sz w:val="22"/>
        </w:rPr>
        <w:t>mandato pubblico della Banca</w:t>
      </w:r>
    </w:p>
    <w:bookmarkEnd w:id="0"/>
    <w:sectPr w:rsidR="00F9676E" w:rsidRPr="00A47D27" w:rsidSect="008B4137">
      <w:footerReference w:type="default" r:id="rId8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C6" w:rsidRDefault="008E77C6" w:rsidP="008E77C6">
      <w:r>
        <w:separator/>
      </w:r>
    </w:p>
  </w:endnote>
  <w:endnote w:type="continuationSeparator" w:id="0">
    <w:p w:rsidR="008E77C6" w:rsidRDefault="008E77C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247CE7" w:rsidRPr="00247CE7">
          <w:rPr>
            <w:noProof/>
            <w:sz w:val="20"/>
            <w:szCs w:val="20"/>
            <w:lang w:val="it-IT"/>
          </w:rPr>
          <w:t>2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C6" w:rsidRDefault="008E77C6" w:rsidP="008E77C6">
      <w:r>
        <w:separator/>
      </w:r>
    </w:p>
  </w:footnote>
  <w:footnote w:type="continuationSeparator" w:id="0">
    <w:p w:rsidR="008E77C6" w:rsidRDefault="008E77C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37"/>
    <w:rsid w:val="00076E70"/>
    <w:rsid w:val="001574D7"/>
    <w:rsid w:val="00247CE7"/>
    <w:rsid w:val="00260C8C"/>
    <w:rsid w:val="002677DC"/>
    <w:rsid w:val="002E5E40"/>
    <w:rsid w:val="0052425A"/>
    <w:rsid w:val="00586A8D"/>
    <w:rsid w:val="006C17AA"/>
    <w:rsid w:val="006D7A3B"/>
    <w:rsid w:val="006E4AE2"/>
    <w:rsid w:val="007352D3"/>
    <w:rsid w:val="007B5462"/>
    <w:rsid w:val="008034BD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B860C2"/>
    <w:rsid w:val="00BC4C95"/>
    <w:rsid w:val="00BD5944"/>
    <w:rsid w:val="00CF6858"/>
    <w:rsid w:val="00D377B5"/>
    <w:rsid w:val="00D93B31"/>
    <w:rsid w:val="00E357E9"/>
    <w:rsid w:val="00E505DB"/>
    <w:rsid w:val="00E765A9"/>
    <w:rsid w:val="00F9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5:docId w15:val="{4FBA93B0-59EE-4CC3-A675-5CCB5D3DA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0CFC6-FF37-49A0-8CF6-40B8317A8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</cp:lastModifiedBy>
  <cp:revision>2</cp:revision>
  <cp:lastPrinted>2020-12-02T10:03:00Z</cp:lastPrinted>
  <dcterms:created xsi:type="dcterms:W3CDTF">2020-12-02T10:04:00Z</dcterms:created>
  <dcterms:modified xsi:type="dcterms:W3CDTF">2020-12-02T10:04:00Z</dcterms:modified>
</cp:coreProperties>
</file>