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740E" w:rsidRPr="007F740E" w:rsidRDefault="007F740E" w:rsidP="007F740E">
      <w:pPr>
        <w:suppressAutoHyphens/>
        <w:rPr>
          <w:rFonts w:eastAsia="Arial" w:cs="Arial"/>
          <w:sz w:val="24"/>
          <w:szCs w:val="24"/>
          <w:lang w:val="it-IT" w:eastAsia="it-IT"/>
        </w:rPr>
      </w:pPr>
      <w:bookmarkStart w:id="0" w:name="_GoBack"/>
      <w:bookmarkEnd w:id="0"/>
      <w:r w:rsidRPr="007F740E">
        <w:rPr>
          <w:rFonts w:eastAsia="Arial" w:cs="Arial"/>
          <w:b/>
          <w:sz w:val="28"/>
          <w:szCs w:val="28"/>
        </w:rPr>
        <w:t>della Commissione Costituzione e leggi</w:t>
      </w:r>
    </w:p>
    <w:p w:rsidR="007F740E" w:rsidRPr="007F740E" w:rsidRDefault="007F740E" w:rsidP="007F740E">
      <w:pPr>
        <w:suppressAutoHyphens/>
        <w:rPr>
          <w:rFonts w:eastAsia="Arial" w:cs="Arial"/>
          <w:sz w:val="24"/>
          <w:szCs w:val="24"/>
          <w:lang w:val="it-IT" w:eastAsia="it-IT"/>
        </w:rPr>
      </w:pPr>
      <w:r w:rsidRPr="007F740E">
        <w:rPr>
          <w:rFonts w:eastAsia="Arial" w:cs="Arial"/>
          <w:b/>
          <w:sz w:val="28"/>
          <w:szCs w:val="28"/>
        </w:rPr>
        <w:t>sul messaggio 19 febbraio 2025 concernente l’abrogazione della legge sulla dissimulazione del volto negli spazi pubblici del 23 novembre 2015 (LDiss) e dell'articolo 2 capoverso 1 lettere i) e l) e capoverso 2 della legge sull'ordine pubblico del 23 novembre 2015 (LOrP)</w:t>
      </w:r>
    </w:p>
    <w:p w:rsidR="007F740E" w:rsidRPr="007F740E" w:rsidRDefault="007F740E" w:rsidP="007F740E">
      <w:pPr>
        <w:widowControl w:val="0"/>
        <w:suppressAutoHyphens/>
        <w:rPr>
          <w:rFonts w:eastAsia="Arial" w:cs="Arial"/>
          <w:sz w:val="24"/>
          <w:szCs w:val="24"/>
          <w:lang w:val="it-IT" w:eastAsia="it-IT"/>
        </w:rPr>
      </w:pPr>
    </w:p>
    <w:p w:rsidR="007F740E" w:rsidRDefault="007F740E" w:rsidP="007F740E">
      <w:pPr>
        <w:suppressAutoHyphens/>
        <w:rPr>
          <w:rFonts w:eastAsia="Arial" w:cs="Arial"/>
          <w:sz w:val="24"/>
          <w:szCs w:val="24"/>
          <w:lang w:val="it-IT" w:eastAsia="it-IT"/>
        </w:rPr>
      </w:pPr>
    </w:p>
    <w:p w:rsidR="00275607" w:rsidRPr="007F740E" w:rsidRDefault="00275607" w:rsidP="007F740E">
      <w:pPr>
        <w:suppressAutoHyphens/>
        <w:rPr>
          <w:rFonts w:eastAsia="Arial" w:cs="Arial"/>
          <w:sz w:val="24"/>
          <w:szCs w:val="24"/>
          <w:lang w:val="it-IT" w:eastAsia="it-IT"/>
        </w:rPr>
      </w:pPr>
    </w:p>
    <w:p w:rsidR="007F740E" w:rsidRPr="007F740E" w:rsidRDefault="007F740E" w:rsidP="00275607">
      <w:pPr>
        <w:pStyle w:val="Titolo1"/>
        <w:tabs>
          <w:tab w:val="left" w:pos="567"/>
        </w:tabs>
        <w:spacing w:before="0"/>
        <w:ind w:left="567" w:hanging="567"/>
        <w:jc w:val="both"/>
        <w:rPr>
          <w:rFonts w:eastAsia="Calibri" w:cs="Times New Roman"/>
          <w:caps/>
          <w:sz w:val="24"/>
          <w:szCs w:val="24"/>
          <w:lang w:val="it-IT" w:eastAsia="it-IT"/>
        </w:rPr>
      </w:pPr>
      <w:r w:rsidRPr="007F740E">
        <w:rPr>
          <w:rFonts w:eastAsia="Calibri" w:cs="Times New Roman"/>
          <w:caps/>
          <w:sz w:val="24"/>
          <w:szCs w:val="24"/>
          <w:lang w:val="it-IT" w:eastAsia="it-IT"/>
        </w:rPr>
        <w:t>i.</w:t>
      </w:r>
      <w:r w:rsidRPr="007F740E">
        <w:rPr>
          <w:rFonts w:eastAsia="Calibri" w:cs="Times New Roman"/>
          <w:caps/>
          <w:sz w:val="24"/>
          <w:szCs w:val="24"/>
          <w:lang w:val="it-IT" w:eastAsia="it-IT"/>
        </w:rPr>
        <w:tab/>
        <w:t>ANALISI COMMISSIONALE</w:t>
      </w:r>
    </w:p>
    <w:p w:rsidR="007F740E" w:rsidRPr="007F740E" w:rsidRDefault="007F740E" w:rsidP="007F740E">
      <w:pPr>
        <w:suppressAutoHyphens/>
        <w:rPr>
          <w:rFonts w:eastAsia="Arial" w:cs="Arial"/>
          <w:sz w:val="24"/>
          <w:szCs w:val="24"/>
          <w:lang w:val="it-IT" w:eastAsia="it-IT"/>
        </w:rPr>
      </w:pPr>
      <w:r w:rsidRPr="007F740E">
        <w:rPr>
          <w:rFonts w:eastAsia="Arial" w:cs="Arial"/>
          <w:sz w:val="24"/>
          <w:szCs w:val="24"/>
          <w:lang w:val="it-IT" w:eastAsia="it-IT"/>
        </w:rPr>
        <w:t>L'abrogazione della legge cantonale postulata dal messaggio governativo n. 8546 del 19 febbraio 2025 si rende necessaria dal momento che lo scorso 1° gennaio è entrato in vigore in tutta la Svizzera il divieto di dissimulazione del viso nei luoghi pubblici. Secondo la nuova legge federale sul divieto di dissimulare il viso (LDDV) del 29 settembre 2023, occhi, naso e bocca devono rimanere visibili in tutti gli spazi pubblici o privati accessibili al pubblico. Il divieto di nascondere il volto si applica agli indumenti religiosi come il burqa o il niqab e anche agli hooligan durante gli eventi sportivi o ai manifestanti a volto coperto e violenti.</w:t>
      </w:r>
    </w:p>
    <w:p w:rsidR="007F740E" w:rsidRPr="007F740E" w:rsidRDefault="007F740E" w:rsidP="007F740E">
      <w:pPr>
        <w:suppressAutoHyphens/>
        <w:rPr>
          <w:rFonts w:eastAsia="Arial" w:cs="Arial"/>
          <w:sz w:val="24"/>
          <w:szCs w:val="24"/>
          <w:lang w:val="it-IT" w:eastAsia="it-IT"/>
        </w:rPr>
      </w:pPr>
    </w:p>
    <w:p w:rsidR="007F740E" w:rsidRPr="007F740E" w:rsidRDefault="007F740E" w:rsidP="007F740E">
      <w:pPr>
        <w:suppressAutoHyphens/>
        <w:rPr>
          <w:rFonts w:eastAsia="Arial" w:cs="Arial"/>
          <w:sz w:val="24"/>
          <w:szCs w:val="24"/>
          <w:lang w:val="it-IT" w:eastAsia="it-IT"/>
        </w:rPr>
      </w:pPr>
      <w:r w:rsidRPr="007F740E">
        <w:rPr>
          <w:rFonts w:eastAsia="Arial" w:cs="Arial"/>
          <w:sz w:val="24"/>
          <w:szCs w:val="24"/>
          <w:lang w:val="it-IT" w:eastAsia="it-IT"/>
        </w:rPr>
        <w:t>Le nuove disposizioni prevedono eccezioni per motivi di salute e di sicurezza, per condizioni climatiche e usanze locali. Ad esempio, il divieto non si applica nei luoghi di culto, durante i carnevali o ad Halloween; è anche consentito nascondere il viso negli aerei e nelle sedi diplomatiche e consolari, così come nelle esibizioni artistiche e di intrattenimento e per scopi pubblicitari. Anche le manifestazioni godono di uno status speciale: la dissimulazione del volto è ancora consentita, a condizione che le autorità abbiano dato il via libera e che la sicurezza e l'ordine pubblico non siano compromessi.</w:t>
      </w:r>
    </w:p>
    <w:p w:rsidR="007F740E" w:rsidRPr="007F740E" w:rsidRDefault="007F740E" w:rsidP="007F740E">
      <w:pPr>
        <w:suppressAutoHyphens/>
        <w:rPr>
          <w:rFonts w:eastAsia="Arial" w:cs="Arial"/>
          <w:sz w:val="24"/>
          <w:szCs w:val="24"/>
          <w:lang w:val="it-IT" w:eastAsia="it-IT"/>
        </w:rPr>
      </w:pPr>
    </w:p>
    <w:p w:rsidR="007F740E" w:rsidRPr="007F740E" w:rsidRDefault="007F740E" w:rsidP="007F740E">
      <w:pPr>
        <w:suppressAutoHyphens/>
        <w:rPr>
          <w:rFonts w:eastAsia="Arial" w:cs="Arial"/>
          <w:sz w:val="24"/>
          <w:szCs w:val="24"/>
          <w:lang w:val="it-IT" w:eastAsia="it-IT"/>
        </w:rPr>
      </w:pPr>
      <w:r w:rsidRPr="007F740E">
        <w:rPr>
          <w:rFonts w:eastAsia="Arial" w:cs="Arial"/>
          <w:sz w:val="24"/>
          <w:szCs w:val="24"/>
          <w:lang w:val="it-IT" w:eastAsia="it-IT"/>
        </w:rPr>
        <w:t>L'adeguamento dell'ordinanza concernente le multe disciplinari è parimenti entrato in vigore il 1° gennaio 2025 insieme alla nuova LDDV. Sulla base di diversi riscontri pervenuti a seguito della consultazione e allo scopo di minimizzare l'onere amministrativo per gli interessati e le autorità coinvolte, di norma le violazioni sono trattate nella cosiddetta procedura della multa disciplinare, secondo cui la multa ammonta a 100 franchi e può essere pagata immediatamente sul posto. Se la persona in questione si rifiuta di pagare, si applica la procedura ordinaria secondo cui la multa ammonta a 1'000 franchi al massimo.</w:t>
      </w:r>
    </w:p>
    <w:p w:rsidR="007F740E" w:rsidRPr="007F740E" w:rsidRDefault="007F740E" w:rsidP="007F740E">
      <w:pPr>
        <w:suppressAutoHyphens/>
        <w:rPr>
          <w:rFonts w:eastAsia="Arial" w:cs="Arial"/>
          <w:sz w:val="24"/>
          <w:szCs w:val="24"/>
          <w:lang w:val="it-IT" w:eastAsia="it-IT"/>
        </w:rPr>
      </w:pPr>
    </w:p>
    <w:p w:rsidR="007F740E" w:rsidRPr="007F740E" w:rsidRDefault="007F740E" w:rsidP="007F740E">
      <w:pPr>
        <w:suppressAutoHyphens/>
        <w:rPr>
          <w:rFonts w:eastAsia="Arial" w:cs="Arial"/>
          <w:sz w:val="24"/>
          <w:szCs w:val="24"/>
          <w:lang w:val="it-IT" w:eastAsia="it-IT"/>
        </w:rPr>
      </w:pPr>
      <w:r w:rsidRPr="007F740E">
        <w:rPr>
          <w:rFonts w:eastAsia="Arial" w:cs="Arial"/>
          <w:sz w:val="24"/>
          <w:szCs w:val="24"/>
          <w:lang w:val="it-IT" w:eastAsia="it-IT"/>
        </w:rPr>
        <w:t>La legge federale emana dal nuovo articolo costituzionale approvato nel marzo 2021 dalla doppia maggioranza di popolo (51.2%) e Cantoni (18 contro 5) proposto dalla "Iniziativa anti-burqa" del Comitato di Egerkingen. Con il divieto di nascondere il viso, la Svizzera ha inserito per la prima volta nella sua Costituzione norme sull'abbigliamento.</w:t>
      </w:r>
    </w:p>
    <w:p w:rsidR="007F740E" w:rsidRPr="007F740E" w:rsidRDefault="007F740E" w:rsidP="007F740E">
      <w:pPr>
        <w:suppressAutoHyphens/>
        <w:rPr>
          <w:rFonts w:eastAsia="Arial" w:cs="Arial"/>
          <w:sz w:val="24"/>
          <w:szCs w:val="24"/>
          <w:lang w:val="it-IT" w:eastAsia="it-IT"/>
        </w:rPr>
      </w:pPr>
    </w:p>
    <w:p w:rsidR="007F740E" w:rsidRPr="007F740E" w:rsidRDefault="007F740E" w:rsidP="007F740E">
      <w:pPr>
        <w:suppressAutoHyphens/>
        <w:rPr>
          <w:rFonts w:eastAsia="Arial" w:cs="Arial"/>
          <w:sz w:val="24"/>
          <w:szCs w:val="24"/>
          <w:lang w:val="it-IT" w:eastAsia="it-IT"/>
        </w:rPr>
      </w:pPr>
      <w:r w:rsidRPr="007F740E">
        <w:rPr>
          <w:rFonts w:eastAsia="Arial" w:cs="Arial"/>
          <w:sz w:val="24"/>
          <w:szCs w:val="24"/>
          <w:lang w:val="it-IT" w:eastAsia="it-IT"/>
        </w:rPr>
        <w:t>Il Ticino è stato il primo Cantone ad applicare una simile legge e lo ha fatto nel 2016, seguito da San Gallo nel 2019. Il divieto ticinese è ancorato nella Costituzione cantonale in seguito al massiccio sì (65.4%) uscito dall'urna il 22 settembre 2013 all'Iniziativa anti-</w:t>
      </w:r>
      <w:r w:rsidRPr="007F740E">
        <w:rPr>
          <w:rFonts w:eastAsia="Arial" w:cs="Arial"/>
          <w:sz w:val="24"/>
          <w:szCs w:val="24"/>
          <w:lang w:val="it-IT" w:eastAsia="it-IT"/>
        </w:rPr>
        <w:lastRenderedPageBreak/>
        <w:t>burqa e anti-niqab lanciata da G. Ghiringhelli; si tratta dell'articolo 9a "Divieto di dissimulazione del proprio viso" (Titolo II "Diritti fondamentali e doveri"). Per attuare la norma inserita nella Costituzione ticinese, Consiglio di Stato e Parlamento hanno modificato la legge sull'ordine pubblico, attribuendo ai Municipi la competenza di sanzionare le infrazioni, e varato la legge sulla dissimulazione del volto negli spazi pubblici. Nel 2018 il Tribunale federale ha parzialmente accolto il ricorso dei giuristi F. Contarini e M. Colombo: la sentenza ha portato Governo e Gran Consiglio a ritoccare la legge perché contemplasse eccezioni al divieto anche per ragioni politiche, commerciali e pubblicitarie.</w:t>
      </w:r>
    </w:p>
    <w:p w:rsidR="007F740E" w:rsidRPr="007F740E" w:rsidRDefault="007F740E" w:rsidP="007F740E">
      <w:pPr>
        <w:suppressAutoHyphens/>
        <w:rPr>
          <w:rFonts w:eastAsia="Arial" w:cs="Arial"/>
          <w:sz w:val="24"/>
          <w:szCs w:val="24"/>
          <w:lang w:val="it-IT" w:eastAsia="it-IT"/>
        </w:rPr>
      </w:pPr>
    </w:p>
    <w:p w:rsidR="007F740E" w:rsidRPr="007F740E" w:rsidRDefault="007F740E" w:rsidP="007F740E">
      <w:pPr>
        <w:suppressAutoHyphens/>
        <w:rPr>
          <w:rFonts w:eastAsia="Arial" w:cs="Arial"/>
          <w:sz w:val="24"/>
          <w:szCs w:val="24"/>
          <w:lang w:val="it-IT" w:eastAsia="it-IT"/>
        </w:rPr>
      </w:pPr>
      <w:r w:rsidRPr="007F740E">
        <w:rPr>
          <w:rFonts w:eastAsia="Arial" w:cs="Arial"/>
          <w:sz w:val="24"/>
          <w:szCs w:val="24"/>
          <w:lang w:val="it-IT" w:eastAsia="it-IT"/>
        </w:rPr>
        <w:t>L'abrogazione della legge ticinese non comporta la necessità dello stralcio del suddetto articolo costituzionale. Questa è una decisione che spetta semmai al popolo ticinese a seguito dell'inoltro e dell'approvazione da parte del Parlamento di un'iniziativa costituzionale o la riuscita di un'iniziativa popolare che lo dovessero richiedere.</w:t>
      </w:r>
    </w:p>
    <w:p w:rsidR="007F740E" w:rsidRPr="007F740E" w:rsidRDefault="007F740E" w:rsidP="007F740E">
      <w:pPr>
        <w:suppressAutoHyphens/>
        <w:rPr>
          <w:rFonts w:eastAsia="Arial" w:cs="Arial"/>
          <w:sz w:val="24"/>
          <w:szCs w:val="24"/>
          <w:lang w:val="it-IT" w:eastAsia="it-IT"/>
        </w:rPr>
      </w:pPr>
    </w:p>
    <w:p w:rsidR="007F740E" w:rsidRPr="007F740E" w:rsidRDefault="007F740E" w:rsidP="007F740E">
      <w:pPr>
        <w:suppressAutoHyphens/>
        <w:rPr>
          <w:rFonts w:eastAsia="Arial" w:cs="Arial"/>
          <w:sz w:val="24"/>
          <w:szCs w:val="24"/>
          <w:lang w:val="it-IT" w:eastAsia="it-IT"/>
        </w:rPr>
      </w:pPr>
      <w:r w:rsidRPr="007F740E">
        <w:rPr>
          <w:rFonts w:eastAsia="Arial" w:cs="Arial"/>
          <w:sz w:val="24"/>
          <w:szCs w:val="24"/>
          <w:lang w:val="it-IT" w:eastAsia="it-IT"/>
        </w:rPr>
        <w:t xml:space="preserve">Il Dipartimento delle istituzioni, rispondendo a una domanda dei media in vista dell'entrata in vigore della norma federale, ha indicato che </w:t>
      </w:r>
      <w:r w:rsidRPr="007F740E">
        <w:rPr>
          <w:rFonts w:eastAsia="Arial" w:cs="Arial"/>
          <w:i/>
          <w:sz w:val="24"/>
          <w:szCs w:val="24"/>
          <w:lang w:val="it-IT" w:eastAsia="it-IT"/>
        </w:rPr>
        <w:t>«dall'introduzione della legge cantonale dal 2016 al 2019 i casi di multe per dissimulazione del volto sono stati 60, di cui 32 hanno riguardato persone legate all'hooliganismo, mentre 28 erano i casi di donne con il viso velato. Dal 2020 non sono stati segnalati al Dipartimento dalle Polizie comunali, competenti in materia, altri casi»</w:t>
      </w:r>
      <w:r w:rsidRPr="007F740E">
        <w:rPr>
          <w:rFonts w:eastAsia="Arial" w:cs="Arial"/>
          <w:sz w:val="24"/>
          <w:szCs w:val="24"/>
          <w:lang w:val="it-IT" w:eastAsia="it-IT"/>
        </w:rPr>
        <w:t xml:space="preserve">. Sempre stando a quanto riferito dall'organo di stampa, in Ticino la questione </w:t>
      </w:r>
      <w:r w:rsidRPr="007F740E">
        <w:rPr>
          <w:rFonts w:eastAsia="Arial" w:cs="Arial"/>
          <w:i/>
          <w:sz w:val="24"/>
          <w:szCs w:val="24"/>
          <w:lang w:val="it-IT" w:eastAsia="it-IT"/>
        </w:rPr>
        <w:t>«non è più un tema sia per il forte calo del turismo proveniente dai Paesi arabi dopo la pandemia, sia grazie alla conoscenza della legge cantonale»</w:t>
      </w:r>
      <w:r w:rsidRPr="007F740E">
        <w:rPr>
          <w:rFonts w:eastAsia="Arial" w:cs="Arial"/>
          <w:sz w:val="24"/>
          <w:szCs w:val="24"/>
          <w:vertAlign w:val="superscript"/>
          <w:lang w:val="it-IT" w:eastAsia="it-IT"/>
        </w:rPr>
        <w:footnoteReference w:id="1"/>
      </w:r>
      <w:r w:rsidRPr="007F740E">
        <w:rPr>
          <w:rFonts w:eastAsia="Arial" w:cs="Arial"/>
          <w:sz w:val="24"/>
          <w:szCs w:val="24"/>
          <w:lang w:val="it-IT" w:eastAsia="it-IT"/>
        </w:rPr>
        <w:t>.</w:t>
      </w:r>
    </w:p>
    <w:p w:rsidR="007F740E" w:rsidRPr="007F740E" w:rsidRDefault="007F740E" w:rsidP="007F740E">
      <w:pPr>
        <w:suppressAutoHyphens/>
        <w:jc w:val="left"/>
        <w:rPr>
          <w:rFonts w:eastAsia="Arial" w:cs="Arial"/>
          <w:sz w:val="24"/>
          <w:szCs w:val="24"/>
          <w:lang w:val="it-IT" w:eastAsia="it-IT"/>
        </w:rPr>
      </w:pPr>
    </w:p>
    <w:p w:rsidR="007F740E" w:rsidRPr="007F740E" w:rsidRDefault="007F740E" w:rsidP="007F740E">
      <w:pPr>
        <w:suppressAutoHyphens/>
        <w:rPr>
          <w:rFonts w:eastAsia="Arial" w:cs="Arial"/>
          <w:sz w:val="24"/>
          <w:szCs w:val="24"/>
          <w:lang w:val="it-IT" w:eastAsia="it-IT"/>
        </w:rPr>
      </w:pPr>
      <w:r w:rsidRPr="007F740E">
        <w:rPr>
          <w:rFonts w:eastAsia="Arial" w:cs="Arial"/>
          <w:sz w:val="24"/>
          <w:szCs w:val="24"/>
          <w:lang w:val="it-IT" w:eastAsia="it-IT"/>
        </w:rPr>
        <w:t xml:space="preserve">In questo contesto si inserisce anche la petizione del 27 maggio 2025 all'attenzione del Municipio di Lugano per chiedere più controlli e maggiore solerzia nel far rispettare il divieto di dissimulare il volto in pubblico inoltrata da Giorgio Ghiringhelli, già promotore dell'iniziativa ticinese anti burqa e co-promotore di quella federale. Nella petizione si ricorda che </w:t>
      </w:r>
      <w:r w:rsidRPr="007F740E">
        <w:rPr>
          <w:rFonts w:eastAsia="Arial" w:cs="Arial"/>
          <w:i/>
          <w:sz w:val="24"/>
          <w:szCs w:val="24"/>
          <w:lang w:val="it-IT" w:eastAsia="it-IT"/>
        </w:rPr>
        <w:t>«la legge federale prevede delle eccezioni, tra le quali, una che mira a "proteggere o ripristinare la salute propria o di terzi"»</w:t>
      </w:r>
      <w:r w:rsidRPr="007F740E">
        <w:rPr>
          <w:rFonts w:eastAsia="Arial" w:cs="Arial"/>
          <w:sz w:val="24"/>
          <w:szCs w:val="24"/>
          <w:lang w:val="it-IT" w:eastAsia="it-IT"/>
        </w:rPr>
        <w:t xml:space="preserve"> e che </w:t>
      </w:r>
      <w:r w:rsidRPr="007F740E">
        <w:rPr>
          <w:rFonts w:eastAsia="Arial" w:cs="Arial"/>
          <w:i/>
          <w:sz w:val="24"/>
          <w:szCs w:val="24"/>
          <w:lang w:val="it-IT" w:eastAsia="it-IT"/>
        </w:rPr>
        <w:t>«non poche turiste musulmane sfruttano questa eccezione per aggirare il divieto indossando delle mascherine anti-Covid in combinazione con il velo islamico e magari anche gli occhiali da sole, ottengono l'effetto di mascherare completamente il viso, come un burqa»</w:t>
      </w:r>
      <w:r w:rsidRPr="007F740E">
        <w:rPr>
          <w:rFonts w:eastAsia="Arial" w:cs="Arial"/>
          <w:sz w:val="24"/>
          <w:szCs w:val="24"/>
          <w:lang w:val="it-IT" w:eastAsia="it-IT"/>
        </w:rPr>
        <w:t>. Dal momento che in casi del genere la polizia non saprebbe come comportarsi, i petenti chiedono al Municipio di far chiarezza su questo aspetto interpellando le autorità federali.</w:t>
      </w:r>
    </w:p>
    <w:p w:rsidR="007F740E" w:rsidRDefault="007F740E" w:rsidP="007F740E">
      <w:pPr>
        <w:suppressAutoHyphens/>
        <w:rPr>
          <w:rFonts w:eastAsia="Arial" w:cs="Arial"/>
          <w:sz w:val="24"/>
          <w:szCs w:val="24"/>
          <w:shd w:val="clear" w:color="auto" w:fill="FFFF00"/>
          <w:lang w:val="it-IT" w:eastAsia="it-IT"/>
        </w:rPr>
      </w:pPr>
    </w:p>
    <w:p w:rsidR="00B47B56" w:rsidRDefault="00B47B56">
      <w:pPr>
        <w:rPr>
          <w:rFonts w:eastAsia="Arial" w:cs="Arial"/>
          <w:sz w:val="24"/>
          <w:szCs w:val="24"/>
          <w:shd w:val="clear" w:color="auto" w:fill="FFFF00"/>
          <w:lang w:val="it-IT" w:eastAsia="it-IT"/>
        </w:rPr>
      </w:pPr>
      <w:r>
        <w:rPr>
          <w:rFonts w:eastAsia="Arial" w:cs="Arial"/>
          <w:sz w:val="24"/>
          <w:szCs w:val="24"/>
          <w:shd w:val="clear" w:color="auto" w:fill="FFFF00"/>
          <w:lang w:val="it-IT" w:eastAsia="it-IT"/>
        </w:rPr>
        <w:br w:type="page"/>
      </w:r>
    </w:p>
    <w:p w:rsidR="007F740E" w:rsidRPr="007F740E" w:rsidRDefault="007F740E" w:rsidP="00275607">
      <w:pPr>
        <w:pStyle w:val="Titolo1"/>
        <w:tabs>
          <w:tab w:val="left" w:pos="567"/>
        </w:tabs>
        <w:spacing w:before="0"/>
        <w:ind w:left="567" w:hanging="567"/>
        <w:jc w:val="both"/>
        <w:rPr>
          <w:rFonts w:eastAsia="Calibri" w:cs="Times New Roman"/>
          <w:caps/>
          <w:sz w:val="24"/>
          <w:szCs w:val="24"/>
          <w:lang w:val="it-IT" w:eastAsia="it-IT"/>
        </w:rPr>
      </w:pPr>
      <w:r w:rsidRPr="007F740E">
        <w:rPr>
          <w:rFonts w:eastAsia="Calibri" w:cs="Times New Roman"/>
          <w:caps/>
          <w:sz w:val="24"/>
          <w:szCs w:val="24"/>
          <w:lang w:val="it-IT" w:eastAsia="it-IT"/>
        </w:rPr>
        <w:lastRenderedPageBreak/>
        <w:t>II.</w:t>
      </w:r>
      <w:r w:rsidRPr="007F740E">
        <w:rPr>
          <w:rFonts w:eastAsia="Calibri" w:cs="Times New Roman"/>
          <w:caps/>
          <w:sz w:val="24"/>
          <w:szCs w:val="24"/>
          <w:lang w:val="it-IT" w:eastAsia="it-IT"/>
        </w:rPr>
        <w:tab/>
        <w:t>CONCLUSIONI</w:t>
      </w:r>
    </w:p>
    <w:p w:rsidR="007F740E" w:rsidRPr="007F740E" w:rsidRDefault="007F740E" w:rsidP="00562D0C">
      <w:pPr>
        <w:suppressAutoHyphens/>
        <w:rPr>
          <w:rFonts w:eastAsia="Arial" w:cs="Arial"/>
          <w:sz w:val="24"/>
          <w:szCs w:val="24"/>
          <w:lang w:val="it-IT" w:eastAsia="it-IT"/>
        </w:rPr>
      </w:pPr>
      <w:r w:rsidRPr="007F740E">
        <w:rPr>
          <w:rFonts w:eastAsia="Arial" w:cs="Arial"/>
          <w:sz w:val="24"/>
          <w:szCs w:val="24"/>
          <w:lang w:val="it-IT" w:eastAsia="it-IT"/>
        </w:rPr>
        <w:t xml:space="preserve">Visto quanto precede e seguendo le indicazioni del Consiglio di Stato la </w:t>
      </w:r>
      <w:r w:rsidR="00275607">
        <w:rPr>
          <w:rFonts w:eastAsia="Arial" w:cs="Arial"/>
          <w:sz w:val="24"/>
          <w:szCs w:val="24"/>
          <w:lang w:val="it-IT" w:eastAsia="it-IT"/>
        </w:rPr>
        <w:t>Commissione C</w:t>
      </w:r>
      <w:r w:rsidRPr="007F740E">
        <w:rPr>
          <w:rFonts w:eastAsia="Arial" w:cs="Arial"/>
          <w:sz w:val="24"/>
          <w:szCs w:val="24"/>
          <w:lang w:val="it-IT" w:eastAsia="it-IT"/>
        </w:rPr>
        <w:t xml:space="preserve">ostituzione e leggi propone al Gran Consiglio di </w:t>
      </w:r>
      <w:r w:rsidR="00B47B56" w:rsidRPr="007F740E">
        <w:rPr>
          <w:rFonts w:eastAsia="Arial" w:cs="Arial"/>
          <w:sz w:val="24"/>
          <w:szCs w:val="24"/>
          <w:lang w:val="it-IT" w:eastAsia="it-IT"/>
        </w:rPr>
        <w:t xml:space="preserve">approvare </w:t>
      </w:r>
      <w:r w:rsidR="00B47B56">
        <w:rPr>
          <w:rFonts w:eastAsia="Arial" w:cs="Arial"/>
          <w:sz w:val="24"/>
          <w:szCs w:val="24"/>
          <w:lang w:val="it-IT" w:eastAsia="it-IT"/>
        </w:rPr>
        <w:t>i</w:t>
      </w:r>
      <w:r w:rsidR="00562D0C">
        <w:rPr>
          <w:rFonts w:eastAsia="Arial" w:cs="Arial"/>
          <w:sz w:val="24"/>
          <w:szCs w:val="24"/>
          <w:lang w:val="it-IT" w:eastAsia="it-IT"/>
        </w:rPr>
        <w:t xml:space="preserve"> due disegni </w:t>
      </w:r>
      <w:r w:rsidR="00562D0C" w:rsidRPr="00562D0C">
        <w:rPr>
          <w:rFonts w:eastAsia="Arial" w:cs="Arial"/>
          <w:sz w:val="24"/>
          <w:szCs w:val="24"/>
          <w:lang w:val="it-IT" w:eastAsia="it-IT"/>
        </w:rPr>
        <w:t>di legge anness</w:t>
      </w:r>
      <w:r w:rsidR="00562D0C">
        <w:rPr>
          <w:rFonts w:eastAsia="Arial" w:cs="Arial"/>
          <w:sz w:val="24"/>
          <w:szCs w:val="24"/>
          <w:lang w:val="it-IT" w:eastAsia="it-IT"/>
        </w:rPr>
        <w:t>i</w:t>
      </w:r>
      <w:r w:rsidR="00562D0C" w:rsidRPr="00562D0C">
        <w:rPr>
          <w:rFonts w:eastAsia="Arial" w:cs="Arial"/>
          <w:sz w:val="24"/>
          <w:szCs w:val="24"/>
          <w:lang w:val="it-IT" w:eastAsia="it-IT"/>
        </w:rPr>
        <w:t xml:space="preserve"> al messaggio governativo</w:t>
      </w:r>
      <w:r w:rsidR="00562D0C">
        <w:rPr>
          <w:rFonts w:eastAsia="Arial" w:cs="Arial"/>
          <w:sz w:val="24"/>
          <w:szCs w:val="24"/>
          <w:lang w:val="it-IT" w:eastAsia="it-IT"/>
        </w:rPr>
        <w:t>.</w:t>
      </w:r>
    </w:p>
    <w:p w:rsidR="007F740E" w:rsidRDefault="007F740E" w:rsidP="007F740E">
      <w:pPr>
        <w:suppressAutoHyphens/>
        <w:rPr>
          <w:rFonts w:eastAsia="Arial" w:cs="Arial"/>
          <w:sz w:val="24"/>
          <w:szCs w:val="24"/>
          <w:lang w:val="it-IT" w:eastAsia="it-IT"/>
        </w:rPr>
      </w:pPr>
    </w:p>
    <w:p w:rsidR="00B47B56" w:rsidRPr="007F740E" w:rsidRDefault="00B47B56" w:rsidP="007F740E">
      <w:pPr>
        <w:suppressAutoHyphens/>
        <w:rPr>
          <w:rFonts w:eastAsia="Arial" w:cs="Arial"/>
          <w:sz w:val="24"/>
          <w:szCs w:val="24"/>
          <w:lang w:val="it-IT" w:eastAsia="it-IT"/>
        </w:rPr>
      </w:pPr>
    </w:p>
    <w:p w:rsidR="007F740E" w:rsidRPr="007F740E" w:rsidRDefault="007F740E" w:rsidP="00275607">
      <w:pPr>
        <w:suppressAutoHyphens/>
        <w:spacing w:after="120"/>
        <w:rPr>
          <w:rFonts w:eastAsia="Arial" w:cs="Arial"/>
          <w:sz w:val="24"/>
          <w:szCs w:val="24"/>
          <w:lang w:val="it-IT" w:eastAsia="it-IT"/>
        </w:rPr>
      </w:pPr>
      <w:r w:rsidRPr="007F740E">
        <w:rPr>
          <w:rFonts w:eastAsia="Arial" w:cs="Arial"/>
          <w:sz w:val="24"/>
          <w:szCs w:val="24"/>
          <w:lang w:val="it-IT" w:eastAsia="it-IT"/>
        </w:rPr>
        <w:t>Per la Commissione Costituzione e leggi:</w:t>
      </w:r>
    </w:p>
    <w:p w:rsidR="007F740E" w:rsidRPr="007F740E" w:rsidRDefault="007F740E" w:rsidP="007F740E">
      <w:pPr>
        <w:suppressAutoHyphens/>
        <w:rPr>
          <w:rFonts w:eastAsia="Arial" w:cs="Arial"/>
          <w:sz w:val="24"/>
          <w:szCs w:val="24"/>
          <w:lang w:val="it-IT" w:eastAsia="it-IT"/>
        </w:rPr>
      </w:pPr>
      <w:r w:rsidRPr="007F740E">
        <w:rPr>
          <w:rFonts w:eastAsia="Arial" w:cs="Arial"/>
          <w:sz w:val="24"/>
          <w:szCs w:val="24"/>
          <w:lang w:val="it-IT" w:eastAsia="it-IT"/>
        </w:rPr>
        <w:t>Daria Lepori, relatrice</w:t>
      </w:r>
    </w:p>
    <w:p w:rsidR="00B47B56" w:rsidRDefault="007F740E" w:rsidP="007F740E">
      <w:pPr>
        <w:suppressAutoHyphens/>
        <w:rPr>
          <w:rFonts w:eastAsia="Arial" w:cs="Arial"/>
          <w:sz w:val="24"/>
          <w:szCs w:val="24"/>
          <w:lang w:val="it-IT" w:eastAsia="it-IT"/>
        </w:rPr>
      </w:pPr>
      <w:r w:rsidRPr="007F740E">
        <w:rPr>
          <w:rFonts w:eastAsia="Arial" w:cs="Arial"/>
          <w:sz w:val="24"/>
          <w:szCs w:val="24"/>
          <w:lang w:val="it-IT" w:eastAsia="it-IT"/>
        </w:rPr>
        <w:t xml:space="preserve">Balli (per le conclusioni) - Boscolo - Capoferri </w:t>
      </w:r>
      <w:r w:rsidR="00B47B56">
        <w:rPr>
          <w:rFonts w:eastAsia="Arial" w:cs="Arial"/>
          <w:sz w:val="24"/>
          <w:szCs w:val="24"/>
          <w:lang w:val="it-IT" w:eastAsia="it-IT"/>
        </w:rPr>
        <w:t>-</w:t>
      </w:r>
      <w:r w:rsidRPr="007F740E">
        <w:rPr>
          <w:rFonts w:eastAsia="Arial" w:cs="Arial"/>
          <w:sz w:val="24"/>
          <w:szCs w:val="24"/>
          <w:lang w:val="it-IT" w:eastAsia="it-IT"/>
        </w:rPr>
        <w:t xml:space="preserve"> </w:t>
      </w:r>
    </w:p>
    <w:p w:rsidR="00275607" w:rsidRDefault="007F740E" w:rsidP="007F740E">
      <w:pPr>
        <w:suppressAutoHyphens/>
        <w:rPr>
          <w:rFonts w:eastAsia="Arial" w:cs="Arial"/>
          <w:sz w:val="24"/>
          <w:szCs w:val="24"/>
          <w:lang w:val="it-IT" w:eastAsia="it-IT"/>
        </w:rPr>
      </w:pPr>
      <w:r w:rsidRPr="007F740E">
        <w:rPr>
          <w:rFonts w:eastAsia="Arial" w:cs="Arial"/>
          <w:sz w:val="24"/>
          <w:szCs w:val="24"/>
          <w:lang w:val="it-IT" w:eastAsia="it-IT"/>
        </w:rPr>
        <w:t xml:space="preserve">Corti </w:t>
      </w:r>
      <w:r w:rsidR="00275607">
        <w:rPr>
          <w:rFonts w:eastAsia="Arial" w:cs="Arial"/>
          <w:sz w:val="24"/>
          <w:szCs w:val="24"/>
          <w:lang w:val="it-IT" w:eastAsia="it-IT"/>
        </w:rPr>
        <w:t xml:space="preserve">- </w:t>
      </w:r>
      <w:r w:rsidRPr="007F740E">
        <w:rPr>
          <w:rFonts w:eastAsia="Arial" w:cs="Arial"/>
          <w:sz w:val="24"/>
          <w:szCs w:val="24"/>
          <w:lang w:val="it-IT" w:eastAsia="it-IT"/>
        </w:rPr>
        <w:t xml:space="preserve">Filippini (per le conclusioni) - Genini </w:t>
      </w:r>
      <w:r w:rsidR="00275607" w:rsidRPr="007F740E">
        <w:rPr>
          <w:rFonts w:eastAsia="Arial" w:cs="Arial"/>
          <w:sz w:val="24"/>
          <w:szCs w:val="24"/>
          <w:lang w:val="it-IT" w:eastAsia="it-IT"/>
        </w:rPr>
        <w:t xml:space="preserve">Simona </w:t>
      </w:r>
      <w:r w:rsidR="00275607">
        <w:rPr>
          <w:rFonts w:eastAsia="Arial" w:cs="Arial"/>
          <w:sz w:val="24"/>
          <w:szCs w:val="24"/>
          <w:lang w:val="it-IT" w:eastAsia="it-IT"/>
        </w:rPr>
        <w:t>-</w:t>
      </w:r>
      <w:r w:rsidRPr="007F740E">
        <w:rPr>
          <w:rFonts w:eastAsia="Arial" w:cs="Arial"/>
          <w:sz w:val="24"/>
          <w:szCs w:val="24"/>
          <w:lang w:val="it-IT" w:eastAsia="it-IT"/>
        </w:rPr>
        <w:t xml:space="preserve"> </w:t>
      </w:r>
    </w:p>
    <w:p w:rsidR="00B47B56" w:rsidRDefault="007F740E" w:rsidP="007F740E">
      <w:pPr>
        <w:suppressAutoHyphens/>
        <w:rPr>
          <w:rFonts w:eastAsia="Arial" w:cs="Arial"/>
          <w:sz w:val="24"/>
          <w:szCs w:val="24"/>
          <w:lang w:val="it-IT" w:eastAsia="it-IT"/>
        </w:rPr>
      </w:pPr>
      <w:r w:rsidRPr="007F740E">
        <w:rPr>
          <w:rFonts w:eastAsia="Arial" w:cs="Arial"/>
          <w:sz w:val="24"/>
          <w:szCs w:val="24"/>
          <w:lang w:val="it-IT" w:eastAsia="it-IT"/>
        </w:rPr>
        <w:t xml:space="preserve">Genini </w:t>
      </w:r>
      <w:r w:rsidR="00275607" w:rsidRPr="007F740E">
        <w:rPr>
          <w:rFonts w:eastAsia="Arial" w:cs="Arial"/>
          <w:sz w:val="24"/>
          <w:szCs w:val="24"/>
          <w:lang w:val="it-IT" w:eastAsia="it-IT"/>
        </w:rPr>
        <w:t xml:space="preserve">Sem </w:t>
      </w:r>
      <w:r w:rsidRPr="007F740E">
        <w:rPr>
          <w:rFonts w:eastAsia="Arial" w:cs="Arial"/>
          <w:sz w:val="24"/>
          <w:szCs w:val="24"/>
          <w:lang w:val="it-IT" w:eastAsia="it-IT"/>
        </w:rPr>
        <w:t xml:space="preserve">(per le conclusioni) </w:t>
      </w:r>
      <w:r w:rsidR="00275607">
        <w:rPr>
          <w:rFonts w:eastAsia="Arial" w:cs="Arial"/>
          <w:sz w:val="24"/>
          <w:szCs w:val="24"/>
          <w:lang w:val="it-IT" w:eastAsia="it-IT"/>
        </w:rPr>
        <w:t>-</w:t>
      </w:r>
      <w:r w:rsidRPr="007F740E">
        <w:rPr>
          <w:rFonts w:eastAsia="Arial" w:cs="Arial"/>
          <w:sz w:val="24"/>
          <w:szCs w:val="24"/>
          <w:lang w:val="it-IT" w:eastAsia="it-IT"/>
        </w:rPr>
        <w:t xml:space="preserve"> Ghisolfi </w:t>
      </w:r>
      <w:r w:rsidR="00B47B56">
        <w:rPr>
          <w:rFonts w:eastAsia="Arial" w:cs="Arial"/>
          <w:sz w:val="24"/>
          <w:szCs w:val="24"/>
          <w:lang w:val="it-IT" w:eastAsia="it-IT"/>
        </w:rPr>
        <w:t>-</w:t>
      </w:r>
      <w:r w:rsidRPr="007F740E">
        <w:rPr>
          <w:rFonts w:eastAsia="Arial" w:cs="Arial"/>
          <w:sz w:val="24"/>
          <w:szCs w:val="24"/>
          <w:lang w:val="it-IT" w:eastAsia="it-IT"/>
        </w:rPr>
        <w:t xml:space="preserve"> </w:t>
      </w:r>
    </w:p>
    <w:p w:rsidR="00B47B56" w:rsidRDefault="00275607" w:rsidP="007F740E">
      <w:pPr>
        <w:suppressAutoHyphens/>
        <w:rPr>
          <w:rFonts w:eastAsia="Arial" w:cs="Arial"/>
          <w:sz w:val="24"/>
          <w:szCs w:val="24"/>
          <w:lang w:val="it-IT" w:eastAsia="it-IT"/>
        </w:rPr>
      </w:pPr>
      <w:r>
        <w:rPr>
          <w:rFonts w:eastAsia="Arial" w:cs="Arial"/>
          <w:sz w:val="24"/>
          <w:szCs w:val="24"/>
          <w:lang w:val="it-IT" w:eastAsia="it-IT"/>
        </w:rPr>
        <w:t xml:space="preserve">Giudici - </w:t>
      </w:r>
      <w:r w:rsidR="007F740E" w:rsidRPr="007F740E">
        <w:rPr>
          <w:rFonts w:eastAsia="Arial" w:cs="Arial"/>
          <w:sz w:val="24"/>
          <w:szCs w:val="24"/>
          <w:lang w:val="it-IT" w:eastAsia="it-IT"/>
        </w:rPr>
        <w:t xml:space="preserve">Ortelli </w:t>
      </w:r>
      <w:r>
        <w:rPr>
          <w:rFonts w:eastAsia="Arial" w:cs="Arial"/>
          <w:sz w:val="24"/>
          <w:szCs w:val="24"/>
          <w:lang w:val="it-IT" w:eastAsia="it-IT"/>
        </w:rPr>
        <w:t xml:space="preserve">P. </w:t>
      </w:r>
      <w:r w:rsidR="007F740E" w:rsidRPr="007F740E">
        <w:rPr>
          <w:rFonts w:eastAsia="Arial" w:cs="Arial"/>
          <w:sz w:val="24"/>
          <w:szCs w:val="24"/>
          <w:lang w:val="it-IT" w:eastAsia="it-IT"/>
        </w:rPr>
        <w:t xml:space="preserve">(con riserva) - Padlina </w:t>
      </w:r>
      <w:r w:rsidR="00B47B56">
        <w:rPr>
          <w:rFonts w:eastAsia="Arial" w:cs="Arial"/>
          <w:sz w:val="24"/>
          <w:szCs w:val="24"/>
          <w:lang w:val="it-IT" w:eastAsia="it-IT"/>
        </w:rPr>
        <w:t>-</w:t>
      </w:r>
      <w:r w:rsidR="007F740E" w:rsidRPr="007F740E">
        <w:rPr>
          <w:rFonts w:eastAsia="Arial" w:cs="Arial"/>
          <w:sz w:val="24"/>
          <w:szCs w:val="24"/>
          <w:lang w:val="it-IT" w:eastAsia="it-IT"/>
        </w:rPr>
        <w:t xml:space="preserve"> </w:t>
      </w:r>
    </w:p>
    <w:p w:rsidR="007F740E" w:rsidRPr="007F740E" w:rsidRDefault="007F740E" w:rsidP="007F740E">
      <w:pPr>
        <w:suppressAutoHyphens/>
        <w:rPr>
          <w:rFonts w:eastAsia="Arial" w:cs="Arial"/>
          <w:sz w:val="24"/>
          <w:szCs w:val="24"/>
          <w:lang w:val="it-IT" w:eastAsia="it-IT"/>
        </w:rPr>
      </w:pPr>
      <w:r w:rsidRPr="007F740E">
        <w:rPr>
          <w:rFonts w:eastAsia="Arial" w:cs="Arial"/>
          <w:sz w:val="24"/>
          <w:szCs w:val="24"/>
          <w:lang w:val="it-IT" w:eastAsia="it-IT"/>
        </w:rPr>
        <w:t>Petralli - Ponti - Terraneo</w:t>
      </w:r>
    </w:p>
    <w:p w:rsidR="007F740E" w:rsidRPr="007F740E" w:rsidRDefault="007F740E" w:rsidP="007F740E">
      <w:pPr>
        <w:suppressAutoHyphens/>
        <w:rPr>
          <w:rFonts w:eastAsia="Arial" w:cs="Arial"/>
          <w:sz w:val="24"/>
          <w:szCs w:val="24"/>
          <w:lang w:val="it-IT" w:eastAsia="it-IT"/>
        </w:rPr>
      </w:pPr>
    </w:p>
    <w:p w:rsidR="00B47B56" w:rsidRDefault="00B47B56" w:rsidP="00B47B56">
      <w:pPr>
        <w:rPr>
          <w:rFonts w:eastAsia="Arial" w:cs="Arial"/>
          <w:sz w:val="24"/>
          <w:szCs w:val="24"/>
          <w:lang w:val="it-IT" w:eastAsia="it-IT"/>
        </w:rPr>
      </w:pPr>
    </w:p>
    <w:p w:rsidR="00B47B56" w:rsidRDefault="00B47B56" w:rsidP="00B47B56">
      <w:pPr>
        <w:rPr>
          <w:rFonts w:eastAsia="Arial" w:cs="Arial"/>
          <w:sz w:val="24"/>
          <w:szCs w:val="24"/>
          <w:lang w:val="it-IT" w:eastAsia="it-IT"/>
        </w:rPr>
      </w:pPr>
    </w:p>
    <w:p w:rsidR="00B47B56" w:rsidRDefault="00B47B56" w:rsidP="00B47B56">
      <w:pPr>
        <w:rPr>
          <w:rFonts w:eastAsia="Arial" w:cs="Arial"/>
          <w:sz w:val="24"/>
          <w:szCs w:val="24"/>
          <w:lang w:val="it-IT" w:eastAsia="it-IT"/>
        </w:rPr>
      </w:pPr>
    </w:p>
    <w:p w:rsidR="00B47B56" w:rsidRDefault="00B47B56" w:rsidP="00B47B56">
      <w:pPr>
        <w:rPr>
          <w:rFonts w:eastAsia="Arial" w:cs="Arial"/>
          <w:sz w:val="24"/>
          <w:szCs w:val="24"/>
          <w:lang w:val="it-IT" w:eastAsia="it-IT"/>
        </w:rPr>
      </w:pPr>
    </w:p>
    <w:p w:rsidR="00B47B56" w:rsidRDefault="00B47B56" w:rsidP="00B47B56">
      <w:pPr>
        <w:rPr>
          <w:rFonts w:eastAsia="Arial" w:cs="Arial"/>
          <w:sz w:val="24"/>
          <w:szCs w:val="24"/>
          <w:lang w:val="it-IT" w:eastAsia="it-IT"/>
        </w:rPr>
      </w:pPr>
    </w:p>
    <w:p w:rsidR="00B47B56" w:rsidRDefault="00B47B56" w:rsidP="00B47B56">
      <w:pPr>
        <w:rPr>
          <w:rFonts w:eastAsia="Arial" w:cs="Arial"/>
          <w:sz w:val="24"/>
          <w:szCs w:val="24"/>
          <w:lang w:val="it-IT" w:eastAsia="it-IT"/>
        </w:rPr>
      </w:pPr>
    </w:p>
    <w:p w:rsidR="00B47B56" w:rsidRDefault="00B47B56" w:rsidP="00B47B56">
      <w:pPr>
        <w:rPr>
          <w:rFonts w:eastAsia="Arial" w:cs="Arial"/>
          <w:sz w:val="24"/>
          <w:szCs w:val="24"/>
          <w:lang w:val="it-IT" w:eastAsia="it-IT"/>
        </w:rPr>
      </w:pPr>
    </w:p>
    <w:p w:rsidR="0091344D" w:rsidRPr="00562D0C" w:rsidRDefault="0091344D" w:rsidP="00B47B56">
      <w:pPr>
        <w:rPr>
          <w:rFonts w:eastAsia="Arial" w:cs="Arial"/>
          <w:strike/>
          <w:color w:val="FF0000"/>
          <w:sz w:val="24"/>
          <w:szCs w:val="24"/>
          <w:lang w:val="it-IT" w:eastAsia="it-IT"/>
        </w:rPr>
      </w:pPr>
    </w:p>
    <w:sectPr w:rsidR="0091344D" w:rsidRPr="00562D0C"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740E" w:rsidRDefault="007F740E" w:rsidP="00F657BF">
      <w:r>
        <w:separator/>
      </w:r>
    </w:p>
  </w:endnote>
  <w:endnote w:type="continuationSeparator" w:id="0">
    <w:p w:rsidR="007F740E" w:rsidRDefault="007F740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Gill Alt One MT Light">
    <w:altName w:val="Cambria"/>
    <w:panose1 w:val="020B0302020104020203"/>
    <w:charset w:val="00"/>
    <w:family w:val="swiss"/>
    <w:pitch w:val="variable"/>
    <w:sig w:usb0="00000003" w:usb1="00000000" w:usb2="00000000" w:usb3="00000000" w:csb0="00000001" w:csb1="00000000"/>
  </w:font>
  <w:font w:name="Gill Sans MT Pro Light">
    <w:altName w:val="Cambria"/>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1C5230" w:rsidP="00912E34">
          <w:pPr>
            <w:tabs>
              <w:tab w:val="center" w:pos="2382"/>
            </w:tabs>
          </w:pPr>
        </w:p>
      </w:tc>
      <w:tc>
        <w:tcPr>
          <w:tcW w:w="721" w:type="dxa"/>
        </w:tcPr>
        <w:p w:rsidR="00912E34" w:rsidRPr="003D1008" w:rsidRDefault="00083965"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083965"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1C5230"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1C5230">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740E" w:rsidRDefault="007F740E" w:rsidP="00F657BF">
      <w:r>
        <w:separator/>
      </w:r>
    </w:p>
  </w:footnote>
  <w:footnote w:type="continuationSeparator" w:id="0">
    <w:p w:rsidR="007F740E" w:rsidRDefault="007F740E" w:rsidP="00F657BF">
      <w:r>
        <w:continuationSeparator/>
      </w:r>
    </w:p>
  </w:footnote>
  <w:footnote w:id="1">
    <w:p w:rsidR="007F740E" w:rsidRPr="00444AD3" w:rsidRDefault="007F740E" w:rsidP="007F740E">
      <w:pPr>
        <w:pStyle w:val="Testonotaapidipagina"/>
        <w:rPr>
          <w:lang w:val="it-CH"/>
        </w:rPr>
      </w:pPr>
      <w:r>
        <w:rPr>
          <w:rStyle w:val="Rimandonotaapidipagina"/>
        </w:rPr>
        <w:footnoteRef/>
      </w:r>
      <w:r>
        <w:t xml:space="preserve"> </w:t>
      </w:r>
      <w:r w:rsidRPr="00275607">
        <w:rPr>
          <w:i/>
          <w:sz w:val="20"/>
        </w:rPr>
        <w:t>LaRegione</w:t>
      </w:r>
      <w:r w:rsidRPr="00275607">
        <w:rPr>
          <w:sz w:val="20"/>
        </w:rPr>
        <w:t>, 7 ottobre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1C5230"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140EA195-75FA-47C2-87AA-8F79B22278EE}"/>
              <w:text w:multiLine="1"/>
            </w:sdtPr>
            <w:sdtEndPr/>
            <w:sdtContent>
              <w:r w:rsidR="00083965">
                <w:rPr>
                  <w:rFonts w:ascii="Gill Alt One MT Light" w:hAnsi="Gill Alt One MT Light"/>
                  <w:sz w:val="16"/>
                  <w:szCs w:val="16"/>
                </w:rPr>
                <w:t>Repubblica e Cantone Ticino</w:t>
              </w:r>
            </w:sdtContent>
          </w:sdt>
        </w:p>
        <w:p w:rsidR="005012EC" w:rsidRPr="00E8185F" w:rsidRDefault="001C5230"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140EA195-75FA-47C2-87AA-8F79B22278EE}"/>
              <w:text w:multiLine="1"/>
            </w:sdtPr>
            <w:sdtEndPr/>
            <w:sdtContent>
              <w:r w:rsidR="00077D52">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rsidR="005012EC" w:rsidRPr="004204CB" w:rsidRDefault="00083965"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1C5230">
            <w:rPr>
              <w:noProof/>
              <w:sz w:val="24"/>
            </w:rPr>
            <w:t>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1C5230">
            <w:rPr>
              <w:noProof/>
              <w:sz w:val="24"/>
            </w:rPr>
            <w:t>3</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140EA195-75FA-47C2-87AA-8F79B22278EE}"/>
          <w:text w:multiLine="1"/>
        </w:sdtPr>
        <w:sdtEndPr/>
        <w:sdtContent>
          <w:tc>
            <w:tcPr>
              <w:tcW w:w="8383" w:type="dxa"/>
              <w:tcBorders>
                <w:left w:val="single" w:sz="4" w:space="0" w:color="auto"/>
              </w:tcBorders>
              <w:tcMar>
                <w:top w:w="0" w:type="dxa"/>
                <w:left w:w="142" w:type="dxa"/>
              </w:tcMar>
            </w:tcPr>
            <w:p w:rsidR="005012EC" w:rsidRPr="007F740E" w:rsidRDefault="00077D52"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8546 R del 9 settembre 2025</w:t>
              </w:r>
            </w:p>
          </w:tc>
        </w:sdtContent>
      </w:sdt>
      <w:tc>
        <w:tcPr>
          <w:tcW w:w="1710" w:type="dxa"/>
          <w:tcBorders>
            <w:top w:val="single" w:sz="4" w:space="0" w:color="auto"/>
          </w:tcBorders>
        </w:tcPr>
        <w:p w:rsidR="005012EC" w:rsidRPr="007F740E" w:rsidRDefault="001C5230" w:rsidP="00662409">
          <w:pPr>
            <w:pStyle w:val="InvisibleLine"/>
            <w:rPr>
              <w:lang w:val="it-CH"/>
            </w:rPr>
          </w:pPr>
        </w:p>
      </w:tc>
    </w:tr>
  </w:tbl>
  <w:p w:rsidR="00F657BF" w:rsidRPr="00980362" w:rsidRDefault="00083965"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140EA195-75FA-47C2-87AA-8F79B22278EE}"/>
                            <w:text w:multiLine="1"/>
                          </w:sdtPr>
                          <w:sdtEndPr/>
                          <w:sdtContent>
                            <w:p w:rsidR="008065E8" w:rsidRPr="00411371" w:rsidRDefault="00083965"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AAC1CFF5-78E4-4AA2-8813-30406C5903A8}"/>
                      <w:text w:multiLine="1"/>
                    </w:sdtPr>
                    <w:sdtEndPr/>
                    <w:sdtContent>
                      <w:p w:rsidR="008065E8" w:rsidRPr="00411371" w:rsidRDefault="00083965"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1C5230" w:rsidP="00932E26">
          <w:pPr>
            <w:pStyle w:val="InvisibleLine"/>
            <w:spacing w:line="240" w:lineRule="auto"/>
            <w:ind w:left="15"/>
            <w:rPr>
              <w:rFonts w:ascii="Gill Alt One MT Light" w:hAnsi="Gill Alt One MT Light"/>
              <w:sz w:val="16"/>
              <w:lang w:val="it-CH"/>
            </w:rPr>
          </w:pPr>
        </w:p>
        <w:p w:rsidR="00CD5F73" w:rsidRDefault="00083965"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1C5230"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1C5230" w:rsidP="00D07D6E">
          <w:pPr>
            <w:pStyle w:val="Level"/>
            <w:ind w:left="150"/>
            <w:rPr>
              <w:sz w:val="16"/>
            </w:rPr>
          </w:pPr>
        </w:p>
      </w:tc>
      <w:tc>
        <w:tcPr>
          <w:tcW w:w="209" w:type="pct"/>
          <w:tcBorders>
            <w:top w:val="nil"/>
            <w:bottom w:val="single" w:sz="4" w:space="0" w:color="auto"/>
          </w:tcBorders>
        </w:tcPr>
        <w:p w:rsidR="00662409" w:rsidRDefault="00083965"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772826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7F740E" w:rsidRDefault="00083965" w:rsidP="00D07D6E">
          <w:pPr>
            <w:pStyle w:val="HeaderDecisione"/>
            <w:spacing w:after="60"/>
            <w:ind w:left="150"/>
            <w:jc w:val="right"/>
            <w:rPr>
              <w:rFonts w:ascii="Arial" w:hAnsi="Arial" w:cs="Arial"/>
              <w:sz w:val="24"/>
            </w:rPr>
          </w:pPr>
          <w:r w:rsidRPr="007F740E">
            <w:rPr>
              <w:rFonts w:ascii="Arial" w:hAnsi="Arial" w:cs="Arial"/>
              <w:sz w:val="24"/>
            </w:rPr>
            <w:fldChar w:fldCharType="begin"/>
          </w:r>
          <w:r w:rsidRPr="007F740E">
            <w:rPr>
              <w:rFonts w:ascii="Arial" w:hAnsi="Arial" w:cs="Arial"/>
              <w:sz w:val="24"/>
            </w:rPr>
            <w:instrText xml:space="preserve"> PAGE   \* MERGEFORMAT </w:instrText>
          </w:r>
          <w:r w:rsidRPr="007F740E">
            <w:rPr>
              <w:rFonts w:ascii="Arial" w:hAnsi="Arial" w:cs="Arial"/>
              <w:sz w:val="24"/>
            </w:rPr>
            <w:fldChar w:fldCharType="separate"/>
          </w:r>
          <w:r w:rsidR="001C5230">
            <w:rPr>
              <w:rFonts w:ascii="Arial" w:hAnsi="Arial" w:cs="Arial"/>
              <w:noProof/>
              <w:sz w:val="24"/>
            </w:rPr>
            <w:t>1</w:t>
          </w:r>
          <w:r w:rsidRPr="007F740E">
            <w:rPr>
              <w:rFonts w:ascii="Arial" w:hAnsi="Arial" w:cs="Arial"/>
              <w:sz w:val="24"/>
            </w:rPr>
            <w:fldChar w:fldCharType="end"/>
          </w:r>
          <w:r w:rsidRPr="007F740E">
            <w:rPr>
              <w:rFonts w:ascii="Arial" w:hAnsi="Arial" w:cs="Arial"/>
              <w:sz w:val="24"/>
            </w:rPr>
            <w:t xml:space="preserve"> di </w:t>
          </w:r>
          <w:r w:rsidRPr="007F740E">
            <w:rPr>
              <w:rFonts w:ascii="Arial" w:hAnsi="Arial" w:cs="Arial"/>
              <w:sz w:val="24"/>
            </w:rPr>
            <w:fldChar w:fldCharType="begin"/>
          </w:r>
          <w:r w:rsidRPr="007F740E">
            <w:rPr>
              <w:rFonts w:ascii="Arial" w:hAnsi="Arial" w:cs="Arial"/>
              <w:sz w:val="24"/>
            </w:rPr>
            <w:instrText xml:space="preserve"> NUMPAGES   \* MERGEFORMAT </w:instrText>
          </w:r>
          <w:r w:rsidRPr="007F740E">
            <w:rPr>
              <w:rFonts w:ascii="Arial" w:hAnsi="Arial" w:cs="Arial"/>
              <w:sz w:val="24"/>
            </w:rPr>
            <w:fldChar w:fldCharType="separate"/>
          </w:r>
          <w:r w:rsidR="001C5230">
            <w:rPr>
              <w:rFonts w:ascii="Arial" w:hAnsi="Arial" w:cs="Arial"/>
              <w:noProof/>
              <w:sz w:val="24"/>
            </w:rPr>
            <w:t>3</w:t>
          </w:r>
          <w:r w:rsidRPr="007F740E">
            <w:rPr>
              <w:rFonts w:ascii="Arial" w:hAnsi="Arial" w:cs="Arial"/>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140EA195-75FA-47C2-87AA-8F79B22278EE}"/>
          <w:text w:multiLine="1"/>
        </w:sdtPr>
        <w:sdtEndPr/>
        <w:sdtContent>
          <w:tc>
            <w:tcPr>
              <w:tcW w:w="5000" w:type="pct"/>
              <w:gridSpan w:val="6"/>
              <w:tcBorders>
                <w:left w:val="nil"/>
                <w:right w:val="nil"/>
              </w:tcBorders>
              <w:noWrap/>
              <w:tcMar>
                <w:top w:w="0" w:type="dxa"/>
              </w:tcMar>
              <w:vAlign w:val="bottom"/>
            </w:tcPr>
            <w:p w:rsidR="00662409" w:rsidRPr="008C03B5" w:rsidRDefault="00077D52"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083965"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1C5230"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083965"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1C5230"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083965"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1C5230"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7F740E" w:rsidRDefault="001C5230" w:rsidP="00A532F6">
          <w:pPr>
            <w:pStyle w:val="InvisibleLine"/>
            <w:spacing w:line="280" w:lineRule="exact"/>
            <w:rPr>
              <w:rFonts w:cs="Arial"/>
              <w:b/>
              <w:sz w:val="28"/>
              <w:szCs w:val="28"/>
            </w:rPr>
          </w:pPr>
          <w:sdt>
            <w:sdtPr>
              <w:rPr>
                <w:rFonts w:cs="Arial"/>
                <w:b/>
                <w:sz w:val="28"/>
                <w:szCs w:val="28"/>
              </w:rPr>
              <w:alias w:val="DocParam.Number"/>
              <w:id w:val="614175640"/>
              <w:dataBinding w:xpath="//Text[@id='DocParam.Number']" w:storeItemID="{140EA195-75FA-47C2-87AA-8F79B22278EE}"/>
              <w:text w:multiLine="1"/>
            </w:sdtPr>
            <w:sdtEndPr>
              <w:rPr>
                <w:rFonts w:cstheme="minorBidi"/>
              </w:rPr>
            </w:sdtEndPr>
            <w:sdtContent>
              <w:r w:rsidR="00077D52" w:rsidRPr="007F740E">
                <w:rPr>
                  <w:b/>
                  <w:sz w:val="28"/>
                  <w:szCs w:val="28"/>
                </w:rPr>
                <w:t>8546 R</w:t>
              </w:r>
            </w:sdtContent>
          </w:sdt>
        </w:p>
      </w:tc>
      <w:sdt>
        <w:sdtPr>
          <w:rPr>
            <w:sz w:val="24"/>
          </w:rPr>
          <w:alias w:val="DocParam.Date"/>
          <w:id w:val="-464426178"/>
          <w:dataBinding w:xpath="//DateTime[@id='DocParam.Date']" w:storeItemID="{140EA195-75FA-47C2-87AA-8F79B22278EE}"/>
          <w:date w:fullDate="2025-09-09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077D52" w:rsidP="00A532F6">
              <w:pPr>
                <w:pStyle w:val="Data"/>
              </w:pPr>
              <w:r>
                <w:rPr>
                  <w:sz w:val="24"/>
                </w:rPr>
                <w:t>9 settembre 2025</w:t>
              </w:r>
            </w:p>
          </w:tc>
        </w:sdtContent>
      </w:sdt>
      <w:tc>
        <w:tcPr>
          <w:tcW w:w="3218" w:type="pct"/>
          <w:gridSpan w:val="4"/>
          <w:tcBorders>
            <w:top w:val="nil"/>
            <w:left w:val="nil"/>
            <w:bottom w:val="nil"/>
            <w:right w:val="nil"/>
          </w:tcBorders>
        </w:tcPr>
        <w:p w:rsidR="008C03B5" w:rsidRPr="007F740E" w:rsidRDefault="001C5230" w:rsidP="00A532F6">
          <w:pPr>
            <w:pStyle w:val="Data"/>
            <w:rPr>
              <w:rFonts w:cs="Arial"/>
              <w:sz w:val="23"/>
              <w:szCs w:val="23"/>
            </w:rPr>
          </w:pPr>
          <w:sdt>
            <w:sdtPr>
              <w:rPr>
                <w:smallCaps/>
                <w:sz w:val="23"/>
                <w:szCs w:val="23"/>
              </w:rPr>
              <w:alias w:val="CustomElements.Fields.Dipartimenti"/>
              <w:id w:val="-1138097914"/>
              <w:dataBinding w:xpath="//Text[@id='CustomElements.Fields.Dipartimenti']" w:storeItemID="{140EA195-75FA-47C2-87AA-8F79B22278EE}"/>
              <w:text w:multiLine="1"/>
            </w:sdtPr>
            <w:sdtEndPr/>
            <w:sdtContent>
              <w:r w:rsidR="00077D52">
                <w:rPr>
                  <w:smallCaps/>
                  <w:sz w:val="23"/>
                  <w:szCs w:val="23"/>
                </w:rPr>
                <w:t>Dipartimento delle istituzioni</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1C5230" w:rsidP="00D07D6E">
          <w:pPr>
            <w:pStyle w:val="Level"/>
            <w:ind w:left="150"/>
            <w:rPr>
              <w:rFonts w:ascii="Gill Alt One MT Light" w:hAnsi="Gill Alt One MT Light"/>
              <w:sz w:val="16"/>
              <w:szCs w:val="16"/>
            </w:rPr>
          </w:pPr>
        </w:p>
      </w:tc>
    </w:tr>
  </w:tbl>
  <w:p w:rsidR="00F657BF" w:rsidRPr="00DA2879" w:rsidRDefault="00083965"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865495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140EA195-75FA-47C2-87AA-8F79B22278EE}"/>
                            <w:text w:multiLine="1"/>
                          </w:sdtPr>
                          <w:sdtEndPr/>
                          <w:sdtContent>
                            <w:p w:rsidR="00E93620" w:rsidRPr="00411371" w:rsidRDefault="00083965"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AAC1CFF5-78E4-4AA2-8813-30406C5903A8}"/>
                      <w:text w:multiLine="1"/>
                    </w:sdtPr>
                    <w:sdtEndPr/>
                    <w:sdtContent>
                      <w:p w:rsidR="00E93620" w:rsidRPr="00411371" w:rsidRDefault="00083965"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num w:numId="1">
    <w:abstractNumId w:val="11"/>
  </w:num>
  <w:num w:numId="2">
    <w:abstractNumId w:val="16"/>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40E"/>
    <w:rsid w:val="000446D5"/>
    <w:rsid w:val="00077D52"/>
    <w:rsid w:val="00083965"/>
    <w:rsid w:val="001C5230"/>
    <w:rsid w:val="00275607"/>
    <w:rsid w:val="002B5D9F"/>
    <w:rsid w:val="003B756D"/>
    <w:rsid w:val="00403ADB"/>
    <w:rsid w:val="004A1471"/>
    <w:rsid w:val="00562D0C"/>
    <w:rsid w:val="00572FD3"/>
    <w:rsid w:val="00590B36"/>
    <w:rsid w:val="006E1CE9"/>
    <w:rsid w:val="007F740E"/>
    <w:rsid w:val="008720C4"/>
    <w:rsid w:val="008C03CF"/>
    <w:rsid w:val="008F52AF"/>
    <w:rsid w:val="0091344D"/>
    <w:rsid w:val="00952E73"/>
    <w:rsid w:val="009C5E5A"/>
    <w:rsid w:val="00A047E4"/>
    <w:rsid w:val="00A861BF"/>
    <w:rsid w:val="00AF0268"/>
    <w:rsid w:val="00B47B56"/>
    <w:rsid w:val="00BF0A1F"/>
    <w:rsid w:val="00C2338F"/>
    <w:rsid w:val="00D33940"/>
    <w:rsid w:val="00D600FD"/>
    <w:rsid w:val="00D649A8"/>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4753378-4E07-486B-8A0E-2F32313AB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qFormat/>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4A1471"/>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A1471"/>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fab350d9-26de-450d-83a2-e3755fe1c3b9.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772826034</Id>
      <Width>0</Width>
      <Height>0</Height>
      <XPath>//Image[@id='Profile.Org.WappenSW']</XPath>
      <ImageHash>02f1c0cdac6aeac316213b2e7cb733a0</ImageHash>
    </ImageSizeDefinition>
    <ImageSizeDefinition>
      <Id>1865495523</Id>
      <Width>0</Width>
      <Height>0</Height>
      <XPath>//Image[@id='Profile.Org.Logo']</XPath>
      <ImageHash>c45d7cd7b68e3e6ca57220766e88079c</ImageHash>
    </ImageSizeDefinition>
  </ImageDefinitions>
</OneOffixxImageDefinitionPart>
</file>

<file path=customXml/item4.xml>�� 
</file>

<file path=customXml/itemProps1.xml><?xml version="1.0" encoding="utf-8"?>
<ds:datastoreItem xmlns:ds="http://schemas.openxmlformats.org/officeDocument/2006/customXml" ds:itemID="{158561EB-5306-465A-B6D4-906DE617E6B2}">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140EA195-75FA-47C2-87AA-8F79B22278EE}">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fab350d9-26de-450d-83a2-e3755fe1c3b9.dotx</Template>
  <TotalTime>2</TotalTime>
  <Pages>3</Pages>
  <Words>911</Words>
  <Characters>5198</Characters>
  <Application>Microsoft Office Word</Application>
  <DocSecurity>0</DocSecurity>
  <Lines>43</Lines>
  <Paragraphs>12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7</cp:revision>
  <cp:lastPrinted>2025-09-23T09:02:00Z</cp:lastPrinted>
  <dcterms:created xsi:type="dcterms:W3CDTF">2025-09-17T12:21:00Z</dcterms:created>
  <dcterms:modified xsi:type="dcterms:W3CDTF">2025-09-23T09:02:00Z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