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2EE" w:rsidRPr="004A2302" w:rsidRDefault="007A52EE" w:rsidP="009453C1">
      <w:pPr>
        <w:widowControl w:val="0"/>
        <w:rPr>
          <w:b/>
          <w:sz w:val="28"/>
          <w:szCs w:val="28"/>
        </w:rPr>
      </w:pPr>
      <w:bookmarkStart w:id="0" w:name="_GoBack"/>
      <w:bookmarkEnd w:id="0"/>
      <w:r w:rsidRPr="004A2302">
        <w:rPr>
          <w:b/>
          <w:sz w:val="28"/>
          <w:szCs w:val="28"/>
        </w:rPr>
        <w:t xml:space="preserve">della Commissione formazione e cultura </w:t>
      </w:r>
      <w:r w:rsidR="00EF5BA3">
        <w:rPr>
          <w:b/>
          <w:sz w:val="28"/>
          <w:szCs w:val="28"/>
        </w:rPr>
        <w:t xml:space="preserve">  </w:t>
      </w:r>
    </w:p>
    <w:p w:rsidR="009453C1" w:rsidRDefault="000825D1" w:rsidP="009453C1">
      <w:pPr>
        <w:pStyle w:val="StandardRisoluzionedelConsigliodiStato"/>
        <w:widowControl w:val="0"/>
        <w:ind w:right="-1"/>
        <w:rPr>
          <w:rFonts w:cs="Arial"/>
          <w:b/>
          <w:bCs/>
          <w:sz w:val="28"/>
          <w:szCs w:val="28"/>
        </w:rPr>
      </w:pPr>
      <w:r w:rsidRPr="000825D1">
        <w:rPr>
          <w:rFonts w:cs="Arial"/>
          <w:b/>
          <w:bCs/>
          <w:sz w:val="28"/>
          <w:szCs w:val="28"/>
        </w:rPr>
        <w:t xml:space="preserve">sull’iniziativa parlamentare 9 dicembre 2024 </w:t>
      </w:r>
      <w:r w:rsidR="004764F3">
        <w:rPr>
          <w:rFonts w:cs="Arial"/>
          <w:b/>
          <w:bCs/>
          <w:sz w:val="28"/>
          <w:szCs w:val="28"/>
        </w:rPr>
        <w:t xml:space="preserve">presentata </w:t>
      </w:r>
      <w:r w:rsidRPr="000825D1">
        <w:rPr>
          <w:rFonts w:cs="Arial"/>
          <w:b/>
          <w:bCs/>
          <w:sz w:val="28"/>
          <w:szCs w:val="28"/>
        </w:rPr>
        <w:t>nella forma elaborata da Massimiliano Ay e Lea Ferrari per il Partito Comunista – Partito Operaio e Popolare per la modifica dell’art. 32 della Legge della scuola dell’infanzia e sulla scuola elementare (“Musica e sport non valgono meno delle arti plastiche”)</w:t>
      </w:r>
      <w:r w:rsidR="009453C1" w:rsidRPr="009453C1">
        <w:rPr>
          <w:rFonts w:cs="Arial"/>
          <w:b/>
          <w:bCs/>
          <w:sz w:val="28"/>
          <w:szCs w:val="28"/>
        </w:rPr>
        <w:t xml:space="preserve"> </w:t>
      </w:r>
    </w:p>
    <w:p w:rsidR="009453C1" w:rsidRPr="009453C1" w:rsidRDefault="009453C1" w:rsidP="009453C1">
      <w:pPr>
        <w:pStyle w:val="StandardRisoluzionedelConsigliodiStato"/>
        <w:widowControl w:val="0"/>
        <w:spacing w:before="120"/>
        <w:ind w:right="-1"/>
        <w:rPr>
          <w:rFonts w:cs="Arial"/>
          <w:b/>
          <w:bCs/>
          <w:sz w:val="28"/>
          <w:szCs w:val="28"/>
        </w:rPr>
      </w:pPr>
      <w:r>
        <w:rPr>
          <w:b/>
          <w:bCs/>
          <w:sz w:val="26"/>
          <w:szCs w:val="26"/>
          <w:lang w:val="it-IT"/>
        </w:rPr>
        <w:t xml:space="preserve">(v. messaggio </w:t>
      </w:r>
      <w:r w:rsidR="000825D1">
        <w:rPr>
          <w:b/>
          <w:bCs/>
          <w:sz w:val="26"/>
          <w:szCs w:val="26"/>
          <w:lang w:val="it-IT"/>
        </w:rPr>
        <w:t>29</w:t>
      </w:r>
      <w:r w:rsidR="008012D5">
        <w:rPr>
          <w:b/>
          <w:bCs/>
          <w:sz w:val="26"/>
          <w:szCs w:val="26"/>
          <w:lang w:val="it-IT"/>
        </w:rPr>
        <w:t xml:space="preserve"> ottobre 202</w:t>
      </w:r>
      <w:r w:rsidR="003405FE">
        <w:rPr>
          <w:b/>
          <w:bCs/>
          <w:sz w:val="26"/>
          <w:szCs w:val="26"/>
          <w:lang w:val="it-IT"/>
        </w:rPr>
        <w:t>5</w:t>
      </w:r>
      <w:r w:rsidRPr="009453C1">
        <w:rPr>
          <w:b/>
          <w:bCs/>
          <w:sz w:val="26"/>
          <w:szCs w:val="26"/>
          <w:lang w:val="it-IT"/>
        </w:rPr>
        <w:t xml:space="preserve"> </w:t>
      </w:r>
      <w:r w:rsidR="008012D5">
        <w:rPr>
          <w:b/>
          <w:bCs/>
          <w:sz w:val="26"/>
          <w:szCs w:val="26"/>
          <w:lang w:val="it-IT"/>
        </w:rPr>
        <w:t>n. 862</w:t>
      </w:r>
      <w:r w:rsidR="000825D1">
        <w:rPr>
          <w:b/>
          <w:bCs/>
          <w:sz w:val="26"/>
          <w:szCs w:val="26"/>
          <w:lang w:val="it-IT"/>
        </w:rPr>
        <w:t>9</w:t>
      </w:r>
      <w:r w:rsidRPr="002D2B9F">
        <w:rPr>
          <w:b/>
          <w:bCs/>
          <w:sz w:val="26"/>
          <w:szCs w:val="26"/>
          <w:lang w:val="it-IT"/>
        </w:rPr>
        <w:t>)</w:t>
      </w:r>
    </w:p>
    <w:p w:rsidR="009453C1" w:rsidRPr="004764F3" w:rsidRDefault="009453C1" w:rsidP="009453C1">
      <w:pPr>
        <w:pStyle w:val="StandardRisoluzionedelConsigliodiStato"/>
        <w:ind w:right="-1"/>
        <w:rPr>
          <w:rFonts w:cs="Arial"/>
          <w:b/>
          <w:bCs/>
          <w:szCs w:val="24"/>
        </w:rPr>
      </w:pPr>
    </w:p>
    <w:p w:rsidR="009453C1" w:rsidRPr="004764F3" w:rsidRDefault="009453C1" w:rsidP="009453C1">
      <w:pPr>
        <w:pStyle w:val="StandardRisoluzionedelConsigliodiStato"/>
        <w:ind w:right="-1"/>
        <w:rPr>
          <w:rFonts w:cs="Arial"/>
          <w:b/>
          <w:bCs/>
          <w:szCs w:val="24"/>
        </w:rPr>
      </w:pPr>
    </w:p>
    <w:p w:rsidR="000825D1" w:rsidRPr="000825D1" w:rsidRDefault="000825D1" w:rsidP="000825D1">
      <w:pPr>
        <w:pStyle w:val="StandardRisoluzionedelConsigliodiStato"/>
        <w:ind w:right="-1"/>
        <w:rPr>
          <w:rFonts w:eastAsia="Aptos" w:cs="Times New Roman"/>
          <w:szCs w:val="24"/>
        </w:rPr>
      </w:pPr>
      <w:r w:rsidRPr="000825D1">
        <w:rPr>
          <w:rFonts w:eastAsia="Aptos" w:cs="Times New Roman"/>
          <w:szCs w:val="24"/>
        </w:rPr>
        <w:t>Signor Presidente,</w:t>
      </w:r>
    </w:p>
    <w:p w:rsidR="000825D1" w:rsidRPr="000825D1" w:rsidRDefault="000825D1" w:rsidP="000825D1">
      <w:pPr>
        <w:pStyle w:val="StandardRisoluzionedelConsigliodiStato"/>
        <w:ind w:right="-1"/>
        <w:rPr>
          <w:rFonts w:eastAsia="Aptos" w:cs="Times New Roman"/>
          <w:szCs w:val="24"/>
        </w:rPr>
      </w:pPr>
      <w:r w:rsidRPr="000825D1">
        <w:rPr>
          <w:rFonts w:eastAsia="Aptos" w:cs="Times New Roman"/>
          <w:szCs w:val="24"/>
        </w:rPr>
        <w:t>signore deputate e signori deputati,</w:t>
      </w:r>
    </w:p>
    <w:p w:rsidR="000825D1" w:rsidRPr="000825D1" w:rsidRDefault="000825D1" w:rsidP="000825D1">
      <w:pPr>
        <w:pStyle w:val="StandardRisoluzionedelConsigliodiStato"/>
        <w:ind w:right="-1"/>
        <w:rPr>
          <w:rFonts w:eastAsia="Aptos" w:cs="Times New Roman"/>
          <w:szCs w:val="24"/>
        </w:rPr>
      </w:pPr>
    </w:p>
    <w:p w:rsidR="000825D1" w:rsidRDefault="000825D1" w:rsidP="000825D1">
      <w:pPr>
        <w:pStyle w:val="StandardRisoluzionedelConsigliodiStato"/>
        <w:ind w:right="-1"/>
        <w:rPr>
          <w:rFonts w:eastAsia="Aptos" w:cs="Times New Roman"/>
          <w:szCs w:val="24"/>
        </w:rPr>
      </w:pPr>
      <w:r w:rsidRPr="000825D1">
        <w:rPr>
          <w:rFonts w:eastAsia="Aptos" w:cs="Times New Roman"/>
          <w:szCs w:val="24"/>
        </w:rPr>
        <w:t>la Commissione formazione e cultura ha esaminato l’iniziativa parlamentare depositata il 9 dicembre 2024 nella forma elaborata dal deputato Massimiliano Ay e dalla deputata Lea Ferrari (PC-POP), che propone di modificare l’art. 32 della Legge sulla scuola dell’infanzia e sulla scuola elementare (</w:t>
      </w:r>
      <w:proofErr w:type="spellStart"/>
      <w:r w:rsidRPr="000825D1">
        <w:rPr>
          <w:rFonts w:eastAsia="Aptos" w:cs="Times New Roman"/>
          <w:szCs w:val="24"/>
        </w:rPr>
        <w:t>LSise</w:t>
      </w:r>
      <w:proofErr w:type="spellEnd"/>
      <w:r w:rsidRPr="000825D1">
        <w:rPr>
          <w:rFonts w:eastAsia="Aptos" w:cs="Times New Roman"/>
          <w:szCs w:val="24"/>
        </w:rPr>
        <w:t>) al fine di riconoscere, al pari delle arti plastiche, il ruolo di docenti con preparazione specifica anche per l’educazione musicale e per l’educazione fisica.</w:t>
      </w:r>
    </w:p>
    <w:p w:rsidR="00D4529A" w:rsidRPr="000825D1" w:rsidRDefault="00D4529A" w:rsidP="000825D1">
      <w:pPr>
        <w:pStyle w:val="StandardRisoluzionedelConsigliodiStato"/>
        <w:ind w:right="-1"/>
        <w:rPr>
          <w:rFonts w:eastAsia="Aptos" w:cs="Times New Roman"/>
          <w:szCs w:val="24"/>
        </w:rPr>
      </w:pPr>
    </w:p>
    <w:p w:rsidR="000825D1" w:rsidRDefault="000825D1" w:rsidP="000825D1">
      <w:pPr>
        <w:pStyle w:val="StandardRisoluzionedelConsigliodiStato"/>
        <w:ind w:right="-1"/>
        <w:rPr>
          <w:rFonts w:eastAsia="Aptos" w:cs="Times New Roman"/>
          <w:szCs w:val="24"/>
        </w:rPr>
      </w:pPr>
      <w:r w:rsidRPr="000825D1">
        <w:rPr>
          <w:rFonts w:eastAsia="Aptos" w:cs="Times New Roman"/>
          <w:szCs w:val="24"/>
        </w:rPr>
        <w:t xml:space="preserve">Il Consiglio di Stato, con </w:t>
      </w:r>
      <w:r w:rsidR="00D4529A">
        <w:rPr>
          <w:rFonts w:eastAsia="Aptos" w:cs="Times New Roman"/>
          <w:szCs w:val="24"/>
        </w:rPr>
        <w:t>m</w:t>
      </w:r>
      <w:r w:rsidRPr="000825D1">
        <w:rPr>
          <w:rFonts w:eastAsia="Aptos" w:cs="Times New Roman"/>
          <w:szCs w:val="24"/>
        </w:rPr>
        <w:t>essaggio n. 8629 del 29 ottobre 2025, invita il Gran Consiglio ad approvare l’iniziativa e il relativo disegno di legge, proponendo una formulazione che rende l’insegnamento delle tre discipline speciali affidato a docenti specialisti, pur prevedendo – in casi particolari e previa autorizzazione dell’ispettorato – la possibilità di deroghe temporanee.</w:t>
      </w:r>
    </w:p>
    <w:p w:rsidR="00D4529A" w:rsidRPr="000825D1" w:rsidRDefault="00D4529A" w:rsidP="000825D1">
      <w:pPr>
        <w:pStyle w:val="StandardRisoluzionedelConsigliodiStato"/>
        <w:ind w:right="-1"/>
        <w:rPr>
          <w:rFonts w:eastAsia="Aptos" w:cs="Times New Roman"/>
          <w:szCs w:val="24"/>
        </w:rPr>
      </w:pPr>
    </w:p>
    <w:p w:rsidR="009453C1" w:rsidRDefault="000825D1" w:rsidP="000825D1">
      <w:pPr>
        <w:pStyle w:val="StandardRisoluzionedelConsigliodiStato"/>
        <w:ind w:right="-1"/>
        <w:rPr>
          <w:rFonts w:eastAsia="Aptos" w:cs="Times New Roman"/>
          <w:szCs w:val="24"/>
        </w:rPr>
      </w:pPr>
      <w:r w:rsidRPr="000825D1">
        <w:rPr>
          <w:rFonts w:eastAsia="Aptos" w:cs="Times New Roman"/>
          <w:szCs w:val="24"/>
        </w:rPr>
        <w:t>Il presente rapporto si colloca in c</w:t>
      </w:r>
      <w:r w:rsidR="00D4529A">
        <w:rPr>
          <w:rFonts w:eastAsia="Aptos" w:cs="Times New Roman"/>
          <w:szCs w:val="24"/>
        </w:rPr>
        <w:t>oerenza con l’impostazione del m</w:t>
      </w:r>
      <w:r w:rsidRPr="000825D1">
        <w:rPr>
          <w:rFonts w:eastAsia="Aptos" w:cs="Times New Roman"/>
          <w:szCs w:val="24"/>
        </w:rPr>
        <w:t>essaggio governativo: la Commissione condivide l’esigenza di garantire pari opportunità formative su tutto il territorio cantonale, valorizzando la qualità dell’insegnamento nelle discipline artistiche e motorie e, allo stesso tempo, preservando quella flessibilità organizzativa necessaria per affrontare situazioni concrete che variano sensibilmente tra Comuni e sedi scolastiche.</w:t>
      </w:r>
    </w:p>
    <w:p w:rsidR="009453C1" w:rsidRPr="00283B3C" w:rsidRDefault="009453C1" w:rsidP="009453C1">
      <w:pPr>
        <w:pStyle w:val="StandardRisoluzionedelConsigliodiStato"/>
        <w:ind w:right="-1"/>
        <w:rPr>
          <w:rFonts w:cs="Arial"/>
          <w:b/>
          <w:bCs/>
          <w:szCs w:val="24"/>
        </w:rPr>
      </w:pPr>
    </w:p>
    <w:p w:rsidR="009453C1" w:rsidRPr="00283B3C" w:rsidRDefault="009453C1" w:rsidP="009453C1">
      <w:pPr>
        <w:pStyle w:val="StandardRisoluzionedelConsigliodiStato"/>
        <w:ind w:right="-1"/>
        <w:rPr>
          <w:rFonts w:cs="Arial"/>
          <w:b/>
          <w:bCs/>
          <w:szCs w:val="24"/>
        </w:rPr>
      </w:pPr>
    </w:p>
    <w:p w:rsidR="008012D5" w:rsidRPr="008012D5" w:rsidRDefault="008012D5" w:rsidP="008012D5">
      <w:pPr>
        <w:pStyle w:val="Paragrafoelenco"/>
        <w:numPr>
          <w:ilvl w:val="0"/>
          <w:numId w:val="20"/>
        </w:numPr>
        <w:spacing w:after="120"/>
        <w:ind w:left="567" w:hanging="560"/>
        <w:jc w:val="left"/>
        <w:rPr>
          <w:b/>
          <w:bCs/>
        </w:rPr>
      </w:pPr>
      <w:r w:rsidRPr="008012D5">
        <w:rPr>
          <w:b/>
          <w:bCs/>
          <w:sz w:val="24"/>
          <w:szCs w:val="24"/>
        </w:rPr>
        <w:t>CONTENUTO DELL’INIZIATIVA</w:t>
      </w:r>
    </w:p>
    <w:p w:rsidR="000825D1" w:rsidRDefault="000825D1" w:rsidP="000825D1">
      <w:pPr>
        <w:pStyle w:val="StandardRisoluzionedelConsigliodiStato"/>
        <w:ind w:right="-1"/>
        <w:rPr>
          <w:rFonts w:cs="Arial"/>
          <w:szCs w:val="24"/>
        </w:rPr>
      </w:pPr>
      <w:r w:rsidRPr="000825D1">
        <w:rPr>
          <w:rFonts w:cs="Arial"/>
          <w:szCs w:val="24"/>
        </w:rPr>
        <w:t>L’iniziativa nasce nel contesto della discussione sul Preventivo 2025, quando era stata prospettata una limitazione del finanziamento cantonale ai Comuni ai soli docenti specialisti previsti in senso stretto dalla legge, escludendo quindi educazione musicale (EM) ed educazione fisica (EF). Secondo i promotori, ciò avrebbe potuto incidere sulla qualità dell’offerta educativa e generare disparità tra Comuni con diversa capacità finanziaria.</w:t>
      </w:r>
    </w:p>
    <w:p w:rsidR="00D4529A" w:rsidRPr="000825D1" w:rsidRDefault="00D4529A" w:rsidP="000825D1">
      <w:pPr>
        <w:pStyle w:val="StandardRisoluzionedelConsigliodiStato"/>
        <w:ind w:right="-1"/>
        <w:rPr>
          <w:rFonts w:cs="Arial"/>
          <w:szCs w:val="24"/>
        </w:rPr>
      </w:pPr>
    </w:p>
    <w:p w:rsidR="009453C1" w:rsidRDefault="000825D1" w:rsidP="000825D1">
      <w:pPr>
        <w:pStyle w:val="StandardRisoluzionedelConsigliodiStato"/>
        <w:ind w:right="-1"/>
        <w:rPr>
          <w:rFonts w:cs="Arial"/>
          <w:szCs w:val="24"/>
        </w:rPr>
      </w:pPr>
      <w:r w:rsidRPr="000825D1">
        <w:rPr>
          <w:rFonts w:cs="Arial"/>
          <w:szCs w:val="24"/>
        </w:rPr>
        <w:lastRenderedPageBreak/>
        <w:t xml:space="preserve">Concretamente, l’iniziativa chiede che l’art. 32 </w:t>
      </w:r>
      <w:proofErr w:type="spellStart"/>
      <w:r w:rsidRPr="000825D1">
        <w:rPr>
          <w:rFonts w:cs="Arial"/>
          <w:szCs w:val="24"/>
        </w:rPr>
        <w:t>LSise</w:t>
      </w:r>
      <w:proofErr w:type="spellEnd"/>
      <w:r w:rsidRPr="000825D1">
        <w:rPr>
          <w:rFonts w:cs="Arial"/>
          <w:szCs w:val="24"/>
        </w:rPr>
        <w:t xml:space="preserve"> sia modificato affinché, oltre alle arti plastiche, anche EM ed EF siano impartite da un docente con preparazione specifica, formalizzando un’impostazione che, nei fatti, è già ampiamente diffusa nelle scuole comunali.</w:t>
      </w:r>
    </w:p>
    <w:p w:rsidR="00D4529A" w:rsidRDefault="00D4529A" w:rsidP="000825D1">
      <w:pPr>
        <w:pStyle w:val="StandardRisoluzionedelConsigliodiStato"/>
        <w:ind w:right="-1"/>
        <w:rPr>
          <w:rFonts w:cs="Arial"/>
          <w:szCs w:val="24"/>
        </w:rPr>
      </w:pPr>
    </w:p>
    <w:p w:rsidR="00D4529A" w:rsidRPr="00352BA1" w:rsidRDefault="00D4529A" w:rsidP="000825D1">
      <w:pPr>
        <w:pStyle w:val="StandardRisoluzionedelConsigliodiStato"/>
        <w:ind w:right="-1"/>
        <w:rPr>
          <w:szCs w:val="24"/>
          <w:lang w:val="it-IT"/>
        </w:rPr>
      </w:pPr>
    </w:p>
    <w:p w:rsidR="008012D5" w:rsidRPr="00D4529A" w:rsidRDefault="009453C1" w:rsidP="00D4529A">
      <w:pPr>
        <w:pStyle w:val="Titolo1"/>
        <w:tabs>
          <w:tab w:val="left" w:pos="567"/>
        </w:tabs>
        <w:spacing w:before="0"/>
        <w:ind w:left="567" w:hanging="567"/>
        <w:jc w:val="both"/>
        <w:rPr>
          <w:rFonts w:eastAsia="Calibri" w:cs="Times New Roman"/>
          <w:caps/>
          <w:sz w:val="24"/>
          <w:szCs w:val="24"/>
          <w:lang w:val="it-IT" w:eastAsia="it-IT"/>
        </w:rPr>
      </w:pPr>
      <w:r w:rsidRPr="00D4529A">
        <w:rPr>
          <w:rFonts w:eastAsia="Calibri" w:cs="Times New Roman"/>
          <w:caps/>
          <w:sz w:val="24"/>
          <w:szCs w:val="24"/>
          <w:lang w:val="it-IT" w:eastAsia="it-IT"/>
        </w:rPr>
        <w:t>2.</w:t>
      </w:r>
      <w:r w:rsidR="008012D5" w:rsidRPr="00D4529A">
        <w:rPr>
          <w:rFonts w:eastAsia="Calibri" w:cs="Times New Roman"/>
          <w:caps/>
          <w:sz w:val="24"/>
          <w:szCs w:val="24"/>
          <w:lang w:val="it-IT" w:eastAsia="it-IT"/>
        </w:rPr>
        <w:tab/>
        <w:t>CONSIDERAZIONI DELLA COMMISSIONE</w:t>
      </w:r>
    </w:p>
    <w:p w:rsidR="008012D5" w:rsidRPr="00D4529A" w:rsidRDefault="008012D5" w:rsidP="00D4529A">
      <w:pPr>
        <w:pStyle w:val="Titolo2"/>
        <w:numPr>
          <w:ilvl w:val="0"/>
          <w:numId w:val="0"/>
        </w:numPr>
        <w:tabs>
          <w:tab w:val="left" w:pos="567"/>
        </w:tabs>
        <w:spacing w:before="0" w:after="120"/>
        <w:jc w:val="both"/>
        <w:rPr>
          <w:rFonts w:eastAsia="Calibri" w:cs="Times New Roman"/>
          <w:sz w:val="24"/>
          <w:lang w:val="it-IT" w:eastAsia="it-IT"/>
        </w:rPr>
      </w:pPr>
      <w:r w:rsidRPr="00D4529A">
        <w:rPr>
          <w:rFonts w:eastAsia="Calibri" w:cs="Times New Roman"/>
          <w:sz w:val="24"/>
          <w:lang w:val="it-IT" w:eastAsia="it-IT"/>
        </w:rPr>
        <w:t>2.1</w:t>
      </w:r>
      <w:r w:rsidRPr="00D4529A">
        <w:rPr>
          <w:rFonts w:eastAsia="Calibri" w:cs="Times New Roman"/>
          <w:sz w:val="24"/>
          <w:lang w:val="it-IT" w:eastAsia="it-IT"/>
        </w:rPr>
        <w:tab/>
        <w:t>Considerazioni generali</w:t>
      </w:r>
    </w:p>
    <w:p w:rsidR="000825D1" w:rsidRDefault="000825D1" w:rsidP="003A7F36">
      <w:pPr>
        <w:rPr>
          <w:rFonts w:eastAsia="Times New Roman" w:cs="Arial"/>
          <w:sz w:val="24"/>
          <w:szCs w:val="24"/>
          <w:lang w:eastAsia="it-IT"/>
        </w:rPr>
      </w:pPr>
      <w:r w:rsidRPr="000825D1">
        <w:rPr>
          <w:rFonts w:eastAsia="Times New Roman" w:cs="Arial"/>
          <w:sz w:val="24"/>
          <w:szCs w:val="24"/>
          <w:lang w:eastAsia="it-IT"/>
        </w:rPr>
        <w:t>Le cosiddette “materie speciali” non rappresentano un complemento marginale. Educazione musicale ed educazione fisica concorrono in modo determinante allo sviluppo globale della persona: competenze motorie, salute e benessere, socialità, disciplina, creatività e sensibilità estetica. In questo senso, l’obiettivo dell’iniziativa – porre musica e sport sullo stesso piano delle arti plastiche quanto alla preparazione specifica dell’insegnante – è condivisibile.</w:t>
      </w:r>
    </w:p>
    <w:p w:rsidR="00D4529A" w:rsidRPr="000825D1" w:rsidRDefault="00D4529A" w:rsidP="000825D1">
      <w:pPr>
        <w:spacing w:line="259" w:lineRule="auto"/>
        <w:rPr>
          <w:rFonts w:eastAsia="Times New Roman" w:cs="Arial"/>
          <w:sz w:val="24"/>
          <w:szCs w:val="24"/>
          <w:lang w:eastAsia="it-IT"/>
        </w:rPr>
      </w:pPr>
    </w:p>
    <w:p w:rsidR="009453C1" w:rsidRDefault="000825D1" w:rsidP="000825D1">
      <w:pPr>
        <w:pStyle w:val="Default"/>
        <w:jc w:val="both"/>
        <w:rPr>
          <w:bCs/>
          <w:lang w:val="it-CH"/>
        </w:rPr>
      </w:pPr>
      <w:r w:rsidRPr="000825D1">
        <w:rPr>
          <w:rFonts w:eastAsia="Aptos"/>
          <w:color w:val="auto"/>
          <w:kern w:val="2"/>
          <w:bdr w:val="none" w:sz="0" w:space="0" w:color="auto"/>
          <w:lang w:val="it-CH" w:eastAsia="en-US" w:bidi="ar-SA"/>
          <w14:ligatures w14:val="standardContextual"/>
        </w:rPr>
        <w:t xml:space="preserve">Sul piano dell’equità, la scuola pubblica deve garantire standard di qualità comparabili a tutte le allieve e a tutti gli allievi, indipendentemente dal Comune di domicilio. Il rischio che, in assenza di un chiaro ancoraggio normativo e finanziario, in alcuni contesti si riduca l’offerta o si ricorra in modo sistematico a </w:t>
      </w:r>
      <w:proofErr w:type="spellStart"/>
      <w:r w:rsidRPr="000825D1">
        <w:rPr>
          <w:rFonts w:eastAsia="Aptos"/>
          <w:color w:val="auto"/>
          <w:kern w:val="2"/>
          <w:bdr w:val="none" w:sz="0" w:space="0" w:color="auto"/>
          <w:lang w:val="it-CH" w:eastAsia="en-US" w:bidi="ar-SA"/>
          <w14:ligatures w14:val="standardContextual"/>
        </w:rPr>
        <w:t>soluzioni</w:t>
      </w:r>
      <w:proofErr w:type="spellEnd"/>
      <w:r w:rsidRPr="000825D1">
        <w:rPr>
          <w:rFonts w:eastAsia="Aptos"/>
          <w:color w:val="auto"/>
          <w:kern w:val="2"/>
          <w:bdr w:val="none" w:sz="0" w:space="0" w:color="auto"/>
          <w:lang w:val="it-CH" w:eastAsia="en-US" w:bidi="ar-SA"/>
          <w14:ligatures w14:val="standardContextual"/>
        </w:rPr>
        <w:t xml:space="preserve"> di ripiego, va preso sul serio: l’uguaglianza di opportunità non può dipendere dalla forza finanziaria di un Comune.</w:t>
      </w:r>
    </w:p>
    <w:p w:rsidR="00B06D15" w:rsidRDefault="00B06D15" w:rsidP="008012D5">
      <w:pPr>
        <w:pStyle w:val="Default"/>
        <w:jc w:val="both"/>
        <w:rPr>
          <w:bCs/>
          <w:lang w:val="it-CH"/>
        </w:rPr>
      </w:pPr>
    </w:p>
    <w:p w:rsidR="008012D5" w:rsidRPr="00D4529A" w:rsidRDefault="00D4529A" w:rsidP="00D4529A">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2.2</w:t>
      </w:r>
      <w:r w:rsidR="008012D5" w:rsidRPr="00D4529A">
        <w:rPr>
          <w:rFonts w:eastAsia="Calibri" w:cs="Times New Roman"/>
          <w:sz w:val="24"/>
          <w:lang w:val="it-IT" w:eastAsia="it-IT"/>
        </w:rPr>
        <w:tab/>
      </w:r>
      <w:r w:rsidR="000825D1" w:rsidRPr="00D4529A">
        <w:rPr>
          <w:rFonts w:eastAsia="Calibri" w:cs="Times New Roman"/>
          <w:sz w:val="24"/>
          <w:lang w:val="it-IT" w:eastAsia="it-IT"/>
        </w:rPr>
        <w:t>Nel merito della proposta</w:t>
      </w:r>
    </w:p>
    <w:p w:rsidR="000825D1" w:rsidRDefault="00D4529A" w:rsidP="000825D1">
      <w:pPr>
        <w:pStyle w:val="NormaleWeb"/>
        <w:spacing w:line="259" w:lineRule="auto"/>
        <w:rPr>
          <w:rFonts w:ascii="Arial" w:hAnsi="Arial" w:cs="Arial"/>
        </w:rPr>
      </w:pPr>
      <w:r>
        <w:rPr>
          <w:rFonts w:ascii="Arial" w:hAnsi="Arial" w:cs="Arial"/>
        </w:rPr>
        <w:t>Il m</w:t>
      </w:r>
      <w:r w:rsidR="000825D1" w:rsidRPr="00860671">
        <w:rPr>
          <w:rFonts w:ascii="Arial" w:hAnsi="Arial" w:cs="Arial"/>
        </w:rPr>
        <w:t xml:space="preserve">essaggio governativo ricostruisce come, già da oltre un decennio, tutti i Comuni ricorrano a docenti specialisti non solo per le arti plastiche ma </w:t>
      </w:r>
      <w:r w:rsidR="000825D1" w:rsidRPr="005B5663">
        <w:rPr>
          <w:rFonts w:ascii="Arial" w:hAnsi="Arial" w:cs="Arial"/>
        </w:rPr>
        <w:t xml:space="preserve">anche per EM ed EF, con una progressiva attribuzione allo specialista della totalità delle ore. </w:t>
      </w:r>
      <w:r w:rsidR="006452E3" w:rsidRPr="005B5663">
        <w:rPr>
          <w:rFonts w:ascii="Arial" w:hAnsi="Arial" w:cs="Arial"/>
        </w:rPr>
        <w:t xml:space="preserve">Allo stato attuale, </w:t>
      </w:r>
      <w:r w:rsidR="00C5249A" w:rsidRPr="005B5663">
        <w:rPr>
          <w:rFonts w:ascii="Arial" w:hAnsi="Arial" w:cs="Arial"/>
        </w:rPr>
        <w:t>tut</w:t>
      </w:r>
      <w:r w:rsidR="006452E3" w:rsidRPr="005B5663">
        <w:rPr>
          <w:rFonts w:ascii="Arial" w:hAnsi="Arial" w:cs="Arial"/>
        </w:rPr>
        <w:t>te le classi di</w:t>
      </w:r>
      <w:r w:rsidR="00C5249A" w:rsidRPr="005B5663">
        <w:rPr>
          <w:rFonts w:ascii="Arial" w:hAnsi="Arial" w:cs="Arial"/>
        </w:rPr>
        <w:t xml:space="preserve"> </w:t>
      </w:r>
      <w:r w:rsidR="006452E3" w:rsidRPr="005B5663">
        <w:rPr>
          <w:rFonts w:ascii="Arial" w:hAnsi="Arial" w:cs="Arial"/>
        </w:rPr>
        <w:t>scuola elementare de</w:t>
      </w:r>
      <w:r w:rsidR="00C5249A" w:rsidRPr="005B5663">
        <w:rPr>
          <w:rFonts w:ascii="Arial" w:hAnsi="Arial" w:cs="Arial"/>
        </w:rPr>
        <w:t>g</w:t>
      </w:r>
      <w:r w:rsidR="006452E3" w:rsidRPr="005B5663">
        <w:rPr>
          <w:rFonts w:ascii="Arial" w:hAnsi="Arial" w:cs="Arial"/>
        </w:rPr>
        <w:t>li istituti scolastici comunali</w:t>
      </w:r>
      <w:r w:rsidR="00C5249A" w:rsidRPr="005B5663">
        <w:rPr>
          <w:rFonts w:ascii="Arial" w:hAnsi="Arial" w:cs="Arial"/>
        </w:rPr>
        <w:t xml:space="preserve"> dispongono di una o un docente specialista nelle tre materie. </w:t>
      </w:r>
      <w:r w:rsidR="000825D1" w:rsidRPr="005B5663">
        <w:rPr>
          <w:rFonts w:ascii="Arial" w:hAnsi="Arial" w:cs="Arial"/>
        </w:rPr>
        <w:t>La modifica di legge proposta consolida questa prassi, rafforza la coerenza pedagogica e tutela la professionalità di figure formate in modo specifico per queste discipline.</w:t>
      </w:r>
    </w:p>
    <w:p w:rsidR="00D4529A" w:rsidRPr="005B5663" w:rsidRDefault="00D4529A" w:rsidP="000825D1">
      <w:pPr>
        <w:pStyle w:val="NormaleWeb"/>
        <w:spacing w:line="259" w:lineRule="auto"/>
        <w:rPr>
          <w:rFonts w:ascii="Arial" w:hAnsi="Arial" w:cs="Arial"/>
        </w:rPr>
      </w:pPr>
    </w:p>
    <w:p w:rsidR="000825D1" w:rsidRDefault="000825D1" w:rsidP="000825D1">
      <w:pPr>
        <w:pStyle w:val="NormaleWeb"/>
        <w:spacing w:line="259" w:lineRule="auto"/>
        <w:rPr>
          <w:rFonts w:ascii="Arial" w:hAnsi="Arial" w:cs="Arial"/>
        </w:rPr>
      </w:pPr>
      <w:r w:rsidRPr="005B5663">
        <w:rPr>
          <w:rFonts w:ascii="Arial" w:hAnsi="Arial" w:cs="Arial"/>
        </w:rPr>
        <w:t>La Commissione richiama inoltre l’esperienza maturata nel processo di consultazione del 2023 sulla Legge unica della scuola dell’obbligo: il principio dell’obbligatorietà degli specialisti ha raccolto un consenso molto ampio, mentre le riserve si sono concentrate soprattutto sulla necessità di non introdurre rigidità incompatibili con la gestione quotidiana delle sedi.</w:t>
      </w:r>
    </w:p>
    <w:p w:rsidR="00D4529A" w:rsidRPr="005B5663" w:rsidRDefault="00D4529A" w:rsidP="000825D1">
      <w:pPr>
        <w:pStyle w:val="NormaleWeb"/>
        <w:spacing w:line="259" w:lineRule="auto"/>
        <w:rPr>
          <w:rFonts w:ascii="Arial" w:hAnsi="Arial" w:cs="Arial"/>
        </w:rPr>
      </w:pPr>
    </w:p>
    <w:p w:rsidR="009550D2" w:rsidRDefault="000825D1" w:rsidP="009550D2">
      <w:pPr>
        <w:pStyle w:val="Default"/>
        <w:jc w:val="both"/>
        <w:rPr>
          <w:color w:val="auto"/>
        </w:rPr>
      </w:pPr>
      <w:r w:rsidRPr="005B5663">
        <w:rPr>
          <w:color w:val="auto"/>
        </w:rPr>
        <w:t xml:space="preserve">Dal profilo finanziario, </w:t>
      </w:r>
      <w:r w:rsidR="006452E3" w:rsidRPr="005B5663">
        <w:rPr>
          <w:color w:val="auto"/>
        </w:rPr>
        <w:t>il quadro rimane invariato</w:t>
      </w:r>
      <w:r w:rsidRPr="005B5663">
        <w:rPr>
          <w:color w:val="auto"/>
        </w:rPr>
        <w:t xml:space="preserve">: poiché i docenti specialisti di EM ed EF sono già ampiamente presenti e i relativi costi sono inclusi nella massa salariale che funge da base di calcolo del contributo cantonale, </w:t>
      </w:r>
      <w:r w:rsidR="006452E3" w:rsidRPr="005B5663">
        <w:rPr>
          <w:color w:val="auto"/>
        </w:rPr>
        <w:t xml:space="preserve">per i Comuni non sono previsti cambiamenti e </w:t>
      </w:r>
      <w:r w:rsidRPr="005B5663">
        <w:rPr>
          <w:color w:val="auto"/>
        </w:rPr>
        <w:t>l’adozione della modifica non comporta variazioni di rilievo rispetto alla situazione attuale. A titolo indicativo, nel Preventivo 2025 la quota di contributo cantonale generata da EM ed EF amm</w:t>
      </w:r>
      <w:r w:rsidR="003405FE">
        <w:rPr>
          <w:color w:val="auto"/>
        </w:rPr>
        <w:t>ontava a 4.</w:t>
      </w:r>
      <w:r w:rsidR="00C5249A" w:rsidRPr="005B5663">
        <w:rPr>
          <w:color w:val="auto"/>
        </w:rPr>
        <w:t xml:space="preserve">8 milioni di franchi, cifra che corrispondeva </w:t>
      </w:r>
      <w:r w:rsidR="003405FE">
        <w:rPr>
          <w:color w:val="auto"/>
        </w:rPr>
        <w:t>alla metà del costo totale di 9.</w:t>
      </w:r>
      <w:r w:rsidR="00C5249A" w:rsidRPr="005B5663">
        <w:rPr>
          <w:color w:val="auto"/>
        </w:rPr>
        <w:t xml:space="preserve">6 milioni di </w:t>
      </w:r>
      <w:r w:rsidR="009550D2" w:rsidRPr="005B5663">
        <w:rPr>
          <w:color w:val="auto"/>
        </w:rPr>
        <w:t>franchi</w:t>
      </w:r>
      <w:r w:rsidR="00C5249A" w:rsidRPr="005B5663">
        <w:rPr>
          <w:color w:val="auto"/>
        </w:rPr>
        <w:t xml:space="preserve"> </w:t>
      </w:r>
      <w:r w:rsidR="009550D2" w:rsidRPr="005B5663">
        <w:rPr>
          <w:color w:val="auto"/>
        </w:rPr>
        <w:t xml:space="preserve">- </w:t>
      </w:r>
      <w:r w:rsidR="00C5249A" w:rsidRPr="005B5663">
        <w:rPr>
          <w:color w:val="auto"/>
        </w:rPr>
        <w:t>equivalente all’importo complessivo della spesa</w:t>
      </w:r>
      <w:r w:rsidR="006452E3" w:rsidRPr="005B5663">
        <w:rPr>
          <w:color w:val="auto"/>
        </w:rPr>
        <w:t xml:space="preserve"> finanziata da Cantone e Comuni </w:t>
      </w:r>
      <w:r w:rsidR="009550D2" w:rsidRPr="005B5663">
        <w:rPr>
          <w:color w:val="auto"/>
        </w:rPr>
        <w:t xml:space="preserve">- </w:t>
      </w:r>
      <w:r w:rsidR="006452E3" w:rsidRPr="005B5663">
        <w:rPr>
          <w:color w:val="auto"/>
        </w:rPr>
        <w:t>e che</w:t>
      </w:r>
      <w:r w:rsidR="00C5249A" w:rsidRPr="005B5663">
        <w:rPr>
          <w:color w:val="auto"/>
        </w:rPr>
        <w:t xml:space="preserve"> </w:t>
      </w:r>
      <w:r w:rsidR="006452E3" w:rsidRPr="005B5663">
        <w:rPr>
          <w:color w:val="auto"/>
        </w:rPr>
        <w:t>rimane comunque</w:t>
      </w:r>
      <w:r w:rsidR="00C5249A" w:rsidRPr="005B5663">
        <w:rPr>
          <w:color w:val="auto"/>
        </w:rPr>
        <w:t xml:space="preserve"> indicativa</w:t>
      </w:r>
      <w:r w:rsidR="006452E3" w:rsidRPr="005B5663">
        <w:rPr>
          <w:color w:val="auto"/>
        </w:rPr>
        <w:t>,</w:t>
      </w:r>
      <w:r w:rsidR="00C5249A" w:rsidRPr="005B5663">
        <w:rPr>
          <w:color w:val="auto"/>
        </w:rPr>
        <w:t xml:space="preserve"> tenuto conto di come l’assunzione dei costi da parte dei Comuni è in funzione della propria forza finanziaria.</w:t>
      </w:r>
      <w:r w:rsidR="009550D2" w:rsidRPr="005B5663">
        <w:rPr>
          <w:color w:val="auto"/>
        </w:rPr>
        <w:t xml:space="preserve"> </w:t>
      </w:r>
      <w:r w:rsidR="006452E3" w:rsidRPr="005B5663">
        <w:rPr>
          <w:color w:val="auto"/>
        </w:rPr>
        <w:t xml:space="preserve">Il Parlamento ha deciso quindi di mantenere il finanziamento cantonale a loro favore, assicurando continuità e stabilità al sistema. </w:t>
      </w:r>
    </w:p>
    <w:p w:rsidR="006452E3" w:rsidRPr="005B5663" w:rsidRDefault="006452E3" w:rsidP="009550D2">
      <w:pPr>
        <w:pStyle w:val="Default"/>
        <w:jc w:val="both"/>
        <w:rPr>
          <w:color w:val="auto"/>
        </w:rPr>
      </w:pPr>
      <w:r w:rsidRPr="005B5663">
        <w:rPr>
          <w:color w:val="auto"/>
        </w:rPr>
        <w:lastRenderedPageBreak/>
        <w:t>L’adeguamento formalizzerebbe una situazione che il territorio ha già costruito e consolidato in modo soddisfacente per tutte le parti coinvolte.</w:t>
      </w:r>
    </w:p>
    <w:p w:rsidR="00D4529A" w:rsidRDefault="00D4529A" w:rsidP="002C381B">
      <w:pPr>
        <w:pStyle w:val="Default"/>
        <w:spacing w:after="120"/>
        <w:rPr>
          <w:rFonts w:eastAsia="Times New Roman"/>
          <w:color w:val="auto"/>
          <w:bdr w:val="none" w:sz="0" w:space="0" w:color="auto"/>
          <w:lang w:val="it-CH" w:bidi="ar-SA"/>
        </w:rPr>
      </w:pPr>
    </w:p>
    <w:p w:rsidR="002C381B" w:rsidRPr="00D4529A" w:rsidRDefault="00D4529A" w:rsidP="00D4529A">
      <w:pPr>
        <w:pStyle w:val="Titolo2"/>
        <w:numPr>
          <w:ilvl w:val="0"/>
          <w:numId w:val="0"/>
        </w:numPr>
        <w:tabs>
          <w:tab w:val="left" w:pos="567"/>
        </w:tabs>
        <w:spacing w:before="0" w:after="120"/>
        <w:jc w:val="both"/>
        <w:rPr>
          <w:rFonts w:eastAsia="Calibri" w:cs="Times New Roman"/>
          <w:sz w:val="24"/>
          <w:lang w:val="it-IT" w:eastAsia="it-IT"/>
        </w:rPr>
      </w:pPr>
      <w:r w:rsidRPr="00D4529A">
        <w:rPr>
          <w:rFonts w:eastAsia="Calibri" w:cs="Times New Roman"/>
          <w:sz w:val="24"/>
          <w:lang w:val="it-IT" w:eastAsia="it-IT"/>
        </w:rPr>
        <w:t>2.3</w:t>
      </w:r>
      <w:r w:rsidR="00B06D15" w:rsidRPr="00D4529A">
        <w:rPr>
          <w:rFonts w:eastAsia="Calibri" w:cs="Times New Roman"/>
          <w:sz w:val="24"/>
          <w:lang w:val="it-IT" w:eastAsia="it-IT"/>
        </w:rPr>
        <w:tab/>
      </w:r>
      <w:r w:rsidR="002C381B" w:rsidRPr="00D4529A">
        <w:rPr>
          <w:rFonts w:eastAsia="Calibri" w:cs="Times New Roman"/>
          <w:sz w:val="24"/>
          <w:lang w:val="it-IT" w:eastAsia="it-IT"/>
        </w:rPr>
        <w:t>L’istituto delle deroghe</w:t>
      </w:r>
    </w:p>
    <w:p w:rsidR="000825D1" w:rsidRDefault="000825D1" w:rsidP="000825D1">
      <w:pPr>
        <w:pStyle w:val="NormaleWeb"/>
        <w:spacing w:line="259" w:lineRule="auto"/>
        <w:rPr>
          <w:rFonts w:ascii="Arial" w:hAnsi="Arial" w:cs="Arial"/>
        </w:rPr>
      </w:pPr>
      <w:r w:rsidRPr="00860671">
        <w:rPr>
          <w:rFonts w:ascii="Arial" w:hAnsi="Arial" w:cs="Arial"/>
        </w:rPr>
        <w:t>La Commissione condivide l’approccio del Consiglio di Stato che, per evitare una rigidità eccessiva, propone di inserire nel testo di legge la possibilità di eccezioni autorizzate dall’ispettorato.</w:t>
      </w:r>
    </w:p>
    <w:p w:rsidR="00D4529A" w:rsidRPr="00860671" w:rsidRDefault="00D4529A" w:rsidP="000825D1">
      <w:pPr>
        <w:pStyle w:val="NormaleWeb"/>
        <w:spacing w:line="259" w:lineRule="auto"/>
        <w:rPr>
          <w:rFonts w:ascii="Arial" w:hAnsi="Arial" w:cs="Arial"/>
        </w:rPr>
      </w:pPr>
    </w:p>
    <w:p w:rsidR="000825D1" w:rsidRDefault="000825D1" w:rsidP="000825D1">
      <w:pPr>
        <w:pStyle w:val="NormaleWeb"/>
        <w:spacing w:line="259" w:lineRule="auto"/>
        <w:rPr>
          <w:rFonts w:ascii="Arial" w:hAnsi="Arial" w:cs="Arial"/>
        </w:rPr>
      </w:pPr>
      <w:r w:rsidRPr="00860671">
        <w:rPr>
          <w:rFonts w:ascii="Arial" w:hAnsi="Arial" w:cs="Arial"/>
        </w:rPr>
        <w:t xml:space="preserve">L’istituto delle deroghe è importante, poiché il Ticino presenta differenze socio-geografiche non indifferenti: sedi di piccole </w:t>
      </w:r>
      <w:r>
        <w:rPr>
          <w:rFonts w:ascii="Arial" w:hAnsi="Arial" w:cs="Arial"/>
        </w:rPr>
        <w:t xml:space="preserve">e di grandi </w:t>
      </w:r>
      <w:r w:rsidRPr="00860671">
        <w:rPr>
          <w:rFonts w:ascii="Arial" w:hAnsi="Arial" w:cs="Arial"/>
        </w:rPr>
        <w:t xml:space="preserve">dimensioni, contesti </w:t>
      </w:r>
      <w:r>
        <w:rPr>
          <w:rFonts w:ascii="Arial" w:hAnsi="Arial" w:cs="Arial"/>
        </w:rPr>
        <w:t xml:space="preserve">urbani, </w:t>
      </w:r>
      <w:r w:rsidRPr="00860671">
        <w:rPr>
          <w:rFonts w:ascii="Arial" w:hAnsi="Arial" w:cs="Arial"/>
        </w:rPr>
        <w:t>periferici o discosti, consorzi scolastici, mobilità del personale e necessità di supplenze</w:t>
      </w:r>
      <w:r>
        <w:rPr>
          <w:rFonts w:ascii="Arial" w:hAnsi="Arial" w:cs="Arial"/>
        </w:rPr>
        <w:t xml:space="preserve"> e via discorrendo</w:t>
      </w:r>
      <w:r w:rsidRPr="00860671">
        <w:rPr>
          <w:rFonts w:ascii="Arial" w:hAnsi="Arial" w:cs="Arial"/>
        </w:rPr>
        <w:t xml:space="preserve">. In tali casi, disporre di un margine d’azione – </w:t>
      </w:r>
      <w:r>
        <w:rPr>
          <w:rFonts w:ascii="Arial" w:hAnsi="Arial" w:cs="Arial"/>
        </w:rPr>
        <w:t>chiaro e prevedibile</w:t>
      </w:r>
      <w:r w:rsidRPr="00860671">
        <w:rPr>
          <w:rFonts w:ascii="Arial" w:hAnsi="Arial" w:cs="Arial"/>
        </w:rPr>
        <w:t xml:space="preserve"> – permette di garantire </w:t>
      </w:r>
      <w:r>
        <w:rPr>
          <w:rFonts w:ascii="Arial" w:hAnsi="Arial" w:cs="Arial"/>
        </w:rPr>
        <w:t xml:space="preserve">la quotidianità </w:t>
      </w:r>
      <w:r w:rsidRPr="00860671">
        <w:rPr>
          <w:rFonts w:ascii="Arial" w:hAnsi="Arial" w:cs="Arial"/>
        </w:rPr>
        <w:t xml:space="preserve">senza compromettere l’obiettivo di fondo della </w:t>
      </w:r>
      <w:r>
        <w:rPr>
          <w:rFonts w:ascii="Arial" w:hAnsi="Arial" w:cs="Arial"/>
        </w:rPr>
        <w:t>modifica di legge</w:t>
      </w:r>
      <w:r w:rsidRPr="00860671">
        <w:rPr>
          <w:rFonts w:ascii="Arial" w:hAnsi="Arial" w:cs="Arial"/>
        </w:rPr>
        <w:t>.</w:t>
      </w:r>
    </w:p>
    <w:p w:rsidR="00D4529A" w:rsidRPr="00860671" w:rsidRDefault="00D4529A" w:rsidP="000825D1">
      <w:pPr>
        <w:pStyle w:val="NormaleWeb"/>
        <w:spacing w:line="259" w:lineRule="auto"/>
        <w:rPr>
          <w:rFonts w:ascii="Arial" w:hAnsi="Arial" w:cs="Arial"/>
        </w:rPr>
      </w:pPr>
    </w:p>
    <w:p w:rsidR="00D4529A" w:rsidRPr="00860671" w:rsidRDefault="000825D1" w:rsidP="000825D1">
      <w:pPr>
        <w:pStyle w:val="NormaleWeb"/>
        <w:spacing w:line="259" w:lineRule="auto"/>
        <w:rPr>
          <w:rFonts w:ascii="Arial" w:hAnsi="Arial" w:cs="Arial"/>
        </w:rPr>
      </w:pPr>
      <w:r>
        <w:rPr>
          <w:rFonts w:ascii="Arial" w:hAnsi="Arial" w:cs="Arial"/>
        </w:rPr>
        <w:t>Condividiamo che l</w:t>
      </w:r>
      <w:r w:rsidRPr="00860671">
        <w:rPr>
          <w:rFonts w:ascii="Arial" w:hAnsi="Arial" w:cs="Arial"/>
        </w:rPr>
        <w:t>a deroga non de</w:t>
      </w:r>
      <w:r>
        <w:rPr>
          <w:rFonts w:ascii="Arial" w:hAnsi="Arial" w:cs="Arial"/>
        </w:rPr>
        <w:t>bba</w:t>
      </w:r>
      <w:r w:rsidRPr="00860671">
        <w:rPr>
          <w:rFonts w:ascii="Arial" w:hAnsi="Arial" w:cs="Arial"/>
        </w:rPr>
        <w:t xml:space="preserve"> diventare la regola: deve essere temporanea, motivata e accompagnata da un piano di rientro verso l’assetto ordinario, così da non creare nuove disparità tra Comuni.</w:t>
      </w:r>
    </w:p>
    <w:p w:rsidR="000825D1" w:rsidRPr="00D4529A" w:rsidRDefault="000825D1" w:rsidP="00D4529A">
      <w:pPr>
        <w:pStyle w:val="Titolo3"/>
        <w:numPr>
          <w:ilvl w:val="0"/>
          <w:numId w:val="27"/>
        </w:numPr>
        <w:tabs>
          <w:tab w:val="left" w:pos="284"/>
          <w:tab w:val="left" w:pos="709"/>
        </w:tabs>
        <w:spacing w:after="120"/>
        <w:ind w:left="0" w:firstLine="0"/>
        <w:jc w:val="both"/>
        <w:rPr>
          <w:rFonts w:eastAsia="Calibri" w:cs="Times New Roman"/>
          <w:i/>
          <w:sz w:val="23"/>
          <w:szCs w:val="23"/>
          <w:lang w:val="it-IT" w:eastAsia="it-IT"/>
        </w:rPr>
      </w:pPr>
      <w:r w:rsidRPr="00D4529A">
        <w:rPr>
          <w:rFonts w:eastAsia="Calibri" w:cs="Times New Roman"/>
          <w:i/>
          <w:sz w:val="23"/>
          <w:szCs w:val="23"/>
          <w:lang w:val="it-IT" w:eastAsia="it-IT"/>
        </w:rPr>
        <w:t>Coinvolgimento del territorio e modalità applicative</w:t>
      </w:r>
    </w:p>
    <w:p w:rsidR="000825D1" w:rsidRPr="00860671" w:rsidRDefault="000825D1" w:rsidP="000825D1">
      <w:pPr>
        <w:pStyle w:val="NormaleWeb"/>
        <w:spacing w:line="259" w:lineRule="auto"/>
        <w:rPr>
          <w:rFonts w:ascii="Arial" w:hAnsi="Arial" w:cs="Arial"/>
        </w:rPr>
      </w:pPr>
      <w:r w:rsidRPr="00860671">
        <w:rPr>
          <w:rFonts w:ascii="Arial" w:hAnsi="Arial" w:cs="Arial"/>
        </w:rPr>
        <w:t xml:space="preserve">Sulle modalità applicative e sui criteri che definiscono i “casi particolari”, è decisivo che il territorio sia </w:t>
      </w:r>
      <w:r w:rsidRPr="00860671">
        <w:rPr>
          <w:rFonts w:ascii="Arial" w:hAnsi="Arial" w:cs="Arial"/>
          <w:i/>
          <w:iCs/>
        </w:rPr>
        <w:t>davvero</w:t>
      </w:r>
      <w:r w:rsidRPr="00860671">
        <w:rPr>
          <w:rFonts w:ascii="Arial" w:hAnsi="Arial" w:cs="Arial"/>
        </w:rPr>
        <w:t xml:space="preserve"> coinvolto</w:t>
      </w:r>
      <w:r>
        <w:rPr>
          <w:rFonts w:ascii="Arial" w:hAnsi="Arial" w:cs="Arial"/>
        </w:rPr>
        <w:t xml:space="preserve"> (così come per altri temi)</w:t>
      </w:r>
      <w:r w:rsidRPr="00860671">
        <w:rPr>
          <w:rFonts w:ascii="Arial" w:hAnsi="Arial" w:cs="Arial"/>
        </w:rPr>
        <w:t>. La Commissione sostiene quindi l’intenzione espressa nel Messaggio di elaborare criteri condivisi con gli attori scolastici e con le autorità di nomina.</w:t>
      </w:r>
    </w:p>
    <w:p w:rsidR="000825D1" w:rsidRPr="00860671" w:rsidRDefault="000825D1" w:rsidP="000825D1">
      <w:pPr>
        <w:pStyle w:val="NormaleWeb"/>
        <w:spacing w:after="120" w:line="259" w:lineRule="auto"/>
        <w:rPr>
          <w:rFonts w:ascii="Arial" w:hAnsi="Arial" w:cs="Arial"/>
        </w:rPr>
      </w:pPr>
      <w:r w:rsidRPr="00860671">
        <w:rPr>
          <w:rFonts w:ascii="Arial" w:hAnsi="Arial" w:cs="Arial"/>
        </w:rPr>
        <w:t>In particolare, riteniamo opportuno che la definizione dei criteri e della procedura operativa avvenga con un coinvolgimento strutturato di:</w:t>
      </w:r>
    </w:p>
    <w:p w:rsidR="000825D1" w:rsidRPr="00860671" w:rsidRDefault="000825D1" w:rsidP="00D4529A">
      <w:pPr>
        <w:pStyle w:val="NormaleWeb"/>
        <w:numPr>
          <w:ilvl w:val="0"/>
          <w:numId w:val="29"/>
        </w:numPr>
        <w:spacing w:before="120"/>
        <w:ind w:left="284" w:hanging="284"/>
        <w:rPr>
          <w:rFonts w:ascii="Arial" w:hAnsi="Arial" w:cs="Arial"/>
        </w:rPr>
      </w:pPr>
      <w:r w:rsidRPr="00860671">
        <w:rPr>
          <w:rFonts w:ascii="Arial" w:hAnsi="Arial" w:cs="Arial"/>
        </w:rPr>
        <w:t>la Sezione delle scuole comunali e il Collegio delle ispettrici e degli ispettori;</w:t>
      </w:r>
    </w:p>
    <w:p w:rsidR="000825D1" w:rsidRPr="00860671" w:rsidRDefault="000825D1" w:rsidP="00D4529A">
      <w:pPr>
        <w:pStyle w:val="NormaleWeb"/>
        <w:numPr>
          <w:ilvl w:val="0"/>
          <w:numId w:val="29"/>
        </w:numPr>
        <w:spacing w:before="120"/>
        <w:ind w:left="284" w:hanging="284"/>
        <w:rPr>
          <w:rFonts w:ascii="Arial" w:hAnsi="Arial" w:cs="Arial"/>
        </w:rPr>
      </w:pPr>
      <w:r w:rsidRPr="00860671">
        <w:rPr>
          <w:rFonts w:ascii="Arial" w:hAnsi="Arial" w:cs="Arial"/>
        </w:rPr>
        <w:t>la Conferenza dei direttori delle scuole comunali e le direzioni di istituto;</w:t>
      </w:r>
    </w:p>
    <w:p w:rsidR="000825D1" w:rsidRPr="00860671" w:rsidRDefault="000825D1" w:rsidP="00D4529A">
      <w:pPr>
        <w:pStyle w:val="NormaleWeb"/>
        <w:numPr>
          <w:ilvl w:val="0"/>
          <w:numId w:val="29"/>
        </w:numPr>
        <w:spacing w:before="120"/>
        <w:ind w:left="284" w:hanging="284"/>
        <w:rPr>
          <w:rFonts w:ascii="Arial" w:hAnsi="Arial" w:cs="Arial"/>
        </w:rPr>
      </w:pPr>
      <w:r w:rsidRPr="00860671">
        <w:rPr>
          <w:rFonts w:ascii="Arial" w:hAnsi="Arial" w:cs="Arial"/>
        </w:rPr>
        <w:t>le docenti e i docenti (attraverso le rispettive rappresentanze);</w:t>
      </w:r>
    </w:p>
    <w:p w:rsidR="000825D1" w:rsidRDefault="000825D1" w:rsidP="00D4529A">
      <w:pPr>
        <w:pStyle w:val="NormaleWeb"/>
        <w:numPr>
          <w:ilvl w:val="0"/>
          <w:numId w:val="29"/>
        </w:numPr>
        <w:spacing w:before="120"/>
        <w:ind w:left="284" w:hanging="284"/>
        <w:rPr>
          <w:rFonts w:ascii="Arial" w:hAnsi="Arial" w:cs="Arial"/>
        </w:rPr>
      </w:pPr>
      <w:r w:rsidRPr="00860671">
        <w:rPr>
          <w:rFonts w:ascii="Arial" w:hAnsi="Arial" w:cs="Arial"/>
        </w:rPr>
        <w:t>i Comuni e le Delegazioni consortili, chiamati a garantire l’organizzazione e la sostenibilità.</w:t>
      </w:r>
    </w:p>
    <w:p w:rsidR="000825D1" w:rsidRPr="00860671" w:rsidRDefault="000825D1" w:rsidP="000825D1">
      <w:pPr>
        <w:pStyle w:val="NormaleWeb"/>
        <w:spacing w:line="259" w:lineRule="auto"/>
        <w:rPr>
          <w:rFonts w:ascii="Arial" w:hAnsi="Arial" w:cs="Arial"/>
        </w:rPr>
      </w:pPr>
    </w:p>
    <w:p w:rsidR="00B06D15" w:rsidRPr="008012D5" w:rsidRDefault="000825D1" w:rsidP="000825D1">
      <w:pPr>
        <w:pStyle w:val="Default"/>
        <w:jc w:val="both"/>
        <w:rPr>
          <w:b/>
        </w:rPr>
      </w:pPr>
      <w:r w:rsidRPr="00860671">
        <w:t>Un simile coinvolgimento consente di costruire regole chiare ma praticabili, riducendo tempi e incertezze, e assicurando che le eventuali eccezioni rispondano a bisogni reali e verificabili.</w:t>
      </w:r>
    </w:p>
    <w:p w:rsidR="009453C1" w:rsidRPr="001B2EE3" w:rsidRDefault="009453C1" w:rsidP="009453C1">
      <w:pPr>
        <w:pStyle w:val="StandardRisoluzionedelConsigliodiStato"/>
        <w:ind w:right="-1"/>
        <w:rPr>
          <w:lang w:val="it-IT"/>
        </w:rPr>
      </w:pPr>
    </w:p>
    <w:p w:rsidR="00D4529A" w:rsidRDefault="00D4529A">
      <w:pPr>
        <w:rPr>
          <w:b/>
          <w:sz w:val="24"/>
          <w:lang w:val="it-IT"/>
        </w:rPr>
      </w:pPr>
      <w:r>
        <w:rPr>
          <w:b/>
          <w:lang w:val="it-IT"/>
        </w:rPr>
        <w:br w:type="page"/>
      </w:r>
    </w:p>
    <w:p w:rsidR="009453C1" w:rsidRPr="00B546C5" w:rsidRDefault="009453C1" w:rsidP="009453C1">
      <w:pPr>
        <w:pStyle w:val="StandardRisoluzionedelConsigliodiStato"/>
        <w:spacing w:after="120"/>
        <w:ind w:left="567" w:right="-1" w:hanging="567"/>
        <w:rPr>
          <w:b/>
          <w:lang w:val="it-IT"/>
        </w:rPr>
      </w:pPr>
      <w:r>
        <w:rPr>
          <w:b/>
          <w:lang w:val="it-IT"/>
        </w:rPr>
        <w:lastRenderedPageBreak/>
        <w:t>3.</w:t>
      </w:r>
      <w:r>
        <w:rPr>
          <w:b/>
          <w:lang w:val="it-IT"/>
        </w:rPr>
        <w:tab/>
      </w:r>
      <w:r w:rsidRPr="00352BA1">
        <w:rPr>
          <w:b/>
          <w:lang w:val="it-IT"/>
        </w:rPr>
        <w:t>CONCLUSION</w:t>
      </w:r>
      <w:r>
        <w:rPr>
          <w:b/>
          <w:lang w:val="it-IT"/>
        </w:rPr>
        <w:t>I</w:t>
      </w:r>
    </w:p>
    <w:p w:rsidR="002C381B" w:rsidRPr="002C381B" w:rsidRDefault="002C381B" w:rsidP="002C381B">
      <w:pPr>
        <w:spacing w:line="259" w:lineRule="auto"/>
        <w:rPr>
          <w:rFonts w:eastAsia="Times New Roman" w:cs="Arial"/>
          <w:sz w:val="24"/>
          <w:szCs w:val="24"/>
          <w:lang w:eastAsia="it-IT"/>
        </w:rPr>
      </w:pPr>
      <w:r w:rsidRPr="002C381B">
        <w:rPr>
          <w:rFonts w:eastAsia="Times New Roman" w:cs="Arial"/>
          <w:sz w:val="24"/>
          <w:szCs w:val="24"/>
          <w:lang w:eastAsia="it-IT"/>
        </w:rPr>
        <w:t xml:space="preserve">Alla luce delle pratiche già consolidate nelle scuole comunali, del largo consenso emerso negli ultimi anni sul ruolo dei docenti specialisti e delle considerazioni svolte dal Consiglio di Stato, la Commissione ritiene fondata e opportuna la modifica dell’art. 32 </w:t>
      </w:r>
      <w:proofErr w:type="spellStart"/>
      <w:r w:rsidRPr="002C381B">
        <w:rPr>
          <w:rFonts w:eastAsia="Times New Roman" w:cs="Arial"/>
          <w:sz w:val="24"/>
          <w:szCs w:val="24"/>
          <w:lang w:eastAsia="it-IT"/>
        </w:rPr>
        <w:t>LSise</w:t>
      </w:r>
      <w:proofErr w:type="spellEnd"/>
      <w:r w:rsidRPr="002C381B">
        <w:rPr>
          <w:rFonts w:eastAsia="Times New Roman" w:cs="Arial"/>
          <w:sz w:val="24"/>
          <w:szCs w:val="24"/>
          <w:lang w:eastAsia="it-IT"/>
        </w:rPr>
        <w:t>.</w:t>
      </w:r>
    </w:p>
    <w:p w:rsidR="002C381B" w:rsidRPr="002C381B" w:rsidRDefault="002C381B" w:rsidP="002C381B">
      <w:pPr>
        <w:spacing w:line="259" w:lineRule="auto"/>
        <w:rPr>
          <w:rFonts w:eastAsia="Times New Roman" w:cs="Arial"/>
          <w:sz w:val="24"/>
          <w:szCs w:val="24"/>
          <w:lang w:eastAsia="it-IT"/>
        </w:rPr>
      </w:pPr>
    </w:p>
    <w:p w:rsidR="002C381B" w:rsidRPr="002C381B" w:rsidRDefault="002C381B" w:rsidP="002C381B">
      <w:pPr>
        <w:spacing w:line="259" w:lineRule="auto"/>
        <w:rPr>
          <w:rFonts w:eastAsia="Times New Roman" w:cs="Arial"/>
          <w:sz w:val="24"/>
          <w:szCs w:val="24"/>
          <w:lang w:eastAsia="it-IT"/>
        </w:rPr>
      </w:pPr>
      <w:r w:rsidRPr="002C381B">
        <w:rPr>
          <w:rFonts w:eastAsia="Times New Roman" w:cs="Arial"/>
          <w:sz w:val="24"/>
          <w:szCs w:val="24"/>
          <w:lang w:eastAsia="it-IT"/>
        </w:rPr>
        <w:t xml:space="preserve">La Commissione </w:t>
      </w:r>
      <w:r w:rsidR="0068610D">
        <w:rPr>
          <w:rFonts w:eastAsia="Times New Roman" w:cs="Arial"/>
          <w:sz w:val="24"/>
          <w:szCs w:val="24"/>
          <w:lang w:eastAsia="it-IT"/>
        </w:rPr>
        <w:t xml:space="preserve">formazione e cultura </w:t>
      </w:r>
      <w:r w:rsidRPr="002C381B">
        <w:rPr>
          <w:rFonts w:eastAsia="Times New Roman" w:cs="Arial"/>
          <w:sz w:val="24"/>
          <w:szCs w:val="24"/>
          <w:lang w:eastAsia="it-IT"/>
        </w:rPr>
        <w:t>invita pertanto il Gran Consiglio ad approvare l’iniziativa parlamentare e il disegno di legge proposto dal Consiglio di Stato</w:t>
      </w:r>
      <w:r w:rsidR="0068610D">
        <w:rPr>
          <w:rFonts w:eastAsia="Times New Roman" w:cs="Arial"/>
          <w:sz w:val="24"/>
          <w:szCs w:val="24"/>
          <w:lang w:eastAsia="it-IT"/>
        </w:rPr>
        <w:t xml:space="preserve"> e allegato al messaggio governativo</w:t>
      </w:r>
      <w:r w:rsidRPr="002C381B">
        <w:rPr>
          <w:rFonts w:eastAsia="Times New Roman" w:cs="Arial"/>
          <w:sz w:val="24"/>
          <w:szCs w:val="24"/>
          <w:lang w:eastAsia="it-IT"/>
        </w:rPr>
        <w:t>, che prevede l’insegnamento di arti plastiche, educazione musicale ed educazione fisica da parte di docenti con preparazione specifica, salvo eccezioni autorizzate dall’ispettorato, secondo criteri definiti in modo condiviso con il territorio.</w:t>
      </w:r>
    </w:p>
    <w:p w:rsidR="002C381B" w:rsidRPr="002C381B" w:rsidRDefault="002C381B" w:rsidP="002C381B">
      <w:pPr>
        <w:spacing w:line="259" w:lineRule="auto"/>
        <w:rPr>
          <w:rFonts w:eastAsia="Times New Roman" w:cs="Arial"/>
          <w:sz w:val="24"/>
          <w:szCs w:val="24"/>
          <w:lang w:eastAsia="it-IT"/>
        </w:rPr>
      </w:pPr>
    </w:p>
    <w:p w:rsidR="00B06D15" w:rsidRPr="00B06D15" w:rsidRDefault="002C381B" w:rsidP="002C381B">
      <w:pPr>
        <w:spacing w:line="259" w:lineRule="auto"/>
        <w:rPr>
          <w:rFonts w:eastAsia="Times New Roman" w:cs="Arial"/>
          <w:sz w:val="24"/>
          <w:szCs w:val="24"/>
          <w:lang w:eastAsia="it-IT"/>
        </w:rPr>
      </w:pPr>
      <w:r w:rsidRPr="002C381B">
        <w:rPr>
          <w:rFonts w:eastAsia="Times New Roman" w:cs="Arial"/>
          <w:sz w:val="24"/>
          <w:szCs w:val="24"/>
          <w:lang w:eastAsia="it-IT"/>
        </w:rPr>
        <w:t>Con questa scelta si rafforza la qualità dell’offerta formativa e si tutela l’equità tra allieve e allievi, senza ignorare le necessità di gestione concreta che derivano dalle differenze tra sedi e Comuni.</w:t>
      </w:r>
    </w:p>
    <w:p w:rsidR="00B06D15" w:rsidRPr="00B06D15" w:rsidRDefault="00B06D15" w:rsidP="00B06D15">
      <w:pPr>
        <w:spacing w:line="259" w:lineRule="auto"/>
        <w:jc w:val="left"/>
        <w:rPr>
          <w:rFonts w:eastAsia="Aptos" w:cs="Arial"/>
          <w:b/>
          <w:bCs/>
          <w:kern w:val="2"/>
          <w:sz w:val="28"/>
          <w:szCs w:val="28"/>
          <w14:ligatures w14:val="standardContextual"/>
        </w:rPr>
      </w:pPr>
    </w:p>
    <w:p w:rsidR="00B06D15" w:rsidRPr="00B06D15" w:rsidRDefault="00B06D15" w:rsidP="00B06D15">
      <w:pPr>
        <w:spacing w:line="259" w:lineRule="auto"/>
        <w:jc w:val="left"/>
        <w:rPr>
          <w:rFonts w:eastAsia="Aptos" w:cs="Arial"/>
          <w:b/>
          <w:bCs/>
          <w:kern w:val="2"/>
          <w:sz w:val="28"/>
          <w:szCs w:val="28"/>
          <w14:ligatures w14:val="standardContextual"/>
        </w:rPr>
      </w:pPr>
    </w:p>
    <w:p w:rsidR="00B06D15" w:rsidRPr="00B06D15" w:rsidRDefault="00B06D15" w:rsidP="00B06D15">
      <w:pPr>
        <w:spacing w:after="120" w:line="259" w:lineRule="auto"/>
        <w:jc w:val="left"/>
        <w:rPr>
          <w:rFonts w:eastAsia="Aptos" w:cs="Arial"/>
          <w:kern w:val="2"/>
          <w:sz w:val="24"/>
          <w:szCs w:val="24"/>
          <w14:ligatures w14:val="standardContextual"/>
        </w:rPr>
      </w:pPr>
      <w:r w:rsidRPr="00B06D15">
        <w:rPr>
          <w:rFonts w:eastAsia="Aptos" w:cs="Arial"/>
          <w:kern w:val="2"/>
          <w:sz w:val="24"/>
          <w:szCs w:val="24"/>
          <w14:ligatures w14:val="standardContextual"/>
        </w:rPr>
        <w:t xml:space="preserve">Per la Commissione formazione e cultura: </w:t>
      </w:r>
    </w:p>
    <w:p w:rsidR="009453C1" w:rsidRDefault="00B06D15" w:rsidP="00B06D15">
      <w:pPr>
        <w:pStyle w:val="StandardRisoluzionedelConsigliodiStato"/>
        <w:ind w:right="-1"/>
        <w:rPr>
          <w:rFonts w:eastAsia="Aptos" w:cs="Arial"/>
          <w:kern w:val="2"/>
          <w:szCs w:val="24"/>
          <w14:ligatures w14:val="standardContextual"/>
        </w:rPr>
      </w:pPr>
      <w:r w:rsidRPr="00B06D15">
        <w:rPr>
          <w:rFonts w:eastAsia="Aptos" w:cs="Arial"/>
          <w:kern w:val="2"/>
          <w:szCs w:val="24"/>
          <w14:ligatures w14:val="standardContextual"/>
        </w:rPr>
        <w:t>Alessandro Speziali, relatore</w:t>
      </w:r>
    </w:p>
    <w:p w:rsidR="00FA3C10" w:rsidRPr="002445DE" w:rsidRDefault="00FA3C10" w:rsidP="00FA3C10">
      <w:pPr>
        <w:pStyle w:val="StandardRisoluzionedelConsigliodiStato"/>
        <w:ind w:right="-1"/>
        <w:rPr>
          <w:lang w:val="it-IT"/>
        </w:rPr>
      </w:pPr>
      <w:r>
        <w:rPr>
          <w:lang w:val="it-IT"/>
        </w:rPr>
        <w:t xml:space="preserve">Ay - </w:t>
      </w:r>
      <w:r w:rsidR="00D4529A">
        <w:rPr>
          <w:lang w:val="it-IT"/>
        </w:rPr>
        <w:t>Caccia - Canetta - Ermotti-Lepori -</w:t>
      </w:r>
      <w:r w:rsidRPr="002445DE">
        <w:rPr>
          <w:lang w:val="it-IT"/>
        </w:rPr>
        <w:t xml:space="preserve"> </w:t>
      </w:r>
    </w:p>
    <w:p w:rsidR="003A7F36" w:rsidRDefault="00D4529A" w:rsidP="00FA3C10">
      <w:pPr>
        <w:pStyle w:val="StandardRisoluzionedelConsigliodiStato"/>
        <w:ind w:right="-1"/>
        <w:rPr>
          <w:lang w:val="it-IT"/>
        </w:rPr>
      </w:pPr>
      <w:r>
        <w:rPr>
          <w:lang w:val="it-IT"/>
        </w:rPr>
        <w:t>Ghisla -</w:t>
      </w:r>
      <w:r w:rsidR="00FA3C10" w:rsidRPr="002445DE">
        <w:rPr>
          <w:lang w:val="it-IT"/>
        </w:rPr>
        <w:t xml:space="preserve"> Giudic</w:t>
      </w:r>
      <w:r>
        <w:rPr>
          <w:lang w:val="it-IT"/>
        </w:rPr>
        <w:t xml:space="preserve">i </w:t>
      </w:r>
      <w:r w:rsidRPr="003A7F36">
        <w:rPr>
          <w:lang w:val="it-IT"/>
        </w:rPr>
        <w:t>-</w:t>
      </w:r>
      <w:r w:rsidR="00FA3C10" w:rsidRPr="003A7F36">
        <w:rPr>
          <w:lang w:val="it-IT"/>
        </w:rPr>
        <w:t xml:space="preserve"> </w:t>
      </w:r>
      <w:r w:rsidR="003A7F36" w:rsidRPr="003A7F36">
        <w:rPr>
          <w:lang w:val="it-IT"/>
        </w:rPr>
        <w:t xml:space="preserve"> </w:t>
      </w:r>
      <w:r w:rsidR="00FA3C10" w:rsidRPr="003A7F36">
        <w:rPr>
          <w:lang w:val="it-IT"/>
        </w:rPr>
        <w:t>Ortelli P. -</w:t>
      </w:r>
      <w:r w:rsidRPr="003A7F36">
        <w:rPr>
          <w:lang w:val="it-IT"/>
        </w:rPr>
        <w:t xml:space="preserve"> Piezzi - Prati </w:t>
      </w:r>
      <w:r w:rsidR="003A7F36" w:rsidRPr="003A7F36">
        <w:rPr>
          <w:lang w:val="it-IT"/>
        </w:rPr>
        <w:t>-</w:t>
      </w:r>
      <w:r w:rsidR="00FA3C10" w:rsidRPr="002445DE">
        <w:rPr>
          <w:lang w:val="it-IT"/>
        </w:rPr>
        <w:t xml:space="preserve"> </w:t>
      </w:r>
    </w:p>
    <w:p w:rsidR="00FA3C10" w:rsidRPr="003A7F36" w:rsidRDefault="00D4529A" w:rsidP="00FA3C10">
      <w:pPr>
        <w:pStyle w:val="StandardRisoluzionedelConsigliodiStato"/>
        <w:ind w:right="-1"/>
        <w:rPr>
          <w:lang w:val="it-IT"/>
        </w:rPr>
      </w:pPr>
      <w:r>
        <w:rPr>
          <w:lang w:val="it-IT"/>
        </w:rPr>
        <w:t>Tenconi -</w:t>
      </w:r>
      <w:r w:rsidR="00FA3C10" w:rsidRPr="002445DE">
        <w:rPr>
          <w:lang w:val="it-IT"/>
        </w:rPr>
        <w:t xml:space="preserve"> </w:t>
      </w:r>
      <w:r>
        <w:rPr>
          <w:lang w:val="it-IT"/>
        </w:rPr>
        <w:t>Tricarico -</w:t>
      </w:r>
      <w:r w:rsidR="00FA3C10" w:rsidRPr="002445DE">
        <w:rPr>
          <w:lang w:val="it-IT"/>
        </w:rPr>
        <w:t xml:space="preserve"> </w:t>
      </w:r>
      <w:r w:rsidR="00FA3C10">
        <w:rPr>
          <w:lang w:val="it-IT"/>
        </w:rPr>
        <w:t xml:space="preserve">Valsangiacomo - </w:t>
      </w:r>
      <w:r w:rsidR="00FA3C10" w:rsidRPr="002445DE">
        <w:rPr>
          <w:lang w:val="it-IT"/>
        </w:rPr>
        <w:t>Zanetti</w:t>
      </w:r>
    </w:p>
    <w:sectPr w:rsidR="00FA3C10" w:rsidRPr="003A7F36"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2EE" w:rsidRDefault="007A52EE" w:rsidP="00F657BF">
      <w:r>
        <w:separator/>
      </w:r>
    </w:p>
  </w:endnote>
  <w:endnote w:type="continuationSeparator" w:id="0">
    <w:p w:rsidR="007A52EE" w:rsidRDefault="007A52E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663" w:rsidRDefault="005B566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103CBB" w:rsidP="00912E34">
          <w:pPr>
            <w:tabs>
              <w:tab w:val="center" w:pos="2382"/>
            </w:tabs>
          </w:pPr>
        </w:p>
      </w:tc>
      <w:tc>
        <w:tcPr>
          <w:tcW w:w="721" w:type="dxa"/>
        </w:tcPr>
        <w:p w:rsidR="00912E34" w:rsidRPr="003D1008" w:rsidRDefault="00E65128"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E65128"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103CBB"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103CBB">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2EE" w:rsidRDefault="007A52EE" w:rsidP="00F657BF">
      <w:r>
        <w:separator/>
      </w:r>
    </w:p>
  </w:footnote>
  <w:footnote w:type="continuationSeparator" w:id="0">
    <w:p w:rsidR="007A52EE" w:rsidRDefault="007A52EE"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663" w:rsidRDefault="005B566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103CBB"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E1F5F384-9340-4286-803D-968F363F9935}"/>
              <w:text w:multiLine="1"/>
            </w:sdtPr>
            <w:sdtEndPr/>
            <w:sdtContent>
              <w:r w:rsidR="00E65128">
                <w:rPr>
                  <w:rFonts w:ascii="Gill Alt One MT Light" w:hAnsi="Gill Alt One MT Light"/>
                  <w:sz w:val="16"/>
                  <w:szCs w:val="16"/>
                </w:rPr>
                <w:t>Repubblica e Cantone Ticino</w:t>
              </w:r>
            </w:sdtContent>
          </w:sdt>
        </w:p>
        <w:p w:rsidR="005012EC" w:rsidRPr="00E8185F" w:rsidRDefault="00103CBB"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E1F5F384-9340-4286-803D-968F363F9935}"/>
              <w:text w:multiLine="1"/>
            </w:sdtPr>
            <w:sdtEndPr/>
            <w:sdtContent>
              <w:r w:rsidR="00FC1B23">
                <w:rPr>
                  <w:rFonts w:ascii="Gill Alt One MT Light" w:hAnsi="Gill Alt One MT Light"/>
                  <w:sz w:val="16"/>
                  <w:szCs w:val="16"/>
                </w:rPr>
                <w:t>Dipartimento dell’educazione, della cultura e dello sport</w:t>
              </w:r>
            </w:sdtContent>
          </w:sdt>
        </w:p>
      </w:tc>
      <w:tc>
        <w:tcPr>
          <w:tcW w:w="1710" w:type="dxa"/>
          <w:tcBorders>
            <w:bottom w:val="single" w:sz="4" w:space="0" w:color="auto"/>
          </w:tcBorders>
          <w:vAlign w:val="bottom"/>
        </w:tcPr>
        <w:p w:rsidR="005012EC" w:rsidRPr="004204CB" w:rsidRDefault="00E65128"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953C1">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953C1">
            <w:rPr>
              <w:noProof/>
              <w:sz w:val="24"/>
            </w:rPr>
            <w:t>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E1F5F384-9340-4286-803D-968F363F9935}"/>
          <w:text w:multiLine="1"/>
        </w:sdtPr>
        <w:sdtEndPr/>
        <w:sdtContent>
          <w:tc>
            <w:tcPr>
              <w:tcW w:w="8383" w:type="dxa"/>
              <w:tcBorders>
                <w:left w:val="single" w:sz="4" w:space="0" w:color="auto"/>
              </w:tcBorders>
              <w:tcMar>
                <w:top w:w="0" w:type="dxa"/>
                <w:left w:w="142" w:type="dxa"/>
              </w:tcMar>
            </w:tcPr>
            <w:p w:rsidR="005012EC" w:rsidRPr="004764F3" w:rsidRDefault="005B5663"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8629 R del 16 marzo 2026</w:t>
              </w:r>
            </w:p>
          </w:tc>
        </w:sdtContent>
      </w:sdt>
      <w:tc>
        <w:tcPr>
          <w:tcW w:w="1710" w:type="dxa"/>
          <w:tcBorders>
            <w:top w:val="single" w:sz="4" w:space="0" w:color="auto"/>
          </w:tcBorders>
        </w:tcPr>
        <w:p w:rsidR="005012EC" w:rsidRPr="004764F3" w:rsidRDefault="00103CBB" w:rsidP="00662409">
          <w:pPr>
            <w:pStyle w:val="InvisibleLine"/>
            <w:rPr>
              <w:lang w:val="it-CH"/>
            </w:rPr>
          </w:pPr>
        </w:p>
      </w:tc>
    </w:tr>
  </w:tbl>
  <w:p w:rsidR="00F657BF" w:rsidRPr="00980362" w:rsidRDefault="00E65128"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1F5F384-9340-4286-803D-968F363F9935}"/>
                            <w:text w:multiLine="1"/>
                          </w:sdtPr>
                          <w:sdtEndPr/>
                          <w:sdtContent>
                            <w:p w:rsidR="008065E8" w:rsidRPr="00411371" w:rsidRDefault="00E65128"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2DDC76F-2646-4578-A477-4218886A4B1A}"/>
                      <w:text w:multiLine="1"/>
                    </w:sdtPr>
                    <w:sdtEndPr/>
                    <w:sdtContent>
                      <w:p w:rsidR="008065E8" w:rsidRPr="00411371" w:rsidRDefault="00E65128"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103CBB" w:rsidP="00932E26">
          <w:pPr>
            <w:pStyle w:val="InvisibleLine"/>
            <w:spacing w:line="240" w:lineRule="auto"/>
            <w:ind w:left="15"/>
            <w:rPr>
              <w:rFonts w:ascii="Gill Alt One MT Light" w:hAnsi="Gill Alt One MT Light"/>
              <w:sz w:val="16"/>
              <w:lang w:val="it-CH"/>
            </w:rPr>
          </w:pPr>
        </w:p>
        <w:p w:rsidR="00CD5F73" w:rsidRDefault="00E65128"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103CBB"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103CBB" w:rsidP="00D07D6E">
          <w:pPr>
            <w:pStyle w:val="Level"/>
            <w:ind w:left="150"/>
            <w:rPr>
              <w:sz w:val="16"/>
            </w:rPr>
          </w:pPr>
        </w:p>
      </w:tc>
      <w:tc>
        <w:tcPr>
          <w:tcW w:w="209" w:type="pct"/>
          <w:tcBorders>
            <w:top w:val="nil"/>
            <w:bottom w:val="single" w:sz="4" w:space="0" w:color="auto"/>
          </w:tcBorders>
        </w:tcPr>
        <w:p w:rsidR="00662409" w:rsidRDefault="00E65128"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2713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E65128"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953C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953C1">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1F5F384-9340-4286-803D-968F363F9935}"/>
          <w:text w:multiLine="1"/>
        </w:sdtPr>
        <w:sdtEndPr/>
        <w:sdtContent>
          <w:tc>
            <w:tcPr>
              <w:tcW w:w="5000" w:type="pct"/>
              <w:gridSpan w:val="6"/>
              <w:tcBorders>
                <w:left w:val="nil"/>
                <w:right w:val="nil"/>
              </w:tcBorders>
              <w:noWrap/>
              <w:tcMar>
                <w:top w:w="0" w:type="dxa"/>
              </w:tcMar>
              <w:vAlign w:val="bottom"/>
            </w:tcPr>
            <w:p w:rsidR="00662409" w:rsidRPr="008C03B5" w:rsidRDefault="008012D5" w:rsidP="00DB7CD8">
              <w:pPr>
                <w:pStyle w:val="HeaderDecisione"/>
                <w:tabs>
                  <w:tab w:val="left" w:pos="1459"/>
                </w:tabs>
                <w:spacing w:after="160" w:line="640" w:lineRule="exact"/>
                <w:rPr>
                  <w:rFonts w:ascii="Gill Sans Display MT Pro BdCn" w:hAnsi="Gill Sans Display MT Pro BdCn"/>
                  <w:sz w:val="44"/>
                  <w:szCs w:val="44"/>
                </w:rPr>
              </w:pPr>
              <w:r w:rsidRPr="008012D5">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E65128"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103CBB"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E65128"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103CBB"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E65128"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103CBB"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103CBB"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1F5F384-9340-4286-803D-968F363F9935}"/>
              <w:text w:multiLine="1"/>
            </w:sdtPr>
            <w:sdtEndPr/>
            <w:sdtContent>
              <w:r w:rsidR="000825D1">
                <w:rPr>
                  <w:rFonts w:cstheme="minorHAnsi"/>
                  <w:b/>
                  <w:sz w:val="24"/>
                  <w:szCs w:val="24"/>
                </w:rPr>
                <w:t>8629 R</w:t>
              </w:r>
            </w:sdtContent>
          </w:sdt>
        </w:p>
      </w:tc>
      <w:sdt>
        <w:sdtPr>
          <w:rPr>
            <w:sz w:val="24"/>
          </w:rPr>
          <w:alias w:val="DocParam.Date"/>
          <w:id w:val="-464426178"/>
          <w:dataBinding w:xpath="//DateTime[@id='DocParam.Date']" w:storeItemID="{E1F5F384-9340-4286-803D-968F363F9935}"/>
          <w:date w:fullDate="2026-03-16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5B5663" w:rsidP="00A532F6">
              <w:pPr>
                <w:pStyle w:val="Data"/>
              </w:pPr>
              <w:r>
                <w:rPr>
                  <w:sz w:val="24"/>
                </w:rPr>
                <w:t>16 marzo 2026</w:t>
              </w:r>
            </w:p>
          </w:tc>
        </w:sdtContent>
      </w:sdt>
      <w:tc>
        <w:tcPr>
          <w:tcW w:w="3218" w:type="pct"/>
          <w:gridSpan w:val="4"/>
          <w:tcBorders>
            <w:top w:val="nil"/>
            <w:left w:val="nil"/>
            <w:bottom w:val="nil"/>
            <w:right w:val="nil"/>
          </w:tcBorders>
        </w:tcPr>
        <w:p w:rsidR="008C03B5" w:rsidRPr="00BE22A2" w:rsidRDefault="00103CBB"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1F5F384-9340-4286-803D-968F363F9935}"/>
              <w:text w:multiLine="1"/>
            </w:sdtPr>
            <w:sdtEndPr/>
            <w:sdtContent>
              <w:r w:rsidR="00FC1B23">
                <w:rPr>
                  <w:smallCaps/>
                  <w:sz w:val="23"/>
                  <w:szCs w:val="23"/>
                </w:rPr>
                <w:t>Dipartimento dell’educazione, della cultura e dello sport</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103CBB" w:rsidP="00D07D6E">
          <w:pPr>
            <w:pStyle w:val="Level"/>
            <w:ind w:left="150"/>
            <w:rPr>
              <w:rFonts w:ascii="Gill Alt One MT Light" w:hAnsi="Gill Alt One MT Light"/>
              <w:sz w:val="16"/>
              <w:szCs w:val="16"/>
            </w:rPr>
          </w:pPr>
        </w:p>
      </w:tc>
    </w:tr>
  </w:tbl>
  <w:p w:rsidR="00F657BF" w:rsidRPr="00DA2879" w:rsidRDefault="00E65128"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892350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1F5F384-9340-4286-803D-968F363F9935}"/>
                            <w:text w:multiLine="1"/>
                          </w:sdtPr>
                          <w:sdtEndPr/>
                          <w:sdtContent>
                            <w:p w:rsidR="00E93620" w:rsidRPr="00411371" w:rsidRDefault="00E65128"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2DDC76F-2646-4578-A477-4218886A4B1A}"/>
                      <w:text w:multiLine="1"/>
                    </w:sdtPr>
                    <w:sdtEndPr/>
                    <w:sdtContent>
                      <w:p w:rsidR="00E93620" w:rsidRPr="00411371" w:rsidRDefault="00E65128"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780F23"/>
    <w:multiLevelType w:val="hybridMultilevel"/>
    <w:tmpl w:val="B2E6D2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0BA663D"/>
    <w:multiLevelType w:val="hybridMultilevel"/>
    <w:tmpl w:val="E9D2DCB0"/>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9405E0"/>
    <w:multiLevelType w:val="multilevel"/>
    <w:tmpl w:val="343E7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9A6801"/>
    <w:multiLevelType w:val="multilevel"/>
    <w:tmpl w:val="9CAE632E"/>
    <w:lvl w:ilvl="0">
      <w:start w:val="1"/>
      <w:numFmt w:val="decimal"/>
      <w:lvlText w:val="%1."/>
      <w:lvlJc w:val="left"/>
      <w:pPr>
        <w:ind w:left="720" w:hanging="360"/>
      </w:pPr>
      <w:rPr>
        <w:b/>
        <w:smallCaps w:val="0"/>
        <w:strike w:val="0"/>
        <w:shd w:val="clear" w:color="auto" w:fill="auto"/>
        <w:vertAlign w:val="baseline"/>
      </w:rPr>
    </w:lvl>
    <w:lvl w:ilvl="1">
      <w:start w:val="1"/>
      <w:numFmt w:val="lowerLetter"/>
      <w:lvlText w:val="%2."/>
      <w:lvlJc w:val="left"/>
      <w:pPr>
        <w:ind w:left="1440" w:hanging="360"/>
      </w:pPr>
      <w:rPr>
        <w:b/>
        <w:smallCaps w:val="0"/>
        <w:strike w:val="0"/>
        <w:shd w:val="clear" w:color="auto" w:fill="auto"/>
        <w:vertAlign w:val="baseline"/>
      </w:rPr>
    </w:lvl>
    <w:lvl w:ilvl="2">
      <w:start w:val="1"/>
      <w:numFmt w:val="lowerRoman"/>
      <w:lvlText w:val="%3."/>
      <w:lvlJc w:val="left"/>
      <w:pPr>
        <w:ind w:left="2160" w:hanging="313"/>
      </w:pPr>
      <w:rPr>
        <w:b/>
        <w:smallCaps w:val="0"/>
        <w:strike w:val="0"/>
        <w:shd w:val="clear" w:color="auto" w:fill="auto"/>
        <w:vertAlign w:val="baseline"/>
      </w:rPr>
    </w:lvl>
    <w:lvl w:ilvl="3">
      <w:start w:val="1"/>
      <w:numFmt w:val="decimal"/>
      <w:lvlText w:val="%4."/>
      <w:lvlJc w:val="left"/>
      <w:pPr>
        <w:ind w:left="2880" w:hanging="360"/>
      </w:pPr>
      <w:rPr>
        <w:b/>
        <w:smallCaps w:val="0"/>
        <w:strike w:val="0"/>
        <w:shd w:val="clear" w:color="auto" w:fill="auto"/>
        <w:vertAlign w:val="baseline"/>
      </w:rPr>
    </w:lvl>
    <w:lvl w:ilvl="4">
      <w:start w:val="1"/>
      <w:numFmt w:val="lowerLetter"/>
      <w:lvlText w:val="%5."/>
      <w:lvlJc w:val="left"/>
      <w:pPr>
        <w:ind w:left="3600" w:hanging="360"/>
      </w:pPr>
      <w:rPr>
        <w:b/>
        <w:smallCaps w:val="0"/>
        <w:strike w:val="0"/>
        <w:shd w:val="clear" w:color="auto" w:fill="auto"/>
        <w:vertAlign w:val="baseline"/>
      </w:rPr>
    </w:lvl>
    <w:lvl w:ilvl="5">
      <w:start w:val="1"/>
      <w:numFmt w:val="lowerRoman"/>
      <w:lvlText w:val="%6."/>
      <w:lvlJc w:val="left"/>
      <w:pPr>
        <w:ind w:left="4320" w:hanging="313"/>
      </w:pPr>
      <w:rPr>
        <w:b/>
        <w:smallCaps w:val="0"/>
        <w:strike w:val="0"/>
        <w:shd w:val="clear" w:color="auto" w:fill="auto"/>
        <w:vertAlign w:val="baseline"/>
      </w:rPr>
    </w:lvl>
    <w:lvl w:ilvl="6">
      <w:start w:val="1"/>
      <w:numFmt w:val="decimal"/>
      <w:lvlText w:val="%7."/>
      <w:lvlJc w:val="left"/>
      <w:pPr>
        <w:ind w:left="5040" w:hanging="360"/>
      </w:pPr>
      <w:rPr>
        <w:b/>
        <w:smallCaps w:val="0"/>
        <w:strike w:val="0"/>
        <w:shd w:val="clear" w:color="auto" w:fill="auto"/>
        <w:vertAlign w:val="baseline"/>
      </w:rPr>
    </w:lvl>
    <w:lvl w:ilvl="7">
      <w:start w:val="1"/>
      <w:numFmt w:val="lowerLetter"/>
      <w:lvlText w:val="%8."/>
      <w:lvlJc w:val="left"/>
      <w:pPr>
        <w:ind w:left="5760" w:hanging="360"/>
      </w:pPr>
      <w:rPr>
        <w:b/>
        <w:smallCaps w:val="0"/>
        <w:strike w:val="0"/>
        <w:shd w:val="clear" w:color="auto" w:fill="auto"/>
        <w:vertAlign w:val="baseline"/>
      </w:rPr>
    </w:lvl>
    <w:lvl w:ilvl="8">
      <w:start w:val="1"/>
      <w:numFmt w:val="lowerRoman"/>
      <w:lvlText w:val="%9."/>
      <w:lvlJc w:val="left"/>
      <w:pPr>
        <w:ind w:left="6480" w:hanging="313"/>
      </w:pPr>
      <w:rPr>
        <w:b/>
        <w:smallCaps w:val="0"/>
        <w:strike w:val="0"/>
        <w:shd w:val="clear" w:color="auto" w:fill="auto"/>
        <w:vertAlign w:val="baseline"/>
      </w:rPr>
    </w:lvl>
  </w:abstractNum>
  <w:abstractNum w:abstractNumId="17"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08168A0"/>
    <w:multiLevelType w:val="hybridMultilevel"/>
    <w:tmpl w:val="B60C6B7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0" w15:restartNumberingAfterBreak="0">
    <w:nsid w:val="42865F71"/>
    <w:multiLevelType w:val="hybridMultilevel"/>
    <w:tmpl w:val="D3AA99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5866908"/>
    <w:multiLevelType w:val="multilevel"/>
    <w:tmpl w:val="D8B89C8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2"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49D524CC"/>
    <w:multiLevelType w:val="multilevel"/>
    <w:tmpl w:val="953CA1B2"/>
    <w:numStyleLink w:val="HeadingList"/>
  </w:abstractNum>
  <w:abstractNum w:abstractNumId="24" w15:restartNumberingAfterBreak="0">
    <w:nsid w:val="51E92F72"/>
    <w:multiLevelType w:val="hybridMultilevel"/>
    <w:tmpl w:val="A1E69D0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0B6021E"/>
    <w:multiLevelType w:val="hybridMultilevel"/>
    <w:tmpl w:val="C76E4022"/>
    <w:lvl w:ilvl="0" w:tplc="C8260486">
      <w:start w:val="1"/>
      <w:numFmt w:val="decimal"/>
      <w:lvlText w:val="%1."/>
      <w:lvlJc w:val="left"/>
      <w:pPr>
        <w:ind w:left="1146" w:hanging="360"/>
      </w:pPr>
      <w:rPr>
        <w:sz w:val="24"/>
        <w:szCs w:val="24"/>
      </w:rPr>
    </w:lvl>
    <w:lvl w:ilvl="1" w:tplc="08100019" w:tentative="1">
      <w:start w:val="1"/>
      <w:numFmt w:val="lowerLetter"/>
      <w:lvlText w:val="%2."/>
      <w:lvlJc w:val="left"/>
      <w:pPr>
        <w:ind w:left="1866" w:hanging="360"/>
      </w:pPr>
    </w:lvl>
    <w:lvl w:ilvl="2" w:tplc="0810001B" w:tentative="1">
      <w:start w:val="1"/>
      <w:numFmt w:val="lowerRoman"/>
      <w:lvlText w:val="%3."/>
      <w:lvlJc w:val="right"/>
      <w:pPr>
        <w:ind w:left="2586" w:hanging="180"/>
      </w:pPr>
    </w:lvl>
    <w:lvl w:ilvl="3" w:tplc="0810000F" w:tentative="1">
      <w:start w:val="1"/>
      <w:numFmt w:val="decimal"/>
      <w:lvlText w:val="%4."/>
      <w:lvlJc w:val="left"/>
      <w:pPr>
        <w:ind w:left="3306" w:hanging="360"/>
      </w:pPr>
    </w:lvl>
    <w:lvl w:ilvl="4" w:tplc="08100019" w:tentative="1">
      <w:start w:val="1"/>
      <w:numFmt w:val="lowerLetter"/>
      <w:lvlText w:val="%5."/>
      <w:lvlJc w:val="left"/>
      <w:pPr>
        <w:ind w:left="4026" w:hanging="360"/>
      </w:pPr>
    </w:lvl>
    <w:lvl w:ilvl="5" w:tplc="0810001B" w:tentative="1">
      <w:start w:val="1"/>
      <w:numFmt w:val="lowerRoman"/>
      <w:lvlText w:val="%6."/>
      <w:lvlJc w:val="right"/>
      <w:pPr>
        <w:ind w:left="4746" w:hanging="180"/>
      </w:pPr>
    </w:lvl>
    <w:lvl w:ilvl="6" w:tplc="0810000F" w:tentative="1">
      <w:start w:val="1"/>
      <w:numFmt w:val="decimal"/>
      <w:lvlText w:val="%7."/>
      <w:lvlJc w:val="left"/>
      <w:pPr>
        <w:ind w:left="5466" w:hanging="360"/>
      </w:pPr>
    </w:lvl>
    <w:lvl w:ilvl="7" w:tplc="08100019" w:tentative="1">
      <w:start w:val="1"/>
      <w:numFmt w:val="lowerLetter"/>
      <w:lvlText w:val="%8."/>
      <w:lvlJc w:val="left"/>
      <w:pPr>
        <w:ind w:left="6186" w:hanging="360"/>
      </w:pPr>
    </w:lvl>
    <w:lvl w:ilvl="8" w:tplc="0810001B" w:tentative="1">
      <w:start w:val="1"/>
      <w:numFmt w:val="lowerRoman"/>
      <w:lvlText w:val="%9."/>
      <w:lvlJc w:val="right"/>
      <w:pPr>
        <w:ind w:left="6906" w:hanging="180"/>
      </w:pPr>
    </w:lvl>
  </w:abstractNum>
  <w:abstractNum w:abstractNumId="26" w15:restartNumberingAfterBreak="0">
    <w:nsid w:val="64BE0FBA"/>
    <w:multiLevelType w:val="multilevel"/>
    <w:tmpl w:val="04DC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8A7241"/>
    <w:multiLevelType w:val="hybridMultilevel"/>
    <w:tmpl w:val="E7FAEA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D35256C"/>
    <w:multiLevelType w:val="multilevel"/>
    <w:tmpl w:val="FA425174"/>
    <w:lvl w:ilvl="0">
      <w:start w:val="1"/>
      <w:numFmt w:val="decimal"/>
      <w:lvlText w:val="%1."/>
      <w:lvlJc w:val="left"/>
      <w:pPr>
        <w:ind w:left="720" w:hanging="360"/>
      </w:pPr>
      <w:rPr>
        <w:rFonts w:eastAsia="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EBA01A5"/>
    <w:multiLevelType w:val="hybridMultilevel"/>
    <w:tmpl w:val="D4F2D2B6"/>
    <w:lvl w:ilvl="0" w:tplc="408C8BE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3"/>
  </w:num>
  <w:num w:numId="2">
    <w:abstractNumId w:val="23"/>
    <w:lvlOverride w:ilvl="0">
      <w:lvl w:ilvl="0">
        <w:start w:val="1"/>
        <w:numFmt w:val="decimal"/>
        <w:lvlText w:val="%1"/>
        <w:lvlJc w:val="left"/>
        <w:pPr>
          <w:ind w:left="363" w:hanging="363"/>
        </w:pPr>
        <w:rPr>
          <w:rFonts w:ascii="Arial" w:hAnsi="Arial" w:cs="Arial" w:hint="default"/>
        </w:rPr>
      </w:lvl>
    </w:lvlOverride>
  </w:num>
  <w:num w:numId="3">
    <w:abstractNumId w:val="11"/>
  </w:num>
  <w:num w:numId="4">
    <w:abstractNumId w:val="22"/>
  </w:num>
  <w:num w:numId="5">
    <w:abstractNumId w:val="18"/>
  </w:num>
  <w:num w:numId="6">
    <w:abstractNumId w:val="14"/>
  </w:num>
  <w:num w:numId="7">
    <w:abstractNumId w:val="17"/>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6"/>
  </w:num>
  <w:num w:numId="19">
    <w:abstractNumId w:val="19"/>
  </w:num>
  <w:num w:numId="20">
    <w:abstractNumId w:val="25"/>
  </w:num>
  <w:num w:numId="21">
    <w:abstractNumId w:val="10"/>
  </w:num>
  <w:num w:numId="22">
    <w:abstractNumId w:val="20"/>
  </w:num>
  <w:num w:numId="23">
    <w:abstractNumId w:val="28"/>
  </w:num>
  <w:num w:numId="24">
    <w:abstractNumId w:val="15"/>
  </w:num>
  <w:num w:numId="25">
    <w:abstractNumId w:val="24"/>
  </w:num>
  <w:num w:numId="26">
    <w:abstractNumId w:val="26"/>
  </w:num>
  <w:num w:numId="27">
    <w:abstractNumId w:val="27"/>
  </w:num>
  <w:num w:numId="28">
    <w:abstractNumId w:val="21"/>
  </w:num>
  <w:num w:numId="29">
    <w:abstractNumId w:val="12"/>
  </w:num>
  <w:num w:numId="30">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2EE"/>
    <w:rsid w:val="00012772"/>
    <w:rsid w:val="00023F41"/>
    <w:rsid w:val="00054063"/>
    <w:rsid w:val="00063420"/>
    <w:rsid w:val="00072B73"/>
    <w:rsid w:val="000825D1"/>
    <w:rsid w:val="000B1045"/>
    <w:rsid w:val="000B3994"/>
    <w:rsid w:val="000D35FD"/>
    <w:rsid w:val="00103CBB"/>
    <w:rsid w:val="001062AC"/>
    <w:rsid w:val="00107DCF"/>
    <w:rsid w:val="00111551"/>
    <w:rsid w:val="0012182B"/>
    <w:rsid w:val="00140455"/>
    <w:rsid w:val="001969EB"/>
    <w:rsid w:val="001B2925"/>
    <w:rsid w:val="001D0DA9"/>
    <w:rsid w:val="00211E85"/>
    <w:rsid w:val="00230207"/>
    <w:rsid w:val="00233982"/>
    <w:rsid w:val="00241AFD"/>
    <w:rsid w:val="00241E32"/>
    <w:rsid w:val="002535B2"/>
    <w:rsid w:val="0025727A"/>
    <w:rsid w:val="00283B3C"/>
    <w:rsid w:val="0029652E"/>
    <w:rsid w:val="002B5D9F"/>
    <w:rsid w:val="002C1A8C"/>
    <w:rsid w:val="002C381B"/>
    <w:rsid w:val="002D0444"/>
    <w:rsid w:val="0031421E"/>
    <w:rsid w:val="0032550D"/>
    <w:rsid w:val="003405FE"/>
    <w:rsid w:val="003729D2"/>
    <w:rsid w:val="00375B9F"/>
    <w:rsid w:val="003846FA"/>
    <w:rsid w:val="003870E8"/>
    <w:rsid w:val="003A7F36"/>
    <w:rsid w:val="003B756D"/>
    <w:rsid w:val="003C45D3"/>
    <w:rsid w:val="003F1DD1"/>
    <w:rsid w:val="004020A3"/>
    <w:rsid w:val="00403ADB"/>
    <w:rsid w:val="0041463A"/>
    <w:rsid w:val="00452C7C"/>
    <w:rsid w:val="00464E96"/>
    <w:rsid w:val="004764F3"/>
    <w:rsid w:val="004831C0"/>
    <w:rsid w:val="00490EE1"/>
    <w:rsid w:val="00496F58"/>
    <w:rsid w:val="004A75AD"/>
    <w:rsid w:val="004E1698"/>
    <w:rsid w:val="004E7CCB"/>
    <w:rsid w:val="00506D39"/>
    <w:rsid w:val="00536136"/>
    <w:rsid w:val="00544535"/>
    <w:rsid w:val="00572FD3"/>
    <w:rsid w:val="00590B71"/>
    <w:rsid w:val="005B5663"/>
    <w:rsid w:val="005D0298"/>
    <w:rsid w:val="005D211D"/>
    <w:rsid w:val="005E1B6E"/>
    <w:rsid w:val="006357DC"/>
    <w:rsid w:val="00643B0D"/>
    <w:rsid w:val="006452E3"/>
    <w:rsid w:val="00654FF5"/>
    <w:rsid w:val="00661275"/>
    <w:rsid w:val="00666AF8"/>
    <w:rsid w:val="00682EF4"/>
    <w:rsid w:val="0068610D"/>
    <w:rsid w:val="006B4E5E"/>
    <w:rsid w:val="006C1B95"/>
    <w:rsid w:val="006D22ED"/>
    <w:rsid w:val="00720CB8"/>
    <w:rsid w:val="007319CF"/>
    <w:rsid w:val="007346A2"/>
    <w:rsid w:val="007517DD"/>
    <w:rsid w:val="00753E84"/>
    <w:rsid w:val="00771326"/>
    <w:rsid w:val="00772FCA"/>
    <w:rsid w:val="007A52EE"/>
    <w:rsid w:val="007E45AC"/>
    <w:rsid w:val="007E4BFB"/>
    <w:rsid w:val="007F3479"/>
    <w:rsid w:val="008012D5"/>
    <w:rsid w:val="00807A72"/>
    <w:rsid w:val="00810A65"/>
    <w:rsid w:val="0082245E"/>
    <w:rsid w:val="00837E54"/>
    <w:rsid w:val="00843B1B"/>
    <w:rsid w:val="0084453E"/>
    <w:rsid w:val="00862DDE"/>
    <w:rsid w:val="008720C4"/>
    <w:rsid w:val="00886FFF"/>
    <w:rsid w:val="008C07FC"/>
    <w:rsid w:val="008D2F22"/>
    <w:rsid w:val="008D3E69"/>
    <w:rsid w:val="008F52AF"/>
    <w:rsid w:val="00906AB2"/>
    <w:rsid w:val="009251C8"/>
    <w:rsid w:val="009453C1"/>
    <w:rsid w:val="009550D2"/>
    <w:rsid w:val="00955CB1"/>
    <w:rsid w:val="00962BBB"/>
    <w:rsid w:val="00971B1A"/>
    <w:rsid w:val="00981A65"/>
    <w:rsid w:val="0098209E"/>
    <w:rsid w:val="00995BE7"/>
    <w:rsid w:val="009A6333"/>
    <w:rsid w:val="009C5E5A"/>
    <w:rsid w:val="009F389D"/>
    <w:rsid w:val="00A061A6"/>
    <w:rsid w:val="00A106E6"/>
    <w:rsid w:val="00A5668B"/>
    <w:rsid w:val="00A719C1"/>
    <w:rsid w:val="00A8495C"/>
    <w:rsid w:val="00AA7118"/>
    <w:rsid w:val="00AC176E"/>
    <w:rsid w:val="00AF0268"/>
    <w:rsid w:val="00AF40C5"/>
    <w:rsid w:val="00B03C97"/>
    <w:rsid w:val="00B06D15"/>
    <w:rsid w:val="00B44991"/>
    <w:rsid w:val="00B5638C"/>
    <w:rsid w:val="00BB398E"/>
    <w:rsid w:val="00BC039A"/>
    <w:rsid w:val="00BC3FD6"/>
    <w:rsid w:val="00BF0A1F"/>
    <w:rsid w:val="00BF16C3"/>
    <w:rsid w:val="00C5249A"/>
    <w:rsid w:val="00C62EAD"/>
    <w:rsid w:val="00C92C06"/>
    <w:rsid w:val="00C95398"/>
    <w:rsid w:val="00CD0A16"/>
    <w:rsid w:val="00CD14E0"/>
    <w:rsid w:val="00CD20AF"/>
    <w:rsid w:val="00CE6B06"/>
    <w:rsid w:val="00CE70A0"/>
    <w:rsid w:val="00D306D3"/>
    <w:rsid w:val="00D33940"/>
    <w:rsid w:val="00D44ECA"/>
    <w:rsid w:val="00D4529A"/>
    <w:rsid w:val="00D5387C"/>
    <w:rsid w:val="00D600FD"/>
    <w:rsid w:val="00D649A8"/>
    <w:rsid w:val="00D67480"/>
    <w:rsid w:val="00D67BC6"/>
    <w:rsid w:val="00D953C1"/>
    <w:rsid w:val="00D96BD3"/>
    <w:rsid w:val="00DA0273"/>
    <w:rsid w:val="00E21D58"/>
    <w:rsid w:val="00E4738B"/>
    <w:rsid w:val="00E65128"/>
    <w:rsid w:val="00EB088A"/>
    <w:rsid w:val="00EF3A88"/>
    <w:rsid w:val="00EF5BA3"/>
    <w:rsid w:val="00F119E0"/>
    <w:rsid w:val="00F20685"/>
    <w:rsid w:val="00F21710"/>
    <w:rsid w:val="00F45FCC"/>
    <w:rsid w:val="00F56598"/>
    <w:rsid w:val="00F657BF"/>
    <w:rsid w:val="00F902C8"/>
    <w:rsid w:val="00FA3C10"/>
    <w:rsid w:val="00FC1B23"/>
    <w:rsid w:val="00FC5E69"/>
    <w:rsid w:val="00FD5CBC"/>
    <w:rsid w:val="00FE58F8"/>
    <w:rsid w:val="00FF0D6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5:docId w15:val="{2DB69F10-DC4D-4FEE-A5BE-ED6145BC4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A52EE"/>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qFormat/>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Default">
    <w:name w:val="Default"/>
    <w:rsid w:val="007A52EE"/>
    <w:pPr>
      <w:autoSpaceDE w:val="0"/>
      <w:autoSpaceDN w:val="0"/>
      <w:adjustRightInd w:val="0"/>
      <w:jc w:val="left"/>
    </w:pPr>
    <w:rPr>
      <w:rFonts w:ascii="Arial" w:eastAsia="Arial Unicode MS" w:hAnsi="Arial" w:cs="Arial"/>
      <w:color w:val="000000"/>
      <w:sz w:val="24"/>
      <w:szCs w:val="24"/>
      <w:bdr w:val="nil"/>
      <w:lang w:val="it-IT" w:eastAsia="it-IT" w:bidi="he-IL"/>
    </w:rPr>
  </w:style>
  <w:style w:type="paragraph" w:styleId="NormaleWeb">
    <w:name w:val="Normal (Web)"/>
    <w:basedOn w:val="Normale"/>
    <w:uiPriority w:val="99"/>
    <w:unhideWhenUsed/>
    <w:rsid w:val="008012D5"/>
    <w:rPr>
      <w:rFonts w:ascii="Times New Roman" w:hAnsi="Times New Roman" w:cs="Times New Roman"/>
      <w:sz w:val="24"/>
      <w:szCs w:val="24"/>
    </w:rPr>
  </w:style>
  <w:style w:type="character" w:customStyle="1" w:styleId="relative">
    <w:name w:val="relative"/>
    <w:basedOn w:val="Carpredefinitoparagrafo"/>
    <w:rsid w:val="008012D5"/>
  </w:style>
  <w:style w:type="paragraph" w:styleId="Testofumetto">
    <w:name w:val="Balloon Text"/>
    <w:basedOn w:val="Normale"/>
    <w:link w:val="TestofumettoCarattere"/>
    <w:uiPriority w:val="99"/>
    <w:semiHidden/>
    <w:unhideWhenUsed/>
    <w:rsid w:val="00D953C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953C1"/>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37329">
      <w:bodyDiv w:val="1"/>
      <w:marLeft w:val="0"/>
      <w:marRight w:val="0"/>
      <w:marTop w:val="0"/>
      <w:marBottom w:val="0"/>
      <w:divBdr>
        <w:top w:val="none" w:sz="0" w:space="0" w:color="auto"/>
        <w:left w:val="none" w:sz="0" w:space="0" w:color="auto"/>
        <w:bottom w:val="none" w:sz="0" w:space="0" w:color="auto"/>
        <w:right w:val="none" w:sz="0" w:space="0" w:color="auto"/>
      </w:divBdr>
    </w:div>
    <w:div w:id="93481910">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93678903">
      <w:bodyDiv w:val="1"/>
      <w:marLeft w:val="0"/>
      <w:marRight w:val="0"/>
      <w:marTop w:val="0"/>
      <w:marBottom w:val="0"/>
      <w:divBdr>
        <w:top w:val="none" w:sz="0" w:space="0" w:color="auto"/>
        <w:left w:val="none" w:sz="0" w:space="0" w:color="auto"/>
        <w:bottom w:val="none" w:sz="0" w:space="0" w:color="auto"/>
        <w:right w:val="none" w:sz="0" w:space="0" w:color="auto"/>
      </w:divBdr>
    </w:div>
    <w:div w:id="334189882">
      <w:bodyDiv w:val="1"/>
      <w:marLeft w:val="0"/>
      <w:marRight w:val="0"/>
      <w:marTop w:val="0"/>
      <w:marBottom w:val="0"/>
      <w:divBdr>
        <w:top w:val="none" w:sz="0" w:space="0" w:color="auto"/>
        <w:left w:val="none" w:sz="0" w:space="0" w:color="auto"/>
        <w:bottom w:val="none" w:sz="0" w:space="0" w:color="auto"/>
        <w:right w:val="none" w:sz="0" w:space="0" w:color="auto"/>
      </w:divBdr>
    </w:div>
    <w:div w:id="466513029">
      <w:bodyDiv w:val="1"/>
      <w:marLeft w:val="0"/>
      <w:marRight w:val="0"/>
      <w:marTop w:val="0"/>
      <w:marBottom w:val="0"/>
      <w:divBdr>
        <w:top w:val="none" w:sz="0" w:space="0" w:color="auto"/>
        <w:left w:val="none" w:sz="0" w:space="0" w:color="auto"/>
        <w:bottom w:val="none" w:sz="0" w:space="0" w:color="auto"/>
        <w:right w:val="none" w:sz="0" w:space="0" w:color="auto"/>
      </w:divBdr>
    </w:div>
    <w:div w:id="1143277203">
      <w:bodyDiv w:val="1"/>
      <w:marLeft w:val="0"/>
      <w:marRight w:val="0"/>
      <w:marTop w:val="0"/>
      <w:marBottom w:val="0"/>
      <w:divBdr>
        <w:top w:val="none" w:sz="0" w:space="0" w:color="auto"/>
        <w:left w:val="none" w:sz="0" w:space="0" w:color="auto"/>
        <w:bottom w:val="none" w:sz="0" w:space="0" w:color="auto"/>
        <w:right w:val="none" w:sz="0" w:space="0" w:color="auto"/>
      </w:divBdr>
    </w:div>
    <w:div w:id="1147624073">
      <w:bodyDiv w:val="1"/>
      <w:marLeft w:val="0"/>
      <w:marRight w:val="0"/>
      <w:marTop w:val="0"/>
      <w:marBottom w:val="0"/>
      <w:divBdr>
        <w:top w:val="none" w:sz="0" w:space="0" w:color="auto"/>
        <w:left w:val="none" w:sz="0" w:space="0" w:color="auto"/>
        <w:bottom w:val="none" w:sz="0" w:space="0" w:color="auto"/>
        <w:right w:val="none" w:sz="0" w:space="0" w:color="auto"/>
      </w:divBdr>
    </w:div>
    <w:div w:id="121249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LEXMP\AMEv11\ame.dotm"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227130292</Id>
      <Width>0</Width>
      <Height>0</Height>
      <XPath>//Image[@id='Profile.Org.WappenSW']</XPath>
      <ImageHash>02f1c0cdac6aeac316213b2e7cb733a0</ImageHash>
    </ImageSizeDefinition>
    <ImageSizeDefinition>
      <Id>1892350061</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4629292F-10CE-411C-B870-9D7A9893174A}">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E1F5F384-9340-4286-803D-968F363F9935}">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ame.dotm</Template>
  <TotalTime>29</TotalTime>
  <Pages>4</Pages>
  <Words>1302</Words>
  <Characters>7310</Characters>
  <Application>Microsoft Office Word</Application>
  <DocSecurity>0</DocSecurity>
  <Lines>135</Lines>
  <Paragraphs>34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Arato Daniela / t115175</dc:creator>
  <cp:lastModifiedBy>Venturi Luca</cp:lastModifiedBy>
  <cp:revision>37</cp:revision>
  <cp:lastPrinted>2026-04-07T08:41:00Z</cp:lastPrinted>
  <dcterms:created xsi:type="dcterms:W3CDTF">2026-03-16T17:13:00Z</dcterms:created>
  <dcterms:modified xsi:type="dcterms:W3CDTF">2026-04-07T08:42:00Z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