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75C" w:rsidRDefault="0097275C" w:rsidP="0097275C">
      <w:pPr>
        <w:pStyle w:val="StandardRisoluzionedelConsigliodiStato"/>
        <w:ind w:right="-1"/>
        <w:rPr>
          <w:b/>
          <w:sz w:val="28"/>
          <w:szCs w:val="28"/>
        </w:rPr>
      </w:pPr>
      <w:r>
        <w:rPr>
          <w:b/>
          <w:sz w:val="28"/>
          <w:szCs w:val="28"/>
        </w:rPr>
        <w:t xml:space="preserve">della Commissione gestione e finanze </w:t>
      </w:r>
    </w:p>
    <w:p w:rsidR="0097275C" w:rsidRDefault="0097275C" w:rsidP="0097275C">
      <w:pPr>
        <w:pStyle w:val="StandardRisoluzionedelConsigliodiStato"/>
        <w:ind w:right="-1"/>
      </w:pPr>
      <w:r>
        <w:rPr>
          <w:b/>
          <w:sz w:val="28"/>
          <w:szCs w:val="28"/>
        </w:rPr>
        <w:t>sul me</w:t>
      </w:r>
      <w:r>
        <w:rPr>
          <w:b/>
          <w:sz w:val="28"/>
          <w:szCs w:val="28"/>
        </w:rPr>
        <w:t xml:space="preserve">ssaggio 26 agosto 2026 </w:t>
      </w:r>
      <w:r>
        <w:rPr>
          <w:b/>
          <w:sz w:val="28"/>
          <w:szCs w:val="28"/>
        </w:rPr>
        <w:t>concernente la r</w:t>
      </w:r>
      <w:r>
        <w:rPr>
          <w:b/>
          <w:sz w:val="28"/>
          <w:szCs w:val="28"/>
        </w:rPr>
        <w:t>ichiesta di un credito quadro di 28</w:t>
      </w:r>
      <w:r w:rsidRPr="00B2173C">
        <w:rPr>
          <w:b/>
          <w:sz w:val="28"/>
          <w:szCs w:val="28"/>
        </w:rPr>
        <w:t>'</w:t>
      </w:r>
      <w:r>
        <w:rPr>
          <w:b/>
          <w:sz w:val="28"/>
          <w:szCs w:val="28"/>
        </w:rPr>
        <w:t>000</w:t>
      </w:r>
      <w:r w:rsidRPr="00B2173C">
        <w:rPr>
          <w:b/>
          <w:sz w:val="28"/>
          <w:szCs w:val="28"/>
        </w:rPr>
        <w:t>'</w:t>
      </w:r>
      <w:r>
        <w:rPr>
          <w:b/>
          <w:sz w:val="28"/>
          <w:szCs w:val="28"/>
        </w:rPr>
        <w:t>000 di</w:t>
      </w:r>
      <w:r w:rsidRPr="00F9329F">
        <w:rPr>
          <w:b/>
          <w:sz w:val="28"/>
          <w:szCs w:val="28"/>
        </w:rPr>
        <w:t xml:space="preserve"> franchi per il sussidio delle opere di canalizzazione delle acque luride </w:t>
      </w:r>
      <w:r>
        <w:rPr>
          <w:b/>
          <w:sz w:val="28"/>
          <w:szCs w:val="28"/>
        </w:rPr>
        <w:t>comunali e consortili per il quadriennio 2026-2029</w:t>
      </w:r>
    </w:p>
    <w:p w:rsidR="0097275C" w:rsidRDefault="0097275C" w:rsidP="0097275C">
      <w:pPr>
        <w:pStyle w:val="StandardRisoluzionedelConsigliodiStato"/>
        <w:ind w:right="-1"/>
      </w:pPr>
    </w:p>
    <w:p w:rsidR="0097275C" w:rsidRDefault="0097275C" w:rsidP="0097275C">
      <w:pPr>
        <w:pStyle w:val="StandardRisoluzionedelConsigliodiStato"/>
        <w:ind w:right="-1"/>
      </w:pPr>
    </w:p>
    <w:p w:rsidR="008C400D" w:rsidRDefault="008C400D" w:rsidP="0097275C">
      <w:pPr>
        <w:pStyle w:val="StandardRisoluzionedelConsigliodiStato"/>
        <w:ind w:right="-1"/>
      </w:pPr>
    </w:p>
    <w:p w:rsidR="0097275C" w:rsidRPr="0010311F" w:rsidRDefault="0097275C" w:rsidP="0010311F">
      <w:pPr>
        <w:pStyle w:val="Titolo1"/>
        <w:tabs>
          <w:tab w:val="left" w:pos="567"/>
        </w:tabs>
        <w:spacing w:before="0"/>
        <w:ind w:left="567" w:hanging="567"/>
        <w:jc w:val="both"/>
        <w:rPr>
          <w:rFonts w:eastAsia="Calibri" w:cs="Times New Roman"/>
          <w:caps/>
          <w:sz w:val="24"/>
          <w:szCs w:val="24"/>
          <w:lang w:val="it-IT" w:eastAsia="it-IT"/>
        </w:rPr>
      </w:pPr>
      <w:r w:rsidRPr="0010311F">
        <w:rPr>
          <w:rFonts w:eastAsia="Calibri" w:cs="Times New Roman"/>
          <w:caps/>
          <w:sz w:val="24"/>
          <w:szCs w:val="24"/>
          <w:lang w:val="it-IT" w:eastAsia="it-IT"/>
        </w:rPr>
        <w:t>1.</w:t>
      </w:r>
      <w:r w:rsidRPr="0010311F">
        <w:rPr>
          <w:rFonts w:eastAsia="Calibri" w:cs="Times New Roman"/>
          <w:caps/>
          <w:sz w:val="24"/>
          <w:szCs w:val="24"/>
          <w:lang w:val="it-IT" w:eastAsia="it-IT"/>
        </w:rPr>
        <w:tab/>
        <w:t>Introduzione</w:t>
      </w:r>
    </w:p>
    <w:p w:rsidR="0097275C" w:rsidRDefault="0097275C" w:rsidP="0097275C">
      <w:pPr>
        <w:pStyle w:val="StandardRisoluzionedelConsigliodiStato"/>
        <w:ind w:right="-1"/>
      </w:pPr>
      <w:r>
        <w:t>La Commissione gest</w:t>
      </w:r>
      <w:r w:rsidR="0010311F">
        <w:t>ione e finanze ha esaminato il m</w:t>
      </w:r>
      <w:r>
        <w:t>essaggio n. 8723 del 26 agosto 2026, con il quale il Consiglio di Stato propone lo stanziamento di un credito quadro di 28 milioni di franchi destinato al quadriennio 2026-2029, al sussidio delle opere comunali e consortili di canalizzazione e di depurazione delle acque. La richiesta riguarda un settore nel quale il Cantone interviene da decenni a sostegno degli enti locali: affinché le infrastrutture necessarie allo smaltimento delle acque siano pianificate, costruite e adeguate secondo criteri tecnici uniformi e nel rispetto delle esigenze ambientali.</w:t>
      </w:r>
    </w:p>
    <w:p w:rsidR="0097275C" w:rsidRDefault="0097275C" w:rsidP="0097275C">
      <w:pPr>
        <w:pStyle w:val="StandardRisoluzionedelConsigliodiStato"/>
        <w:ind w:right="-1"/>
      </w:pPr>
    </w:p>
    <w:p w:rsidR="0097275C" w:rsidRDefault="0097275C" w:rsidP="0097275C">
      <w:pPr>
        <w:pStyle w:val="StandardRisoluzionedelConsigliodiStato"/>
        <w:ind w:right="-1"/>
      </w:pPr>
      <w:r>
        <w:t>La Commission</w:t>
      </w:r>
      <w:r w:rsidR="0010311F">
        <w:t>e preavvisa favorevolmente il m</w:t>
      </w:r>
      <w:r>
        <w:t>essaggio. Il giudizio non deriva solo dall’importanza materiale delle opere, ma anche dalla soluzione finanziaria proposta. Il messaggio non introduce un nuovo compito pubblico e non amplia in modo indistinto il perimetro della spesa cantonale. Esso assicura continuità a una politica consolidata e modifica il modo con cui il Parlamento autorizza le risorse, sostituendo la successione di crediti perlopiù annuali con un limite quadriennale entro cui il Consiglio di Stato potrà decidere i singoli contributi.</w:t>
      </w:r>
    </w:p>
    <w:p w:rsidR="0097275C" w:rsidRDefault="0097275C" w:rsidP="0097275C">
      <w:pPr>
        <w:pStyle w:val="StandardRisoluzionedelConsigliodiStato"/>
        <w:ind w:right="-1"/>
      </w:pPr>
    </w:p>
    <w:p w:rsidR="0097275C" w:rsidRDefault="0097275C" w:rsidP="0097275C">
      <w:pPr>
        <w:pStyle w:val="StandardRisoluzionedelConsigliodiStato"/>
        <w:ind w:right="-1"/>
      </w:pPr>
      <w:r>
        <w:t>Questa impostazione appare adeguata alla natura del programma. Le opere interessate sono numerose, tecnicamente omogenee, distribuite sull’intero territorio e soggette a tempi di progettazione e di esecuzione che non coincidono sempre con l’anno civile. La loro maturazione dipende dall’aggiornamento dei piani comunali, dall’ottenimento delle autorizzazioni, dalle procedure di aggiudicazione, dal coordinamento con altri cantieri e dalle decisioni finanziarie dei Comuni e dei Consorzi. Un credito quadro consente di assorbire queste variazioni senza dover ripetere ogni anno un procedimento legislativo per interventi già disciplinati dalla legge.</w:t>
      </w:r>
    </w:p>
    <w:p w:rsidR="0097275C" w:rsidRDefault="0097275C" w:rsidP="0097275C">
      <w:pPr>
        <w:pStyle w:val="StandardRisoluzionedelConsigliodiStato"/>
        <w:ind w:right="-1"/>
      </w:pPr>
    </w:p>
    <w:p w:rsidR="0097275C" w:rsidRDefault="0097275C" w:rsidP="0097275C">
      <w:pPr>
        <w:pStyle w:val="StandardRisoluzionedelConsigliodiStato"/>
        <w:ind w:right="-1"/>
      </w:pPr>
      <w:r>
        <w:t>La semplificazione non deve però essere confusa con un allentamento della vigilanza. I 28 milioni rappresentano un tetto massimo, non un obiettivo di spesa. Ogni sussidio continuerà a essere riferito a un’opera determinata, dovrà poggiare su un progetto approvato, sarà calcolato sui costi riconosciuti e sarà versato secondo le condizioni previste dal nuovo ordinamento. La Commissione considera quindi decisivi la tracciabilità delle singole decisioni, il controllo dei consuntivi e la rendicontazione annuale al Gran Consiglio. È su questo equilibrio fra maggiore rapidità amministrativa e controllo finanziario sostanziale che si fonda il presente rapporto favorevole.</w:t>
      </w:r>
    </w:p>
    <w:p w:rsidR="0097275C" w:rsidRPr="0010311F" w:rsidRDefault="0097275C" w:rsidP="0010311F">
      <w:pPr>
        <w:pStyle w:val="Titolo1"/>
        <w:tabs>
          <w:tab w:val="left" w:pos="567"/>
        </w:tabs>
        <w:spacing w:before="0"/>
        <w:ind w:left="567" w:hanging="567"/>
        <w:jc w:val="both"/>
        <w:rPr>
          <w:rFonts w:eastAsia="Calibri" w:cs="Times New Roman"/>
          <w:caps/>
          <w:sz w:val="24"/>
          <w:szCs w:val="24"/>
          <w:lang w:val="it-IT" w:eastAsia="it-IT"/>
        </w:rPr>
      </w:pPr>
      <w:r w:rsidRPr="0010311F">
        <w:rPr>
          <w:rFonts w:eastAsia="Calibri" w:cs="Times New Roman"/>
          <w:caps/>
          <w:sz w:val="24"/>
          <w:szCs w:val="24"/>
          <w:lang w:val="it-IT" w:eastAsia="it-IT"/>
        </w:rPr>
        <w:lastRenderedPageBreak/>
        <w:t>2.</w:t>
      </w:r>
      <w:r w:rsidRPr="0010311F">
        <w:rPr>
          <w:rFonts w:eastAsia="Calibri" w:cs="Times New Roman"/>
          <w:caps/>
          <w:sz w:val="24"/>
          <w:szCs w:val="24"/>
          <w:lang w:val="it-IT" w:eastAsia="it-IT"/>
        </w:rPr>
        <w:tab/>
        <w:t>Il nuovo ordinamento e la scelta di un orizzonte quadriennale</w:t>
      </w:r>
    </w:p>
    <w:p w:rsidR="0097275C" w:rsidRDefault="0097275C" w:rsidP="0097275C">
      <w:pPr>
        <w:pStyle w:val="StandardRisoluzionedelConsigliodiStato"/>
        <w:ind w:right="-1"/>
      </w:pPr>
      <w:r>
        <w:t>Dal 1° gennaio 2026 sono in vigore la nuova legge sulla gestione delle acque e il relativo regolamento. La riforma ha ricondotto in un quadro unitario disposizioni che in precedenza erano ripartite fra più atti legislativi e ha introdotto una concezione integrata della politica delle acque. Protezione della qualità, utilizzazione della risorsa, sistemazione dei corpi d’acqua e prevenzione dei pericoli non sono più considerate come materie separate, ma come componenti di una medesima responsabilità pubblica, da coordinare tenendo conto dei bacini idrografici, del territorio e del ciclo naturale dell’acqua.</w:t>
      </w:r>
    </w:p>
    <w:p w:rsidR="0097275C" w:rsidRDefault="0097275C" w:rsidP="0097275C">
      <w:pPr>
        <w:pStyle w:val="StandardRisoluzionedelConsigliodiStato"/>
        <w:ind w:right="-1"/>
      </w:pPr>
    </w:p>
    <w:p w:rsidR="0097275C" w:rsidRDefault="0097275C" w:rsidP="0097275C">
      <w:pPr>
        <w:pStyle w:val="StandardRisoluzionedelConsigliodiStato"/>
        <w:ind w:right="-1"/>
      </w:pPr>
      <w:r>
        <w:t>All’interno di questa impostazione, lo smaltimento delle acque di scarico mantiene un ruolo centrale. La legge conferma il sostegno cantonale alla pianificazione e alla realizzazione degli impianti pubblici comunali e consortili. Possono essere sussidiati l’allestimento e l’aggiornamento dei piani generali di smaltimento, la costruzione di canalizzazioni, collettori e impianti, nonché il loro potenziamento o adeguamento allo stato della tecnica. Restano invece escluse le spese ordinarie di esercizio e manutenzione e il rifacimento di opere che abbiano già beneficiato di un sussidio cantonale. Il credito quadro è dunque destinato agli investimenti e non alla gestione corrente.</w:t>
      </w:r>
    </w:p>
    <w:p w:rsidR="0097275C" w:rsidRDefault="0097275C" w:rsidP="0097275C">
      <w:pPr>
        <w:pStyle w:val="StandardRisoluzionedelConsigliodiStato"/>
        <w:ind w:right="-1"/>
      </w:pPr>
    </w:p>
    <w:p w:rsidR="0097275C" w:rsidRDefault="0097275C" w:rsidP="0097275C">
      <w:pPr>
        <w:pStyle w:val="StandardRisoluzionedelConsigliodiStato"/>
        <w:ind w:right="-1"/>
      </w:pPr>
      <w:r>
        <w:t>La nuova legge contiene anche una prospettiva temporale precisa. Le domande di sussidio per la costruzione, il potenziamento e l’adeguamento degli impianti devono essere presentate entro il termine transitorio stabilito, mentre il collaudo deve intervenire entro il periodo previsto dalla legge. Gli aggiornamenti dei piani generali di smaltimento potranno continuare a essere sostenuti anche successivamente. Ciò offre agli enti un tempo sufficiente per completare il sistema, ma richiede una programmazione ordinata e una disponibilità finanziaria cantonale coerente con il ritmo degli investimenti.</w:t>
      </w:r>
    </w:p>
    <w:p w:rsidR="0097275C" w:rsidRDefault="0097275C" w:rsidP="0097275C">
      <w:pPr>
        <w:pStyle w:val="StandardRisoluzionedelConsigliodiStato"/>
        <w:ind w:right="-1"/>
      </w:pPr>
    </w:p>
    <w:p w:rsidR="0097275C" w:rsidRDefault="0097275C" w:rsidP="0097275C">
      <w:pPr>
        <w:pStyle w:val="StandardRisoluzionedelConsigliodiStato"/>
        <w:ind w:right="-1"/>
      </w:pPr>
      <w:r>
        <w:t>Il passaggio al credito quadro è quindi strettamente connesso al nuovo ordinamento. In passato il Gran Consiglio approvava, con cadenza regolare, crediti che elencavano le opere già vagliate dai servizi cantonali, i costi riconosciuti e le rispettive aliquote di sussidio. Dal 1974 sono stati adottati oltre quaranta decreti legislativi di questo tipo. La procedura ha garantito il finanziamento delle infrastrutture, ma ha comportato la ripetizione di atti parlamentari per un numero elevato di interventi ordinari.</w:t>
      </w:r>
    </w:p>
    <w:p w:rsidR="0097275C" w:rsidRDefault="0097275C" w:rsidP="0097275C">
      <w:pPr>
        <w:pStyle w:val="StandardRisoluzionedelConsigliodiStato"/>
        <w:ind w:right="-1"/>
      </w:pPr>
    </w:p>
    <w:p w:rsidR="0097275C" w:rsidRDefault="0097275C" w:rsidP="0097275C">
      <w:pPr>
        <w:pStyle w:val="StandardRisoluzionedelConsigliodiStato"/>
        <w:ind w:right="-1"/>
      </w:pPr>
      <w:r>
        <w:t>Con il nuovo sistema il Parlamento conserva la decisione sull’ammontare massimo e sul periodo di validità, mentre il Consiglio di Stato applica le regole ai singoli casi. La Commissione giudica corretta questa ripartizione. La scelta politica resta al Gran Consiglio, che stabilisce quante risorse destinare al programma e può valutarne i risultati attraverso i rendiconti. Le decisioni operative sono assunte dall’autorità esecutiva, che può adeguare più rapidamente il contributo alla maturità del progetto e alla situazione finanziaria dell’ente beneficiario.</w:t>
      </w:r>
    </w:p>
    <w:p w:rsidR="0097275C" w:rsidRDefault="0097275C" w:rsidP="0097275C">
      <w:pPr>
        <w:pStyle w:val="StandardRisoluzionedelConsigliodiStato"/>
        <w:ind w:right="-1"/>
      </w:pPr>
    </w:p>
    <w:p w:rsidR="0097275C" w:rsidRDefault="0097275C" w:rsidP="0097275C">
      <w:pPr>
        <w:pStyle w:val="StandardRisoluzionedelConsigliodiStato"/>
        <w:ind w:right="-1"/>
      </w:pPr>
    </w:p>
    <w:p w:rsidR="0097275C" w:rsidRPr="0010311F" w:rsidRDefault="0097275C" w:rsidP="0010311F">
      <w:pPr>
        <w:pStyle w:val="Titolo1"/>
        <w:tabs>
          <w:tab w:val="left" w:pos="567"/>
        </w:tabs>
        <w:spacing w:before="0"/>
        <w:ind w:left="567" w:hanging="567"/>
        <w:jc w:val="both"/>
        <w:rPr>
          <w:rFonts w:eastAsia="Calibri" w:cs="Times New Roman"/>
          <w:caps/>
          <w:sz w:val="24"/>
          <w:szCs w:val="24"/>
          <w:lang w:val="it-IT" w:eastAsia="it-IT"/>
        </w:rPr>
      </w:pPr>
      <w:r w:rsidRPr="0010311F">
        <w:rPr>
          <w:rFonts w:eastAsia="Calibri" w:cs="Times New Roman"/>
          <w:caps/>
          <w:sz w:val="24"/>
          <w:szCs w:val="24"/>
          <w:lang w:val="it-IT" w:eastAsia="it-IT"/>
        </w:rPr>
        <w:t>3.</w:t>
      </w:r>
      <w:r w:rsidRPr="0010311F">
        <w:rPr>
          <w:rFonts w:eastAsia="Calibri" w:cs="Times New Roman"/>
          <w:caps/>
          <w:sz w:val="24"/>
          <w:szCs w:val="24"/>
          <w:lang w:val="it-IT" w:eastAsia="it-IT"/>
        </w:rPr>
        <w:tab/>
        <w:t>Un programma diffuso, distinto dalle grandi opere</w:t>
      </w:r>
    </w:p>
    <w:p w:rsidR="0097275C" w:rsidRDefault="0097275C" w:rsidP="0097275C">
      <w:pPr>
        <w:pStyle w:val="StandardRisoluzionedelConsigliodiStato"/>
        <w:ind w:right="-1"/>
      </w:pPr>
      <w:r>
        <w:t xml:space="preserve">Il credito quadro non finanzia una singola infrastruttura, ma un insieme di opere distribuite sul territorio cantonale. Nel corso dell’ultimo quinquennio hanno beneficiato annualmente di stanziamenti, in media, trentacinque Comuni e sono state approvate circa settanta opere. Si tratta quindi di un programma capillare, formato da molti interventi di dimensione </w:t>
      </w:r>
      <w:r>
        <w:lastRenderedPageBreak/>
        <w:t>ordinaria: tratti di canalizzazione, separazione delle acque, collettori, manufatti speciali, stazioni di sollevamento e adeguamenti di impianti comunali o consortili.</w:t>
      </w:r>
    </w:p>
    <w:p w:rsidR="0097275C" w:rsidRDefault="0097275C" w:rsidP="0097275C">
      <w:pPr>
        <w:pStyle w:val="StandardRisoluzionedelConsigliodiStato"/>
        <w:ind w:right="-1"/>
      </w:pPr>
    </w:p>
    <w:p w:rsidR="0097275C" w:rsidRDefault="0097275C" w:rsidP="0097275C">
      <w:pPr>
        <w:pStyle w:val="StandardRisoluzionedelConsigliodiStato"/>
        <w:ind w:right="-1"/>
      </w:pPr>
      <w:r>
        <w:t>La molteplicità degli interventi rende poco funzionale una programmazione rigidamente annuale. Alcuni cantieri possono essere anticipati per coordinarli con lavori stradali o con la posa di altre condotte; altri possono subire ritardi a causa di ricorsi, autorizzazioni, condizioni geologiche o revisioni progettuali. Il fabbisogno di sussidi può quindi variare sensibilmente da un esercizio all’altro senza che cambi la necessità complessiva del programma.</w:t>
      </w:r>
    </w:p>
    <w:p w:rsidR="0097275C" w:rsidRDefault="0097275C" w:rsidP="0097275C">
      <w:pPr>
        <w:pStyle w:val="StandardRisoluzionedelConsigliodiStato"/>
        <w:ind w:right="-1"/>
      </w:pPr>
    </w:p>
    <w:p w:rsidR="0097275C" w:rsidRDefault="0097275C" w:rsidP="0097275C">
      <w:pPr>
        <w:pStyle w:val="StandardRisoluzionedelConsigliodiStato"/>
        <w:ind w:right="-1"/>
      </w:pPr>
      <w:r>
        <w:t>Il credito quadriennale consente di gestire queste oscillazioni all’interno di un limite unico. Le risorse non utilizzate in un determinato anno restano disponibili per gli interventi che giungeranno a maturazione negli anni successivi. Si riduce così il rischio di dover chiedere nuovi crediti soltanto perché i calendari dei cantieri non hanno seguito le previsioni iniziali. Nello stesso tempo, il Cantone può sostenere tempestivamente un progeto quando si presenta un’occasione concreta di coordinamento, evitando scavi ripetuti e costi aggiuntivi.</w:t>
      </w:r>
    </w:p>
    <w:p w:rsidR="0097275C" w:rsidRDefault="0097275C" w:rsidP="0097275C">
      <w:pPr>
        <w:pStyle w:val="StandardRisoluzionedelConsigliodiStato"/>
        <w:ind w:right="-1"/>
      </w:pPr>
    </w:p>
    <w:p w:rsidR="0097275C" w:rsidRDefault="0097275C" w:rsidP="0097275C">
      <w:pPr>
        <w:pStyle w:val="StandardRisoluzionedelConsigliodiStato"/>
        <w:ind w:right="-1"/>
      </w:pPr>
      <w:r>
        <w:t>La Commissione attribuisce particolare rilievo al fatto che il credito quadro non assorba le opere di portata eccezionale. Il messaggio precisa che nuovi impianti di depurazione, collettori particolarmente lunghi o altri investimenti di grande rilevanza potranno continuare a essere sottoposti al Gran Consiglio mediante messaggi specifici. Questa distinzione preserva il ruolo del Parlamento nei casi in cui occorre valutare una scelta strategica, una nuova organizzazione regionale o un impegno finanziario superiore alla normale gestione del programma.</w:t>
      </w:r>
    </w:p>
    <w:p w:rsidR="0097275C" w:rsidRDefault="0097275C" w:rsidP="0097275C">
      <w:pPr>
        <w:pStyle w:val="StandardRisoluzionedelConsigliodiStato"/>
        <w:ind w:right="-1"/>
      </w:pPr>
    </w:p>
    <w:p w:rsidR="0097275C" w:rsidRDefault="0097275C" w:rsidP="0097275C">
      <w:pPr>
        <w:pStyle w:val="StandardRisoluzionedelConsigliodiStato"/>
        <w:ind w:right="-1"/>
      </w:pPr>
      <w:r>
        <w:t>Il nuovo strumento permette dunque di trattare in modo differenziato due categorie di decisioni. Le opere ordinarie, numerose e omogenee, sono finanziate entro il credito quadro; gli investimenti straordinari restano sottoposti a un esame autonomo. La Commissione considera questa separazione più razionale rispetto a una procedura che accumuli nello stesso messaggio interventi molto diversi per importanza, complessità e conseguenze finanziarie.</w:t>
      </w:r>
    </w:p>
    <w:p w:rsidR="0097275C" w:rsidRDefault="0097275C" w:rsidP="0097275C">
      <w:pPr>
        <w:pStyle w:val="StandardRisoluzionedelConsigliodiStato"/>
        <w:ind w:right="-1"/>
      </w:pPr>
    </w:p>
    <w:p w:rsidR="0097275C" w:rsidRDefault="0097275C" w:rsidP="0097275C">
      <w:pPr>
        <w:pStyle w:val="StandardRisoluzionedelConsigliodiStato"/>
        <w:ind w:right="-1"/>
      </w:pPr>
    </w:p>
    <w:p w:rsidR="0097275C" w:rsidRPr="0010311F" w:rsidRDefault="0097275C" w:rsidP="0010311F">
      <w:pPr>
        <w:pStyle w:val="Titolo1"/>
        <w:tabs>
          <w:tab w:val="left" w:pos="567"/>
        </w:tabs>
        <w:spacing w:before="0"/>
        <w:ind w:left="567" w:hanging="567"/>
        <w:jc w:val="both"/>
        <w:rPr>
          <w:rFonts w:eastAsia="Calibri" w:cs="Times New Roman"/>
          <w:caps/>
          <w:sz w:val="24"/>
          <w:szCs w:val="24"/>
          <w:lang w:val="it-IT" w:eastAsia="it-IT"/>
        </w:rPr>
      </w:pPr>
      <w:r w:rsidRPr="0010311F">
        <w:rPr>
          <w:rFonts w:eastAsia="Calibri" w:cs="Times New Roman"/>
          <w:caps/>
          <w:sz w:val="24"/>
          <w:szCs w:val="24"/>
          <w:lang w:val="it-IT" w:eastAsia="it-IT"/>
        </w:rPr>
        <w:t>4.</w:t>
      </w:r>
      <w:r w:rsidRPr="0010311F">
        <w:rPr>
          <w:rFonts w:eastAsia="Calibri" w:cs="Times New Roman"/>
          <w:caps/>
          <w:sz w:val="24"/>
          <w:szCs w:val="24"/>
          <w:lang w:val="it-IT" w:eastAsia="it-IT"/>
        </w:rPr>
        <w:tab/>
        <w:t>La quantificazione dei 28 milioni</w:t>
      </w:r>
    </w:p>
    <w:p w:rsidR="0097275C" w:rsidRDefault="0097275C" w:rsidP="0097275C">
      <w:pPr>
        <w:pStyle w:val="StandardRisoluzionedelConsigliodiStato"/>
        <w:ind w:right="-1"/>
      </w:pPr>
      <w:r>
        <w:t>L’importo richiesto è stato generato a partire dall’esperienza di lungo periodo. Fra il 2006 e il 2025 il Cantone ha versato ai Comuni 100,7 milioni di franchi e ai Consorzi 34,3 milioni. Nel complesso, il sostegno cantonale ha raggiunto 135 milioni, con una media indicativa di circa 6,5 milioni di franchi all’anno. Applicando tale valore a quattro esercizi si ottiene una base di 26 milioni.</w:t>
      </w:r>
    </w:p>
    <w:p w:rsidR="0097275C" w:rsidRDefault="0097275C" w:rsidP="0097275C">
      <w:pPr>
        <w:pStyle w:val="StandardRisoluzionedelConsigliodiStato"/>
        <w:ind w:right="-1"/>
      </w:pPr>
    </w:p>
    <w:p w:rsidR="0097275C" w:rsidRDefault="0097275C" w:rsidP="0097275C">
      <w:pPr>
        <w:pStyle w:val="StandardRisoluzionedelConsigliodiStato"/>
        <w:ind w:right="-1"/>
      </w:pPr>
      <w:r>
        <w:t>A questa base il Consiglio di Stato propone di aggiungere un margine cautelativo di 2 milioni, portando il credito complessivo a 28 milioni. La riserva corrisponde a circa il 7,7 per cento del fabbisogno quadriennale calcolato sulla media storica. Secondo la Commissione, si tratta di una maggiorazione contenuta e giustificata. Essa tiene conto della variabilità dei calendari, del possibile aumento delle domande nei primi anni di applicazione della nuova legge e della necessità di non interrompere opere mature per una differenza limitata rispetto alla media.</w:t>
      </w:r>
    </w:p>
    <w:p w:rsidR="0097275C" w:rsidRDefault="0097275C" w:rsidP="0097275C">
      <w:pPr>
        <w:pStyle w:val="StandardRisoluzionedelConsigliodiStato"/>
        <w:ind w:right="-1"/>
      </w:pPr>
      <w:r>
        <w:t xml:space="preserve">Il metodo adottato è preferibile alla semplice somma dei preventivi dei progetti annunciati. Questi ultimi possono ancora cambiare per effetto delle gare, delle condizioni di cantiere </w:t>
      </w:r>
      <w:r>
        <w:lastRenderedPageBreak/>
        <w:t>o delle modifiche tecniche. Una serie storica di venti anni offre invece una base più stabile e riduce il rischio che il credito sia sovrastimato in funzione di programmi non ancora consolidati. La riserva non è destinata a finanziare liberamente nuove spese, ma ad assorbire scostamenti reali all’interno delle categorie previste dalla legge.</w:t>
      </w:r>
    </w:p>
    <w:p w:rsidR="0097275C" w:rsidRDefault="0097275C" w:rsidP="0097275C">
      <w:pPr>
        <w:pStyle w:val="StandardRisoluzionedelConsigliodiStato"/>
        <w:ind w:right="-1"/>
      </w:pPr>
    </w:p>
    <w:p w:rsidR="0097275C" w:rsidRDefault="0097275C" w:rsidP="0097275C">
      <w:pPr>
        <w:pStyle w:val="StandardRisoluzionedelConsigliodiStato"/>
        <w:ind w:right="-1"/>
      </w:pPr>
      <w:r>
        <w:t>Il messaggio ricorda che, in passato, i sussidi effettivamente versati sono risultati mediamente inferiori del 12 per cento agli importi stanziati. Il dato conferma che fra decisione iniziale e consuntivo possono emergere economie, ritardi o modifiche. Non ne consegue tuttavia che il credito debba essere automaticamente ridotto della stessa percentuale. Il vantaggio del quadro quadriennale consiste proprio nel poter compensare minori impieghi su alcune opere con maggiori necessità su altre, sempre senza oltrepassare il limite complessivo.</w:t>
      </w:r>
    </w:p>
    <w:p w:rsidR="0097275C" w:rsidRDefault="0097275C" w:rsidP="0097275C">
      <w:pPr>
        <w:pStyle w:val="StandardRisoluzionedelConsigliodiStato"/>
        <w:ind w:right="-1"/>
      </w:pPr>
    </w:p>
    <w:p w:rsidR="0097275C" w:rsidRDefault="0097275C" w:rsidP="0097275C">
      <w:pPr>
        <w:pStyle w:val="StandardRisoluzionedelConsigliodiStato"/>
        <w:ind w:right="-1"/>
      </w:pPr>
      <w:r>
        <w:t>La Commissione ribadisce quindi che i 28 milioni non costituiscono una spesa da raggiungere. Se il volume dei progetti approvati e dei costi riconosciuti sarà inferiore, il saldo non verrà usato. Lo stanziamento fissa il massimo degli impegni che il Cantone potrà assumere nel periodo. Tale impostazione è coerente con il Piano finanziario degli investimenti e, considerata l’entità del credito, richiede l’approvazione con la maggioranza prevista dalla legislazione sulla gestione finanziaria dello Stato.</w:t>
      </w:r>
    </w:p>
    <w:p w:rsidR="0097275C" w:rsidRDefault="0097275C" w:rsidP="0097275C">
      <w:pPr>
        <w:pStyle w:val="StandardRisoluzionedelConsigliodiStato"/>
        <w:ind w:right="-1"/>
      </w:pPr>
    </w:p>
    <w:p w:rsidR="0097275C" w:rsidRDefault="0097275C" w:rsidP="0097275C">
      <w:pPr>
        <w:pStyle w:val="StandardRisoluzionedelConsigliodiStato"/>
        <w:ind w:right="-1"/>
      </w:pPr>
    </w:p>
    <w:p w:rsidR="0097275C" w:rsidRPr="0010311F" w:rsidRDefault="0097275C" w:rsidP="0010311F">
      <w:pPr>
        <w:pStyle w:val="Titolo1"/>
        <w:tabs>
          <w:tab w:val="left" w:pos="567"/>
        </w:tabs>
        <w:spacing w:before="0"/>
        <w:ind w:left="567" w:hanging="567"/>
        <w:jc w:val="both"/>
        <w:rPr>
          <w:rFonts w:eastAsia="Calibri" w:cs="Times New Roman"/>
          <w:caps/>
          <w:sz w:val="24"/>
          <w:szCs w:val="24"/>
          <w:lang w:val="it-IT" w:eastAsia="it-IT"/>
        </w:rPr>
      </w:pPr>
      <w:r w:rsidRPr="0010311F">
        <w:rPr>
          <w:rFonts w:eastAsia="Calibri" w:cs="Times New Roman"/>
          <w:caps/>
          <w:sz w:val="24"/>
          <w:szCs w:val="24"/>
          <w:lang w:val="it-IT" w:eastAsia="it-IT"/>
        </w:rPr>
        <w:t>5.</w:t>
      </w:r>
      <w:r w:rsidRPr="0010311F">
        <w:rPr>
          <w:rFonts w:eastAsia="Calibri" w:cs="Times New Roman"/>
          <w:caps/>
          <w:sz w:val="24"/>
          <w:szCs w:val="24"/>
          <w:lang w:val="it-IT" w:eastAsia="it-IT"/>
        </w:rPr>
        <w:tab/>
        <w:t>Equità del sostegno e responsabilità degli enti locali</w:t>
      </w:r>
    </w:p>
    <w:p w:rsidR="0097275C" w:rsidRDefault="0097275C" w:rsidP="0097275C">
      <w:pPr>
        <w:pStyle w:val="StandardRisoluzionedelConsigliodiStato"/>
        <w:ind w:right="-1"/>
      </w:pPr>
      <w:r>
        <w:t>Uno degli aspetti rilevanti del sistema è la possibilità di "graduare" il contributo cantonale in funzione della capacità finanziaria dell’ente beneficiario, entro i limiti stabiliti dalla legge. La Commissione condivide questo criterio: poiché i costi delle infrastrutture di smaltimento non sono proporzionali alla sola popolazione. Un Comune piccolo, montano o caratterizzato da insediamenti dispersi può dover realizzare lunghi tratti di rete per servire un numero limitato di abitanti. A parità di interesse ambientale, l’onere per residente può risultare molto superiore a quello sopportato da un centro più popoloso e finanziariamente solido.</w:t>
      </w:r>
    </w:p>
    <w:p w:rsidR="0097275C" w:rsidRDefault="0097275C" w:rsidP="0097275C">
      <w:pPr>
        <w:pStyle w:val="StandardRisoluzionedelConsigliodiStato"/>
        <w:ind w:right="-1"/>
      </w:pPr>
    </w:p>
    <w:p w:rsidR="0097275C" w:rsidRDefault="0097275C" w:rsidP="0097275C">
      <w:pPr>
        <w:pStyle w:val="StandardRisoluzionedelConsigliodiStato"/>
        <w:ind w:right="-1"/>
      </w:pPr>
      <w:r>
        <w:t>Una percentuale uniforme rischierebbe quindi di produrre un’uguaglianza soltanto apparente. La graduazione del sussidio consente invece di sostenere maggiormente gli enti che, senza un aiuto adeguato, potrebbero rinviare opere indispensabili o trasferire costi eccessivi sulle economie domestiche. Il principio è coerente con la natura sovracomunale della protezione delle acque: la qualità di un corso d’acqua, di un lago o di una falda non può dipendere unicamente dalla forza fiscale del Comune nel quale si trova l’infrastruttura.</w:t>
      </w:r>
    </w:p>
    <w:p w:rsidR="0097275C" w:rsidRDefault="0097275C" w:rsidP="0097275C">
      <w:pPr>
        <w:pStyle w:val="StandardRisoluzionedelConsigliodiStato"/>
        <w:ind w:right="-1"/>
      </w:pPr>
    </w:p>
    <w:p w:rsidR="0097275C" w:rsidRDefault="0097275C" w:rsidP="0097275C">
      <w:pPr>
        <w:pStyle w:val="StandardRisoluzionedelConsigliodiStato"/>
        <w:ind w:right="-1"/>
      </w:pPr>
      <w:r>
        <w:t>Il nuovo meccanismo permette inoltre di fissare l’aliquota sulla base della situazione finanziaria più vicina all’avvio del cantiere. Nella procedura precedente poteva trascorrere un periodo significativo fra l’approvazione tecnica dell’opera, la preparazione del messaggio e la decisione parlamentare. Nel frattempo la forza finanziaria del Comune poteva cambiare. Una decisione più tempestiva migliora la corrispondenza fra il contributo e le condizioni effettive dell’ente.</w:t>
      </w:r>
    </w:p>
    <w:p w:rsidR="0097275C" w:rsidRDefault="0097275C" w:rsidP="0097275C">
      <w:pPr>
        <w:pStyle w:val="StandardRisoluzionedelConsigliodiStato"/>
        <w:ind w:right="-1"/>
      </w:pPr>
      <w:r>
        <w:t xml:space="preserve">Il sostegno cantonale non elimina però la responsabilità locale. Comuni e Consorzi continueranno a finanziare la parte non coperta, a organizzare le procedure di aggiudicazione, a realizzare le opere e a sostenerne in seguito l’esercizio e la manutenzione. Restano escluse dal sussidio le spese correnti e le opere già finanziate in </w:t>
      </w:r>
      <w:r>
        <w:lastRenderedPageBreak/>
        <w:t>precedenza. Gli enti mantengono quindi un interesse diretto a scegliere soluzioni proporzionate, a sorvegliare i costi e a conservare nel tempo il valore delle infrastrutture.</w:t>
      </w:r>
    </w:p>
    <w:p w:rsidR="0097275C" w:rsidRDefault="0097275C" w:rsidP="0097275C">
      <w:pPr>
        <w:pStyle w:val="StandardRisoluzionedelConsigliodiStato"/>
        <w:ind w:right="-1"/>
      </w:pPr>
    </w:p>
    <w:p w:rsidR="0097275C" w:rsidRDefault="0097275C" w:rsidP="0097275C">
      <w:pPr>
        <w:pStyle w:val="StandardRisoluzionedelConsigliodiStato"/>
        <w:ind w:right="-1"/>
      </w:pPr>
      <w:r>
        <w:t>Quando intervengono contributi federali, il sostegno cantonale deve essere coordinato affinché il finanziamento pubblico complessivo non superi i limiti applicabili. La Commissione ritiene che tale coordinamento debba risultare chiaramente dalle singole decisioni. La trasparenza sul costo riconosciuto, sull’aliquota cantonale e sugli eventuali altri contributi è necessaria sia per impedire sovvenzionamenti eccedenti, sia per garantire parità di trattamento fra enti in situazioni comparabili.</w:t>
      </w:r>
    </w:p>
    <w:p w:rsidR="0097275C" w:rsidRDefault="0097275C" w:rsidP="0097275C">
      <w:pPr>
        <w:pStyle w:val="StandardRisoluzionedelConsigliodiStato"/>
        <w:ind w:right="-1"/>
      </w:pPr>
    </w:p>
    <w:p w:rsidR="0010311F" w:rsidRDefault="0010311F" w:rsidP="0097275C">
      <w:pPr>
        <w:pStyle w:val="StandardRisoluzionedelConsigliodiStato"/>
        <w:ind w:right="-1"/>
      </w:pPr>
    </w:p>
    <w:p w:rsidR="0097275C" w:rsidRPr="0010311F" w:rsidRDefault="0097275C" w:rsidP="0010311F">
      <w:pPr>
        <w:pStyle w:val="Titolo1"/>
        <w:tabs>
          <w:tab w:val="left" w:pos="567"/>
        </w:tabs>
        <w:spacing w:before="0"/>
        <w:ind w:left="567" w:hanging="567"/>
        <w:jc w:val="both"/>
        <w:rPr>
          <w:rFonts w:eastAsia="Calibri" w:cs="Times New Roman"/>
          <w:caps/>
          <w:sz w:val="24"/>
          <w:szCs w:val="24"/>
          <w:lang w:val="it-IT" w:eastAsia="it-IT"/>
        </w:rPr>
      </w:pPr>
      <w:r w:rsidRPr="0010311F">
        <w:rPr>
          <w:rFonts w:eastAsia="Calibri" w:cs="Times New Roman"/>
          <w:caps/>
          <w:sz w:val="24"/>
          <w:szCs w:val="24"/>
          <w:lang w:val="it-IT" w:eastAsia="it-IT"/>
        </w:rPr>
        <w:t>6.</w:t>
      </w:r>
      <w:r w:rsidRPr="0010311F">
        <w:rPr>
          <w:rFonts w:eastAsia="Calibri" w:cs="Times New Roman"/>
          <w:caps/>
          <w:sz w:val="24"/>
          <w:szCs w:val="24"/>
          <w:lang w:val="it-IT" w:eastAsia="it-IT"/>
        </w:rPr>
        <w:tab/>
        <w:t>Valore ambientale, sanitario e territoriale</w:t>
      </w:r>
    </w:p>
    <w:p w:rsidR="0097275C" w:rsidRDefault="0097275C" w:rsidP="0097275C">
      <w:pPr>
        <w:pStyle w:val="StandardRisoluzionedelConsigliodiStato"/>
        <w:ind w:right="-1"/>
      </w:pPr>
      <w:r>
        <w:t>Le canalizzazioni e gli impianti di depurazione sono infrastrutture poco visibili, ma determinanti per la qualità della vita. Essi raccolgono le acque di scarico, le convogliano in condizioni di sicurezza e permettono di trattarle prima della restituzione all’ambiente. Il loro buon funzionamento protegge corsi d’acqua, laghi, suolo e falde, riduce i rischi igienici e rende possibile uno sviluppo ordinato degli insediamenti e delle attività economiche.</w:t>
      </w:r>
    </w:p>
    <w:p w:rsidR="0097275C" w:rsidRDefault="0097275C" w:rsidP="0097275C">
      <w:pPr>
        <w:pStyle w:val="StandardRisoluzionedelConsigliodiStato"/>
        <w:ind w:right="-1"/>
      </w:pPr>
    </w:p>
    <w:p w:rsidR="0097275C" w:rsidRDefault="0097275C" w:rsidP="0097275C">
      <w:pPr>
        <w:pStyle w:val="StandardRisoluzionedelConsigliodiStato"/>
        <w:ind w:right="-1"/>
      </w:pPr>
      <w:r>
        <w:t>La rete deve essere considerata come un sistema. Una canalizzazione deteriorata può perdere acque luride nel terreno oppure ricevere quantità eccessive di acque estranee, aumentando inutilmente il volume da trattare e i costi energetici degli impianti. Un collettore sottodimensionato può generare criticità a valle. Un intervento isolato, privo di coordinamento con il piano generale di smaltimento, può risolvere un problema locale e crearne altri. Per questo motivo la sussidiabilità deve rimanere collegata alla pianificazione e alla verifica tecnica cantonale.</w:t>
      </w:r>
    </w:p>
    <w:p w:rsidR="0097275C" w:rsidRDefault="0097275C" w:rsidP="0097275C">
      <w:pPr>
        <w:pStyle w:val="StandardRisoluzionedelConsigliodiStato"/>
        <w:ind w:right="-1"/>
      </w:pPr>
    </w:p>
    <w:p w:rsidR="0097275C" w:rsidRDefault="0097275C" w:rsidP="0097275C">
      <w:pPr>
        <w:pStyle w:val="StandardRisoluzionedelConsigliodiStato"/>
        <w:ind w:right="-1"/>
      </w:pPr>
      <w:r>
        <w:t>La nuova legge rafforza la lettura per bacino idrografico. Le acque non rispettano i confini amministrativi e gli effetti di un’opera insufficiente possono manifestarsi in altri Comuni. Il ruolo del Cantone non si giustifica quindi soltanto come aiuto finanziario agli enti locali, ma come garanzia di coerenza fra interventi che producono conseguenze ambientali sovracomunali.</w:t>
      </w:r>
    </w:p>
    <w:p w:rsidR="0097275C" w:rsidRDefault="0097275C" w:rsidP="0097275C">
      <w:pPr>
        <w:pStyle w:val="StandardRisoluzionedelConsigliodiStato"/>
        <w:ind w:right="-1"/>
      </w:pPr>
    </w:p>
    <w:p w:rsidR="0097275C" w:rsidRDefault="0097275C" w:rsidP="0097275C">
      <w:pPr>
        <w:pStyle w:val="StandardRisoluzionedelConsigliodiStato"/>
        <w:ind w:right="-1"/>
      </w:pPr>
      <w:r>
        <w:t>In questa prospettiva, le soluzioni consortili possono offrire vantaggi importanti. La collaborazione tra più Comuni permette di evitare la moltiplicazione di impianti, concentrare le competenze, ripartire gli oneri e dimensionare le infrastrutture secondo le esigenze reali del comprensorio. Il credito quadro non deve privilegiare automaticamente una forma organizzativa, ma deve sostenere le soluzioni che dimostrano maggiore efficacia ambientale ed economicità nel lungo periodo.</w:t>
      </w:r>
    </w:p>
    <w:p w:rsidR="0097275C" w:rsidRDefault="0097275C" w:rsidP="0097275C">
      <w:pPr>
        <w:pStyle w:val="StandardRisoluzionedelConsigliodiStato"/>
        <w:ind w:right="-1"/>
      </w:pPr>
    </w:p>
    <w:p w:rsidR="0097275C" w:rsidRDefault="0097275C" w:rsidP="0097275C">
      <w:pPr>
        <w:pStyle w:val="StandardRisoluzionedelConsigliodiStato"/>
        <w:ind w:right="-1"/>
      </w:pPr>
      <w:r>
        <w:t xml:space="preserve">La Commissione richiama inoltre l’importanza del coordinamento con gli altri lavori pubblici. Quando una strada è già interessata dalla posa di condotte dell’acqua potabile, reti energetiche o infrastrutture di comunicazione, l’esecuzione contestuale delle canalizzazioni può evitare un secondo scavo, ridurre i disagi e limitare i costi complessivi. </w:t>
      </w:r>
    </w:p>
    <w:p w:rsidR="0097275C" w:rsidRDefault="0097275C" w:rsidP="0097275C">
      <w:pPr>
        <w:pStyle w:val="StandardRisoluzionedelConsigliodiStato"/>
        <w:ind w:left="426" w:right="-1" w:hanging="426"/>
      </w:pPr>
    </w:p>
    <w:p w:rsidR="0097275C" w:rsidRDefault="0097275C" w:rsidP="0097275C">
      <w:pPr>
        <w:pStyle w:val="StandardRisoluzionedelConsigliodiStato"/>
        <w:ind w:right="-1"/>
      </w:pPr>
      <w:r>
        <w:t>La maggiore rapidità decisionale consentita dal credito quadro può favorire queste sinergie, a condizione che i progetti siano tecnicamente pronti.</w:t>
      </w:r>
    </w:p>
    <w:p w:rsidR="0097275C" w:rsidRDefault="0097275C" w:rsidP="0097275C">
      <w:pPr>
        <w:pStyle w:val="StandardRisoluzionedelConsigliodiStato"/>
        <w:ind w:right="-1"/>
      </w:pPr>
      <w:r>
        <w:t xml:space="preserve">Infine, la valutazione economica non dovrebbe fermarsi al prezzo iniziale. Materiali, durata, accessibilità per la manutenzione, consumi energetici e affidabilità incidono sul costo dell’intero ciclo di vita. Una soluzione meno cara al momento dell’appalto può rivelarsi più </w:t>
      </w:r>
      <w:r>
        <w:lastRenderedPageBreak/>
        <w:t>onerosa negli anni successivi. Il controllo cantonale deve quindi promuovere investimenti durevoli, compatibili con lo stato della tecnica e capaci di contenere gli oneri futuri per gli enti e per gli utenti.</w:t>
      </w:r>
    </w:p>
    <w:p w:rsidR="0097275C" w:rsidRDefault="0097275C" w:rsidP="0097275C">
      <w:pPr>
        <w:pStyle w:val="StandardRisoluzionedelConsigliodiStato"/>
        <w:ind w:right="-1"/>
      </w:pPr>
    </w:p>
    <w:p w:rsidR="0097275C" w:rsidRDefault="0097275C" w:rsidP="0097275C">
      <w:pPr>
        <w:pStyle w:val="StandardRisoluzionedelConsigliodiStato"/>
        <w:ind w:right="-1"/>
      </w:pPr>
    </w:p>
    <w:p w:rsidR="0097275C" w:rsidRPr="0010311F" w:rsidRDefault="0097275C" w:rsidP="0010311F">
      <w:pPr>
        <w:pStyle w:val="Titolo1"/>
        <w:tabs>
          <w:tab w:val="left" w:pos="567"/>
        </w:tabs>
        <w:spacing w:before="0"/>
        <w:ind w:left="567" w:hanging="567"/>
        <w:jc w:val="both"/>
        <w:rPr>
          <w:rFonts w:eastAsia="Calibri" w:cs="Times New Roman"/>
          <w:caps/>
          <w:sz w:val="24"/>
          <w:szCs w:val="24"/>
          <w:lang w:val="it-IT" w:eastAsia="it-IT"/>
        </w:rPr>
      </w:pPr>
      <w:r w:rsidRPr="0010311F">
        <w:rPr>
          <w:rFonts w:eastAsia="Calibri" w:cs="Times New Roman"/>
          <w:caps/>
          <w:sz w:val="24"/>
          <w:szCs w:val="24"/>
          <w:lang w:val="it-IT" w:eastAsia="it-IT"/>
        </w:rPr>
        <w:t>7.</w:t>
      </w:r>
      <w:r w:rsidRPr="0010311F">
        <w:rPr>
          <w:rFonts w:eastAsia="Calibri" w:cs="Times New Roman"/>
          <w:caps/>
          <w:sz w:val="24"/>
          <w:szCs w:val="24"/>
          <w:lang w:val="it-IT" w:eastAsia="it-IT"/>
        </w:rPr>
        <w:tab/>
        <w:t>Limiti, verifiche e controllo parlamentare</w:t>
      </w:r>
    </w:p>
    <w:p w:rsidR="0097275C" w:rsidRDefault="0097275C" w:rsidP="0097275C">
      <w:pPr>
        <w:pStyle w:val="StandardRisoluzionedelConsigliodiStato"/>
        <w:ind w:right="-1"/>
      </w:pPr>
      <w:r>
        <w:t>Il preavviso favorevole della Commissione è accompagnato da esigenza chiara: la semplificazione procedurale deve essere compensata da una rendicontazione più leggibile e sistematica. Il Parlamento non riceverà più ogni anno, prima dello stanziamento, l’elenco completo delle opere ordinarie. Dovrà quindi poter verificare a posteriori come il Consiglio di Stato ha utilizzato il limite autorizzato, quali enti sono stati sostenuti, quali aliquote sono state applicate e quale parte del credito rimane disponibile.</w:t>
      </w:r>
    </w:p>
    <w:p w:rsidR="0097275C" w:rsidRDefault="0097275C" w:rsidP="0097275C">
      <w:pPr>
        <w:pStyle w:val="StandardRisoluzionedelConsigliodiStato"/>
        <w:ind w:right="-1"/>
      </w:pPr>
    </w:p>
    <w:p w:rsidR="0097275C" w:rsidRDefault="0097275C" w:rsidP="0097275C">
      <w:pPr>
        <w:pStyle w:val="StandardRisoluzionedelConsigliodiStato"/>
        <w:ind w:right="-1"/>
      </w:pPr>
      <w:r>
        <w:t>La concessione del singolo sussidio resta subordinata all’approvazione del progetto. Per le opere di costruzione, potenziamento e adeguamento, il versamento definitivo deve essere legato alla realizzazione, al collaudo e all’approvazione dei consuntivi. Il Cantone non finanzia quindi in via conclusiva un’intenzione o un preventivo, ma un’opera eseguita e controllata. Questo passaggio è essenziale per escludere costi non riconoscibili e per adeguare il contributo all’importo effettivo.</w:t>
      </w:r>
    </w:p>
    <w:p w:rsidR="0097275C" w:rsidRDefault="0097275C" w:rsidP="0097275C">
      <w:pPr>
        <w:pStyle w:val="StandardRisoluzionedelConsigliodiStato"/>
        <w:ind w:right="-1"/>
      </w:pPr>
    </w:p>
    <w:p w:rsidR="0097275C" w:rsidRDefault="0097275C" w:rsidP="0097275C">
      <w:pPr>
        <w:pStyle w:val="StandardRisoluzionedelConsigliodiStato"/>
        <w:ind w:right="-1"/>
      </w:pPr>
      <w:r>
        <w:t>Il disegno di decreto prevede la trasmissione annuale al Gran Consiglio del consuntivo dei sussidi stanziati e versati. Secondo la Commissione, il rendiconto dovrebbe indicare per ciascun intervento almeno l’ente beneficiario, la natura dell’opera, il costo preventivato, il costo riconosciuto, l’aliquota di sussidio, il credito concesso, l’importo già versato, lo stato di avanzamento e, per i cantieri terminati, il costo finale approvato.</w:t>
      </w:r>
    </w:p>
    <w:p w:rsidR="0097275C" w:rsidRDefault="0097275C" w:rsidP="0097275C">
      <w:pPr>
        <w:pStyle w:val="StandardRisoluzionedelConsigliodiStato"/>
        <w:ind w:right="-1"/>
      </w:pPr>
      <w:r>
        <w:t>È altrettanto importante distinguere fra stanziamento complessivo, crediti d’opera già concessi, impegni non ancora liquidati, pagamenti effettuati e saldo libero. Senza questa separazione si rischierebbe di confondere somme formalmente riservate con spese già sostenute, rendendo meno trasparente il fabbisogno residuo. La rendicontazione deve consentire al Parlamento di ricostruire in modo immediato il rapporto fra limite autorizzato e utilizzo effettivo.</w:t>
      </w:r>
    </w:p>
    <w:p w:rsidR="0097275C" w:rsidRDefault="0097275C" w:rsidP="0097275C">
      <w:pPr>
        <w:pStyle w:val="StandardRisoluzionedelConsigliodiStato"/>
        <w:ind w:right="-1"/>
      </w:pPr>
    </w:p>
    <w:p w:rsidR="0097275C" w:rsidRDefault="0097275C" w:rsidP="0097275C">
      <w:pPr>
        <w:pStyle w:val="StandardRisoluzionedelConsigliodiStato"/>
        <w:ind w:right="-1"/>
      </w:pPr>
      <w:r>
        <w:t>Gli scostamenti significativi fra preventivo e consuntivo dovranno essere spiegati. Potranno derivare da condizioni del sottosuolo, modifiche progettuali, esiti delle gare, rincari, economie o variazioni delle quantità. L’analisi sistematica di tali differenze non serve soltanto al controllo dell’opera conclusa: permette di migliorare le stime dei progetti successivi e di calibrare con maggiore precisione i futuri crediti quadro.</w:t>
      </w:r>
    </w:p>
    <w:p w:rsidR="0097275C" w:rsidRDefault="0097275C" w:rsidP="0097275C">
      <w:pPr>
        <w:pStyle w:val="StandardRisoluzionedelConsigliodiStato"/>
        <w:ind w:right="-1"/>
      </w:pPr>
    </w:p>
    <w:p w:rsidR="0097275C" w:rsidRDefault="0097275C" w:rsidP="0097275C">
      <w:pPr>
        <w:pStyle w:val="StandardRisoluzionedelConsigliodiStato"/>
        <w:ind w:right="-1"/>
      </w:pPr>
      <w:r>
        <w:t>La Commissione ritiene inoltre utile che i rendiconti mostrino la distribuzione dei contributi tra Comuni e Consorzi e l’applicazione del criterio della capacità finanziaria. Non è richiesta una ripartizione aritmetica fra regioni, poiché le risorse devono seguire la necessità e la maturità dei progetti. Occorre però poter verificare che gli enti finanziariamente più deboli non siano penalizzati e che casi comparabili siano trattati con criteri coerenti.</w:t>
      </w:r>
    </w:p>
    <w:p w:rsidR="0097275C" w:rsidRDefault="0097275C" w:rsidP="0097275C">
      <w:pPr>
        <w:pStyle w:val="StandardRisoluzionedelConsigliodiStato"/>
        <w:ind w:right="-1"/>
      </w:pPr>
      <w:r>
        <w:t>Le singole decisioni dovranno essere pienamente tracciabili. La valutazione tecnica, la determinazione dei costi sussidiabili, l’aliquota applicata, il coordinamento con eventuali contributi federali e l’esito del collaudo devono risultare dalla documentazione. La tracciabilità tutela il Cantone, gli enti beneficiari e il principio della parità di trattamento</w:t>
      </w:r>
    </w:p>
    <w:p w:rsidR="0097275C" w:rsidRDefault="0097275C" w:rsidP="0097275C">
      <w:pPr>
        <w:pStyle w:val="StandardRisoluzionedelConsigliodiStato"/>
        <w:ind w:right="-1"/>
      </w:pPr>
      <w:bookmarkStart w:id="0" w:name="_GoBack"/>
      <w:bookmarkEnd w:id="0"/>
    </w:p>
    <w:p w:rsidR="0097275C" w:rsidRDefault="0097275C" w:rsidP="0097275C">
      <w:pPr>
        <w:pStyle w:val="StandardRisoluzionedelConsigliodiStato"/>
        <w:ind w:right="-1"/>
      </w:pPr>
      <w:r>
        <w:lastRenderedPageBreak/>
        <w:t>Permane infine il limite sostanziale della maturità dei progetti. La disponibilità di un credito quadriennale non deve indurre a finanziare opere prive di priorità o insufficientemente preparate. Dovranno essere privilegiati gli interventi giustificati dall’urgenza ambientale e tecnica, conformi alla pianificazione, coordinabili con altri cantieri e sostenibili per l’ente beneficiario. Anche la riserva di 2 milioni dovrà essere utilizzata soltanto in presenza di necessità effettive, e non come semplice margine da consumare entro la fine del periodo.</w:t>
      </w:r>
    </w:p>
    <w:p w:rsidR="0097275C" w:rsidRDefault="0097275C" w:rsidP="0097275C">
      <w:pPr>
        <w:pStyle w:val="StandardRisoluzionedelConsigliodiStato"/>
        <w:ind w:right="-1"/>
      </w:pPr>
    </w:p>
    <w:p w:rsidR="0097275C" w:rsidRDefault="0097275C" w:rsidP="0097275C">
      <w:pPr>
        <w:pStyle w:val="StandardRisoluzionedelConsigliodiStato"/>
        <w:ind w:right="-1"/>
      </w:pPr>
    </w:p>
    <w:p w:rsidR="0097275C" w:rsidRPr="008C400D" w:rsidRDefault="0097275C" w:rsidP="008C400D">
      <w:pPr>
        <w:pStyle w:val="Titolo1"/>
        <w:tabs>
          <w:tab w:val="left" w:pos="567"/>
        </w:tabs>
        <w:spacing w:before="0"/>
        <w:ind w:left="567" w:hanging="567"/>
        <w:jc w:val="both"/>
        <w:rPr>
          <w:rFonts w:eastAsia="Calibri" w:cs="Times New Roman"/>
          <w:caps/>
          <w:sz w:val="24"/>
          <w:szCs w:val="24"/>
          <w:lang w:val="it-IT" w:eastAsia="it-IT"/>
        </w:rPr>
      </w:pPr>
      <w:r w:rsidRPr="008C400D">
        <w:rPr>
          <w:rFonts w:eastAsia="Calibri" w:cs="Times New Roman"/>
          <w:caps/>
          <w:sz w:val="24"/>
          <w:szCs w:val="24"/>
          <w:lang w:val="it-IT" w:eastAsia="it-IT"/>
        </w:rPr>
        <w:t>8.</w:t>
      </w:r>
      <w:r w:rsidRPr="008C400D">
        <w:rPr>
          <w:rFonts w:eastAsia="Calibri" w:cs="Times New Roman"/>
          <w:caps/>
          <w:sz w:val="24"/>
          <w:szCs w:val="24"/>
          <w:lang w:val="it-IT" w:eastAsia="it-IT"/>
        </w:rPr>
        <w:tab/>
        <w:t>Conclusioni</w:t>
      </w:r>
    </w:p>
    <w:p w:rsidR="0097275C" w:rsidRDefault="0097275C" w:rsidP="0097275C">
      <w:pPr>
        <w:pStyle w:val="StandardRisoluzionedelConsigliodiStato"/>
        <w:ind w:right="-1"/>
      </w:pPr>
      <w:r>
        <w:t>La Commissione gestione e finanze ritiene che il credito quadro di 28 milioni di franchi per il quadriennio 2026-2029 sia fondato, proporzionato e coerente con il nuovo ordinamento cantonale sulla gestione delle acque. La soluzione garantisce continuità al sostegno di Comuni e Consorzi, consente di gestire con maggiore flessibilità il calendario delle opere e lascia al Gran Consiglio l’esame separato degli investimenti di carattere eccezionale.</w:t>
      </w:r>
    </w:p>
    <w:p w:rsidR="0097275C" w:rsidRDefault="0097275C" w:rsidP="0097275C">
      <w:pPr>
        <w:pStyle w:val="StandardRisoluzionedelConsigliodiStato"/>
        <w:ind w:right="-1"/>
      </w:pPr>
    </w:p>
    <w:p w:rsidR="0097275C" w:rsidRDefault="0097275C" w:rsidP="0097275C">
      <w:pPr>
        <w:pStyle w:val="StandardRisoluzionedelConsigliodiStato"/>
        <w:ind w:right="-1"/>
      </w:pPr>
      <w:r>
        <w:t xml:space="preserve">Poiché lo stanziamento costituisce un limite massimo e i singoli contributi restano subordinati all’approvazione tecnica, al controllo dei costi, al collaudo e alla verifica dei consuntivi, la Commissione invita il </w:t>
      </w:r>
      <w:r w:rsidR="008C400D">
        <w:t>Gran Consiglio ad approvare il m</w:t>
      </w:r>
      <w:r>
        <w:t xml:space="preserve">essaggio </w:t>
      </w:r>
      <w:r w:rsidR="008C400D">
        <w:t xml:space="preserve">n. </w:t>
      </w:r>
      <w:r>
        <w:t>8723 e il disegno di d</w:t>
      </w:r>
      <w:r w:rsidR="008C400D">
        <w:t>ecreto legislativo allegato al m</w:t>
      </w:r>
      <w:r>
        <w:t>essaggio medesimo, richiamando nel contempo la necessità di una rendicontazione annuale completa e trasparente.</w:t>
      </w:r>
    </w:p>
    <w:p w:rsidR="0097275C" w:rsidRDefault="0097275C" w:rsidP="0097275C">
      <w:pPr>
        <w:pStyle w:val="StandardRisoluzionedelConsigliodiStato"/>
        <w:ind w:right="-1"/>
      </w:pPr>
    </w:p>
    <w:p w:rsidR="008C400D" w:rsidRDefault="008C400D" w:rsidP="0097275C">
      <w:pPr>
        <w:pStyle w:val="StandardRisoluzionedelConsigliodiStato"/>
        <w:ind w:right="-1"/>
      </w:pPr>
    </w:p>
    <w:p w:rsidR="0097275C" w:rsidRDefault="0097275C" w:rsidP="008C400D">
      <w:pPr>
        <w:pStyle w:val="StandardRisoluzionedelConsigliodiStato"/>
        <w:spacing w:after="120"/>
      </w:pPr>
      <w:r>
        <w:t>Per la Commissione gestione e finanze</w:t>
      </w:r>
      <w:r w:rsidR="008C400D">
        <w:t>:</w:t>
      </w:r>
    </w:p>
    <w:p w:rsidR="0097275C" w:rsidRDefault="0097275C" w:rsidP="0097275C">
      <w:pPr>
        <w:pStyle w:val="StandardRisoluzionedelConsigliodiStato"/>
        <w:ind w:right="-1"/>
      </w:pPr>
      <w:r>
        <w:t>Michele Guerra, relatore</w:t>
      </w:r>
    </w:p>
    <w:p w:rsidR="002D5C39" w:rsidRDefault="002D5C39" w:rsidP="0097275C">
      <w:pPr>
        <w:pStyle w:val="StandardRisoluzionedelConsigliodiStato"/>
        <w:ind w:right="-1"/>
      </w:pPr>
      <w:r>
        <w:t xml:space="preserve">Agustoni - Bignasca - Bourgoin - Bühler (con riserva) - </w:t>
      </w:r>
    </w:p>
    <w:p w:rsidR="002D5C39" w:rsidRDefault="002D5C39" w:rsidP="0097275C">
      <w:pPr>
        <w:pStyle w:val="StandardRisoluzionedelConsigliodiStato"/>
        <w:ind w:right="-1"/>
      </w:pPr>
      <w:r>
        <w:t xml:space="preserve">Dadò - Durisch - Ferrara - Gendotti - </w:t>
      </w:r>
    </w:p>
    <w:p w:rsidR="002D5C39" w:rsidRDefault="002D5C39" w:rsidP="0097275C">
      <w:pPr>
        <w:pStyle w:val="StandardRisoluzionedelConsigliodiStato"/>
        <w:ind w:right="-1"/>
      </w:pPr>
      <w:r>
        <w:t xml:space="preserve">Gianella Alessandra - Piccaluga - Quadranti - </w:t>
      </w:r>
    </w:p>
    <w:p w:rsidR="0097275C" w:rsidRPr="00D63171" w:rsidRDefault="002D5C39" w:rsidP="0097275C">
      <w:pPr>
        <w:pStyle w:val="StandardRisoluzionedelConsigliodiStato"/>
        <w:ind w:right="-1"/>
      </w:pPr>
      <w:r>
        <w:t xml:space="preserve">Sirica - Speziali - </w:t>
      </w:r>
      <w:r w:rsidR="0097275C">
        <w:t>Terraneo (con riserva)</w:t>
      </w:r>
    </w:p>
    <w:p w:rsidR="008F52AF" w:rsidRPr="0097275C" w:rsidRDefault="008F52AF" w:rsidP="00D33940">
      <w:pPr>
        <w:pStyle w:val="StandardRisoluzionedelConsigliodiStato"/>
        <w:ind w:right="-1"/>
      </w:pPr>
    </w:p>
    <w:p w:rsidR="00D649A8" w:rsidRPr="0097275C" w:rsidRDefault="00D649A8" w:rsidP="00D33940">
      <w:pPr>
        <w:pStyle w:val="StandardRisoluzionedelConsigliodiStato"/>
        <w:ind w:right="-1"/>
      </w:pPr>
    </w:p>
    <w:p w:rsidR="00D649A8" w:rsidRPr="0097275C" w:rsidRDefault="00D649A8" w:rsidP="00D33940">
      <w:pPr>
        <w:pStyle w:val="StandardRisoluzionedelConsigliodiStato"/>
        <w:ind w:right="-1"/>
      </w:pPr>
    </w:p>
    <w:sectPr w:rsidR="00D649A8" w:rsidRPr="0097275C"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75C" w:rsidRDefault="0097275C" w:rsidP="00F657BF">
      <w:r>
        <w:separator/>
      </w:r>
    </w:p>
  </w:endnote>
  <w:endnote w:type="continuationSeparator" w:id="0">
    <w:p w:rsidR="0097275C" w:rsidRDefault="0097275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211256" w:rsidP="00912E34">
          <w:pPr>
            <w:tabs>
              <w:tab w:val="center" w:pos="2382"/>
            </w:tabs>
          </w:pPr>
        </w:p>
      </w:tc>
      <w:tc>
        <w:tcPr>
          <w:tcW w:w="721" w:type="dxa"/>
        </w:tcPr>
        <w:p w:rsidR="00912E34" w:rsidRPr="003D1008" w:rsidRDefault="00211256"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211256"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211256"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211256">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75C" w:rsidRDefault="0097275C" w:rsidP="00F657BF">
      <w:r>
        <w:separator/>
      </w:r>
    </w:p>
  </w:footnote>
  <w:footnote w:type="continuationSeparator" w:id="0">
    <w:p w:rsidR="0097275C" w:rsidRDefault="0097275C"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211256"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48460C85-2EDD-4EE4-8B2F-8924DBA0077B}"/>
              <w:text w:multiLine="1"/>
            </w:sdtPr>
            <w:sdtEndPr/>
            <w:sdtContent>
              <w:r>
                <w:rPr>
                  <w:rFonts w:ascii="Gill Alt One MT Light" w:hAnsi="Gill Alt One MT Light"/>
                  <w:sz w:val="16"/>
                  <w:szCs w:val="16"/>
                </w:rPr>
                <w:t>Repubblica e Cantone Ticino</w:t>
              </w:r>
            </w:sdtContent>
          </w:sdt>
        </w:p>
        <w:p w:rsidR="005012EC" w:rsidRPr="00E8185F" w:rsidRDefault="00211256"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48460C85-2EDD-4EE4-8B2F-8924DBA0077B}"/>
              <w:text w:multiLine="1"/>
            </w:sdtPr>
            <w:sdtEndPr/>
            <w:sdtContent>
              <w:r w:rsidR="003A6946">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211256"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22500">
            <w:rPr>
              <w:noProof/>
              <w:sz w:val="24"/>
            </w:rPr>
            <w:t>7</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22500">
            <w:rPr>
              <w:noProof/>
              <w:sz w:val="24"/>
            </w:rPr>
            <w:t>7</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48460C85-2EDD-4EE4-8B2F-8924DBA0077B}"/>
          <w:text w:multiLine="1"/>
        </w:sdtPr>
        <w:sdtEndPr/>
        <w:sdtContent>
          <w:tc>
            <w:tcPr>
              <w:tcW w:w="8383" w:type="dxa"/>
              <w:tcBorders>
                <w:left w:val="single" w:sz="4" w:space="0" w:color="auto"/>
              </w:tcBorders>
              <w:tcMar>
                <w:top w:w="0" w:type="dxa"/>
                <w:left w:w="142" w:type="dxa"/>
              </w:tcMar>
            </w:tcPr>
            <w:p w:rsidR="005012EC" w:rsidRPr="00E8185F" w:rsidRDefault="003A6946"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n. 8723 R del 15 settembre 2026</w:t>
              </w:r>
            </w:p>
          </w:tc>
        </w:sdtContent>
      </w:sdt>
      <w:tc>
        <w:tcPr>
          <w:tcW w:w="1710" w:type="dxa"/>
          <w:tcBorders>
            <w:top w:val="single" w:sz="4" w:space="0" w:color="auto"/>
          </w:tcBorders>
        </w:tcPr>
        <w:p w:rsidR="005012EC" w:rsidRPr="00E043A3" w:rsidRDefault="00211256" w:rsidP="00662409">
          <w:pPr>
            <w:pStyle w:val="InvisibleLine"/>
            <w:rPr>
              <w:lang w:val="de-DE"/>
            </w:rPr>
          </w:pPr>
        </w:p>
      </w:tc>
    </w:tr>
  </w:tbl>
  <w:p w:rsidR="00F657BF" w:rsidRPr="00980362" w:rsidRDefault="00211256"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8460C85-2EDD-4EE4-8B2F-8924DBA0077B}"/>
                            <w:text w:multiLine="1"/>
                          </w:sdtPr>
                          <w:sdtEndPr/>
                          <w:sdtContent>
                            <w:p w:rsidR="008065E8" w:rsidRPr="00411371" w:rsidRDefault="00211256"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8460C85-2EDD-4EE4-8B2F-8924DBA0077B}"/>
                      <w:text w:multiLine="1"/>
                    </w:sdtPr>
                    <w:sdtEndPr/>
                    <w:sdtContent>
                      <w:p w:rsidR="008065E8" w:rsidRPr="00411371" w:rsidRDefault="00211256"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211256" w:rsidP="00932E26">
          <w:pPr>
            <w:pStyle w:val="InvisibleLine"/>
            <w:spacing w:line="240" w:lineRule="auto"/>
            <w:ind w:left="15"/>
            <w:rPr>
              <w:rFonts w:ascii="Gill Alt One MT Light" w:hAnsi="Gill Alt One MT Light"/>
              <w:sz w:val="16"/>
              <w:lang w:val="it-CH"/>
            </w:rPr>
          </w:pPr>
        </w:p>
        <w:p w:rsidR="00CD5F73" w:rsidRDefault="00211256"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211256"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211256" w:rsidP="00D07D6E">
          <w:pPr>
            <w:pStyle w:val="Level"/>
            <w:ind w:left="150"/>
            <w:rPr>
              <w:sz w:val="16"/>
            </w:rPr>
          </w:pPr>
        </w:p>
      </w:tc>
      <w:tc>
        <w:tcPr>
          <w:tcW w:w="209" w:type="pct"/>
          <w:tcBorders>
            <w:top w:val="nil"/>
            <w:bottom w:val="single" w:sz="4" w:space="0" w:color="auto"/>
          </w:tcBorders>
        </w:tcPr>
        <w:p w:rsidR="00662409" w:rsidRDefault="00211256"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32032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211256"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B08AD">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B08AD">
            <w:rPr>
              <w:rFonts w:asciiTheme="minorHAnsi" w:hAnsiTheme="minorHAnsi" w:cstheme="minorHAnsi"/>
              <w:noProof/>
              <w:sz w:val="24"/>
            </w:rPr>
            <w:t>7</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8460C85-2EDD-4EE4-8B2F-8924DBA0077B}"/>
          <w:text w:multiLine="1"/>
        </w:sdtPr>
        <w:sdtEndPr/>
        <w:sdtContent>
          <w:tc>
            <w:tcPr>
              <w:tcW w:w="5000" w:type="pct"/>
              <w:gridSpan w:val="6"/>
              <w:tcBorders>
                <w:left w:val="nil"/>
                <w:right w:val="nil"/>
              </w:tcBorders>
              <w:noWrap/>
              <w:tcMar>
                <w:top w:w="0" w:type="dxa"/>
              </w:tcMar>
              <w:vAlign w:val="bottom"/>
            </w:tcPr>
            <w:p w:rsidR="00662409" w:rsidRPr="008C03B5" w:rsidRDefault="003A6946"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211256"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211256"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211256"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211256"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211256"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211256"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211256"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8460C85-2EDD-4EE4-8B2F-8924DBA0077B}"/>
              <w:text w:multiLine="1"/>
            </w:sdtPr>
            <w:sdtEndPr/>
            <w:sdtContent>
              <w:r w:rsidR="003A6946">
                <w:rPr>
                  <w:rFonts w:cstheme="minorHAnsi"/>
                  <w:b/>
                  <w:sz w:val="24"/>
                  <w:szCs w:val="24"/>
                </w:rPr>
                <w:t>8723 R</w:t>
              </w:r>
            </w:sdtContent>
          </w:sdt>
        </w:p>
      </w:tc>
      <w:sdt>
        <w:sdtPr>
          <w:rPr>
            <w:sz w:val="24"/>
          </w:rPr>
          <w:alias w:val="DocParam.Date"/>
          <w:id w:val="-464426178"/>
          <w:dataBinding w:xpath="//DateTime[@id='DocParam.Date']" w:storeItemID="{48460C85-2EDD-4EE4-8B2F-8924DBA0077B}"/>
          <w:date w:fullDate="2026-09-1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3A6946" w:rsidP="00A532F6">
              <w:pPr>
                <w:pStyle w:val="Data"/>
              </w:pPr>
              <w:r>
                <w:rPr>
                  <w:sz w:val="24"/>
                </w:rPr>
                <w:t>15 settembre 2026</w:t>
              </w:r>
            </w:p>
          </w:tc>
        </w:sdtContent>
      </w:sdt>
      <w:tc>
        <w:tcPr>
          <w:tcW w:w="3218" w:type="pct"/>
          <w:gridSpan w:val="4"/>
          <w:tcBorders>
            <w:top w:val="nil"/>
            <w:left w:val="nil"/>
            <w:bottom w:val="nil"/>
            <w:right w:val="nil"/>
          </w:tcBorders>
        </w:tcPr>
        <w:p w:rsidR="008C03B5" w:rsidRPr="00BE22A2" w:rsidRDefault="00211256"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8460C85-2EDD-4EE4-8B2F-8924DBA0077B}"/>
              <w:text w:multiLine="1"/>
            </w:sdtPr>
            <w:sdtEndPr/>
            <w:sdtContent>
              <w:r w:rsidR="003A6946">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211256" w:rsidP="00D07D6E">
          <w:pPr>
            <w:pStyle w:val="Level"/>
            <w:ind w:left="150"/>
            <w:rPr>
              <w:rFonts w:ascii="Gill Alt One MT Light" w:hAnsi="Gill Alt One MT Light"/>
              <w:sz w:val="16"/>
              <w:szCs w:val="16"/>
            </w:rPr>
          </w:pPr>
        </w:p>
      </w:tc>
    </w:tr>
  </w:tbl>
  <w:p w:rsidR="00F657BF" w:rsidRPr="00DA2879" w:rsidRDefault="00211256"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283358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8460C85-2EDD-4EE4-8B2F-8924DBA0077B}"/>
                            <w:text w:multiLine="1"/>
                          </w:sdtPr>
                          <w:sdtEndPr/>
                          <w:sdtContent>
                            <w:p w:rsidR="00E93620" w:rsidRPr="00411371" w:rsidRDefault="00211256"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8460C85-2EDD-4EE4-8B2F-8924DBA0077B}"/>
                      <w:text w:multiLine="1"/>
                    </w:sdtPr>
                    <w:sdtEndPr/>
                    <w:sdtContent>
                      <w:p w:rsidR="00E93620" w:rsidRPr="00411371" w:rsidRDefault="00211256"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75C"/>
    <w:rsid w:val="0010311F"/>
    <w:rsid w:val="00211256"/>
    <w:rsid w:val="002B5D9F"/>
    <w:rsid w:val="002D5C39"/>
    <w:rsid w:val="003A6946"/>
    <w:rsid w:val="003B756D"/>
    <w:rsid w:val="003C1FEA"/>
    <w:rsid w:val="00403ADB"/>
    <w:rsid w:val="00572FD3"/>
    <w:rsid w:val="00591199"/>
    <w:rsid w:val="005C5B7D"/>
    <w:rsid w:val="008720C4"/>
    <w:rsid w:val="008C400D"/>
    <w:rsid w:val="008F52AF"/>
    <w:rsid w:val="0097275C"/>
    <w:rsid w:val="009C5E5A"/>
    <w:rsid w:val="00A65114"/>
    <w:rsid w:val="00AF0268"/>
    <w:rsid w:val="00B22500"/>
    <w:rsid w:val="00B92979"/>
    <w:rsid w:val="00BF0A1F"/>
    <w:rsid w:val="00CB08AD"/>
    <w:rsid w:val="00CE6958"/>
    <w:rsid w:val="00D33940"/>
    <w:rsid w:val="00D600FD"/>
    <w:rsid w:val="00D649A8"/>
    <w:rsid w:val="00E35CB6"/>
    <w:rsid w:val="00EB088A"/>
    <w:rsid w:val="00F657BF"/>
    <w:rsid w:val="00FD694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E60603"/>
  <w15:docId w15:val="{DF79B6F5-B2C8-4E09-B7C1-A5B069D83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7275C"/>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CB08A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B08AD"/>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dce55ae4-e8fd-4f64-9128-b87b650657e2.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1320324474</Id>
      <Width>0</Width>
      <Height>0</Height>
      <XPath>//Image[@id='Profile.Org.WappenSW']</XPath>
      <ImageHash>02f1c0cdac6aeac316213b2e7cb733a0</ImageHash>
    </ImageSizeDefinition>
    <ImageSizeDefinition>
      <Id>1283358276</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578F88E7-51F1-4872-B89A-7B49D01F69EC}">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48460C85-2EDD-4EE4-8B2F-8924DBA0077B}">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dce55ae4-e8fd-4f64-9128-b87b650657e2.dotx</Template>
  <TotalTime>9</TotalTime>
  <Pages>7</Pages>
  <Words>2987</Words>
  <Characters>18584</Characters>
  <Application>Microsoft Office Word</Application>
  <DocSecurity>0</DocSecurity>
  <Lines>314</Lines>
  <Paragraphs>58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11</cp:revision>
  <cp:lastPrinted>2026-09-22T08:49:00Z</cp:lastPrinted>
  <dcterms:created xsi:type="dcterms:W3CDTF">2026-09-22T08:40:00Z</dcterms:created>
  <dcterms:modified xsi:type="dcterms:W3CDTF">2026-09-22T08:49:00Z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