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531335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26 dicembre 2018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191.18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3E5C6B" w:rsidRPr="00531335" w:rsidRDefault="003E5C6B" w:rsidP="003E5C6B">
      <w:pPr>
        <w:overflowPunct w:val="0"/>
        <w:rPr>
          <w:rFonts w:ascii="Arial" w:hAnsi="Arial" w:cs="Arial"/>
          <w:sz w:val="26"/>
          <w:szCs w:val="26"/>
        </w:rPr>
      </w:pPr>
      <w:r w:rsidRPr="00531335">
        <w:rPr>
          <w:rFonts w:ascii="Arial" w:hAnsi="Arial" w:cs="Arial"/>
          <w:b/>
          <w:bCs/>
          <w:iCs/>
          <w:sz w:val="26"/>
          <w:szCs w:val="26"/>
        </w:rPr>
        <w:t>Il Canton Ticino come applica la legislazione sui cittadini stranieri e come tiene conto del</w:t>
      </w:r>
      <w:r w:rsidRPr="00531335">
        <w:rPr>
          <w:rFonts w:ascii="Arial" w:hAnsi="Arial" w:cs="Arial"/>
          <w:b/>
          <w:bCs/>
          <w:iCs/>
          <w:color w:val="2B2B2B"/>
          <w:sz w:val="26"/>
          <w:szCs w:val="26"/>
        </w:rPr>
        <w:t>la giurisprudenza?</w:t>
      </w:r>
    </w:p>
    <w:p w:rsidR="003E5C6B" w:rsidRDefault="003E5C6B" w:rsidP="003E5C6B">
      <w:pPr>
        <w:overflowPunct w:val="0"/>
        <w:rPr>
          <w:rFonts w:ascii="Arial" w:hAnsi="Arial" w:cs="Arial"/>
          <w:iCs/>
          <w:szCs w:val="24"/>
        </w:rPr>
      </w:pPr>
    </w:p>
    <w:p w:rsidR="00531335" w:rsidRDefault="00531335" w:rsidP="003E5C6B">
      <w:pPr>
        <w:overflowPunct w:val="0"/>
        <w:rPr>
          <w:rFonts w:ascii="Arial" w:hAnsi="Arial" w:cs="Arial"/>
          <w:iCs/>
          <w:szCs w:val="24"/>
        </w:rPr>
      </w:pPr>
    </w:p>
    <w:p w:rsidR="003E5C6B" w:rsidRPr="00046997" w:rsidRDefault="003E5C6B" w:rsidP="003E5C6B">
      <w:pPr>
        <w:overflowPunct w:val="0"/>
        <w:rPr>
          <w:rFonts w:ascii="Arial" w:hAnsi="Arial" w:cs="Arial"/>
          <w:szCs w:val="24"/>
        </w:rPr>
      </w:pPr>
      <w:r>
        <w:rPr>
          <w:rFonts w:ascii="Arial" w:hAnsi="Arial" w:cs="Arial"/>
          <w:iCs/>
          <w:color w:val="000000"/>
          <w:szCs w:val="24"/>
        </w:rPr>
        <w:t>Alcuni</w:t>
      </w:r>
      <w:r w:rsidRPr="00834E2E">
        <w:rPr>
          <w:rFonts w:ascii="Arial" w:hAnsi="Arial" w:cs="Arial"/>
          <w:iCs/>
          <w:color w:val="000000"/>
          <w:szCs w:val="24"/>
        </w:rPr>
        <w:t xml:space="preserve"> esperti del settore indicano che perlomeno </w:t>
      </w:r>
      <w:r>
        <w:rPr>
          <w:rFonts w:ascii="Arial" w:hAnsi="Arial" w:cs="Arial"/>
          <w:iCs/>
          <w:color w:val="000000"/>
          <w:szCs w:val="24"/>
        </w:rPr>
        <w:t>ne</w:t>
      </w:r>
      <w:r w:rsidRPr="00834E2E">
        <w:rPr>
          <w:rFonts w:ascii="Arial" w:hAnsi="Arial" w:cs="Arial"/>
          <w:iCs/>
          <w:color w:val="000000"/>
          <w:szCs w:val="24"/>
        </w:rPr>
        <w:t xml:space="preserve">gli ultimi </w:t>
      </w:r>
      <w:r>
        <w:rPr>
          <w:rFonts w:ascii="Arial" w:hAnsi="Arial" w:cs="Arial"/>
          <w:iCs/>
          <w:color w:val="000000"/>
          <w:szCs w:val="24"/>
        </w:rPr>
        <w:t>5</w:t>
      </w:r>
      <w:r w:rsidRPr="00834E2E">
        <w:rPr>
          <w:rFonts w:ascii="Arial" w:hAnsi="Arial" w:cs="Arial"/>
          <w:iCs/>
          <w:color w:val="000000"/>
          <w:szCs w:val="24"/>
        </w:rPr>
        <w:t xml:space="preserve"> anni l’applicazione della legislazione sui cittadini stranieri in Ticino è diventata molto più restrittiva, obbligando numerose persone a fare ricorsi contro le decisioni </w:t>
      </w:r>
      <w:r>
        <w:rPr>
          <w:rFonts w:ascii="Arial" w:hAnsi="Arial" w:cs="Arial"/>
          <w:iCs/>
          <w:color w:val="000000"/>
          <w:szCs w:val="24"/>
        </w:rPr>
        <w:t xml:space="preserve">ricevute </w:t>
      </w:r>
      <w:r w:rsidRPr="00834E2E">
        <w:rPr>
          <w:rFonts w:ascii="Arial" w:hAnsi="Arial" w:cs="Arial"/>
          <w:iCs/>
          <w:color w:val="000000"/>
          <w:szCs w:val="24"/>
        </w:rPr>
        <w:t>e ad assumersi costi non indifferenti. Inoltre</w:t>
      </w:r>
      <w:r>
        <w:rPr>
          <w:rFonts w:ascii="Arial" w:hAnsi="Arial" w:cs="Arial"/>
          <w:iCs/>
          <w:color w:val="000000"/>
          <w:szCs w:val="24"/>
        </w:rPr>
        <w:t xml:space="preserve"> </w:t>
      </w:r>
      <w:r w:rsidRPr="00834E2E">
        <w:rPr>
          <w:rFonts w:ascii="Arial" w:hAnsi="Arial" w:cs="Arial"/>
          <w:iCs/>
          <w:color w:val="000000"/>
          <w:szCs w:val="24"/>
        </w:rPr>
        <w:t>segnala</w:t>
      </w:r>
      <w:r>
        <w:rPr>
          <w:rFonts w:ascii="Arial" w:hAnsi="Arial" w:cs="Arial"/>
          <w:iCs/>
          <w:color w:val="000000"/>
          <w:szCs w:val="24"/>
        </w:rPr>
        <w:t>no</w:t>
      </w:r>
      <w:r w:rsidRPr="00834E2E">
        <w:rPr>
          <w:rFonts w:ascii="Arial" w:hAnsi="Arial" w:cs="Arial"/>
          <w:iCs/>
          <w:color w:val="000000"/>
          <w:szCs w:val="24"/>
        </w:rPr>
        <w:t xml:space="preserve"> che non di rado </w:t>
      </w:r>
      <w:r>
        <w:rPr>
          <w:rFonts w:ascii="Arial" w:hAnsi="Arial" w:cs="Arial"/>
          <w:iCs/>
          <w:color w:val="000000"/>
          <w:szCs w:val="24"/>
        </w:rPr>
        <w:t xml:space="preserve">vi sono </w:t>
      </w:r>
      <w:r w:rsidRPr="00834E2E">
        <w:rPr>
          <w:rFonts w:ascii="Arial" w:hAnsi="Arial" w:cs="Arial"/>
          <w:iCs/>
          <w:color w:val="000000"/>
          <w:szCs w:val="24"/>
        </w:rPr>
        <w:t>cittadini stranieri</w:t>
      </w:r>
      <w:r>
        <w:rPr>
          <w:rFonts w:ascii="Arial" w:hAnsi="Arial" w:cs="Arial"/>
          <w:iCs/>
          <w:color w:val="000000"/>
          <w:szCs w:val="24"/>
        </w:rPr>
        <w:t>, che</w:t>
      </w:r>
      <w:r w:rsidRPr="00834E2E">
        <w:rPr>
          <w:rFonts w:ascii="Arial" w:hAnsi="Arial" w:cs="Arial"/>
          <w:iCs/>
          <w:color w:val="000000"/>
          <w:szCs w:val="24"/>
        </w:rPr>
        <w:t xml:space="preserve"> devono attendere </w:t>
      </w:r>
      <w:r>
        <w:rPr>
          <w:rFonts w:ascii="Arial" w:hAnsi="Arial" w:cs="Arial"/>
          <w:iCs/>
          <w:color w:val="000000"/>
          <w:szCs w:val="24"/>
        </w:rPr>
        <w:t>parecchi</w:t>
      </w:r>
      <w:r w:rsidRPr="00834E2E">
        <w:rPr>
          <w:rFonts w:ascii="Arial" w:hAnsi="Arial" w:cs="Arial"/>
          <w:iCs/>
          <w:color w:val="000000"/>
          <w:szCs w:val="24"/>
        </w:rPr>
        <w:t xml:space="preserve"> mesi</w:t>
      </w:r>
      <w:r>
        <w:rPr>
          <w:rFonts w:ascii="Arial" w:hAnsi="Arial" w:cs="Arial"/>
          <w:iCs/>
          <w:color w:val="000000"/>
          <w:szCs w:val="24"/>
        </w:rPr>
        <w:t xml:space="preserve"> prima di ottenere una</w:t>
      </w:r>
      <w:r w:rsidRPr="00834E2E">
        <w:rPr>
          <w:rFonts w:ascii="Arial" w:hAnsi="Arial" w:cs="Arial"/>
          <w:iCs/>
          <w:color w:val="000000"/>
          <w:szCs w:val="24"/>
        </w:rPr>
        <w:t xml:space="preserve"> risposta alla domanda </w:t>
      </w:r>
      <w:r>
        <w:rPr>
          <w:rFonts w:ascii="Arial" w:hAnsi="Arial" w:cs="Arial"/>
          <w:iCs/>
          <w:color w:val="000000"/>
          <w:szCs w:val="24"/>
        </w:rPr>
        <w:t xml:space="preserve">di </w:t>
      </w:r>
      <w:r w:rsidRPr="00834E2E">
        <w:rPr>
          <w:rFonts w:ascii="Arial" w:hAnsi="Arial" w:cs="Arial"/>
          <w:iCs/>
          <w:color w:val="000000"/>
          <w:szCs w:val="24"/>
        </w:rPr>
        <w:t>un permesso di tipo B o C, come pure per ottener</w:t>
      </w:r>
      <w:r>
        <w:rPr>
          <w:rFonts w:ascii="Arial" w:hAnsi="Arial" w:cs="Arial"/>
          <w:iCs/>
          <w:color w:val="000000"/>
          <w:szCs w:val="24"/>
        </w:rPr>
        <w:t>n</w:t>
      </w:r>
      <w:r w:rsidRPr="00834E2E">
        <w:rPr>
          <w:rFonts w:ascii="Arial" w:hAnsi="Arial" w:cs="Arial"/>
          <w:iCs/>
          <w:color w:val="000000"/>
          <w:szCs w:val="24"/>
        </w:rPr>
        <w:t>e il rinnovo. Lamentele sulla complicazione e sui ritardi del sistema</w:t>
      </w:r>
      <w:r>
        <w:rPr>
          <w:rFonts w:ascii="Arial" w:hAnsi="Arial" w:cs="Arial"/>
          <w:iCs/>
          <w:color w:val="000000"/>
          <w:szCs w:val="24"/>
        </w:rPr>
        <w:t xml:space="preserve"> in vigore</w:t>
      </w:r>
      <w:r w:rsidRPr="00834E2E">
        <w:rPr>
          <w:rFonts w:ascii="Arial" w:hAnsi="Arial" w:cs="Arial"/>
          <w:iCs/>
          <w:color w:val="000000"/>
          <w:szCs w:val="24"/>
        </w:rPr>
        <w:t xml:space="preserve"> giungono non solamente da parte degli interessati, ma anche da parte d</w:t>
      </w:r>
      <w:r>
        <w:rPr>
          <w:rFonts w:ascii="Arial" w:hAnsi="Arial" w:cs="Arial"/>
          <w:iCs/>
          <w:color w:val="000000"/>
          <w:szCs w:val="24"/>
        </w:rPr>
        <w:t>i talune</w:t>
      </w:r>
      <w:r w:rsidRPr="00834E2E">
        <w:rPr>
          <w:rFonts w:ascii="Arial" w:hAnsi="Arial" w:cs="Arial"/>
          <w:iCs/>
          <w:color w:val="000000"/>
          <w:szCs w:val="24"/>
        </w:rPr>
        <w:t xml:space="preserve"> aziende che devono assumere personale qualificato.</w:t>
      </w:r>
    </w:p>
    <w:p w:rsidR="003E5C6B" w:rsidRPr="00531335" w:rsidRDefault="003E5C6B" w:rsidP="00531335">
      <w:pPr>
        <w:rPr>
          <w:rFonts w:ascii="Arial" w:hAnsi="Arial" w:cs="Arial"/>
        </w:rPr>
      </w:pPr>
    </w:p>
    <w:p w:rsidR="003E5C6B" w:rsidRPr="00531335" w:rsidRDefault="003E5C6B" w:rsidP="00531335">
      <w:pPr>
        <w:rPr>
          <w:rFonts w:ascii="Arial" w:hAnsi="Arial" w:cs="Arial"/>
        </w:rPr>
      </w:pPr>
      <w:r w:rsidRPr="00531335">
        <w:rPr>
          <w:rFonts w:ascii="Arial" w:hAnsi="Arial" w:cs="Arial"/>
        </w:rPr>
        <w:t>Chiediamo</w:t>
      </w:r>
      <w:r w:rsidRPr="00531335">
        <w:rPr>
          <w:rFonts w:ascii="Arial" w:hAnsi="Arial" w:cs="Arial"/>
          <w:spacing w:val="4"/>
        </w:rPr>
        <w:t xml:space="preserve"> </w:t>
      </w:r>
      <w:r w:rsidRPr="00531335">
        <w:rPr>
          <w:rFonts w:ascii="Arial" w:hAnsi="Arial" w:cs="Arial"/>
        </w:rPr>
        <w:t>al</w:t>
      </w:r>
      <w:r w:rsidRPr="00531335">
        <w:rPr>
          <w:rFonts w:ascii="Arial" w:hAnsi="Arial" w:cs="Arial"/>
          <w:spacing w:val="-15"/>
        </w:rPr>
        <w:t xml:space="preserve"> </w:t>
      </w:r>
      <w:r w:rsidRPr="00531335">
        <w:rPr>
          <w:rFonts w:ascii="Arial" w:hAnsi="Arial" w:cs="Arial"/>
        </w:rPr>
        <w:t>Consiglio</w:t>
      </w:r>
      <w:r w:rsidRPr="00531335">
        <w:rPr>
          <w:rFonts w:ascii="Arial" w:hAnsi="Arial" w:cs="Arial"/>
          <w:spacing w:val="-3"/>
        </w:rPr>
        <w:t xml:space="preserve"> </w:t>
      </w:r>
      <w:r w:rsidRPr="00531335">
        <w:rPr>
          <w:rFonts w:ascii="Arial" w:hAnsi="Arial" w:cs="Arial"/>
          <w:color w:val="565656"/>
        </w:rPr>
        <w:t>di</w:t>
      </w:r>
      <w:r w:rsidRPr="00531335">
        <w:rPr>
          <w:rFonts w:ascii="Arial" w:hAnsi="Arial" w:cs="Arial"/>
          <w:color w:val="565656"/>
          <w:spacing w:val="-22"/>
        </w:rPr>
        <w:t xml:space="preserve"> </w:t>
      </w:r>
      <w:r w:rsidRPr="00531335">
        <w:rPr>
          <w:rFonts w:ascii="Arial" w:hAnsi="Arial" w:cs="Arial"/>
        </w:rPr>
        <w:t>Stato:</w:t>
      </w:r>
    </w:p>
    <w:p w:rsidR="003E5C6B" w:rsidRPr="00531335" w:rsidRDefault="003E5C6B" w:rsidP="00531335">
      <w:pPr>
        <w:pStyle w:val="Paragrafoelenco"/>
        <w:numPr>
          <w:ilvl w:val="0"/>
          <w:numId w:val="8"/>
        </w:numPr>
        <w:overflowPunct w:val="0"/>
        <w:autoSpaceDE w:val="0"/>
        <w:autoSpaceDN w:val="0"/>
        <w:spacing w:before="120"/>
        <w:ind w:left="425" w:hanging="425"/>
        <w:rPr>
          <w:rFonts w:ascii="Arial" w:hAnsi="Arial" w:cs="Arial"/>
          <w:szCs w:val="24"/>
        </w:rPr>
      </w:pPr>
      <w:r w:rsidRPr="00531335">
        <w:rPr>
          <w:rFonts w:ascii="Arial" w:hAnsi="Arial" w:cs="Arial"/>
          <w:szCs w:val="24"/>
        </w:rPr>
        <w:t>quante decisioni di negazione di permesso/revoca/mancato rinnovo dei permessi per stranieri, suddivise per categorie (B, C, ecc.), sono state prese da uffici cantonali negli anni 2011, 2012, 2013, 2014, 2015, 2016, 2017 e 2018?</w:t>
      </w:r>
    </w:p>
    <w:p w:rsidR="003E5C6B" w:rsidRPr="00531335" w:rsidRDefault="003E5C6B" w:rsidP="00531335">
      <w:pPr>
        <w:pStyle w:val="Paragrafoelenco"/>
        <w:numPr>
          <w:ilvl w:val="0"/>
          <w:numId w:val="8"/>
        </w:numPr>
        <w:overflowPunct w:val="0"/>
        <w:autoSpaceDE w:val="0"/>
        <w:autoSpaceDN w:val="0"/>
        <w:spacing w:before="120"/>
        <w:ind w:left="425" w:hanging="425"/>
        <w:rPr>
          <w:rFonts w:ascii="Arial" w:hAnsi="Arial" w:cs="Arial"/>
          <w:szCs w:val="24"/>
        </w:rPr>
      </w:pPr>
      <w:r w:rsidRPr="00531335">
        <w:rPr>
          <w:rFonts w:ascii="Arial" w:hAnsi="Arial" w:cs="Arial"/>
          <w:szCs w:val="24"/>
        </w:rPr>
        <w:t>Quanti ricorsi contro queste decisioni, suddivise per categorie e per anno (2011-18), sono stati accolti e quanti sono stati parzialmente accolti dal Consiglio di Stato?</w:t>
      </w:r>
    </w:p>
    <w:p w:rsidR="003E5C6B" w:rsidRPr="00531335" w:rsidRDefault="003E5C6B" w:rsidP="00531335">
      <w:pPr>
        <w:pStyle w:val="Paragrafoelenco"/>
        <w:numPr>
          <w:ilvl w:val="0"/>
          <w:numId w:val="8"/>
        </w:numPr>
        <w:overflowPunct w:val="0"/>
        <w:autoSpaceDE w:val="0"/>
        <w:autoSpaceDN w:val="0"/>
        <w:spacing w:before="120"/>
        <w:ind w:left="425" w:hanging="425"/>
        <w:rPr>
          <w:rFonts w:ascii="Arial" w:hAnsi="Arial" w:cs="Arial"/>
          <w:szCs w:val="24"/>
        </w:rPr>
      </w:pPr>
      <w:r w:rsidRPr="00531335">
        <w:rPr>
          <w:rFonts w:ascii="Arial" w:hAnsi="Arial" w:cs="Arial"/>
          <w:szCs w:val="24"/>
        </w:rPr>
        <w:t>Quanti ricorsi contro la conferma delle decisioni di prima istanza da parte del Consiglio di Stato, suddivise per categorie e per anno (2011-18), sono stati accolti e parzialmente accolti da parte del Tribunale cantonale amministrativo?</w:t>
      </w:r>
    </w:p>
    <w:p w:rsidR="003E5C6B" w:rsidRPr="00531335" w:rsidRDefault="003E5C6B" w:rsidP="00531335">
      <w:pPr>
        <w:pStyle w:val="Paragrafoelenco"/>
        <w:numPr>
          <w:ilvl w:val="0"/>
          <w:numId w:val="8"/>
        </w:numPr>
        <w:overflowPunct w:val="0"/>
        <w:autoSpaceDE w:val="0"/>
        <w:autoSpaceDN w:val="0"/>
        <w:spacing w:before="120"/>
        <w:ind w:left="425" w:hanging="425"/>
        <w:rPr>
          <w:rFonts w:ascii="Arial" w:hAnsi="Arial" w:cs="Arial"/>
          <w:szCs w:val="24"/>
        </w:rPr>
      </w:pPr>
      <w:r w:rsidRPr="00531335">
        <w:rPr>
          <w:rFonts w:ascii="Arial" w:hAnsi="Arial" w:cs="Arial"/>
          <w:szCs w:val="24"/>
        </w:rPr>
        <w:t>Quanti ricorsi contro la conferma delle decisioni di prima istanza da parte del Tribunale cantonale amministrativo, suddivise per categorie e per anno (2011-18), sono stati accolti e parzialmente accolti da parte del Tribunale federale?</w:t>
      </w:r>
    </w:p>
    <w:p w:rsidR="003E5C6B" w:rsidRPr="00531335" w:rsidRDefault="003E5C6B" w:rsidP="00531335">
      <w:pPr>
        <w:pStyle w:val="Paragrafoelenco"/>
        <w:numPr>
          <w:ilvl w:val="0"/>
          <w:numId w:val="8"/>
        </w:numPr>
        <w:overflowPunct w:val="0"/>
        <w:autoSpaceDE w:val="0"/>
        <w:autoSpaceDN w:val="0"/>
        <w:spacing w:before="120"/>
        <w:ind w:left="425" w:hanging="425"/>
        <w:rPr>
          <w:rFonts w:ascii="Arial" w:hAnsi="Arial" w:cs="Arial"/>
          <w:szCs w:val="24"/>
        </w:rPr>
      </w:pPr>
      <w:r w:rsidRPr="00531335">
        <w:rPr>
          <w:rFonts w:ascii="Arial" w:hAnsi="Arial" w:cs="Arial"/>
          <w:szCs w:val="24"/>
        </w:rPr>
        <w:t>Come valuta l’applicazione della giurisprudenza in materia di stranieri da parte degli uffici cantonali? In particolare la giurisprudenza viene tempestivamente recepita dagli uffici cantonali e dagli agenti pubblici nel loro agire quotidiano?</w:t>
      </w:r>
    </w:p>
    <w:p w:rsidR="003E5C6B" w:rsidRPr="00531335" w:rsidRDefault="003E5C6B" w:rsidP="00531335">
      <w:pPr>
        <w:pStyle w:val="Paragrafoelenco"/>
        <w:numPr>
          <w:ilvl w:val="0"/>
          <w:numId w:val="8"/>
        </w:numPr>
        <w:overflowPunct w:val="0"/>
        <w:autoSpaceDE w:val="0"/>
        <w:autoSpaceDN w:val="0"/>
        <w:spacing w:before="120"/>
        <w:ind w:left="425" w:hanging="425"/>
        <w:rPr>
          <w:rFonts w:ascii="Arial" w:hAnsi="Arial" w:cs="Arial"/>
          <w:szCs w:val="24"/>
        </w:rPr>
      </w:pPr>
      <w:r w:rsidRPr="00531335">
        <w:rPr>
          <w:rFonts w:ascii="Arial" w:hAnsi="Arial" w:cs="Arial"/>
          <w:szCs w:val="24"/>
        </w:rPr>
        <w:t>Negli ultimi 5 anni il tempo medio di attesa per ottenere un permesso B oppure un permesso C è aumentato? Di quanto? Per quale il motivo?</w:t>
      </w:r>
    </w:p>
    <w:p w:rsidR="003E5C6B" w:rsidRPr="00531335" w:rsidRDefault="003E5C6B" w:rsidP="00531335">
      <w:pPr>
        <w:pStyle w:val="Paragrafoelenco"/>
        <w:numPr>
          <w:ilvl w:val="0"/>
          <w:numId w:val="8"/>
        </w:numPr>
        <w:overflowPunct w:val="0"/>
        <w:autoSpaceDE w:val="0"/>
        <w:autoSpaceDN w:val="0"/>
        <w:spacing w:before="120"/>
        <w:ind w:left="425" w:hanging="425"/>
        <w:rPr>
          <w:rFonts w:ascii="Arial" w:hAnsi="Arial" w:cs="Arial"/>
          <w:szCs w:val="24"/>
        </w:rPr>
      </w:pPr>
      <w:r w:rsidRPr="00531335">
        <w:rPr>
          <w:rFonts w:ascii="Arial" w:hAnsi="Arial" w:cs="Arial"/>
          <w:szCs w:val="24"/>
        </w:rPr>
        <w:t xml:space="preserve">Quanti sono stati i casi sottoposti alla Segreteria di Stato della migrazione ex art. 84 cpv. 5 </w:t>
      </w:r>
      <w:proofErr w:type="spellStart"/>
      <w:r w:rsidRPr="00531335">
        <w:rPr>
          <w:rFonts w:ascii="Arial" w:hAnsi="Arial" w:cs="Arial"/>
          <w:szCs w:val="24"/>
        </w:rPr>
        <w:t>LStr</w:t>
      </w:r>
      <w:proofErr w:type="spellEnd"/>
      <w:r w:rsidRPr="00531335">
        <w:rPr>
          <w:rFonts w:ascii="Arial" w:hAnsi="Arial" w:cs="Arial"/>
          <w:szCs w:val="24"/>
        </w:rPr>
        <w:t xml:space="preserve"> ed ex art. 14 cpv. 2 </w:t>
      </w:r>
      <w:proofErr w:type="spellStart"/>
      <w:r w:rsidRPr="00531335">
        <w:rPr>
          <w:rFonts w:ascii="Arial" w:hAnsi="Arial" w:cs="Arial"/>
          <w:szCs w:val="24"/>
        </w:rPr>
        <w:t>LAsi</w:t>
      </w:r>
      <w:proofErr w:type="spellEnd"/>
      <w:r w:rsidRPr="00531335">
        <w:rPr>
          <w:rFonts w:ascii="Arial" w:hAnsi="Arial" w:cs="Arial"/>
          <w:szCs w:val="24"/>
        </w:rPr>
        <w:t xml:space="preserve"> dal 2008 al 2018?</w:t>
      </w:r>
    </w:p>
    <w:p w:rsidR="003E5C6B" w:rsidRPr="00531335" w:rsidRDefault="003E5C6B" w:rsidP="00531335">
      <w:pPr>
        <w:pStyle w:val="Paragrafoelenco"/>
        <w:numPr>
          <w:ilvl w:val="0"/>
          <w:numId w:val="8"/>
        </w:numPr>
        <w:overflowPunct w:val="0"/>
        <w:autoSpaceDE w:val="0"/>
        <w:autoSpaceDN w:val="0"/>
        <w:spacing w:before="120"/>
        <w:ind w:left="425" w:hanging="425"/>
        <w:rPr>
          <w:rFonts w:ascii="Arial" w:hAnsi="Arial" w:cs="Arial"/>
          <w:szCs w:val="24"/>
        </w:rPr>
      </w:pPr>
      <w:r w:rsidRPr="00531335">
        <w:rPr>
          <w:rFonts w:ascii="Arial" w:hAnsi="Arial" w:cs="Arial"/>
          <w:szCs w:val="24"/>
        </w:rPr>
        <w:t>In Ticino vi sono state decisioni di principio sul fatto di applicare in maniera più restrittiva la legislazione sui cittadini stranieri? Se sì, quali decisioni e da parte di quali autorità cantonali? Tali decisioni sono state in qualche modo riviste alla luce della giurisprudenza?</w:t>
      </w:r>
    </w:p>
    <w:p w:rsidR="003E5C6B" w:rsidRDefault="003E5C6B" w:rsidP="003E5C6B">
      <w:pPr>
        <w:rPr>
          <w:rFonts w:ascii="Arial" w:hAnsi="Arial" w:cs="Arial"/>
          <w:szCs w:val="24"/>
        </w:rPr>
      </w:pPr>
    </w:p>
    <w:p w:rsidR="003E5C6B" w:rsidRPr="00834E2E" w:rsidRDefault="003E5C6B" w:rsidP="003E5C6B">
      <w:pPr>
        <w:rPr>
          <w:rFonts w:ascii="Arial" w:hAnsi="Arial" w:cs="Arial"/>
          <w:szCs w:val="24"/>
        </w:rPr>
      </w:pPr>
    </w:p>
    <w:p w:rsidR="003E5C6B" w:rsidRDefault="003E5C6B" w:rsidP="003E5C6B">
      <w:pPr>
        <w:rPr>
          <w:rFonts w:ascii="Arial" w:hAnsi="Arial" w:cs="Arial"/>
          <w:iCs/>
          <w:szCs w:val="24"/>
        </w:rPr>
      </w:pPr>
      <w:r>
        <w:rPr>
          <w:rFonts w:ascii="Arial" w:hAnsi="Arial" w:cs="Arial"/>
          <w:iCs/>
          <w:szCs w:val="24"/>
        </w:rPr>
        <w:t>Raoul Ghisletta</w:t>
      </w:r>
    </w:p>
    <w:p w:rsidR="00531335" w:rsidRDefault="003E5C6B" w:rsidP="00531335">
      <w:pPr>
        <w:rPr>
          <w:rFonts w:ascii="Arial" w:hAnsi="Arial" w:cs="Arial"/>
          <w:iCs/>
          <w:szCs w:val="24"/>
        </w:rPr>
      </w:pPr>
      <w:r w:rsidRPr="00834E2E">
        <w:rPr>
          <w:rFonts w:ascii="Arial" w:hAnsi="Arial" w:cs="Arial"/>
          <w:iCs/>
          <w:szCs w:val="24"/>
        </w:rPr>
        <w:t>Ay</w:t>
      </w:r>
      <w:r w:rsidR="00531335">
        <w:rPr>
          <w:rFonts w:ascii="Arial" w:hAnsi="Arial" w:cs="Arial"/>
          <w:iCs/>
          <w:szCs w:val="24"/>
        </w:rPr>
        <w:t xml:space="preserve"> - </w:t>
      </w:r>
      <w:r w:rsidRPr="00834E2E">
        <w:rPr>
          <w:rFonts w:ascii="Arial" w:hAnsi="Arial" w:cs="Arial"/>
          <w:iCs/>
          <w:szCs w:val="24"/>
        </w:rPr>
        <w:t>Bang</w:t>
      </w:r>
      <w:r w:rsidR="00531335">
        <w:rPr>
          <w:rFonts w:ascii="Arial" w:hAnsi="Arial" w:cs="Arial"/>
          <w:iCs/>
          <w:szCs w:val="24"/>
        </w:rPr>
        <w:t xml:space="preserve"> - </w:t>
      </w:r>
      <w:r w:rsidRPr="00834E2E">
        <w:rPr>
          <w:rFonts w:ascii="Arial" w:hAnsi="Arial" w:cs="Arial"/>
          <w:iCs/>
          <w:szCs w:val="24"/>
        </w:rPr>
        <w:t>Ducry</w:t>
      </w:r>
      <w:r w:rsidR="00531335">
        <w:rPr>
          <w:rFonts w:ascii="Arial" w:hAnsi="Arial" w:cs="Arial"/>
          <w:iCs/>
          <w:szCs w:val="24"/>
        </w:rPr>
        <w:t xml:space="preserve"> - </w:t>
      </w:r>
      <w:r w:rsidR="00531335" w:rsidRPr="00834E2E">
        <w:rPr>
          <w:rFonts w:ascii="Arial" w:hAnsi="Arial" w:cs="Arial"/>
          <w:iCs/>
          <w:szCs w:val="24"/>
        </w:rPr>
        <w:t>Käppeli</w:t>
      </w:r>
      <w:r w:rsidR="00531335">
        <w:rPr>
          <w:rFonts w:ascii="Arial" w:hAnsi="Arial" w:cs="Arial"/>
          <w:iCs/>
          <w:szCs w:val="24"/>
        </w:rPr>
        <w:t xml:space="preserve"> - </w:t>
      </w:r>
    </w:p>
    <w:p w:rsidR="00531335" w:rsidRDefault="003E5C6B" w:rsidP="003E5C6B">
      <w:pPr>
        <w:rPr>
          <w:rFonts w:ascii="Arial" w:hAnsi="Arial" w:cs="Arial"/>
          <w:iCs/>
          <w:szCs w:val="24"/>
        </w:rPr>
      </w:pPr>
      <w:r w:rsidRPr="00834E2E">
        <w:rPr>
          <w:rFonts w:ascii="Arial" w:hAnsi="Arial" w:cs="Arial"/>
          <w:iCs/>
          <w:szCs w:val="24"/>
        </w:rPr>
        <w:t>Lepori</w:t>
      </w:r>
      <w:r w:rsidR="00531335">
        <w:rPr>
          <w:rFonts w:ascii="Arial" w:hAnsi="Arial" w:cs="Arial"/>
          <w:iCs/>
          <w:szCs w:val="24"/>
        </w:rPr>
        <w:t xml:space="preserve"> - </w:t>
      </w:r>
      <w:r w:rsidRPr="00834E2E">
        <w:rPr>
          <w:rFonts w:ascii="Arial" w:hAnsi="Arial" w:cs="Arial"/>
          <w:iCs/>
          <w:szCs w:val="24"/>
        </w:rPr>
        <w:t>Lurati Grassi</w:t>
      </w:r>
      <w:r w:rsidR="00531335">
        <w:rPr>
          <w:rFonts w:ascii="Arial" w:hAnsi="Arial" w:cs="Arial"/>
          <w:iCs/>
          <w:szCs w:val="24"/>
        </w:rPr>
        <w:t xml:space="preserve"> - </w:t>
      </w:r>
      <w:r w:rsidRPr="00834E2E">
        <w:rPr>
          <w:rFonts w:ascii="Arial" w:hAnsi="Arial" w:cs="Arial"/>
          <w:iCs/>
          <w:szCs w:val="24"/>
        </w:rPr>
        <w:t>Mattei</w:t>
      </w:r>
      <w:r w:rsidR="00531335">
        <w:rPr>
          <w:rFonts w:ascii="Arial" w:hAnsi="Arial" w:cs="Arial"/>
          <w:iCs/>
          <w:szCs w:val="24"/>
        </w:rPr>
        <w:t xml:space="preserve"> - </w:t>
      </w:r>
    </w:p>
    <w:p w:rsidR="003E5C6B" w:rsidRPr="00834E2E" w:rsidRDefault="00531335" w:rsidP="003E5C6B">
      <w:pPr>
        <w:rPr>
          <w:rFonts w:ascii="Arial" w:hAnsi="Arial" w:cs="Arial"/>
          <w:szCs w:val="24"/>
        </w:rPr>
      </w:pPr>
      <w:bookmarkStart w:id="0" w:name="_GoBack"/>
      <w:bookmarkEnd w:id="0"/>
      <w:r>
        <w:rPr>
          <w:rFonts w:ascii="Arial" w:hAnsi="Arial" w:cs="Arial"/>
          <w:iCs/>
          <w:szCs w:val="24"/>
        </w:rPr>
        <w:t>Pugno Ghirlanda</w:t>
      </w:r>
      <w:r>
        <w:rPr>
          <w:rFonts w:ascii="Arial" w:hAnsi="Arial" w:cs="Arial"/>
          <w:iCs/>
          <w:szCs w:val="24"/>
        </w:rPr>
        <w:t xml:space="preserve">- </w:t>
      </w:r>
      <w:r w:rsidR="003E5C6B">
        <w:rPr>
          <w:rFonts w:ascii="Arial" w:hAnsi="Arial" w:cs="Arial"/>
          <w:iCs/>
          <w:szCs w:val="24"/>
        </w:rPr>
        <w:t>Quadranti</w:t>
      </w:r>
    </w:p>
    <w:p w:rsidR="00B31D0E" w:rsidRDefault="00B31D0E" w:rsidP="00B31D0E">
      <w:pPr>
        <w:rPr>
          <w:rFonts w:ascii="Arial" w:hAnsi="Arial" w:cs="Arial"/>
        </w:rPr>
      </w:pPr>
    </w:p>
    <w:sectPr w:rsidR="00B31D0E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762BC"/>
    <w:multiLevelType w:val="hybridMultilevel"/>
    <w:tmpl w:val="17FEEFE0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19095F"/>
    <w:multiLevelType w:val="hybridMultilevel"/>
    <w:tmpl w:val="40E2ADF8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1F7F2F"/>
    <w:multiLevelType w:val="hybridMultilevel"/>
    <w:tmpl w:val="27E28618"/>
    <w:lvl w:ilvl="0" w:tplc="673282F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z w:val="22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727B1872"/>
    <w:multiLevelType w:val="hybridMultilevel"/>
    <w:tmpl w:val="0394B030"/>
    <w:lvl w:ilvl="0" w:tplc="08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24CDD"/>
    <w:rsid w:val="000C5BE5"/>
    <w:rsid w:val="002E5E40"/>
    <w:rsid w:val="003E5C6B"/>
    <w:rsid w:val="00417666"/>
    <w:rsid w:val="0048100C"/>
    <w:rsid w:val="004A66EB"/>
    <w:rsid w:val="005138FD"/>
    <w:rsid w:val="0052425A"/>
    <w:rsid w:val="00531335"/>
    <w:rsid w:val="007B5462"/>
    <w:rsid w:val="008034BD"/>
    <w:rsid w:val="00876352"/>
    <w:rsid w:val="00902075"/>
    <w:rsid w:val="009770BB"/>
    <w:rsid w:val="009E008D"/>
    <w:rsid w:val="00A5465F"/>
    <w:rsid w:val="00A77678"/>
    <w:rsid w:val="00A855E1"/>
    <w:rsid w:val="00AA7E01"/>
    <w:rsid w:val="00B31D0E"/>
    <w:rsid w:val="00BC4C95"/>
    <w:rsid w:val="00BD5944"/>
    <w:rsid w:val="00CF6858"/>
    <w:rsid w:val="00D50981"/>
    <w:rsid w:val="00DA0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2684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3</cp:revision>
  <cp:lastPrinted>2018-03-06T09:17:00Z</cp:lastPrinted>
  <dcterms:created xsi:type="dcterms:W3CDTF">2018-12-27T09:18:00Z</dcterms:created>
  <dcterms:modified xsi:type="dcterms:W3CDTF">2018-12-27T09:22:00Z</dcterms:modified>
</cp:coreProperties>
</file>