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DE7D5D" w14:textId="77777777" w:rsidR="00562C70" w:rsidRPr="0065292D" w:rsidRDefault="008003FF" w:rsidP="0065292D">
      <w:pPr>
        <w:pStyle w:val="palatino"/>
        <w:rPr>
          <w:rFonts w:ascii="Arial" w:hAnsi="Arial"/>
          <w:b/>
          <w:sz w:val="28"/>
        </w:rPr>
      </w:pPr>
      <w:r>
        <w:rPr>
          <w:rFonts w:ascii="Arial" w:hAnsi="Arial"/>
          <w:b/>
          <w:sz w:val="28"/>
        </w:rPr>
        <w:t xml:space="preserve">Rapporto sull'iniziativa popolare legislativa del 29 agosto 2022 presentata nella forma elaborata da </w:t>
      </w:r>
      <w:r w:rsidR="0065292D">
        <w:rPr>
          <w:rFonts w:ascii="Arial" w:hAnsi="Arial"/>
          <w:b/>
          <w:sz w:val="28"/>
        </w:rPr>
        <w:t xml:space="preserve">Andrea Censi </w:t>
      </w:r>
      <w:r>
        <w:rPr>
          <w:rFonts w:ascii="Arial" w:hAnsi="Arial"/>
          <w:b/>
          <w:sz w:val="28"/>
        </w:rPr>
        <w:t xml:space="preserve">e cofirmatari </w:t>
      </w:r>
      <w:r w:rsidR="0065292D">
        <w:rPr>
          <w:rFonts w:ascii="Arial" w:hAnsi="Arial"/>
          <w:b/>
          <w:sz w:val="28"/>
        </w:rPr>
        <w:t>“B</w:t>
      </w:r>
      <w:r w:rsidR="00881480" w:rsidRPr="0065292D">
        <w:rPr>
          <w:rFonts w:ascii="Arial" w:hAnsi="Arial"/>
          <w:b/>
          <w:sz w:val="28"/>
        </w:rPr>
        <w:t>asta spennare il cittadino, cassa malati deducibile integralmente!”</w:t>
      </w:r>
    </w:p>
    <w:p w14:paraId="1ADE7D5E" w14:textId="77777777" w:rsidR="00562C70" w:rsidRPr="0065292D" w:rsidRDefault="00562C70" w:rsidP="00562C70">
      <w:pPr>
        <w:pStyle w:val="StandardRisoluzionedelConsigliodiStato"/>
        <w:rPr>
          <w:rFonts w:eastAsia="Times New Roman" w:cs="Times New Roman"/>
          <w:b/>
          <w:sz w:val="28"/>
          <w:szCs w:val="20"/>
          <w:lang w:val="it-IT" w:eastAsia="it-IT"/>
        </w:rPr>
      </w:pPr>
    </w:p>
    <w:p w14:paraId="1ADE7D5F" w14:textId="77777777" w:rsidR="00562C70" w:rsidRPr="00D63171" w:rsidRDefault="00562C70" w:rsidP="00562C70">
      <w:pPr>
        <w:pStyle w:val="StandardRisoluzionedelConsigliodiStato"/>
      </w:pPr>
    </w:p>
    <w:p w14:paraId="1ADE7D60" w14:textId="77777777" w:rsidR="00562C70" w:rsidRDefault="00562C70" w:rsidP="00562C70">
      <w:pPr>
        <w:pStyle w:val="StandardRisoluzionedelConsigliodiStato"/>
      </w:pPr>
      <w:r w:rsidRPr="0052582F">
        <w:t>Signo</w:t>
      </w:r>
      <w:r w:rsidR="00881480" w:rsidRPr="00881480">
        <w:t>r</w:t>
      </w:r>
      <w:r>
        <w:t xml:space="preserve"> </w:t>
      </w:r>
      <w:r w:rsidRPr="0052582F">
        <w:t>Presidente,</w:t>
      </w:r>
    </w:p>
    <w:p w14:paraId="1ADE7D61" w14:textId="5515D9B4" w:rsidR="00562C70" w:rsidRPr="006F2A27" w:rsidRDefault="00562C70" w:rsidP="00562C70">
      <w:r w:rsidRPr="006F2A27">
        <w:t>signore</w:t>
      </w:r>
      <w:r>
        <w:t xml:space="preserve"> </w:t>
      </w:r>
      <w:r w:rsidR="00367C65">
        <w:t xml:space="preserve">deputate </w:t>
      </w:r>
      <w:r w:rsidRPr="006F2A27">
        <w:t>e</w:t>
      </w:r>
      <w:r>
        <w:t xml:space="preserve"> </w:t>
      </w:r>
      <w:r w:rsidRPr="006F2A27">
        <w:t>signori</w:t>
      </w:r>
      <w:r>
        <w:t xml:space="preserve"> d</w:t>
      </w:r>
      <w:r w:rsidR="00CA239F">
        <w:t>eputati</w:t>
      </w:r>
      <w:r w:rsidR="00C32820">
        <w:t>,</w:t>
      </w:r>
    </w:p>
    <w:p w14:paraId="1ADE7D62" w14:textId="77777777" w:rsidR="00562C70" w:rsidRPr="002E4857" w:rsidRDefault="00562C70" w:rsidP="00562C70"/>
    <w:p w14:paraId="1ADE7D63" w14:textId="77777777" w:rsidR="000401B7" w:rsidRDefault="00881480" w:rsidP="000401B7">
      <w:pPr>
        <w:pStyle w:val="StandardRisoluzionedelConsigliodiStato"/>
        <w:ind w:right="-1"/>
      </w:pPr>
      <w:r w:rsidRPr="00AB47A0">
        <w:t xml:space="preserve">con il presente messaggio </w:t>
      </w:r>
      <w:r w:rsidR="002E522C" w:rsidRPr="00AB47A0">
        <w:t xml:space="preserve">riprendiamo i contenuti della </w:t>
      </w:r>
      <w:r w:rsidR="000401B7" w:rsidRPr="00AB47A0">
        <w:t xml:space="preserve">presa di posizione del Consiglio di Stato </w:t>
      </w:r>
      <w:r w:rsidR="00AC6130" w:rsidRPr="00AB47A0">
        <w:t>del 18 dicembre 2024</w:t>
      </w:r>
      <w:r w:rsidR="002E522C" w:rsidRPr="00AB47A0">
        <w:t xml:space="preserve"> indirizzata alla Commissione della gestione e delle finanze - cos</w:t>
      </w:r>
      <w:r w:rsidR="008347F9" w:rsidRPr="00AB47A0">
        <w:t>ì come richiesto dalla</w:t>
      </w:r>
      <w:r w:rsidR="002E522C" w:rsidRPr="00AB47A0">
        <w:t xml:space="preserve"> </w:t>
      </w:r>
      <w:r w:rsidR="008347F9" w:rsidRPr="00AB47A0">
        <w:t xml:space="preserve">stessa </w:t>
      </w:r>
      <w:r w:rsidR="002E522C" w:rsidRPr="00AB47A0">
        <w:t xml:space="preserve">commissione - </w:t>
      </w:r>
      <w:r w:rsidR="000401B7" w:rsidRPr="00AB47A0">
        <w:t xml:space="preserve">sull’iniziativa popolare legislativa del </w:t>
      </w:r>
      <w:r w:rsidR="00964A7B">
        <w:br/>
      </w:r>
      <w:r w:rsidR="000401B7" w:rsidRPr="00AB47A0">
        <w:t>29 agosto 2022 presentata nella forma elaborata da Andrea Censi e cofirmatari “Basta spennare il cittadino, cassa malati deducibile integralmente!”</w:t>
      </w:r>
      <w:r w:rsidR="00933598">
        <w:t xml:space="preserve"> (IP150).</w:t>
      </w:r>
    </w:p>
    <w:p w14:paraId="1ADE7D64" w14:textId="77777777" w:rsidR="00964A7B" w:rsidRDefault="00964A7B" w:rsidP="000401B7">
      <w:pPr>
        <w:pStyle w:val="StandardRisoluzionedelConsigliodiStato"/>
        <w:ind w:right="-1"/>
      </w:pPr>
    </w:p>
    <w:p w14:paraId="1ADE7D65" w14:textId="77777777" w:rsidR="00933598" w:rsidRPr="002E4857" w:rsidRDefault="00933598" w:rsidP="000401B7">
      <w:pPr>
        <w:pStyle w:val="StandardRisoluzionedelConsigliodiStato"/>
        <w:ind w:right="-1"/>
      </w:pPr>
    </w:p>
    <w:p w14:paraId="1ADE7D66" w14:textId="77777777" w:rsidR="00562C70" w:rsidRPr="00562C70" w:rsidRDefault="00964A7B" w:rsidP="00355BB0">
      <w:pPr>
        <w:pStyle w:val="Titolo1"/>
        <w:numPr>
          <w:ilvl w:val="0"/>
          <w:numId w:val="23"/>
        </w:numPr>
        <w:spacing w:before="0" w:after="0"/>
        <w:ind w:left="426" w:hanging="426"/>
      </w:pPr>
      <w:r>
        <w:t>CONTENUTO DELL’INIZIATIVA</w:t>
      </w:r>
    </w:p>
    <w:p w14:paraId="1ADE7D67" w14:textId="77777777" w:rsidR="00964A7B" w:rsidRDefault="00964A7B" w:rsidP="00964A7B"/>
    <w:p w14:paraId="1ADE7D68" w14:textId="77777777" w:rsidR="00E2477B" w:rsidRDefault="00E2477B" w:rsidP="00964A7B">
      <w:r>
        <w:t xml:space="preserve">L’iniziativa propone di modificare l’art. 32 cpv. 1 </w:t>
      </w:r>
      <w:proofErr w:type="spellStart"/>
      <w:r>
        <w:t>lett</w:t>
      </w:r>
      <w:proofErr w:type="spellEnd"/>
      <w:r>
        <w:t xml:space="preserve">. g) della Legge tributaria cantonale al fine di </w:t>
      </w:r>
      <w:r w:rsidR="00366601">
        <w:t xml:space="preserve">aumentare da </w:t>
      </w:r>
      <w:r>
        <w:t>5’</w:t>
      </w:r>
      <w:r w:rsidR="00366601">
        <w:t xml:space="preserve">500 a </w:t>
      </w:r>
      <w:r>
        <w:t>9'000</w:t>
      </w:r>
      <w:r w:rsidR="00366601">
        <w:t xml:space="preserve"> franchi</w:t>
      </w:r>
      <w:r>
        <w:t xml:space="preserve"> per le persone sole, rispettivamente da 10’</w:t>
      </w:r>
      <w:r w:rsidR="00366601">
        <w:t xml:space="preserve">900 a </w:t>
      </w:r>
      <w:r>
        <w:t xml:space="preserve">18’000 </w:t>
      </w:r>
      <w:r w:rsidR="00366601">
        <w:t xml:space="preserve">franchi </w:t>
      </w:r>
      <w:r>
        <w:t xml:space="preserve">per i coniugati, il limite massimo deducibile a titolo di oneri assicurativi, così da permettere – </w:t>
      </w:r>
      <w:r w:rsidRPr="00702DA7">
        <w:rPr>
          <w:i/>
        </w:rPr>
        <w:t>de facto</w:t>
      </w:r>
      <w:r>
        <w:t xml:space="preserve"> – la piena deducibilità dei premi di cassa malati.</w:t>
      </w:r>
    </w:p>
    <w:p w14:paraId="1ADE7D69" w14:textId="77777777" w:rsidR="00E2477B" w:rsidRDefault="00E2477B" w:rsidP="00E2477B"/>
    <w:tbl>
      <w:tblPr>
        <w:tblStyle w:val="Grigliatabella"/>
        <w:tblW w:w="0" w:type="auto"/>
        <w:tblLook w:val="04A0" w:firstRow="1" w:lastRow="0" w:firstColumn="1" w:lastColumn="0" w:noHBand="0" w:noVBand="1"/>
      </w:tblPr>
      <w:tblGrid>
        <w:gridCol w:w="4737"/>
        <w:gridCol w:w="4738"/>
      </w:tblGrid>
      <w:tr w:rsidR="00E2477B" w:rsidRPr="00933598" w14:paraId="1ADE7D6C" w14:textId="77777777" w:rsidTr="00AA7A7F">
        <w:tc>
          <w:tcPr>
            <w:tcW w:w="4737" w:type="dxa"/>
          </w:tcPr>
          <w:p w14:paraId="1ADE7D6A" w14:textId="77777777" w:rsidR="00E2477B" w:rsidRPr="00933598" w:rsidRDefault="00E2477B" w:rsidP="00933598">
            <w:pPr>
              <w:spacing w:before="60" w:after="60"/>
              <w:jc w:val="center"/>
              <w:rPr>
                <w:b/>
                <w:sz w:val="22"/>
                <w:szCs w:val="22"/>
              </w:rPr>
            </w:pPr>
            <w:r w:rsidRPr="00933598">
              <w:rPr>
                <w:b/>
                <w:sz w:val="22"/>
                <w:szCs w:val="22"/>
              </w:rPr>
              <w:t xml:space="preserve">De </w:t>
            </w:r>
            <w:proofErr w:type="spellStart"/>
            <w:r w:rsidRPr="00933598">
              <w:rPr>
                <w:b/>
                <w:sz w:val="22"/>
                <w:szCs w:val="22"/>
              </w:rPr>
              <w:t>lege</w:t>
            </w:r>
            <w:proofErr w:type="spellEnd"/>
            <w:r w:rsidRPr="00933598">
              <w:rPr>
                <w:b/>
                <w:sz w:val="22"/>
                <w:szCs w:val="22"/>
              </w:rPr>
              <w:t xml:space="preserve"> lata</w:t>
            </w:r>
          </w:p>
        </w:tc>
        <w:tc>
          <w:tcPr>
            <w:tcW w:w="4738" w:type="dxa"/>
          </w:tcPr>
          <w:p w14:paraId="1ADE7D6B" w14:textId="77777777" w:rsidR="00E2477B" w:rsidRPr="00933598" w:rsidRDefault="00E2477B" w:rsidP="00933598">
            <w:pPr>
              <w:spacing w:before="60" w:after="60"/>
              <w:jc w:val="center"/>
              <w:rPr>
                <w:b/>
                <w:sz w:val="22"/>
                <w:szCs w:val="22"/>
              </w:rPr>
            </w:pPr>
            <w:r w:rsidRPr="00933598">
              <w:rPr>
                <w:b/>
                <w:sz w:val="22"/>
                <w:szCs w:val="22"/>
              </w:rPr>
              <w:t xml:space="preserve">De </w:t>
            </w:r>
            <w:proofErr w:type="spellStart"/>
            <w:r w:rsidRPr="00933598">
              <w:rPr>
                <w:b/>
                <w:sz w:val="22"/>
                <w:szCs w:val="22"/>
              </w:rPr>
              <w:t>lege</w:t>
            </w:r>
            <w:proofErr w:type="spellEnd"/>
            <w:r w:rsidRPr="00933598">
              <w:rPr>
                <w:b/>
                <w:sz w:val="22"/>
                <w:szCs w:val="22"/>
              </w:rPr>
              <w:t xml:space="preserve"> </w:t>
            </w:r>
            <w:proofErr w:type="spellStart"/>
            <w:r w:rsidRPr="00933598">
              <w:rPr>
                <w:b/>
                <w:sz w:val="22"/>
                <w:szCs w:val="22"/>
              </w:rPr>
              <w:t>ferenda</w:t>
            </w:r>
            <w:proofErr w:type="spellEnd"/>
          </w:p>
        </w:tc>
      </w:tr>
      <w:tr w:rsidR="00E2477B" w14:paraId="1ADE7D73" w14:textId="77777777" w:rsidTr="00AA7A7F">
        <w:tc>
          <w:tcPr>
            <w:tcW w:w="4737" w:type="dxa"/>
          </w:tcPr>
          <w:p w14:paraId="1ADE7D6D" w14:textId="77777777" w:rsidR="00E2477B" w:rsidRPr="00933598" w:rsidRDefault="00E2477B" w:rsidP="00AA7A7F">
            <w:pPr>
              <w:rPr>
                <w:b/>
                <w:sz w:val="22"/>
                <w:szCs w:val="22"/>
              </w:rPr>
            </w:pPr>
            <w:r w:rsidRPr="00933598">
              <w:rPr>
                <w:b/>
                <w:sz w:val="22"/>
                <w:szCs w:val="22"/>
              </w:rPr>
              <w:t>Art. 32</w:t>
            </w:r>
          </w:p>
          <w:p w14:paraId="1ADE7D6E" w14:textId="77777777" w:rsidR="00E2477B" w:rsidRPr="00EF7412" w:rsidRDefault="00E2477B" w:rsidP="00AA7A7F">
            <w:pPr>
              <w:rPr>
                <w:sz w:val="22"/>
                <w:szCs w:val="22"/>
              </w:rPr>
            </w:pPr>
            <w:r w:rsidRPr="00EF7412">
              <w:rPr>
                <w:sz w:val="22"/>
                <w:szCs w:val="22"/>
                <w:vertAlign w:val="superscript"/>
              </w:rPr>
              <w:t>1</w:t>
            </w:r>
            <w:r w:rsidRPr="00EF7412">
              <w:rPr>
                <w:sz w:val="22"/>
                <w:szCs w:val="22"/>
              </w:rPr>
              <w:t>Sono dedotti dai proventi:</w:t>
            </w:r>
          </w:p>
          <w:p w14:paraId="1ADE7D6F" w14:textId="77777777" w:rsidR="00E2477B" w:rsidRPr="00EF7412" w:rsidRDefault="00E2477B" w:rsidP="00CF3180">
            <w:pPr>
              <w:tabs>
                <w:tab w:val="left" w:pos="454"/>
              </w:tabs>
              <w:ind w:left="454" w:hanging="454"/>
              <w:rPr>
                <w:sz w:val="22"/>
                <w:szCs w:val="22"/>
              </w:rPr>
            </w:pPr>
            <w:r w:rsidRPr="00EF7412">
              <w:rPr>
                <w:sz w:val="22"/>
                <w:szCs w:val="22"/>
              </w:rPr>
              <w:t>g)</w:t>
            </w:r>
            <w:r w:rsidR="00933598">
              <w:rPr>
                <w:sz w:val="22"/>
                <w:szCs w:val="22"/>
              </w:rPr>
              <w:tab/>
            </w:r>
            <w:r w:rsidRPr="00EF7412">
              <w:rPr>
                <w:sz w:val="22"/>
                <w:szCs w:val="22"/>
              </w:rPr>
              <w:t xml:space="preserve">i versamenti, premi e contributi per assicurazioni sulla vita, contro le malattie e, in quanto non compresi sotto la lettera f), contro gli infortuni, nonché gli interessi dei capitali a risparmio del contribuente e delle persone al cui sostentamento egli provvede, fino a concorrenza di una somma globale di </w:t>
            </w:r>
            <w:r w:rsidRPr="00EF7412">
              <w:rPr>
                <w:b/>
                <w:sz w:val="22"/>
                <w:szCs w:val="22"/>
              </w:rPr>
              <w:t>10’900.–</w:t>
            </w:r>
            <w:r w:rsidRPr="00EF7412">
              <w:rPr>
                <w:sz w:val="22"/>
                <w:szCs w:val="22"/>
              </w:rPr>
              <w:t xml:space="preserve"> franchi per i coniugi che vivono in comunione domestica e di </w:t>
            </w:r>
            <w:r w:rsidRPr="00EF7412">
              <w:rPr>
                <w:b/>
                <w:sz w:val="22"/>
                <w:szCs w:val="22"/>
              </w:rPr>
              <w:t>5’500.–</w:t>
            </w:r>
            <w:r w:rsidRPr="00EF7412">
              <w:rPr>
                <w:sz w:val="22"/>
                <w:szCs w:val="22"/>
              </w:rPr>
              <w:t xml:space="preserve"> franchi per gli altri contribuenti; per i contribuenti che non versano contributi alle istituzioni di previdenza professionale e a forme riconosciute della previdenza individuale vincolata queste somme sono aumentate di </w:t>
            </w:r>
            <w:r w:rsidRPr="00EF7412">
              <w:rPr>
                <w:b/>
                <w:sz w:val="22"/>
                <w:szCs w:val="22"/>
              </w:rPr>
              <w:t>4’500.–</w:t>
            </w:r>
            <w:r w:rsidRPr="00EF7412">
              <w:rPr>
                <w:sz w:val="22"/>
                <w:szCs w:val="22"/>
              </w:rPr>
              <w:t xml:space="preserve"> franchi per i coniugi che vivono in comunione domestica e di </w:t>
            </w:r>
            <w:r w:rsidRPr="00EF7412">
              <w:rPr>
                <w:b/>
                <w:sz w:val="22"/>
                <w:szCs w:val="22"/>
              </w:rPr>
              <w:t>2’300.–</w:t>
            </w:r>
            <w:r w:rsidRPr="00EF7412">
              <w:rPr>
                <w:sz w:val="22"/>
                <w:szCs w:val="22"/>
              </w:rPr>
              <w:t xml:space="preserve"> franchi per gli altri contribuenti;</w:t>
            </w:r>
          </w:p>
        </w:tc>
        <w:tc>
          <w:tcPr>
            <w:tcW w:w="4738" w:type="dxa"/>
          </w:tcPr>
          <w:p w14:paraId="1ADE7D70" w14:textId="77777777" w:rsidR="00E2477B" w:rsidRPr="00933598" w:rsidRDefault="00E2477B" w:rsidP="00AA7A7F">
            <w:pPr>
              <w:rPr>
                <w:b/>
                <w:sz w:val="22"/>
                <w:szCs w:val="22"/>
              </w:rPr>
            </w:pPr>
            <w:r w:rsidRPr="00933598">
              <w:rPr>
                <w:b/>
                <w:sz w:val="22"/>
                <w:szCs w:val="22"/>
              </w:rPr>
              <w:t>Art. 32</w:t>
            </w:r>
          </w:p>
          <w:p w14:paraId="1ADE7D71" w14:textId="77777777" w:rsidR="00E2477B" w:rsidRPr="00EF7412" w:rsidRDefault="00E2477B" w:rsidP="00AA7A7F">
            <w:pPr>
              <w:rPr>
                <w:sz w:val="22"/>
                <w:szCs w:val="22"/>
              </w:rPr>
            </w:pPr>
            <w:r w:rsidRPr="00EF7412">
              <w:rPr>
                <w:sz w:val="22"/>
                <w:szCs w:val="22"/>
                <w:vertAlign w:val="superscript"/>
              </w:rPr>
              <w:t>1</w:t>
            </w:r>
            <w:r w:rsidRPr="00EF7412">
              <w:rPr>
                <w:sz w:val="22"/>
                <w:szCs w:val="22"/>
              </w:rPr>
              <w:t>Sono dedotti dai proventi:</w:t>
            </w:r>
          </w:p>
          <w:p w14:paraId="1ADE7D72" w14:textId="77777777" w:rsidR="00E2477B" w:rsidRPr="00EF7412" w:rsidRDefault="00E2477B" w:rsidP="00B91247">
            <w:pPr>
              <w:tabs>
                <w:tab w:val="left" w:pos="397"/>
              </w:tabs>
              <w:ind w:left="397" w:hanging="397"/>
              <w:rPr>
                <w:sz w:val="22"/>
                <w:szCs w:val="22"/>
              </w:rPr>
            </w:pPr>
            <w:r w:rsidRPr="00EF7412">
              <w:rPr>
                <w:sz w:val="22"/>
                <w:szCs w:val="22"/>
              </w:rPr>
              <w:t>g)</w:t>
            </w:r>
            <w:r w:rsidR="00933598">
              <w:rPr>
                <w:sz w:val="22"/>
                <w:szCs w:val="22"/>
              </w:rPr>
              <w:tab/>
            </w:r>
            <w:r w:rsidRPr="00EF7412">
              <w:rPr>
                <w:sz w:val="22"/>
                <w:szCs w:val="22"/>
              </w:rPr>
              <w:t xml:space="preserve">i versamenti, premi e contributi per assicurazioni sulla vita, contro le malattie e, in quanto non compresi sotto la lettera f), contro gli infortuni, nonché gli interessi dei capitali a risparmio del contribuente e delle persone al cui sostentamento egli provvede, fino a concorrenza di una somma globale di </w:t>
            </w:r>
            <w:r w:rsidRPr="00EF7412">
              <w:rPr>
                <w:b/>
                <w:color w:val="FF0000"/>
                <w:sz w:val="22"/>
                <w:szCs w:val="22"/>
              </w:rPr>
              <w:t>18’000.–</w:t>
            </w:r>
            <w:r w:rsidRPr="00EF7412">
              <w:rPr>
                <w:color w:val="FF0000"/>
                <w:sz w:val="22"/>
                <w:szCs w:val="22"/>
              </w:rPr>
              <w:t xml:space="preserve"> </w:t>
            </w:r>
            <w:r w:rsidRPr="00EF7412">
              <w:rPr>
                <w:sz w:val="22"/>
                <w:szCs w:val="22"/>
              </w:rPr>
              <w:t xml:space="preserve">franchi per i coniugi che vivono in comunione domestica e di </w:t>
            </w:r>
            <w:r w:rsidRPr="00EF7412">
              <w:rPr>
                <w:b/>
                <w:color w:val="FF0000"/>
                <w:sz w:val="22"/>
                <w:szCs w:val="22"/>
              </w:rPr>
              <w:t>9’000.–</w:t>
            </w:r>
            <w:r w:rsidRPr="00EF7412">
              <w:rPr>
                <w:color w:val="FF0000"/>
                <w:sz w:val="22"/>
                <w:szCs w:val="22"/>
              </w:rPr>
              <w:t xml:space="preserve"> </w:t>
            </w:r>
            <w:r w:rsidRPr="00EF7412">
              <w:rPr>
                <w:sz w:val="22"/>
                <w:szCs w:val="22"/>
              </w:rPr>
              <w:t xml:space="preserve">franchi per gli altri contribuenti; per i contribuenti che non versano contributi alle istituzioni di previdenza professionale e a forme riconosciute della previdenza individuale vincolata queste somme sono aumentate di </w:t>
            </w:r>
            <w:r w:rsidRPr="00B15355">
              <w:rPr>
                <w:b/>
                <w:color w:val="FF0000"/>
                <w:sz w:val="22"/>
                <w:szCs w:val="22"/>
              </w:rPr>
              <w:t>4’300.–</w:t>
            </w:r>
            <w:r w:rsidRPr="00B15355">
              <w:rPr>
                <w:color w:val="FF0000"/>
                <w:sz w:val="22"/>
                <w:szCs w:val="22"/>
              </w:rPr>
              <w:t xml:space="preserve"> </w:t>
            </w:r>
            <w:r w:rsidRPr="00EF7412">
              <w:rPr>
                <w:sz w:val="22"/>
                <w:szCs w:val="22"/>
              </w:rPr>
              <w:t xml:space="preserve">franchi per i coniugi che vivono in comunione domestica e di </w:t>
            </w:r>
            <w:r w:rsidRPr="00B15355">
              <w:rPr>
                <w:b/>
                <w:color w:val="FF0000"/>
                <w:sz w:val="22"/>
                <w:szCs w:val="22"/>
              </w:rPr>
              <w:t>2’200.–</w:t>
            </w:r>
            <w:r w:rsidRPr="00B15355">
              <w:rPr>
                <w:color w:val="FF0000"/>
                <w:sz w:val="22"/>
                <w:szCs w:val="22"/>
              </w:rPr>
              <w:t xml:space="preserve"> </w:t>
            </w:r>
            <w:r w:rsidRPr="00EF7412">
              <w:rPr>
                <w:sz w:val="22"/>
                <w:szCs w:val="22"/>
              </w:rPr>
              <w:t>franchi per gli altri contribuenti;</w:t>
            </w:r>
          </w:p>
        </w:tc>
      </w:tr>
    </w:tbl>
    <w:p w14:paraId="1ADE7D74" w14:textId="77777777" w:rsidR="00E2477B" w:rsidRDefault="00E2477B" w:rsidP="00E2477B"/>
    <w:p w14:paraId="1ADE7D75" w14:textId="77777777" w:rsidR="00B15355" w:rsidRDefault="00E2477B" w:rsidP="00E2477B">
      <w:r>
        <w:lastRenderedPageBreak/>
        <w:t>Nello specchietto seguente è illustrato il confronto tra gli importi massimi deducibili attualmente</w:t>
      </w:r>
      <w:r w:rsidR="00366601">
        <w:t xml:space="preserve"> a titolo di oneri assicurativi</w:t>
      </w:r>
      <w:r>
        <w:t xml:space="preserve"> e i nuovi importi massimi deducibili proposti dall’iniziativa</w:t>
      </w:r>
      <w:r w:rsidR="00B15355">
        <w:t xml:space="preserve"> (cifre in franchi)</w:t>
      </w:r>
      <w:r>
        <w:t>.</w:t>
      </w:r>
    </w:p>
    <w:p w14:paraId="1ADE7D76" w14:textId="77777777" w:rsidR="00E2477B" w:rsidRDefault="00E2477B" w:rsidP="00E2477B"/>
    <w:tbl>
      <w:tblPr>
        <w:tblW w:w="7420" w:type="dxa"/>
        <w:tblCellMar>
          <w:left w:w="70" w:type="dxa"/>
          <w:right w:w="70" w:type="dxa"/>
        </w:tblCellMar>
        <w:tblLook w:val="0600" w:firstRow="0" w:lastRow="0" w:firstColumn="0" w:lastColumn="0" w:noHBand="1" w:noVBand="1"/>
      </w:tblPr>
      <w:tblGrid>
        <w:gridCol w:w="2740"/>
        <w:gridCol w:w="2340"/>
        <w:gridCol w:w="2340"/>
      </w:tblGrid>
      <w:tr w:rsidR="00E2477B" w:rsidRPr="00EF7412" w14:paraId="1ADE7D7A" w14:textId="77777777" w:rsidTr="00B15355">
        <w:trPr>
          <w:trHeight w:val="288"/>
        </w:trPr>
        <w:tc>
          <w:tcPr>
            <w:tcW w:w="2740" w:type="dxa"/>
            <w:tcBorders>
              <w:top w:val="nil"/>
              <w:left w:val="nil"/>
              <w:bottom w:val="nil"/>
              <w:right w:val="nil"/>
            </w:tcBorders>
            <w:shd w:val="clear" w:color="auto" w:fill="auto"/>
            <w:vAlign w:val="center"/>
            <w:hideMark/>
          </w:tcPr>
          <w:p w14:paraId="1ADE7D77" w14:textId="77777777" w:rsidR="00E2477B" w:rsidRPr="00EF7412" w:rsidRDefault="00E2477B" w:rsidP="00AA7A7F">
            <w:pPr>
              <w:suppressAutoHyphens w:val="0"/>
              <w:jc w:val="center"/>
              <w:rPr>
                <w:rFonts w:eastAsia="Times New Roman" w:cs="Arial"/>
                <w:b/>
                <w:bCs/>
                <w:sz w:val="22"/>
                <w:szCs w:val="22"/>
                <w:lang w:eastAsia="it-CH"/>
              </w:rPr>
            </w:pPr>
          </w:p>
        </w:tc>
        <w:tc>
          <w:tcPr>
            <w:tcW w:w="23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ADE7D78" w14:textId="77777777" w:rsidR="00E2477B" w:rsidRPr="00EF7412" w:rsidRDefault="00E2477B" w:rsidP="00AA7A7F">
            <w:pPr>
              <w:suppressAutoHyphens w:val="0"/>
              <w:jc w:val="center"/>
              <w:rPr>
                <w:rFonts w:eastAsia="Times New Roman" w:cs="Arial"/>
                <w:b/>
                <w:bCs/>
                <w:sz w:val="22"/>
                <w:szCs w:val="22"/>
                <w:lang w:eastAsia="it-CH"/>
              </w:rPr>
            </w:pPr>
            <w:r w:rsidRPr="00EF7412">
              <w:rPr>
                <w:rFonts w:eastAsia="Times New Roman" w:cs="Arial"/>
                <w:b/>
                <w:bCs/>
                <w:sz w:val="22"/>
                <w:szCs w:val="22"/>
                <w:lang w:eastAsia="it-CH"/>
              </w:rPr>
              <w:t>LT 2025</w:t>
            </w:r>
          </w:p>
        </w:tc>
        <w:tc>
          <w:tcPr>
            <w:tcW w:w="2340" w:type="dxa"/>
            <w:tcBorders>
              <w:top w:val="single" w:sz="4" w:space="0" w:color="auto"/>
              <w:left w:val="nil"/>
              <w:bottom w:val="single" w:sz="4" w:space="0" w:color="auto"/>
              <w:right w:val="single" w:sz="4" w:space="0" w:color="auto"/>
            </w:tcBorders>
            <w:shd w:val="clear" w:color="auto" w:fill="auto"/>
            <w:vAlign w:val="bottom"/>
            <w:hideMark/>
          </w:tcPr>
          <w:p w14:paraId="1ADE7D79" w14:textId="77777777" w:rsidR="00E2477B" w:rsidRPr="00EF7412" w:rsidRDefault="00366601" w:rsidP="00AA7A7F">
            <w:pPr>
              <w:suppressAutoHyphens w:val="0"/>
              <w:jc w:val="center"/>
              <w:rPr>
                <w:rFonts w:eastAsia="Times New Roman" w:cs="Arial"/>
                <w:b/>
                <w:bCs/>
                <w:sz w:val="22"/>
                <w:szCs w:val="22"/>
                <w:lang w:eastAsia="it-CH"/>
              </w:rPr>
            </w:pPr>
            <w:r>
              <w:rPr>
                <w:rFonts w:eastAsia="Times New Roman" w:cs="Arial"/>
                <w:b/>
                <w:bCs/>
                <w:sz w:val="22"/>
                <w:szCs w:val="22"/>
                <w:lang w:eastAsia="it-CH"/>
              </w:rPr>
              <w:t>IP</w:t>
            </w:r>
            <w:r w:rsidR="00E2477B" w:rsidRPr="00EF7412">
              <w:rPr>
                <w:rFonts w:eastAsia="Times New Roman" w:cs="Arial"/>
                <w:b/>
                <w:bCs/>
                <w:sz w:val="22"/>
                <w:szCs w:val="22"/>
                <w:lang w:eastAsia="it-CH"/>
              </w:rPr>
              <w:t xml:space="preserve"> 150</w:t>
            </w:r>
          </w:p>
        </w:tc>
      </w:tr>
      <w:tr w:rsidR="00E2477B" w:rsidRPr="00EF7412" w14:paraId="1ADE7D7E" w14:textId="77777777" w:rsidTr="00AA7A7F">
        <w:trPr>
          <w:trHeight w:val="288"/>
        </w:trPr>
        <w:tc>
          <w:tcPr>
            <w:tcW w:w="27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ADE7D7B" w14:textId="77777777" w:rsidR="00E2477B" w:rsidRPr="00EF7412" w:rsidRDefault="00E2477B" w:rsidP="00AA7A7F">
            <w:pPr>
              <w:suppressAutoHyphens w:val="0"/>
              <w:rPr>
                <w:rFonts w:eastAsia="Times New Roman" w:cs="Arial"/>
                <w:sz w:val="22"/>
                <w:szCs w:val="22"/>
                <w:lang w:eastAsia="it-CH"/>
              </w:rPr>
            </w:pPr>
            <w:r w:rsidRPr="00EF7412">
              <w:rPr>
                <w:rFonts w:eastAsia="Times New Roman" w:cs="Arial"/>
                <w:sz w:val="22"/>
                <w:szCs w:val="22"/>
                <w:lang w:eastAsia="it-CH"/>
              </w:rPr>
              <w:t>Persone sole</w:t>
            </w:r>
          </w:p>
        </w:tc>
        <w:tc>
          <w:tcPr>
            <w:tcW w:w="2340" w:type="dxa"/>
            <w:tcBorders>
              <w:top w:val="nil"/>
              <w:left w:val="nil"/>
              <w:bottom w:val="single" w:sz="4" w:space="0" w:color="auto"/>
              <w:right w:val="single" w:sz="4" w:space="0" w:color="auto"/>
            </w:tcBorders>
            <w:shd w:val="clear" w:color="auto" w:fill="auto"/>
            <w:vAlign w:val="bottom"/>
            <w:hideMark/>
          </w:tcPr>
          <w:p w14:paraId="1ADE7D7C" w14:textId="77777777" w:rsidR="00E2477B" w:rsidRPr="00EF7412" w:rsidRDefault="00E2477B" w:rsidP="00AA7A7F">
            <w:pPr>
              <w:suppressAutoHyphens w:val="0"/>
              <w:jc w:val="right"/>
              <w:rPr>
                <w:rFonts w:eastAsia="Times New Roman" w:cs="Arial"/>
                <w:sz w:val="22"/>
                <w:szCs w:val="22"/>
                <w:lang w:eastAsia="it-CH"/>
              </w:rPr>
            </w:pPr>
            <w:r w:rsidRPr="00EF7412">
              <w:rPr>
                <w:rFonts w:eastAsia="Times New Roman" w:cs="Arial"/>
                <w:sz w:val="22"/>
                <w:szCs w:val="22"/>
                <w:lang w:eastAsia="it-CH"/>
              </w:rPr>
              <w:t>5'500</w:t>
            </w:r>
          </w:p>
        </w:tc>
        <w:tc>
          <w:tcPr>
            <w:tcW w:w="2340" w:type="dxa"/>
            <w:tcBorders>
              <w:top w:val="nil"/>
              <w:left w:val="nil"/>
              <w:bottom w:val="single" w:sz="4" w:space="0" w:color="auto"/>
              <w:right w:val="single" w:sz="4" w:space="0" w:color="auto"/>
            </w:tcBorders>
            <w:shd w:val="clear" w:color="auto" w:fill="auto"/>
            <w:vAlign w:val="bottom"/>
            <w:hideMark/>
          </w:tcPr>
          <w:p w14:paraId="1ADE7D7D" w14:textId="77777777" w:rsidR="00E2477B" w:rsidRPr="00EF7412" w:rsidRDefault="00E2477B" w:rsidP="00AA7A7F">
            <w:pPr>
              <w:suppressAutoHyphens w:val="0"/>
              <w:jc w:val="right"/>
              <w:rPr>
                <w:rFonts w:eastAsia="Times New Roman" w:cs="Arial"/>
                <w:sz w:val="22"/>
                <w:szCs w:val="22"/>
                <w:lang w:eastAsia="it-CH"/>
              </w:rPr>
            </w:pPr>
            <w:r w:rsidRPr="00EF7412">
              <w:rPr>
                <w:rFonts w:eastAsia="Times New Roman" w:cs="Arial"/>
                <w:sz w:val="22"/>
                <w:szCs w:val="22"/>
                <w:lang w:eastAsia="it-CH"/>
              </w:rPr>
              <w:t>9'000</w:t>
            </w:r>
          </w:p>
        </w:tc>
      </w:tr>
      <w:tr w:rsidR="00E2477B" w:rsidRPr="00EF7412" w14:paraId="1ADE7D82" w14:textId="77777777" w:rsidTr="00AA7A7F">
        <w:trPr>
          <w:trHeight w:val="288"/>
        </w:trPr>
        <w:tc>
          <w:tcPr>
            <w:tcW w:w="2740" w:type="dxa"/>
            <w:tcBorders>
              <w:top w:val="nil"/>
              <w:left w:val="single" w:sz="4" w:space="0" w:color="auto"/>
              <w:bottom w:val="single" w:sz="4" w:space="0" w:color="auto"/>
              <w:right w:val="single" w:sz="4" w:space="0" w:color="auto"/>
            </w:tcBorders>
            <w:shd w:val="clear" w:color="auto" w:fill="auto"/>
            <w:vAlign w:val="bottom"/>
            <w:hideMark/>
          </w:tcPr>
          <w:p w14:paraId="1ADE7D7F" w14:textId="77777777" w:rsidR="00E2477B" w:rsidRPr="00EF7412" w:rsidRDefault="00E2477B" w:rsidP="00AA7A7F">
            <w:pPr>
              <w:suppressAutoHyphens w:val="0"/>
              <w:rPr>
                <w:rFonts w:eastAsia="Times New Roman" w:cs="Arial"/>
                <w:sz w:val="22"/>
                <w:szCs w:val="22"/>
                <w:lang w:eastAsia="it-CH"/>
              </w:rPr>
            </w:pPr>
            <w:r w:rsidRPr="00EF7412">
              <w:rPr>
                <w:rFonts w:eastAsia="Times New Roman" w:cs="Arial"/>
                <w:sz w:val="22"/>
                <w:szCs w:val="22"/>
                <w:lang w:eastAsia="it-CH"/>
              </w:rPr>
              <w:t>Coniugati</w:t>
            </w:r>
          </w:p>
        </w:tc>
        <w:tc>
          <w:tcPr>
            <w:tcW w:w="2340" w:type="dxa"/>
            <w:tcBorders>
              <w:top w:val="nil"/>
              <w:left w:val="nil"/>
              <w:bottom w:val="single" w:sz="4" w:space="0" w:color="auto"/>
              <w:right w:val="single" w:sz="4" w:space="0" w:color="auto"/>
            </w:tcBorders>
            <w:shd w:val="clear" w:color="auto" w:fill="auto"/>
            <w:vAlign w:val="bottom"/>
            <w:hideMark/>
          </w:tcPr>
          <w:p w14:paraId="1ADE7D80" w14:textId="77777777" w:rsidR="00E2477B" w:rsidRPr="00EF7412" w:rsidRDefault="00E2477B" w:rsidP="00AA7A7F">
            <w:pPr>
              <w:suppressAutoHyphens w:val="0"/>
              <w:jc w:val="right"/>
              <w:rPr>
                <w:rFonts w:eastAsia="Times New Roman" w:cs="Arial"/>
                <w:sz w:val="22"/>
                <w:szCs w:val="22"/>
                <w:lang w:eastAsia="it-CH"/>
              </w:rPr>
            </w:pPr>
            <w:r w:rsidRPr="00EF7412">
              <w:rPr>
                <w:rFonts w:eastAsia="Times New Roman" w:cs="Arial"/>
                <w:sz w:val="22"/>
                <w:szCs w:val="22"/>
                <w:lang w:eastAsia="it-CH"/>
              </w:rPr>
              <w:t>10'900</w:t>
            </w:r>
          </w:p>
        </w:tc>
        <w:tc>
          <w:tcPr>
            <w:tcW w:w="2340" w:type="dxa"/>
            <w:tcBorders>
              <w:top w:val="nil"/>
              <w:left w:val="nil"/>
              <w:bottom w:val="single" w:sz="4" w:space="0" w:color="auto"/>
              <w:right w:val="single" w:sz="4" w:space="0" w:color="auto"/>
            </w:tcBorders>
            <w:shd w:val="clear" w:color="auto" w:fill="auto"/>
            <w:vAlign w:val="bottom"/>
            <w:hideMark/>
          </w:tcPr>
          <w:p w14:paraId="1ADE7D81" w14:textId="77777777" w:rsidR="00E2477B" w:rsidRPr="00EF7412" w:rsidRDefault="00E2477B" w:rsidP="00AA7A7F">
            <w:pPr>
              <w:suppressAutoHyphens w:val="0"/>
              <w:jc w:val="right"/>
              <w:rPr>
                <w:rFonts w:eastAsia="Times New Roman" w:cs="Arial"/>
                <w:sz w:val="22"/>
                <w:szCs w:val="22"/>
                <w:lang w:eastAsia="it-CH"/>
              </w:rPr>
            </w:pPr>
            <w:r w:rsidRPr="00EF7412">
              <w:rPr>
                <w:rFonts w:eastAsia="Times New Roman" w:cs="Arial"/>
                <w:sz w:val="22"/>
                <w:szCs w:val="22"/>
                <w:lang w:eastAsia="it-CH"/>
              </w:rPr>
              <w:t>18'000</w:t>
            </w:r>
          </w:p>
        </w:tc>
      </w:tr>
      <w:tr w:rsidR="00E2477B" w:rsidRPr="00EF7412" w14:paraId="1ADE7D86" w14:textId="77777777" w:rsidTr="00AA7A7F">
        <w:trPr>
          <w:trHeight w:val="288"/>
        </w:trPr>
        <w:tc>
          <w:tcPr>
            <w:tcW w:w="2740" w:type="dxa"/>
            <w:tcBorders>
              <w:top w:val="nil"/>
              <w:left w:val="single" w:sz="4" w:space="0" w:color="auto"/>
              <w:bottom w:val="single" w:sz="4" w:space="0" w:color="auto"/>
              <w:right w:val="single" w:sz="4" w:space="0" w:color="auto"/>
            </w:tcBorders>
            <w:shd w:val="clear" w:color="auto" w:fill="auto"/>
            <w:vAlign w:val="bottom"/>
            <w:hideMark/>
          </w:tcPr>
          <w:p w14:paraId="1ADE7D83" w14:textId="77777777" w:rsidR="00E2477B" w:rsidRPr="00EF7412" w:rsidRDefault="00E2477B" w:rsidP="00AA7A7F">
            <w:pPr>
              <w:suppressAutoHyphens w:val="0"/>
              <w:rPr>
                <w:rFonts w:eastAsia="Times New Roman" w:cs="Arial"/>
                <w:sz w:val="22"/>
                <w:szCs w:val="22"/>
                <w:lang w:eastAsia="it-CH"/>
              </w:rPr>
            </w:pPr>
            <w:r w:rsidRPr="00EF7412">
              <w:rPr>
                <w:rFonts w:eastAsia="Times New Roman" w:cs="Arial"/>
                <w:sz w:val="22"/>
                <w:szCs w:val="22"/>
                <w:lang w:eastAsia="it-CH"/>
              </w:rPr>
              <w:t>Pensionati persone sole</w:t>
            </w:r>
          </w:p>
        </w:tc>
        <w:tc>
          <w:tcPr>
            <w:tcW w:w="2340" w:type="dxa"/>
            <w:tcBorders>
              <w:top w:val="nil"/>
              <w:left w:val="nil"/>
              <w:bottom w:val="single" w:sz="4" w:space="0" w:color="auto"/>
              <w:right w:val="single" w:sz="4" w:space="0" w:color="auto"/>
            </w:tcBorders>
            <w:shd w:val="clear" w:color="auto" w:fill="auto"/>
            <w:vAlign w:val="bottom"/>
            <w:hideMark/>
          </w:tcPr>
          <w:p w14:paraId="1ADE7D84" w14:textId="77777777" w:rsidR="00E2477B" w:rsidRPr="00EF7412" w:rsidRDefault="00E2477B" w:rsidP="00AA7A7F">
            <w:pPr>
              <w:suppressAutoHyphens w:val="0"/>
              <w:jc w:val="right"/>
              <w:rPr>
                <w:rFonts w:eastAsia="Times New Roman" w:cs="Arial"/>
                <w:sz w:val="22"/>
                <w:szCs w:val="22"/>
                <w:lang w:eastAsia="it-CH"/>
              </w:rPr>
            </w:pPr>
            <w:r w:rsidRPr="00EF7412">
              <w:rPr>
                <w:rFonts w:eastAsia="Times New Roman" w:cs="Arial"/>
                <w:sz w:val="22"/>
                <w:szCs w:val="22"/>
                <w:lang w:eastAsia="it-CH"/>
              </w:rPr>
              <w:t>7'800</w:t>
            </w:r>
          </w:p>
        </w:tc>
        <w:tc>
          <w:tcPr>
            <w:tcW w:w="2340" w:type="dxa"/>
            <w:tcBorders>
              <w:top w:val="nil"/>
              <w:left w:val="nil"/>
              <w:bottom w:val="single" w:sz="4" w:space="0" w:color="auto"/>
              <w:right w:val="single" w:sz="4" w:space="0" w:color="auto"/>
            </w:tcBorders>
            <w:shd w:val="clear" w:color="auto" w:fill="auto"/>
            <w:vAlign w:val="bottom"/>
            <w:hideMark/>
          </w:tcPr>
          <w:p w14:paraId="1ADE7D85" w14:textId="77777777" w:rsidR="00E2477B" w:rsidRPr="00EF7412" w:rsidRDefault="00E2477B" w:rsidP="00AA7A7F">
            <w:pPr>
              <w:suppressAutoHyphens w:val="0"/>
              <w:jc w:val="right"/>
              <w:rPr>
                <w:rFonts w:eastAsia="Times New Roman" w:cs="Arial"/>
                <w:sz w:val="22"/>
                <w:szCs w:val="22"/>
                <w:lang w:eastAsia="it-CH"/>
              </w:rPr>
            </w:pPr>
            <w:r w:rsidRPr="00EF7412">
              <w:rPr>
                <w:rFonts w:eastAsia="Times New Roman" w:cs="Arial"/>
                <w:sz w:val="22"/>
                <w:szCs w:val="22"/>
                <w:lang w:eastAsia="it-CH"/>
              </w:rPr>
              <w:t>11’200</w:t>
            </w:r>
          </w:p>
        </w:tc>
      </w:tr>
      <w:tr w:rsidR="00E2477B" w:rsidRPr="00EF7412" w14:paraId="1ADE7D8A" w14:textId="77777777" w:rsidTr="00AA7A7F">
        <w:trPr>
          <w:trHeight w:val="288"/>
        </w:trPr>
        <w:tc>
          <w:tcPr>
            <w:tcW w:w="2740" w:type="dxa"/>
            <w:tcBorders>
              <w:top w:val="nil"/>
              <w:left w:val="single" w:sz="4" w:space="0" w:color="auto"/>
              <w:bottom w:val="single" w:sz="4" w:space="0" w:color="auto"/>
              <w:right w:val="single" w:sz="4" w:space="0" w:color="auto"/>
            </w:tcBorders>
            <w:shd w:val="clear" w:color="auto" w:fill="auto"/>
            <w:vAlign w:val="bottom"/>
            <w:hideMark/>
          </w:tcPr>
          <w:p w14:paraId="1ADE7D87" w14:textId="77777777" w:rsidR="00E2477B" w:rsidRPr="00EF7412" w:rsidRDefault="00E2477B" w:rsidP="00AA7A7F">
            <w:pPr>
              <w:suppressAutoHyphens w:val="0"/>
              <w:rPr>
                <w:rFonts w:eastAsia="Times New Roman" w:cs="Arial"/>
                <w:sz w:val="22"/>
                <w:szCs w:val="22"/>
                <w:lang w:eastAsia="it-CH"/>
              </w:rPr>
            </w:pPr>
            <w:r w:rsidRPr="00EF7412">
              <w:rPr>
                <w:rFonts w:eastAsia="Times New Roman" w:cs="Arial"/>
                <w:sz w:val="22"/>
                <w:szCs w:val="22"/>
                <w:lang w:eastAsia="it-CH"/>
              </w:rPr>
              <w:t>Pensionati coniugati</w:t>
            </w:r>
          </w:p>
        </w:tc>
        <w:tc>
          <w:tcPr>
            <w:tcW w:w="2340" w:type="dxa"/>
            <w:tcBorders>
              <w:top w:val="nil"/>
              <w:left w:val="nil"/>
              <w:bottom w:val="single" w:sz="4" w:space="0" w:color="auto"/>
              <w:right w:val="single" w:sz="4" w:space="0" w:color="auto"/>
            </w:tcBorders>
            <w:shd w:val="clear" w:color="auto" w:fill="auto"/>
            <w:vAlign w:val="bottom"/>
            <w:hideMark/>
          </w:tcPr>
          <w:p w14:paraId="1ADE7D88" w14:textId="77777777" w:rsidR="00E2477B" w:rsidRPr="00EF7412" w:rsidRDefault="00E2477B" w:rsidP="00AA7A7F">
            <w:pPr>
              <w:suppressAutoHyphens w:val="0"/>
              <w:jc w:val="right"/>
              <w:rPr>
                <w:rFonts w:eastAsia="Times New Roman" w:cs="Arial"/>
                <w:sz w:val="22"/>
                <w:szCs w:val="22"/>
                <w:lang w:eastAsia="it-CH"/>
              </w:rPr>
            </w:pPr>
            <w:r w:rsidRPr="00EF7412">
              <w:rPr>
                <w:rFonts w:eastAsia="Times New Roman" w:cs="Arial"/>
                <w:sz w:val="22"/>
                <w:szCs w:val="22"/>
                <w:lang w:eastAsia="it-CH"/>
              </w:rPr>
              <w:t>15'400</w:t>
            </w:r>
          </w:p>
        </w:tc>
        <w:tc>
          <w:tcPr>
            <w:tcW w:w="2340" w:type="dxa"/>
            <w:tcBorders>
              <w:top w:val="nil"/>
              <w:left w:val="nil"/>
              <w:bottom w:val="single" w:sz="4" w:space="0" w:color="auto"/>
              <w:right w:val="single" w:sz="4" w:space="0" w:color="auto"/>
            </w:tcBorders>
            <w:shd w:val="clear" w:color="auto" w:fill="auto"/>
            <w:vAlign w:val="bottom"/>
            <w:hideMark/>
          </w:tcPr>
          <w:p w14:paraId="1ADE7D89" w14:textId="77777777" w:rsidR="00E2477B" w:rsidRPr="00EF7412" w:rsidRDefault="00E2477B" w:rsidP="00AA7A7F">
            <w:pPr>
              <w:suppressAutoHyphens w:val="0"/>
              <w:jc w:val="right"/>
              <w:rPr>
                <w:rFonts w:eastAsia="Times New Roman" w:cs="Arial"/>
                <w:sz w:val="22"/>
                <w:szCs w:val="22"/>
                <w:lang w:eastAsia="it-CH"/>
              </w:rPr>
            </w:pPr>
            <w:r w:rsidRPr="00EF7412">
              <w:rPr>
                <w:rFonts w:eastAsia="Times New Roman" w:cs="Arial"/>
                <w:sz w:val="22"/>
                <w:szCs w:val="22"/>
                <w:lang w:eastAsia="it-CH"/>
              </w:rPr>
              <w:t>22'300</w:t>
            </w:r>
          </w:p>
        </w:tc>
      </w:tr>
      <w:tr w:rsidR="00E2477B" w:rsidRPr="00EF7412" w14:paraId="1ADE7D8E" w14:textId="77777777" w:rsidTr="00AA7A7F">
        <w:trPr>
          <w:trHeight w:val="288"/>
        </w:trPr>
        <w:tc>
          <w:tcPr>
            <w:tcW w:w="2740" w:type="dxa"/>
            <w:tcBorders>
              <w:top w:val="nil"/>
              <w:left w:val="single" w:sz="4" w:space="0" w:color="auto"/>
              <w:bottom w:val="single" w:sz="4" w:space="0" w:color="auto"/>
              <w:right w:val="single" w:sz="4" w:space="0" w:color="auto"/>
            </w:tcBorders>
            <w:shd w:val="clear" w:color="auto" w:fill="auto"/>
            <w:vAlign w:val="bottom"/>
            <w:hideMark/>
          </w:tcPr>
          <w:p w14:paraId="1ADE7D8B" w14:textId="77777777" w:rsidR="00E2477B" w:rsidRPr="00EF7412" w:rsidRDefault="00E2477B" w:rsidP="00AA7A7F">
            <w:pPr>
              <w:suppressAutoHyphens w:val="0"/>
              <w:rPr>
                <w:rFonts w:eastAsia="Times New Roman" w:cs="Arial"/>
                <w:sz w:val="22"/>
                <w:szCs w:val="22"/>
                <w:lang w:eastAsia="it-CH"/>
              </w:rPr>
            </w:pPr>
            <w:r w:rsidRPr="00EF7412">
              <w:rPr>
                <w:rFonts w:eastAsia="Times New Roman" w:cs="Arial"/>
                <w:sz w:val="22"/>
                <w:szCs w:val="22"/>
                <w:lang w:eastAsia="it-CH"/>
              </w:rPr>
              <w:t>Figlio a carico</w:t>
            </w:r>
          </w:p>
        </w:tc>
        <w:tc>
          <w:tcPr>
            <w:tcW w:w="2340" w:type="dxa"/>
            <w:tcBorders>
              <w:top w:val="nil"/>
              <w:left w:val="nil"/>
              <w:bottom w:val="single" w:sz="4" w:space="0" w:color="auto"/>
              <w:right w:val="single" w:sz="4" w:space="0" w:color="auto"/>
            </w:tcBorders>
            <w:shd w:val="clear" w:color="auto" w:fill="auto"/>
            <w:vAlign w:val="bottom"/>
            <w:hideMark/>
          </w:tcPr>
          <w:p w14:paraId="1ADE7D8C" w14:textId="77777777" w:rsidR="00E2477B" w:rsidRPr="00EF7412" w:rsidRDefault="00E2477B" w:rsidP="00AA7A7F">
            <w:pPr>
              <w:suppressAutoHyphens w:val="0"/>
              <w:jc w:val="right"/>
              <w:rPr>
                <w:rFonts w:eastAsia="Times New Roman" w:cs="Arial"/>
                <w:sz w:val="22"/>
                <w:szCs w:val="22"/>
                <w:lang w:eastAsia="it-CH"/>
              </w:rPr>
            </w:pPr>
            <w:r w:rsidRPr="00EF7412">
              <w:rPr>
                <w:rFonts w:eastAsia="Times New Roman" w:cs="Arial"/>
                <w:sz w:val="22"/>
                <w:szCs w:val="22"/>
                <w:lang w:eastAsia="it-CH"/>
              </w:rPr>
              <w:t>1’200</w:t>
            </w:r>
          </w:p>
        </w:tc>
        <w:tc>
          <w:tcPr>
            <w:tcW w:w="2340" w:type="dxa"/>
            <w:tcBorders>
              <w:top w:val="nil"/>
              <w:left w:val="nil"/>
              <w:bottom w:val="single" w:sz="4" w:space="0" w:color="auto"/>
              <w:right w:val="single" w:sz="4" w:space="0" w:color="auto"/>
            </w:tcBorders>
            <w:shd w:val="clear" w:color="auto" w:fill="auto"/>
            <w:vAlign w:val="bottom"/>
            <w:hideMark/>
          </w:tcPr>
          <w:p w14:paraId="1ADE7D8D" w14:textId="77777777" w:rsidR="00E2477B" w:rsidRPr="00EF7412" w:rsidRDefault="00E2477B" w:rsidP="00AA7A7F">
            <w:pPr>
              <w:suppressAutoHyphens w:val="0"/>
              <w:jc w:val="right"/>
              <w:rPr>
                <w:rFonts w:eastAsia="Times New Roman" w:cs="Arial"/>
                <w:sz w:val="22"/>
                <w:szCs w:val="22"/>
                <w:lang w:eastAsia="it-CH"/>
              </w:rPr>
            </w:pPr>
            <w:r w:rsidRPr="00EF7412">
              <w:rPr>
                <w:rFonts w:eastAsia="Times New Roman" w:cs="Arial"/>
                <w:sz w:val="22"/>
                <w:szCs w:val="22"/>
                <w:lang w:eastAsia="it-CH"/>
              </w:rPr>
              <w:t>1’200</w:t>
            </w:r>
          </w:p>
        </w:tc>
      </w:tr>
    </w:tbl>
    <w:p w14:paraId="1ADE7D8F" w14:textId="77777777" w:rsidR="00562C70" w:rsidRDefault="00562C70" w:rsidP="00562C70"/>
    <w:p w14:paraId="1ADE7D90" w14:textId="77777777" w:rsidR="00933598" w:rsidRDefault="00933598" w:rsidP="00562C70"/>
    <w:p w14:paraId="1ADE7D91" w14:textId="77777777" w:rsidR="00562C70" w:rsidRPr="002E4857" w:rsidRDefault="00355BB0" w:rsidP="00355BB0">
      <w:pPr>
        <w:pStyle w:val="Titolo1"/>
        <w:numPr>
          <w:ilvl w:val="0"/>
          <w:numId w:val="23"/>
        </w:numPr>
        <w:spacing w:before="0" w:after="0"/>
        <w:ind w:left="426" w:hanging="426"/>
      </w:pPr>
      <w:r>
        <w:t>CRITICITA’ LEGATE ALL’EVENTUALE ACCOGLIMENTO DELL’INIZIATIVA</w:t>
      </w:r>
    </w:p>
    <w:p w14:paraId="1ADE7D92" w14:textId="77777777" w:rsidR="00562C70" w:rsidRDefault="00562C70" w:rsidP="00562C70"/>
    <w:p w14:paraId="1ADE7D93" w14:textId="77777777" w:rsidR="00366601" w:rsidRDefault="00366601" w:rsidP="00562C70">
      <w:r>
        <w:t>Qui di seguito illustriamo le molteplici criticità legate all’eventuale accoglimento dell’iniziativa.</w:t>
      </w:r>
    </w:p>
    <w:p w14:paraId="1ADE7D94" w14:textId="77777777" w:rsidR="00366601" w:rsidRDefault="00366601" w:rsidP="00355BB0"/>
    <w:p w14:paraId="1ADE7D95" w14:textId="77777777" w:rsidR="00562C70" w:rsidRDefault="00355BB0" w:rsidP="00355BB0">
      <w:pPr>
        <w:pStyle w:val="Titolo2"/>
        <w:numPr>
          <w:ilvl w:val="0"/>
          <w:numId w:val="0"/>
        </w:numPr>
        <w:tabs>
          <w:tab w:val="left" w:pos="426"/>
        </w:tabs>
        <w:spacing w:after="0"/>
        <w:jc w:val="both"/>
      </w:pPr>
      <w:r>
        <w:t>2.1</w:t>
      </w:r>
      <w:r>
        <w:tab/>
      </w:r>
      <w:r w:rsidR="00E2477B" w:rsidRPr="00E2477B">
        <w:t>La deduzione in questione non riguarda solo il premio di cassa malati</w:t>
      </w:r>
    </w:p>
    <w:p w14:paraId="1ADE7D96" w14:textId="77777777" w:rsidR="00562C70" w:rsidRPr="002E4857" w:rsidRDefault="00562C70" w:rsidP="00355BB0"/>
    <w:p w14:paraId="1ADE7D97" w14:textId="77777777" w:rsidR="00E2477B" w:rsidRDefault="00E2477B" w:rsidP="00E2477B">
      <w:pPr>
        <w:rPr>
          <w:rFonts w:cs="Arial"/>
        </w:rPr>
      </w:pPr>
      <w:r>
        <w:rPr>
          <w:rFonts w:cs="Arial"/>
        </w:rPr>
        <w:t xml:space="preserve">Gli </w:t>
      </w:r>
      <w:proofErr w:type="spellStart"/>
      <w:r>
        <w:rPr>
          <w:rFonts w:cs="Arial"/>
        </w:rPr>
        <w:t>iniziativisti</w:t>
      </w:r>
      <w:proofErr w:type="spellEnd"/>
      <w:r>
        <w:rPr>
          <w:rFonts w:cs="Arial"/>
        </w:rPr>
        <w:t xml:space="preserve"> giustificano la proposta di aumentare le deduzioni per oneri assicurativi </w:t>
      </w:r>
      <w:r w:rsidR="00366601">
        <w:rPr>
          <w:rFonts w:cs="Arial"/>
        </w:rPr>
        <w:t xml:space="preserve">con l’esigenza </w:t>
      </w:r>
      <w:r>
        <w:rPr>
          <w:rFonts w:cs="Arial"/>
        </w:rPr>
        <w:t xml:space="preserve">di permettere la piena deducibilità dei premi di cassa malati. </w:t>
      </w:r>
    </w:p>
    <w:p w14:paraId="1ADE7D98" w14:textId="77777777" w:rsidR="00E2477B" w:rsidRDefault="00E2477B" w:rsidP="00E2477B">
      <w:pPr>
        <w:rPr>
          <w:rFonts w:cs="Arial"/>
        </w:rPr>
      </w:pPr>
    </w:p>
    <w:p w14:paraId="1ADE7D99" w14:textId="77777777" w:rsidR="00E2477B" w:rsidRPr="000171A8" w:rsidRDefault="00E2477B" w:rsidP="00E2477B">
      <w:pPr>
        <w:rPr>
          <w:rFonts w:cs="Arial"/>
        </w:rPr>
      </w:pPr>
      <w:r>
        <w:rPr>
          <w:rFonts w:cs="Arial"/>
        </w:rPr>
        <w:t>È tuttavia importante sottolineare che l</w:t>
      </w:r>
      <w:r w:rsidRPr="000171A8">
        <w:rPr>
          <w:rFonts w:cs="Arial"/>
        </w:rPr>
        <w:t>a deduzione per oneri assicurativi non comprende solo il premio dell’assicurazione obbligatoria di cassa malati (</w:t>
      </w:r>
      <w:proofErr w:type="spellStart"/>
      <w:r w:rsidRPr="000171A8">
        <w:rPr>
          <w:rFonts w:cs="Arial"/>
        </w:rPr>
        <w:t>LAMal</w:t>
      </w:r>
      <w:proofErr w:type="spellEnd"/>
      <w:r w:rsidRPr="000171A8">
        <w:rPr>
          <w:rFonts w:cs="Arial"/>
        </w:rPr>
        <w:t>) bensì anche:</w:t>
      </w:r>
    </w:p>
    <w:p w14:paraId="1ADE7D9A" w14:textId="6DC4B5D0" w:rsidR="00E2477B" w:rsidRPr="000171A8" w:rsidRDefault="00E2477B" w:rsidP="00E2477B">
      <w:pPr>
        <w:rPr>
          <w:rFonts w:cs="Arial"/>
        </w:rPr>
      </w:pPr>
    </w:p>
    <w:p w14:paraId="1ADE7D9B" w14:textId="77777777" w:rsidR="00E2477B" w:rsidRPr="000171A8" w:rsidRDefault="00E2477B" w:rsidP="00367C65">
      <w:pPr>
        <w:numPr>
          <w:ilvl w:val="0"/>
          <w:numId w:val="20"/>
        </w:numPr>
        <w:suppressAutoHyphens w:val="0"/>
        <w:ind w:left="357" w:hanging="357"/>
        <w:rPr>
          <w:rFonts w:cs="Arial"/>
          <w:lang w:eastAsia="it-CH"/>
        </w:rPr>
      </w:pPr>
      <w:r w:rsidRPr="000171A8">
        <w:rPr>
          <w:rFonts w:cs="Arial"/>
          <w:lang w:eastAsia="it-CH"/>
        </w:rPr>
        <w:t>il premio delle assicurazioni integrative (le cosiddette “assicurazioni complementari”);</w:t>
      </w:r>
    </w:p>
    <w:p w14:paraId="1ADE7D9C" w14:textId="77777777" w:rsidR="00E2477B" w:rsidRPr="000171A8" w:rsidRDefault="00E2477B" w:rsidP="00367C65">
      <w:pPr>
        <w:numPr>
          <w:ilvl w:val="0"/>
          <w:numId w:val="20"/>
        </w:numPr>
        <w:suppressAutoHyphens w:val="0"/>
        <w:ind w:left="357" w:hanging="357"/>
        <w:rPr>
          <w:rFonts w:cs="Arial"/>
          <w:lang w:eastAsia="it-CH"/>
        </w:rPr>
      </w:pPr>
      <w:r w:rsidRPr="000171A8">
        <w:rPr>
          <w:rFonts w:cs="Arial"/>
          <w:lang w:eastAsia="it-CH"/>
        </w:rPr>
        <w:t xml:space="preserve">il premio per l’assicurazione infortuni privata; </w:t>
      </w:r>
    </w:p>
    <w:p w14:paraId="1ADE7D9D" w14:textId="77777777" w:rsidR="00E2477B" w:rsidRPr="000171A8" w:rsidRDefault="00B15355" w:rsidP="00367C65">
      <w:pPr>
        <w:numPr>
          <w:ilvl w:val="0"/>
          <w:numId w:val="20"/>
        </w:numPr>
        <w:suppressAutoHyphens w:val="0"/>
        <w:ind w:left="357" w:hanging="357"/>
        <w:rPr>
          <w:rFonts w:cs="Arial"/>
          <w:lang w:eastAsia="it-CH"/>
        </w:rPr>
      </w:pPr>
      <w:r>
        <w:rPr>
          <w:rFonts w:cs="Arial"/>
          <w:lang w:eastAsia="it-CH"/>
        </w:rPr>
        <w:t>i versamenti/</w:t>
      </w:r>
      <w:r w:rsidR="00E2477B" w:rsidRPr="000171A8">
        <w:rPr>
          <w:rFonts w:cs="Arial"/>
          <w:bCs/>
          <w:lang w:eastAsia="it-CH"/>
        </w:rPr>
        <w:t>premi</w:t>
      </w:r>
      <w:r>
        <w:rPr>
          <w:rFonts w:cs="Arial"/>
          <w:bCs/>
          <w:lang w:eastAsia="it-CH"/>
        </w:rPr>
        <w:t>/</w:t>
      </w:r>
      <w:r w:rsidR="00E2477B" w:rsidRPr="000171A8">
        <w:rPr>
          <w:rFonts w:cs="Arial"/>
          <w:lang w:eastAsia="it-CH"/>
        </w:rPr>
        <w:t>contributi pe</w:t>
      </w:r>
      <w:r>
        <w:rPr>
          <w:rFonts w:cs="Arial"/>
          <w:lang w:eastAsia="it-CH"/>
        </w:rPr>
        <w:t xml:space="preserve">r assicurazioni sulla vita e </w:t>
      </w:r>
      <w:r w:rsidR="00E2477B" w:rsidRPr="000171A8">
        <w:rPr>
          <w:rFonts w:cs="Arial"/>
          <w:lang w:eastAsia="it-CH"/>
        </w:rPr>
        <w:t>rendite vitalizie (Pilastro 3B);</w:t>
      </w:r>
    </w:p>
    <w:p w14:paraId="1ADE7D9E" w14:textId="77777777" w:rsidR="00E2477B" w:rsidRPr="000171A8" w:rsidRDefault="00E2477B" w:rsidP="00367C65">
      <w:pPr>
        <w:numPr>
          <w:ilvl w:val="0"/>
          <w:numId w:val="20"/>
        </w:numPr>
        <w:suppressAutoHyphens w:val="0"/>
        <w:ind w:left="357" w:hanging="357"/>
        <w:rPr>
          <w:rFonts w:cs="Arial"/>
          <w:lang w:eastAsia="it-CH"/>
        </w:rPr>
      </w:pPr>
      <w:r w:rsidRPr="000171A8">
        <w:rPr>
          <w:rFonts w:cs="Arial"/>
          <w:lang w:eastAsia="it-CH"/>
        </w:rPr>
        <w:t>gli interessi dei capitali a risparmio (conto bancario e obbligazioni).</w:t>
      </w:r>
    </w:p>
    <w:p w14:paraId="1ADE7D9F" w14:textId="77777777" w:rsidR="00E2477B" w:rsidRPr="000171A8" w:rsidRDefault="00E2477B" w:rsidP="00E2477B">
      <w:pPr>
        <w:suppressAutoHyphens w:val="0"/>
        <w:ind w:left="57"/>
        <w:rPr>
          <w:rFonts w:cs="Arial"/>
          <w:lang w:eastAsia="it-CH"/>
        </w:rPr>
      </w:pPr>
    </w:p>
    <w:p w14:paraId="1ADE7DA0" w14:textId="77777777" w:rsidR="00E2477B" w:rsidRPr="000171A8" w:rsidRDefault="00E2477B" w:rsidP="00E2477B">
      <w:pPr>
        <w:rPr>
          <w:rFonts w:cs="Arial"/>
        </w:rPr>
      </w:pPr>
      <w:r w:rsidRPr="000171A8">
        <w:rPr>
          <w:rFonts w:cs="Arial"/>
        </w:rPr>
        <w:t>Ne consegue che, aumentando l’importo massimo deducibile per gli oneri assicurativi, contribuenti che oggi possono dedurre solo i premi di cassa malati potranno in futuro sfruttare l’importo maggiorato per dedurre anche elementi estranei all’assicurazione malattia, quali gli interessi sui conti risparmio o i versamenti al Pilastro 3B, ciò che – oltre a comportare importanti ripercussioni finanziarie per gli enti pubblici – esula dall’obiettivo dell’iniziativa.</w:t>
      </w:r>
    </w:p>
    <w:p w14:paraId="1ADE7DA1" w14:textId="77777777" w:rsidR="00E2477B" w:rsidRPr="000171A8" w:rsidRDefault="00E2477B" w:rsidP="00E2477B">
      <w:pPr>
        <w:suppressAutoHyphens w:val="0"/>
        <w:ind w:left="57"/>
        <w:rPr>
          <w:rFonts w:cs="Arial"/>
          <w:lang w:eastAsia="it-CH"/>
        </w:rPr>
      </w:pPr>
    </w:p>
    <w:p w14:paraId="1ADE7DA2" w14:textId="77777777" w:rsidR="00E2477B" w:rsidRPr="000171A8" w:rsidRDefault="00355BB0" w:rsidP="00355BB0">
      <w:pPr>
        <w:pStyle w:val="Titolo2"/>
        <w:numPr>
          <w:ilvl w:val="0"/>
          <w:numId w:val="0"/>
        </w:numPr>
        <w:tabs>
          <w:tab w:val="left" w:pos="426"/>
        </w:tabs>
        <w:spacing w:after="0"/>
        <w:ind w:left="426" w:hanging="426"/>
        <w:jc w:val="both"/>
      </w:pPr>
      <w:r>
        <w:t>2.2</w:t>
      </w:r>
      <w:r>
        <w:tab/>
      </w:r>
      <w:r w:rsidR="00E2477B" w:rsidRPr="000171A8">
        <w:t xml:space="preserve">L’aumento della deduzione fiscale potrebbe indurre gli assicurati a scegliere dei modelli assicurativi ancora più onerosi </w:t>
      </w:r>
    </w:p>
    <w:p w14:paraId="1ADE7DA3" w14:textId="77777777" w:rsidR="00E2477B" w:rsidRPr="000171A8" w:rsidRDefault="00E2477B" w:rsidP="00E2477B">
      <w:pPr>
        <w:suppressAutoHyphens w:val="0"/>
        <w:ind w:left="57"/>
        <w:rPr>
          <w:rFonts w:cs="Arial"/>
          <w:lang w:eastAsia="it-CH"/>
        </w:rPr>
      </w:pPr>
    </w:p>
    <w:p w14:paraId="1ADE7DA4" w14:textId="77777777" w:rsidR="00E2477B" w:rsidRPr="000171A8" w:rsidRDefault="00E2477B" w:rsidP="00E2477B">
      <w:pPr>
        <w:rPr>
          <w:rFonts w:cs="Arial"/>
        </w:rPr>
      </w:pPr>
      <w:r w:rsidRPr="000171A8">
        <w:rPr>
          <w:rFonts w:cs="Arial"/>
        </w:rPr>
        <w:t xml:space="preserve">L’esistenza di un limite massimo per la deducibilità degli oneri assicurativi incentiva indirettamente gli assicurati a scegliere dei modelli assicurativi ad un costo contenuto </w:t>
      </w:r>
      <w:r w:rsidR="00355BB0">
        <w:rPr>
          <w:rFonts w:cs="Arial"/>
        </w:rPr>
        <w:br/>
      </w:r>
      <w:r w:rsidRPr="000171A8">
        <w:rPr>
          <w:rFonts w:cs="Arial"/>
        </w:rPr>
        <w:t xml:space="preserve">(es: modello medico di famiglia, franchigia elevata, ecc..), cambiando se del caso l’assicuratore in funzione dell’evoluzione dei premi. </w:t>
      </w:r>
    </w:p>
    <w:p w14:paraId="1ADE7DA5" w14:textId="77777777" w:rsidR="00E2477B" w:rsidRDefault="00E2477B" w:rsidP="00E2477B">
      <w:pPr>
        <w:rPr>
          <w:rFonts w:cs="Arial"/>
        </w:rPr>
      </w:pPr>
    </w:p>
    <w:p w14:paraId="1ADE7DA6" w14:textId="77777777" w:rsidR="00355BB0" w:rsidRDefault="00355BB0" w:rsidP="00E2477B">
      <w:pPr>
        <w:rPr>
          <w:rFonts w:cs="Arial"/>
        </w:rPr>
      </w:pPr>
    </w:p>
    <w:p w14:paraId="1ADE7DA7" w14:textId="77777777" w:rsidR="00355BB0" w:rsidRPr="000171A8" w:rsidRDefault="00355BB0" w:rsidP="00E2477B">
      <w:pPr>
        <w:rPr>
          <w:rFonts w:cs="Arial"/>
        </w:rPr>
      </w:pPr>
    </w:p>
    <w:p w14:paraId="1ADE7DA8" w14:textId="77777777" w:rsidR="00E2477B" w:rsidRPr="000171A8" w:rsidRDefault="00E2477B" w:rsidP="00E2477B">
      <w:pPr>
        <w:rPr>
          <w:rFonts w:cs="Arial"/>
        </w:rPr>
      </w:pPr>
      <w:r w:rsidRPr="000171A8">
        <w:rPr>
          <w:rFonts w:cs="Arial"/>
        </w:rPr>
        <w:lastRenderedPageBreak/>
        <w:t xml:space="preserve">Permettere la deducibilità integrale dei premi di cassa malati eliminerebbe questo incentivo, ciò che potrebbe indurre gli assicurati a scegliere dei modelli assicurativi ancora più onerosi con conseguenti ripercussioni negative per quanto riguarda l’evoluzione dei premi di cassa malati.  </w:t>
      </w:r>
    </w:p>
    <w:p w14:paraId="1ADE7DA9" w14:textId="77777777" w:rsidR="00E2477B" w:rsidRPr="000171A8" w:rsidRDefault="00E2477B" w:rsidP="00E2477B">
      <w:pPr>
        <w:suppressAutoHyphens w:val="0"/>
        <w:rPr>
          <w:rFonts w:cs="Arial"/>
          <w:sz w:val="22"/>
          <w:szCs w:val="22"/>
          <w:lang w:eastAsia="it-CH"/>
        </w:rPr>
      </w:pPr>
    </w:p>
    <w:p w14:paraId="1ADE7DAA" w14:textId="77777777" w:rsidR="00E2477B" w:rsidRPr="000171A8" w:rsidRDefault="00355BB0" w:rsidP="00355BB0">
      <w:pPr>
        <w:pStyle w:val="Titolo2"/>
        <w:numPr>
          <w:ilvl w:val="0"/>
          <w:numId w:val="0"/>
        </w:numPr>
        <w:tabs>
          <w:tab w:val="left" w:pos="426"/>
        </w:tabs>
        <w:spacing w:after="0"/>
        <w:ind w:left="426" w:hanging="426"/>
        <w:jc w:val="both"/>
      </w:pPr>
      <w:r>
        <w:t xml:space="preserve">2.3 </w:t>
      </w:r>
      <w:r w:rsidR="00E2477B" w:rsidRPr="000171A8">
        <w:t>Il Ticino è già il Cantone con le deduzioni più elevate a livello svizzero</w:t>
      </w:r>
    </w:p>
    <w:p w14:paraId="1ADE7DAB" w14:textId="77777777" w:rsidR="00E2477B" w:rsidRPr="000171A8" w:rsidRDefault="00E2477B" w:rsidP="00E2477B">
      <w:pPr>
        <w:suppressAutoHyphens w:val="0"/>
        <w:ind w:left="2495" w:hanging="2438"/>
        <w:rPr>
          <w:rFonts w:cs="Arial"/>
          <w:sz w:val="22"/>
          <w:szCs w:val="22"/>
          <w:lang w:eastAsia="it-CH"/>
        </w:rPr>
      </w:pPr>
    </w:p>
    <w:p w14:paraId="1ADE7DAC" w14:textId="77777777" w:rsidR="00E2477B" w:rsidRPr="000171A8" w:rsidRDefault="00E2477B" w:rsidP="00E2477B">
      <w:pPr>
        <w:rPr>
          <w:rFonts w:cs="Arial"/>
        </w:rPr>
      </w:pPr>
      <w:r w:rsidRPr="000171A8">
        <w:rPr>
          <w:rFonts w:cs="Arial"/>
        </w:rPr>
        <w:t xml:space="preserve">A livello svizzero il Ticino è già oggi il Cantone di gran lunga più generoso in termini di deduzioni per oneri assicurativi. Come illustrato nella tabella seguente, gli importi massimi deducibili in Ticino ammontano infatti a quasi doppio rispetto alla media </w:t>
      </w:r>
      <w:proofErr w:type="spellStart"/>
      <w:r w:rsidRPr="000171A8">
        <w:rPr>
          <w:rFonts w:cs="Arial"/>
        </w:rPr>
        <w:t>intercantonale</w:t>
      </w:r>
      <w:proofErr w:type="spellEnd"/>
      <w:r w:rsidRPr="000171A8">
        <w:rPr>
          <w:rFonts w:cs="Arial"/>
        </w:rPr>
        <w:t xml:space="preserve">. A ciò va inoltre aggiunto che, appena lo scorso anno, la deduzione per oneri assicurativi è stata oggetto di un importante adeguamento con l’introduzione, a partire dall’1.1.2023, della deduzione aggiuntiva di 1'200 </w:t>
      </w:r>
      <w:r w:rsidR="00366601">
        <w:rPr>
          <w:rFonts w:cs="Arial"/>
        </w:rPr>
        <w:t xml:space="preserve">franchi </w:t>
      </w:r>
      <w:r w:rsidRPr="000171A8">
        <w:rPr>
          <w:rFonts w:cs="Arial"/>
        </w:rPr>
        <w:t xml:space="preserve">per ogni figlio a carico. </w:t>
      </w:r>
    </w:p>
    <w:p w14:paraId="1ADE7DAD" w14:textId="77777777" w:rsidR="00E2477B" w:rsidRPr="000171A8" w:rsidRDefault="00E2477B" w:rsidP="00E2477B">
      <w:pPr>
        <w:suppressAutoHyphens w:val="0"/>
        <w:ind w:left="57"/>
        <w:rPr>
          <w:rFonts w:cs="Arial"/>
          <w:lang w:eastAsia="it-CH"/>
        </w:rPr>
      </w:pPr>
    </w:p>
    <w:p w14:paraId="1ADE7DAE" w14:textId="77777777" w:rsidR="00E2477B" w:rsidRPr="000171A8" w:rsidRDefault="00E2477B" w:rsidP="00B91247">
      <w:pPr>
        <w:suppressAutoHyphens w:val="0"/>
        <w:rPr>
          <w:rFonts w:cs="Arial"/>
          <w:b/>
          <w:i/>
          <w:lang w:eastAsia="it-CH"/>
        </w:rPr>
      </w:pPr>
      <w:r w:rsidRPr="000171A8">
        <w:rPr>
          <w:rFonts w:cs="Arial"/>
          <w:b/>
          <w:i/>
          <w:lang w:eastAsia="it-CH"/>
        </w:rPr>
        <w:t xml:space="preserve">Raffronto </w:t>
      </w:r>
      <w:proofErr w:type="spellStart"/>
      <w:r w:rsidRPr="000171A8">
        <w:rPr>
          <w:rFonts w:cs="Arial"/>
          <w:b/>
          <w:i/>
          <w:lang w:eastAsia="it-CH"/>
        </w:rPr>
        <w:t>intercantonale</w:t>
      </w:r>
      <w:proofErr w:type="spellEnd"/>
      <w:r w:rsidRPr="000171A8">
        <w:rPr>
          <w:rFonts w:cs="Arial"/>
          <w:b/>
          <w:i/>
          <w:lang w:eastAsia="it-CH"/>
        </w:rPr>
        <w:t xml:space="preserve"> della deduzione per oneri assicurativi</w:t>
      </w:r>
    </w:p>
    <w:p w14:paraId="1ADE7DAF" w14:textId="77777777" w:rsidR="00E2477B" w:rsidRPr="000171A8" w:rsidRDefault="00E2477B" w:rsidP="00B91247">
      <w:pPr>
        <w:suppressAutoHyphens w:val="0"/>
        <w:rPr>
          <w:rFonts w:cs="Arial"/>
          <w:lang w:eastAsia="it-CH"/>
        </w:rPr>
      </w:pPr>
      <w:r w:rsidRPr="000171A8">
        <w:rPr>
          <w:rFonts w:cs="Arial"/>
          <w:noProof/>
          <w:color w:val="000000"/>
          <w:lang w:eastAsia="it-CH"/>
        </w:rPr>
        <w:drawing>
          <wp:inline distT="0" distB="0" distL="0" distR="0" wp14:anchorId="1ADE7E3C" wp14:editId="1ADE7E3D">
            <wp:extent cx="6035879" cy="1427480"/>
            <wp:effectExtent l="0" t="0" r="3175" b="127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36323" cy="1451235"/>
                    </a:xfrm>
                    <a:prstGeom prst="rect">
                      <a:avLst/>
                    </a:prstGeom>
                    <a:noFill/>
                    <a:ln>
                      <a:noFill/>
                    </a:ln>
                  </pic:spPr>
                </pic:pic>
              </a:graphicData>
            </a:graphic>
          </wp:inline>
        </w:drawing>
      </w:r>
    </w:p>
    <w:p w14:paraId="1ADE7DB0" w14:textId="77777777" w:rsidR="00E2477B" w:rsidRPr="000171A8" w:rsidRDefault="00E2477B" w:rsidP="00E2477B">
      <w:pPr>
        <w:suppressAutoHyphens w:val="0"/>
        <w:ind w:left="57"/>
        <w:rPr>
          <w:rFonts w:cs="Arial"/>
          <w:lang w:eastAsia="it-CH"/>
        </w:rPr>
      </w:pPr>
    </w:p>
    <w:p w14:paraId="1ADE7DB1" w14:textId="77777777" w:rsidR="00E2477B" w:rsidRPr="000171A8" w:rsidRDefault="00E2477B" w:rsidP="00E2477B">
      <w:pPr>
        <w:rPr>
          <w:rFonts w:cs="Arial"/>
        </w:rPr>
      </w:pPr>
      <w:r w:rsidRPr="000171A8">
        <w:rPr>
          <w:rFonts w:cs="Arial"/>
        </w:rPr>
        <w:t xml:space="preserve">Dal profilo del raffronto </w:t>
      </w:r>
      <w:proofErr w:type="spellStart"/>
      <w:r w:rsidRPr="000171A8">
        <w:rPr>
          <w:rFonts w:cs="Arial"/>
        </w:rPr>
        <w:t>intercantonale</w:t>
      </w:r>
      <w:proofErr w:type="spellEnd"/>
      <w:r w:rsidRPr="000171A8">
        <w:rPr>
          <w:rFonts w:cs="Arial"/>
        </w:rPr>
        <w:t xml:space="preserve"> si rileva che la differenza tra le deduzioni fiscali ticinesi rispetto alla media svizzera è proporzionalmente molto più elevata rispetto alla differenza tra i premi medi di riferimento ticinesi e i premi medi svizzeri, la quale - come illustrato nella tabella seguente – oscilla tra il 18% e il 23%. </w:t>
      </w:r>
    </w:p>
    <w:p w14:paraId="1ADE7DB2" w14:textId="77777777" w:rsidR="00E2477B" w:rsidRPr="000171A8" w:rsidRDefault="00E2477B" w:rsidP="00E2477B">
      <w:pPr>
        <w:suppressAutoHyphens w:val="0"/>
        <w:ind w:left="57"/>
        <w:rPr>
          <w:rFonts w:cs="Arial"/>
          <w:lang w:eastAsia="it-CH"/>
        </w:rPr>
      </w:pPr>
    </w:p>
    <w:p w14:paraId="1ADE7DB3" w14:textId="77777777" w:rsidR="00E2477B" w:rsidRPr="000171A8" w:rsidRDefault="00E2477B" w:rsidP="00B91247">
      <w:pPr>
        <w:suppressAutoHyphens w:val="0"/>
        <w:rPr>
          <w:rFonts w:cs="Arial"/>
          <w:b/>
          <w:i/>
          <w:lang w:eastAsia="it-CH"/>
        </w:rPr>
      </w:pPr>
      <w:r w:rsidRPr="000171A8">
        <w:rPr>
          <w:rFonts w:cs="Arial"/>
          <w:b/>
          <w:i/>
          <w:lang w:eastAsia="it-CH"/>
        </w:rPr>
        <w:t xml:space="preserve">Raffronto </w:t>
      </w:r>
      <w:proofErr w:type="spellStart"/>
      <w:r w:rsidRPr="000171A8">
        <w:rPr>
          <w:rFonts w:cs="Arial"/>
          <w:b/>
          <w:i/>
          <w:lang w:eastAsia="it-CH"/>
        </w:rPr>
        <w:t>intercantonale</w:t>
      </w:r>
      <w:proofErr w:type="spellEnd"/>
      <w:r w:rsidRPr="000171A8">
        <w:rPr>
          <w:rFonts w:cs="Arial"/>
          <w:b/>
          <w:i/>
          <w:lang w:eastAsia="it-CH"/>
        </w:rPr>
        <w:t xml:space="preserve"> dei premi medi di riferimento </w:t>
      </w:r>
    </w:p>
    <w:p w14:paraId="1ADE7DB4" w14:textId="77777777" w:rsidR="00E2477B" w:rsidRPr="000171A8" w:rsidRDefault="00E2477B" w:rsidP="00B91247">
      <w:pPr>
        <w:suppressAutoHyphens w:val="0"/>
        <w:rPr>
          <w:rFonts w:cs="Arial"/>
          <w:lang w:eastAsia="it-CH"/>
        </w:rPr>
      </w:pPr>
      <w:r w:rsidRPr="000171A8">
        <w:rPr>
          <w:rFonts w:cs="Arial"/>
          <w:noProof/>
          <w:color w:val="000000"/>
          <w:lang w:eastAsia="it-CH"/>
        </w:rPr>
        <w:drawing>
          <wp:inline distT="0" distB="0" distL="0" distR="0" wp14:anchorId="1ADE7E3E" wp14:editId="1ADE7E3F">
            <wp:extent cx="3926048" cy="1083905"/>
            <wp:effectExtent l="0" t="0" r="0" b="254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62565" cy="1093987"/>
                    </a:xfrm>
                    <a:prstGeom prst="rect">
                      <a:avLst/>
                    </a:prstGeom>
                    <a:noFill/>
                    <a:ln>
                      <a:noFill/>
                    </a:ln>
                  </pic:spPr>
                </pic:pic>
              </a:graphicData>
            </a:graphic>
          </wp:inline>
        </w:drawing>
      </w:r>
    </w:p>
    <w:p w14:paraId="1ADE7DB5" w14:textId="77777777" w:rsidR="00E2477B" w:rsidRPr="000171A8" w:rsidRDefault="00E2477B" w:rsidP="00E2477B">
      <w:pPr>
        <w:suppressAutoHyphens w:val="0"/>
        <w:ind w:left="57"/>
        <w:rPr>
          <w:rFonts w:cs="Arial"/>
          <w:sz w:val="22"/>
          <w:szCs w:val="22"/>
          <w:lang w:eastAsia="it-CH"/>
        </w:rPr>
      </w:pPr>
    </w:p>
    <w:p w14:paraId="1ADE7DB6" w14:textId="77777777" w:rsidR="00E2477B" w:rsidRPr="000171A8" w:rsidRDefault="00355BB0" w:rsidP="00355BB0">
      <w:pPr>
        <w:pStyle w:val="Titolo2"/>
        <w:numPr>
          <w:ilvl w:val="0"/>
          <w:numId w:val="0"/>
        </w:numPr>
        <w:tabs>
          <w:tab w:val="left" w:pos="426"/>
        </w:tabs>
        <w:spacing w:after="0"/>
        <w:ind w:left="426" w:hanging="426"/>
        <w:jc w:val="both"/>
      </w:pPr>
      <w:r>
        <w:t>2.4</w:t>
      </w:r>
      <w:r>
        <w:tab/>
      </w:r>
      <w:r w:rsidR="00E2477B" w:rsidRPr="000171A8">
        <w:t>A beneficiare maggiormente della nuova deduzione sarebbero in particolare i contribuenti con redditi alti</w:t>
      </w:r>
      <w:r w:rsidR="00366601">
        <w:t xml:space="preserve"> nonché </w:t>
      </w:r>
      <w:r w:rsidR="00E2477B" w:rsidRPr="000171A8">
        <w:t>gli assoggettati all’imposta alla fonte</w:t>
      </w:r>
    </w:p>
    <w:p w14:paraId="1ADE7DB7" w14:textId="77777777" w:rsidR="00E2477B" w:rsidRPr="000171A8" w:rsidRDefault="00E2477B" w:rsidP="00E2477B">
      <w:pPr>
        <w:suppressAutoHyphens w:val="0"/>
        <w:ind w:left="2495" w:hanging="2438"/>
        <w:rPr>
          <w:rFonts w:cs="Arial"/>
          <w:lang w:eastAsia="it-CH"/>
        </w:rPr>
      </w:pPr>
    </w:p>
    <w:p w14:paraId="1ADE7DB8" w14:textId="77777777" w:rsidR="00E2477B" w:rsidRDefault="00B15355" w:rsidP="00E2477B">
      <w:pPr>
        <w:rPr>
          <w:rFonts w:cs="Arial"/>
        </w:rPr>
      </w:pPr>
      <w:r>
        <w:rPr>
          <w:rFonts w:cs="Arial"/>
        </w:rPr>
        <w:t>Come illustrato nella tabella seguente, l</w:t>
      </w:r>
      <w:r w:rsidR="00E2477B" w:rsidRPr="000171A8">
        <w:rPr>
          <w:rFonts w:cs="Arial"/>
        </w:rPr>
        <w:t>a deduzione media è di 4'889 franchi per le persone sole e di 9’672 franchi per i coniugati. In entrambi i casi l’importo della deduzione media cresce all’aumentare del reddito dei contribuenti. Ciò significa essenzialment</w:t>
      </w:r>
      <w:r>
        <w:rPr>
          <w:rFonts w:cs="Arial"/>
        </w:rPr>
        <w:t xml:space="preserve">e che i contribuenti con redditi alti </w:t>
      </w:r>
      <w:r w:rsidR="00E2477B" w:rsidRPr="000171A8">
        <w:rPr>
          <w:rFonts w:cs="Arial"/>
        </w:rPr>
        <w:t xml:space="preserve">spendono in prestazioni assicurative, di base e complementari, in maggior misura rispetto ai contribuenti nelle fasce di reddito inferiori. </w:t>
      </w:r>
    </w:p>
    <w:p w14:paraId="1ADE7DB9" w14:textId="77777777" w:rsidR="00E2477B" w:rsidRPr="000171A8" w:rsidRDefault="00B15355" w:rsidP="00E2477B">
      <w:pPr>
        <w:rPr>
          <w:rFonts w:cs="Arial"/>
        </w:rPr>
      </w:pPr>
      <w:r w:rsidRPr="00B15355">
        <w:rPr>
          <w:rFonts w:cs="Arial"/>
        </w:rPr>
        <w:t>Ritenuto che la deduzione per oneri assicurativi è compresa anche nelle tariffe dell’imposta alla fonte, dell’aumento degli importi deducibili beneficerebbero anche gli assoggettati all’imposta alla fonte.</w:t>
      </w:r>
    </w:p>
    <w:p w14:paraId="1ADE7DBA" w14:textId="77777777" w:rsidR="00170453" w:rsidRPr="00170453" w:rsidRDefault="00170453" w:rsidP="00E2477B">
      <w:pPr>
        <w:rPr>
          <w:rFonts w:cs="Arial"/>
          <w:b/>
          <w:i/>
        </w:rPr>
      </w:pPr>
      <w:r w:rsidRPr="00170453">
        <w:rPr>
          <w:rFonts w:cs="Arial"/>
          <w:b/>
          <w:i/>
        </w:rPr>
        <w:lastRenderedPageBreak/>
        <w:t>Stratificazione della deduzione media nel 2020</w:t>
      </w:r>
      <w:r w:rsidR="00B15355">
        <w:rPr>
          <w:rStyle w:val="Rimandonotaapidipagina"/>
          <w:rFonts w:cs="Arial"/>
          <w:b/>
          <w:i/>
        </w:rPr>
        <w:footnoteReference w:id="1"/>
      </w:r>
    </w:p>
    <w:tbl>
      <w:tblPr>
        <w:tblW w:w="5779" w:type="dxa"/>
        <w:tblCellMar>
          <w:left w:w="70" w:type="dxa"/>
          <w:right w:w="70" w:type="dxa"/>
        </w:tblCellMar>
        <w:tblLook w:val="04A0" w:firstRow="1" w:lastRow="0" w:firstColumn="1" w:lastColumn="0" w:noHBand="0" w:noVBand="1"/>
      </w:tblPr>
      <w:tblGrid>
        <w:gridCol w:w="2902"/>
        <w:gridCol w:w="1483"/>
        <w:gridCol w:w="1394"/>
      </w:tblGrid>
      <w:tr w:rsidR="00170453" w:rsidRPr="00403A40" w14:paraId="1ADE7DBF" w14:textId="77777777" w:rsidTr="00B15355">
        <w:trPr>
          <w:trHeight w:val="306"/>
        </w:trPr>
        <w:tc>
          <w:tcPr>
            <w:tcW w:w="2902" w:type="dxa"/>
            <w:vMerge w:val="restart"/>
            <w:tcBorders>
              <w:top w:val="single" w:sz="8" w:space="0" w:color="auto"/>
              <w:left w:val="single" w:sz="8" w:space="0" w:color="auto"/>
              <w:bottom w:val="single" w:sz="4" w:space="0" w:color="auto"/>
              <w:right w:val="single" w:sz="8" w:space="0" w:color="auto"/>
            </w:tcBorders>
            <w:shd w:val="clear" w:color="000000" w:fill="CCFFCC"/>
            <w:vAlign w:val="center"/>
            <w:hideMark/>
          </w:tcPr>
          <w:p w14:paraId="1ADE7DBB" w14:textId="77777777" w:rsidR="00170453" w:rsidRDefault="00170453" w:rsidP="00191316">
            <w:pPr>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Classi di reddito imponibile</w:t>
            </w:r>
            <w:r>
              <w:rPr>
                <w:rFonts w:asciiTheme="minorHAnsi" w:hAnsiTheme="minorHAnsi" w:cstheme="minorHAnsi"/>
                <w:color w:val="000000"/>
                <w:sz w:val="20"/>
                <w:szCs w:val="20"/>
                <w:lang w:eastAsia="it-CH"/>
              </w:rPr>
              <w:t xml:space="preserve"> </w:t>
            </w:r>
          </w:p>
          <w:p w14:paraId="1ADE7DBC" w14:textId="77777777" w:rsidR="00170453" w:rsidRPr="00170453" w:rsidRDefault="00B15355" w:rsidP="00191316">
            <w:pPr>
              <w:rPr>
                <w:rFonts w:asciiTheme="minorHAnsi" w:hAnsiTheme="minorHAnsi" w:cstheme="minorHAnsi"/>
                <w:color w:val="000000"/>
                <w:sz w:val="20"/>
                <w:szCs w:val="20"/>
                <w:lang w:eastAsia="it-CH"/>
              </w:rPr>
            </w:pPr>
            <w:r>
              <w:rPr>
                <w:rFonts w:asciiTheme="minorHAnsi" w:hAnsiTheme="minorHAnsi" w:cstheme="minorHAnsi"/>
                <w:color w:val="000000"/>
                <w:sz w:val="20"/>
                <w:szCs w:val="20"/>
                <w:lang w:eastAsia="it-CH"/>
              </w:rPr>
              <w:t>(in franchi)</w:t>
            </w:r>
          </w:p>
        </w:tc>
        <w:tc>
          <w:tcPr>
            <w:tcW w:w="1483" w:type="dxa"/>
            <w:vMerge w:val="restart"/>
            <w:tcBorders>
              <w:top w:val="single" w:sz="8" w:space="0" w:color="auto"/>
              <w:left w:val="single" w:sz="8" w:space="0" w:color="auto"/>
              <w:bottom w:val="single" w:sz="4" w:space="0" w:color="auto"/>
              <w:right w:val="single" w:sz="8" w:space="0" w:color="auto"/>
            </w:tcBorders>
            <w:shd w:val="clear" w:color="000000" w:fill="CCFFCC"/>
            <w:vAlign w:val="center"/>
            <w:hideMark/>
          </w:tcPr>
          <w:p w14:paraId="1ADE7DBD" w14:textId="77777777" w:rsidR="00B15355" w:rsidRPr="00170453" w:rsidRDefault="00170453" w:rsidP="00B15355">
            <w:pPr>
              <w:jc w:val="center"/>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Coniugi</w:t>
            </w:r>
          </w:p>
        </w:tc>
        <w:tc>
          <w:tcPr>
            <w:tcW w:w="1394" w:type="dxa"/>
            <w:vMerge w:val="restart"/>
            <w:tcBorders>
              <w:top w:val="single" w:sz="8" w:space="0" w:color="auto"/>
              <w:left w:val="single" w:sz="8" w:space="0" w:color="auto"/>
              <w:bottom w:val="single" w:sz="4" w:space="0" w:color="auto"/>
              <w:right w:val="single" w:sz="8" w:space="0" w:color="auto"/>
            </w:tcBorders>
            <w:shd w:val="clear" w:color="000000" w:fill="CCFFCC"/>
            <w:vAlign w:val="center"/>
            <w:hideMark/>
          </w:tcPr>
          <w:p w14:paraId="1ADE7DBE" w14:textId="77777777" w:rsidR="00170453" w:rsidRPr="00170453" w:rsidRDefault="00170453" w:rsidP="00191316">
            <w:pPr>
              <w:jc w:val="center"/>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Persone sole</w:t>
            </w:r>
          </w:p>
        </w:tc>
      </w:tr>
      <w:tr w:rsidR="00170453" w:rsidRPr="00403A40" w14:paraId="1ADE7DC3" w14:textId="77777777" w:rsidTr="00B15355">
        <w:trPr>
          <w:trHeight w:val="276"/>
        </w:trPr>
        <w:tc>
          <w:tcPr>
            <w:tcW w:w="2902" w:type="dxa"/>
            <w:vMerge/>
            <w:tcBorders>
              <w:top w:val="single" w:sz="8" w:space="0" w:color="auto"/>
              <w:left w:val="single" w:sz="8" w:space="0" w:color="auto"/>
              <w:bottom w:val="single" w:sz="4" w:space="0" w:color="auto"/>
              <w:right w:val="single" w:sz="8" w:space="0" w:color="auto"/>
            </w:tcBorders>
            <w:vAlign w:val="center"/>
            <w:hideMark/>
          </w:tcPr>
          <w:p w14:paraId="1ADE7DC0" w14:textId="77777777" w:rsidR="00170453" w:rsidRPr="00170453" w:rsidRDefault="00170453" w:rsidP="00191316">
            <w:pPr>
              <w:rPr>
                <w:rFonts w:asciiTheme="minorHAnsi" w:hAnsiTheme="minorHAnsi" w:cstheme="minorHAnsi"/>
                <w:color w:val="000000"/>
                <w:sz w:val="20"/>
                <w:szCs w:val="20"/>
                <w:lang w:eastAsia="it-CH"/>
              </w:rPr>
            </w:pPr>
          </w:p>
        </w:tc>
        <w:tc>
          <w:tcPr>
            <w:tcW w:w="1483" w:type="dxa"/>
            <w:vMerge/>
            <w:tcBorders>
              <w:top w:val="single" w:sz="8" w:space="0" w:color="auto"/>
              <w:left w:val="single" w:sz="8" w:space="0" w:color="auto"/>
              <w:bottom w:val="single" w:sz="4" w:space="0" w:color="auto"/>
              <w:right w:val="single" w:sz="8" w:space="0" w:color="auto"/>
            </w:tcBorders>
            <w:vAlign w:val="center"/>
            <w:hideMark/>
          </w:tcPr>
          <w:p w14:paraId="1ADE7DC1" w14:textId="77777777" w:rsidR="00170453" w:rsidRPr="00170453" w:rsidRDefault="00170453" w:rsidP="00191316">
            <w:pPr>
              <w:rPr>
                <w:rFonts w:asciiTheme="minorHAnsi" w:hAnsiTheme="minorHAnsi" w:cstheme="minorHAnsi"/>
                <w:color w:val="000000"/>
                <w:sz w:val="20"/>
                <w:szCs w:val="20"/>
                <w:lang w:eastAsia="it-CH"/>
              </w:rPr>
            </w:pPr>
          </w:p>
        </w:tc>
        <w:tc>
          <w:tcPr>
            <w:tcW w:w="1394" w:type="dxa"/>
            <w:vMerge/>
            <w:tcBorders>
              <w:top w:val="single" w:sz="8" w:space="0" w:color="auto"/>
              <w:left w:val="single" w:sz="8" w:space="0" w:color="auto"/>
              <w:bottom w:val="single" w:sz="4" w:space="0" w:color="auto"/>
              <w:right w:val="single" w:sz="8" w:space="0" w:color="auto"/>
            </w:tcBorders>
            <w:vAlign w:val="center"/>
            <w:hideMark/>
          </w:tcPr>
          <w:p w14:paraId="1ADE7DC2" w14:textId="77777777" w:rsidR="00170453" w:rsidRPr="00170453" w:rsidRDefault="00170453" w:rsidP="00191316">
            <w:pPr>
              <w:rPr>
                <w:rFonts w:asciiTheme="minorHAnsi" w:hAnsiTheme="minorHAnsi" w:cstheme="minorHAnsi"/>
                <w:color w:val="000000"/>
                <w:sz w:val="20"/>
                <w:szCs w:val="20"/>
                <w:lang w:eastAsia="it-CH"/>
              </w:rPr>
            </w:pPr>
          </w:p>
        </w:tc>
      </w:tr>
      <w:tr w:rsidR="00170453" w:rsidRPr="00403A40" w14:paraId="1ADE7DC7" w14:textId="77777777" w:rsidTr="00B15355">
        <w:trPr>
          <w:trHeight w:val="306"/>
        </w:trPr>
        <w:tc>
          <w:tcPr>
            <w:tcW w:w="2902" w:type="dxa"/>
            <w:tcBorders>
              <w:top w:val="single" w:sz="4" w:space="0" w:color="auto"/>
              <w:left w:val="single" w:sz="8" w:space="0" w:color="auto"/>
              <w:bottom w:val="nil"/>
              <w:right w:val="nil"/>
            </w:tcBorders>
            <w:shd w:val="clear" w:color="auto" w:fill="auto"/>
            <w:noWrap/>
            <w:vAlign w:val="center"/>
            <w:hideMark/>
          </w:tcPr>
          <w:p w14:paraId="1ADE7DC4" w14:textId="77777777" w:rsidR="00170453" w:rsidRPr="00170453" w:rsidRDefault="00170453" w:rsidP="00B15355">
            <w:pPr>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Esenti</w:t>
            </w:r>
          </w:p>
        </w:tc>
        <w:tc>
          <w:tcPr>
            <w:tcW w:w="1483" w:type="dxa"/>
            <w:tcBorders>
              <w:top w:val="single" w:sz="4" w:space="0" w:color="auto"/>
              <w:left w:val="single" w:sz="8" w:space="0" w:color="auto"/>
              <w:bottom w:val="nil"/>
              <w:right w:val="single" w:sz="8" w:space="0" w:color="auto"/>
            </w:tcBorders>
            <w:shd w:val="clear" w:color="auto" w:fill="auto"/>
            <w:noWrap/>
            <w:vAlign w:val="center"/>
            <w:hideMark/>
          </w:tcPr>
          <w:p w14:paraId="1ADE7DC5"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7'220</w:t>
            </w:r>
          </w:p>
        </w:tc>
        <w:tc>
          <w:tcPr>
            <w:tcW w:w="1394" w:type="dxa"/>
            <w:tcBorders>
              <w:top w:val="single" w:sz="4" w:space="0" w:color="auto"/>
              <w:left w:val="nil"/>
              <w:bottom w:val="nil"/>
              <w:right w:val="single" w:sz="8" w:space="0" w:color="auto"/>
            </w:tcBorders>
            <w:shd w:val="clear" w:color="auto" w:fill="auto"/>
            <w:noWrap/>
            <w:vAlign w:val="center"/>
            <w:hideMark/>
          </w:tcPr>
          <w:p w14:paraId="1ADE7DC6"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4'162</w:t>
            </w:r>
          </w:p>
        </w:tc>
      </w:tr>
      <w:tr w:rsidR="00170453" w:rsidRPr="00403A40" w14:paraId="1ADE7DCB" w14:textId="77777777" w:rsidTr="00191316">
        <w:trPr>
          <w:trHeight w:val="306"/>
        </w:trPr>
        <w:tc>
          <w:tcPr>
            <w:tcW w:w="2902" w:type="dxa"/>
            <w:tcBorders>
              <w:top w:val="nil"/>
              <w:left w:val="single" w:sz="8" w:space="0" w:color="auto"/>
              <w:bottom w:val="nil"/>
              <w:right w:val="nil"/>
            </w:tcBorders>
            <w:shd w:val="clear" w:color="auto" w:fill="auto"/>
            <w:noWrap/>
            <w:vAlign w:val="center"/>
            <w:hideMark/>
          </w:tcPr>
          <w:p w14:paraId="1ADE7DC8" w14:textId="77777777" w:rsidR="00170453" w:rsidRPr="00170453" w:rsidRDefault="00170453" w:rsidP="00191316">
            <w:pPr>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Fino a 20'000</w:t>
            </w:r>
          </w:p>
        </w:tc>
        <w:tc>
          <w:tcPr>
            <w:tcW w:w="1483" w:type="dxa"/>
            <w:tcBorders>
              <w:top w:val="nil"/>
              <w:left w:val="single" w:sz="8" w:space="0" w:color="auto"/>
              <w:bottom w:val="nil"/>
              <w:right w:val="single" w:sz="8" w:space="0" w:color="auto"/>
            </w:tcBorders>
            <w:shd w:val="clear" w:color="auto" w:fill="auto"/>
            <w:noWrap/>
            <w:vAlign w:val="center"/>
            <w:hideMark/>
          </w:tcPr>
          <w:p w14:paraId="1ADE7DC9"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7'655</w:t>
            </w:r>
          </w:p>
        </w:tc>
        <w:tc>
          <w:tcPr>
            <w:tcW w:w="1394" w:type="dxa"/>
            <w:tcBorders>
              <w:top w:val="nil"/>
              <w:left w:val="nil"/>
              <w:bottom w:val="nil"/>
              <w:right w:val="single" w:sz="8" w:space="0" w:color="auto"/>
            </w:tcBorders>
            <w:shd w:val="clear" w:color="auto" w:fill="auto"/>
            <w:noWrap/>
            <w:vAlign w:val="center"/>
            <w:hideMark/>
          </w:tcPr>
          <w:p w14:paraId="1ADE7DCA"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4'634</w:t>
            </w:r>
          </w:p>
        </w:tc>
      </w:tr>
      <w:tr w:rsidR="00170453" w:rsidRPr="00403A40" w14:paraId="1ADE7DCF" w14:textId="77777777" w:rsidTr="00191316">
        <w:trPr>
          <w:trHeight w:val="306"/>
        </w:trPr>
        <w:tc>
          <w:tcPr>
            <w:tcW w:w="2902" w:type="dxa"/>
            <w:tcBorders>
              <w:top w:val="nil"/>
              <w:left w:val="single" w:sz="8" w:space="0" w:color="auto"/>
              <w:bottom w:val="nil"/>
              <w:right w:val="nil"/>
            </w:tcBorders>
            <w:shd w:val="clear" w:color="auto" w:fill="auto"/>
            <w:noWrap/>
            <w:vAlign w:val="center"/>
            <w:hideMark/>
          </w:tcPr>
          <w:p w14:paraId="1ADE7DCC" w14:textId="77777777" w:rsidR="00170453" w:rsidRPr="00170453" w:rsidRDefault="00170453" w:rsidP="00191316">
            <w:pPr>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20'001 - 30'000</w:t>
            </w:r>
          </w:p>
        </w:tc>
        <w:tc>
          <w:tcPr>
            <w:tcW w:w="1483" w:type="dxa"/>
            <w:tcBorders>
              <w:top w:val="nil"/>
              <w:left w:val="single" w:sz="8" w:space="0" w:color="auto"/>
              <w:bottom w:val="nil"/>
              <w:right w:val="single" w:sz="8" w:space="0" w:color="auto"/>
            </w:tcBorders>
            <w:shd w:val="clear" w:color="auto" w:fill="auto"/>
            <w:noWrap/>
            <w:vAlign w:val="center"/>
            <w:hideMark/>
          </w:tcPr>
          <w:p w14:paraId="1ADE7DCD"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8'301</w:t>
            </w:r>
          </w:p>
        </w:tc>
        <w:tc>
          <w:tcPr>
            <w:tcW w:w="1394" w:type="dxa"/>
            <w:tcBorders>
              <w:top w:val="nil"/>
              <w:left w:val="nil"/>
              <w:bottom w:val="nil"/>
              <w:right w:val="single" w:sz="8" w:space="0" w:color="auto"/>
            </w:tcBorders>
            <w:shd w:val="clear" w:color="auto" w:fill="auto"/>
            <w:noWrap/>
            <w:vAlign w:val="center"/>
            <w:hideMark/>
          </w:tcPr>
          <w:p w14:paraId="1ADE7DCE"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4'851</w:t>
            </w:r>
          </w:p>
        </w:tc>
      </w:tr>
      <w:tr w:rsidR="00170453" w:rsidRPr="00403A40" w14:paraId="1ADE7DD3" w14:textId="77777777" w:rsidTr="00191316">
        <w:trPr>
          <w:trHeight w:val="306"/>
        </w:trPr>
        <w:tc>
          <w:tcPr>
            <w:tcW w:w="2902" w:type="dxa"/>
            <w:tcBorders>
              <w:top w:val="nil"/>
              <w:left w:val="single" w:sz="8" w:space="0" w:color="auto"/>
              <w:bottom w:val="nil"/>
              <w:right w:val="nil"/>
            </w:tcBorders>
            <w:shd w:val="clear" w:color="auto" w:fill="auto"/>
            <w:noWrap/>
            <w:vAlign w:val="center"/>
            <w:hideMark/>
          </w:tcPr>
          <w:p w14:paraId="1ADE7DD0" w14:textId="77777777" w:rsidR="00170453" w:rsidRPr="00170453" w:rsidRDefault="00170453" w:rsidP="00191316">
            <w:pPr>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30'001 - 40'000</w:t>
            </w:r>
          </w:p>
        </w:tc>
        <w:tc>
          <w:tcPr>
            <w:tcW w:w="1483" w:type="dxa"/>
            <w:tcBorders>
              <w:top w:val="nil"/>
              <w:left w:val="single" w:sz="8" w:space="0" w:color="auto"/>
              <w:bottom w:val="nil"/>
              <w:right w:val="single" w:sz="8" w:space="0" w:color="auto"/>
            </w:tcBorders>
            <w:shd w:val="clear" w:color="auto" w:fill="auto"/>
            <w:noWrap/>
            <w:vAlign w:val="center"/>
            <w:hideMark/>
          </w:tcPr>
          <w:p w14:paraId="1ADE7DD1"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8'558</w:t>
            </w:r>
          </w:p>
        </w:tc>
        <w:tc>
          <w:tcPr>
            <w:tcW w:w="1394" w:type="dxa"/>
            <w:tcBorders>
              <w:top w:val="nil"/>
              <w:left w:val="nil"/>
              <w:bottom w:val="nil"/>
              <w:right w:val="single" w:sz="8" w:space="0" w:color="auto"/>
            </w:tcBorders>
            <w:shd w:val="clear" w:color="auto" w:fill="auto"/>
            <w:noWrap/>
            <w:vAlign w:val="center"/>
            <w:hideMark/>
          </w:tcPr>
          <w:p w14:paraId="1ADE7DD2"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5'065</w:t>
            </w:r>
          </w:p>
        </w:tc>
      </w:tr>
      <w:tr w:rsidR="00170453" w:rsidRPr="00403A40" w14:paraId="1ADE7DD7" w14:textId="77777777" w:rsidTr="00191316">
        <w:trPr>
          <w:trHeight w:val="306"/>
        </w:trPr>
        <w:tc>
          <w:tcPr>
            <w:tcW w:w="2902" w:type="dxa"/>
            <w:tcBorders>
              <w:top w:val="nil"/>
              <w:left w:val="single" w:sz="8" w:space="0" w:color="auto"/>
              <w:bottom w:val="nil"/>
              <w:right w:val="nil"/>
            </w:tcBorders>
            <w:shd w:val="clear" w:color="auto" w:fill="auto"/>
            <w:noWrap/>
            <w:vAlign w:val="center"/>
            <w:hideMark/>
          </w:tcPr>
          <w:p w14:paraId="1ADE7DD4" w14:textId="77777777" w:rsidR="00170453" w:rsidRPr="00170453" w:rsidRDefault="00170453" w:rsidP="00191316">
            <w:pPr>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40'001 - 50'000</w:t>
            </w:r>
          </w:p>
        </w:tc>
        <w:tc>
          <w:tcPr>
            <w:tcW w:w="1483" w:type="dxa"/>
            <w:tcBorders>
              <w:top w:val="nil"/>
              <w:left w:val="single" w:sz="8" w:space="0" w:color="auto"/>
              <w:bottom w:val="nil"/>
              <w:right w:val="single" w:sz="8" w:space="0" w:color="auto"/>
            </w:tcBorders>
            <w:shd w:val="clear" w:color="auto" w:fill="auto"/>
            <w:noWrap/>
            <w:vAlign w:val="center"/>
            <w:hideMark/>
          </w:tcPr>
          <w:p w14:paraId="1ADE7DD5"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9'329</w:t>
            </w:r>
          </w:p>
        </w:tc>
        <w:tc>
          <w:tcPr>
            <w:tcW w:w="1394" w:type="dxa"/>
            <w:tcBorders>
              <w:top w:val="nil"/>
              <w:left w:val="nil"/>
              <w:bottom w:val="nil"/>
              <w:right w:val="single" w:sz="8" w:space="0" w:color="auto"/>
            </w:tcBorders>
            <w:shd w:val="clear" w:color="auto" w:fill="auto"/>
            <w:noWrap/>
            <w:vAlign w:val="center"/>
            <w:hideMark/>
          </w:tcPr>
          <w:p w14:paraId="1ADE7DD6"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5'230</w:t>
            </w:r>
          </w:p>
        </w:tc>
      </w:tr>
      <w:tr w:rsidR="00170453" w:rsidRPr="00403A40" w14:paraId="1ADE7DDB" w14:textId="77777777" w:rsidTr="00191316">
        <w:trPr>
          <w:trHeight w:val="306"/>
        </w:trPr>
        <w:tc>
          <w:tcPr>
            <w:tcW w:w="2902" w:type="dxa"/>
            <w:tcBorders>
              <w:top w:val="nil"/>
              <w:left w:val="single" w:sz="8" w:space="0" w:color="auto"/>
              <w:bottom w:val="nil"/>
              <w:right w:val="nil"/>
            </w:tcBorders>
            <w:shd w:val="clear" w:color="auto" w:fill="auto"/>
            <w:noWrap/>
            <w:vAlign w:val="center"/>
            <w:hideMark/>
          </w:tcPr>
          <w:p w14:paraId="1ADE7DD8" w14:textId="77777777" w:rsidR="00170453" w:rsidRPr="00170453" w:rsidRDefault="00170453" w:rsidP="00191316">
            <w:pPr>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50'001 - 60'000</w:t>
            </w:r>
          </w:p>
        </w:tc>
        <w:tc>
          <w:tcPr>
            <w:tcW w:w="1483" w:type="dxa"/>
            <w:tcBorders>
              <w:top w:val="nil"/>
              <w:left w:val="single" w:sz="8" w:space="0" w:color="auto"/>
              <w:bottom w:val="nil"/>
              <w:right w:val="single" w:sz="8" w:space="0" w:color="auto"/>
            </w:tcBorders>
            <w:shd w:val="clear" w:color="auto" w:fill="auto"/>
            <w:noWrap/>
            <w:vAlign w:val="center"/>
            <w:hideMark/>
          </w:tcPr>
          <w:p w14:paraId="1ADE7DD9"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10'103</w:t>
            </w:r>
          </w:p>
        </w:tc>
        <w:tc>
          <w:tcPr>
            <w:tcW w:w="1394" w:type="dxa"/>
            <w:tcBorders>
              <w:top w:val="nil"/>
              <w:left w:val="nil"/>
              <w:bottom w:val="nil"/>
              <w:right w:val="single" w:sz="8" w:space="0" w:color="auto"/>
            </w:tcBorders>
            <w:shd w:val="clear" w:color="auto" w:fill="auto"/>
            <w:noWrap/>
            <w:vAlign w:val="center"/>
            <w:hideMark/>
          </w:tcPr>
          <w:p w14:paraId="1ADE7DDA"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5'358</w:t>
            </w:r>
          </w:p>
        </w:tc>
      </w:tr>
      <w:tr w:rsidR="00170453" w:rsidRPr="00403A40" w14:paraId="1ADE7DDF" w14:textId="77777777" w:rsidTr="00191316">
        <w:trPr>
          <w:trHeight w:val="306"/>
        </w:trPr>
        <w:tc>
          <w:tcPr>
            <w:tcW w:w="2902" w:type="dxa"/>
            <w:tcBorders>
              <w:top w:val="nil"/>
              <w:left w:val="single" w:sz="8" w:space="0" w:color="auto"/>
              <w:bottom w:val="nil"/>
              <w:right w:val="nil"/>
            </w:tcBorders>
            <w:shd w:val="clear" w:color="auto" w:fill="auto"/>
            <w:noWrap/>
            <w:vAlign w:val="center"/>
            <w:hideMark/>
          </w:tcPr>
          <w:p w14:paraId="1ADE7DDC" w14:textId="77777777" w:rsidR="00170453" w:rsidRPr="00170453" w:rsidRDefault="00170453" w:rsidP="00191316">
            <w:pPr>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60'001 - 70'000</w:t>
            </w:r>
          </w:p>
        </w:tc>
        <w:tc>
          <w:tcPr>
            <w:tcW w:w="1483" w:type="dxa"/>
            <w:tcBorders>
              <w:top w:val="nil"/>
              <w:left w:val="single" w:sz="8" w:space="0" w:color="auto"/>
              <w:bottom w:val="nil"/>
              <w:right w:val="single" w:sz="8" w:space="0" w:color="auto"/>
            </w:tcBorders>
            <w:shd w:val="clear" w:color="auto" w:fill="auto"/>
            <w:noWrap/>
            <w:vAlign w:val="center"/>
            <w:hideMark/>
          </w:tcPr>
          <w:p w14:paraId="1ADE7DDD"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10'597</w:t>
            </w:r>
          </w:p>
        </w:tc>
        <w:tc>
          <w:tcPr>
            <w:tcW w:w="1394" w:type="dxa"/>
            <w:tcBorders>
              <w:top w:val="nil"/>
              <w:left w:val="nil"/>
              <w:bottom w:val="nil"/>
              <w:right w:val="single" w:sz="8" w:space="0" w:color="auto"/>
            </w:tcBorders>
            <w:shd w:val="clear" w:color="auto" w:fill="auto"/>
            <w:noWrap/>
            <w:vAlign w:val="center"/>
            <w:hideMark/>
          </w:tcPr>
          <w:p w14:paraId="1ADE7DDE"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5'456</w:t>
            </w:r>
          </w:p>
        </w:tc>
      </w:tr>
      <w:tr w:rsidR="00170453" w:rsidRPr="00403A40" w14:paraId="1ADE7DE3" w14:textId="77777777" w:rsidTr="00191316">
        <w:trPr>
          <w:trHeight w:val="306"/>
        </w:trPr>
        <w:tc>
          <w:tcPr>
            <w:tcW w:w="2902" w:type="dxa"/>
            <w:tcBorders>
              <w:top w:val="nil"/>
              <w:left w:val="single" w:sz="8" w:space="0" w:color="auto"/>
              <w:bottom w:val="nil"/>
              <w:right w:val="nil"/>
            </w:tcBorders>
            <w:shd w:val="clear" w:color="auto" w:fill="auto"/>
            <w:noWrap/>
            <w:vAlign w:val="center"/>
            <w:hideMark/>
          </w:tcPr>
          <w:p w14:paraId="1ADE7DE0" w14:textId="77777777" w:rsidR="00170453" w:rsidRPr="00170453" w:rsidRDefault="00170453" w:rsidP="00191316">
            <w:pPr>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70'001 - 80'000</w:t>
            </w:r>
          </w:p>
        </w:tc>
        <w:tc>
          <w:tcPr>
            <w:tcW w:w="1483" w:type="dxa"/>
            <w:tcBorders>
              <w:top w:val="nil"/>
              <w:left w:val="single" w:sz="8" w:space="0" w:color="auto"/>
              <w:bottom w:val="nil"/>
              <w:right w:val="single" w:sz="8" w:space="0" w:color="auto"/>
            </w:tcBorders>
            <w:shd w:val="clear" w:color="auto" w:fill="auto"/>
            <w:noWrap/>
            <w:vAlign w:val="center"/>
            <w:hideMark/>
          </w:tcPr>
          <w:p w14:paraId="1ADE7DE1"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10'745</w:t>
            </w:r>
          </w:p>
        </w:tc>
        <w:tc>
          <w:tcPr>
            <w:tcW w:w="1394" w:type="dxa"/>
            <w:tcBorders>
              <w:top w:val="nil"/>
              <w:left w:val="nil"/>
              <w:bottom w:val="nil"/>
              <w:right w:val="single" w:sz="8" w:space="0" w:color="auto"/>
            </w:tcBorders>
            <w:shd w:val="clear" w:color="auto" w:fill="auto"/>
            <w:noWrap/>
            <w:vAlign w:val="center"/>
            <w:hideMark/>
          </w:tcPr>
          <w:p w14:paraId="1ADE7DE2"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5'559</w:t>
            </w:r>
          </w:p>
        </w:tc>
      </w:tr>
      <w:tr w:rsidR="00170453" w:rsidRPr="00403A40" w14:paraId="1ADE7DE7" w14:textId="77777777" w:rsidTr="00191316">
        <w:trPr>
          <w:trHeight w:val="306"/>
        </w:trPr>
        <w:tc>
          <w:tcPr>
            <w:tcW w:w="2902" w:type="dxa"/>
            <w:tcBorders>
              <w:top w:val="nil"/>
              <w:left w:val="single" w:sz="8" w:space="0" w:color="auto"/>
              <w:bottom w:val="nil"/>
              <w:right w:val="nil"/>
            </w:tcBorders>
            <w:shd w:val="clear" w:color="auto" w:fill="auto"/>
            <w:noWrap/>
            <w:vAlign w:val="center"/>
            <w:hideMark/>
          </w:tcPr>
          <w:p w14:paraId="1ADE7DE4" w14:textId="77777777" w:rsidR="00170453" w:rsidRPr="00170453" w:rsidRDefault="00170453" w:rsidP="00191316">
            <w:pPr>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80'001 - 90'000</w:t>
            </w:r>
          </w:p>
        </w:tc>
        <w:tc>
          <w:tcPr>
            <w:tcW w:w="1483" w:type="dxa"/>
            <w:tcBorders>
              <w:top w:val="nil"/>
              <w:left w:val="single" w:sz="8" w:space="0" w:color="auto"/>
              <w:bottom w:val="nil"/>
              <w:right w:val="single" w:sz="8" w:space="0" w:color="auto"/>
            </w:tcBorders>
            <w:shd w:val="clear" w:color="auto" w:fill="auto"/>
            <w:noWrap/>
            <w:vAlign w:val="center"/>
            <w:hideMark/>
          </w:tcPr>
          <w:p w14:paraId="1ADE7DE5"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10'925</w:t>
            </w:r>
          </w:p>
        </w:tc>
        <w:tc>
          <w:tcPr>
            <w:tcW w:w="1394" w:type="dxa"/>
            <w:tcBorders>
              <w:top w:val="nil"/>
              <w:left w:val="nil"/>
              <w:bottom w:val="nil"/>
              <w:right w:val="single" w:sz="8" w:space="0" w:color="auto"/>
            </w:tcBorders>
            <w:shd w:val="clear" w:color="auto" w:fill="auto"/>
            <w:noWrap/>
            <w:vAlign w:val="center"/>
            <w:hideMark/>
          </w:tcPr>
          <w:p w14:paraId="1ADE7DE6"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5'535</w:t>
            </w:r>
          </w:p>
        </w:tc>
      </w:tr>
      <w:tr w:rsidR="00170453" w:rsidRPr="00403A40" w14:paraId="1ADE7DEB" w14:textId="77777777" w:rsidTr="00191316">
        <w:trPr>
          <w:trHeight w:val="306"/>
        </w:trPr>
        <w:tc>
          <w:tcPr>
            <w:tcW w:w="2902" w:type="dxa"/>
            <w:tcBorders>
              <w:top w:val="nil"/>
              <w:left w:val="single" w:sz="8" w:space="0" w:color="auto"/>
              <w:bottom w:val="nil"/>
              <w:right w:val="nil"/>
            </w:tcBorders>
            <w:shd w:val="clear" w:color="auto" w:fill="auto"/>
            <w:noWrap/>
            <w:vAlign w:val="center"/>
            <w:hideMark/>
          </w:tcPr>
          <w:p w14:paraId="1ADE7DE8" w14:textId="77777777" w:rsidR="00170453" w:rsidRPr="00170453" w:rsidRDefault="00170453" w:rsidP="00191316">
            <w:pPr>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90'001 - 100'000</w:t>
            </w:r>
          </w:p>
        </w:tc>
        <w:tc>
          <w:tcPr>
            <w:tcW w:w="1483" w:type="dxa"/>
            <w:tcBorders>
              <w:top w:val="nil"/>
              <w:left w:val="single" w:sz="8" w:space="0" w:color="auto"/>
              <w:bottom w:val="nil"/>
              <w:right w:val="single" w:sz="8" w:space="0" w:color="auto"/>
            </w:tcBorders>
            <w:shd w:val="clear" w:color="auto" w:fill="auto"/>
            <w:noWrap/>
            <w:vAlign w:val="center"/>
            <w:hideMark/>
          </w:tcPr>
          <w:p w14:paraId="1ADE7DE9"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10'906</w:t>
            </w:r>
          </w:p>
        </w:tc>
        <w:tc>
          <w:tcPr>
            <w:tcW w:w="1394" w:type="dxa"/>
            <w:tcBorders>
              <w:top w:val="nil"/>
              <w:left w:val="nil"/>
              <w:bottom w:val="nil"/>
              <w:right w:val="single" w:sz="8" w:space="0" w:color="auto"/>
            </w:tcBorders>
            <w:shd w:val="clear" w:color="auto" w:fill="auto"/>
            <w:noWrap/>
            <w:vAlign w:val="center"/>
            <w:hideMark/>
          </w:tcPr>
          <w:p w14:paraId="1ADE7DEA"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5'593</w:t>
            </w:r>
          </w:p>
        </w:tc>
      </w:tr>
      <w:tr w:rsidR="00170453" w:rsidRPr="00403A40" w14:paraId="1ADE7DEF" w14:textId="77777777" w:rsidTr="00191316">
        <w:trPr>
          <w:trHeight w:val="306"/>
        </w:trPr>
        <w:tc>
          <w:tcPr>
            <w:tcW w:w="2902" w:type="dxa"/>
            <w:tcBorders>
              <w:top w:val="nil"/>
              <w:left w:val="single" w:sz="8" w:space="0" w:color="auto"/>
              <w:bottom w:val="nil"/>
              <w:right w:val="nil"/>
            </w:tcBorders>
            <w:shd w:val="clear" w:color="auto" w:fill="auto"/>
            <w:noWrap/>
            <w:vAlign w:val="center"/>
            <w:hideMark/>
          </w:tcPr>
          <w:p w14:paraId="1ADE7DEC" w14:textId="77777777" w:rsidR="00170453" w:rsidRPr="00170453" w:rsidRDefault="00170453" w:rsidP="00191316">
            <w:pPr>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100'001 - 150'000</w:t>
            </w:r>
          </w:p>
        </w:tc>
        <w:tc>
          <w:tcPr>
            <w:tcW w:w="1483" w:type="dxa"/>
            <w:tcBorders>
              <w:top w:val="nil"/>
              <w:left w:val="single" w:sz="8" w:space="0" w:color="auto"/>
              <w:bottom w:val="nil"/>
              <w:right w:val="single" w:sz="8" w:space="0" w:color="auto"/>
            </w:tcBorders>
            <w:shd w:val="clear" w:color="auto" w:fill="auto"/>
            <w:noWrap/>
            <w:vAlign w:val="center"/>
            <w:hideMark/>
          </w:tcPr>
          <w:p w14:paraId="1ADE7DED"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10'960</w:t>
            </w:r>
          </w:p>
        </w:tc>
        <w:tc>
          <w:tcPr>
            <w:tcW w:w="1394" w:type="dxa"/>
            <w:tcBorders>
              <w:top w:val="nil"/>
              <w:left w:val="nil"/>
              <w:bottom w:val="nil"/>
              <w:right w:val="single" w:sz="8" w:space="0" w:color="auto"/>
            </w:tcBorders>
            <w:shd w:val="clear" w:color="auto" w:fill="auto"/>
            <w:noWrap/>
            <w:vAlign w:val="center"/>
            <w:hideMark/>
          </w:tcPr>
          <w:p w14:paraId="1ADE7DEE"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5'589</w:t>
            </w:r>
          </w:p>
        </w:tc>
      </w:tr>
      <w:tr w:rsidR="00170453" w:rsidRPr="00403A40" w14:paraId="1ADE7DF3" w14:textId="77777777" w:rsidTr="00191316">
        <w:trPr>
          <w:trHeight w:val="306"/>
        </w:trPr>
        <w:tc>
          <w:tcPr>
            <w:tcW w:w="2902" w:type="dxa"/>
            <w:tcBorders>
              <w:top w:val="nil"/>
              <w:left w:val="single" w:sz="8" w:space="0" w:color="auto"/>
              <w:bottom w:val="nil"/>
              <w:right w:val="nil"/>
            </w:tcBorders>
            <w:shd w:val="clear" w:color="auto" w:fill="auto"/>
            <w:noWrap/>
            <w:vAlign w:val="center"/>
            <w:hideMark/>
          </w:tcPr>
          <w:p w14:paraId="1ADE7DF0" w14:textId="77777777" w:rsidR="00170453" w:rsidRPr="00170453" w:rsidRDefault="00170453" w:rsidP="00191316">
            <w:pPr>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150'001 - 200'000</w:t>
            </w:r>
          </w:p>
        </w:tc>
        <w:tc>
          <w:tcPr>
            <w:tcW w:w="1483" w:type="dxa"/>
            <w:tcBorders>
              <w:top w:val="nil"/>
              <w:left w:val="single" w:sz="8" w:space="0" w:color="auto"/>
              <w:bottom w:val="nil"/>
              <w:right w:val="single" w:sz="8" w:space="0" w:color="auto"/>
            </w:tcBorders>
            <w:shd w:val="clear" w:color="auto" w:fill="auto"/>
            <w:noWrap/>
            <w:vAlign w:val="center"/>
            <w:hideMark/>
          </w:tcPr>
          <w:p w14:paraId="1ADE7DF1"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10'899</w:t>
            </w:r>
          </w:p>
        </w:tc>
        <w:tc>
          <w:tcPr>
            <w:tcW w:w="1394" w:type="dxa"/>
            <w:tcBorders>
              <w:top w:val="nil"/>
              <w:left w:val="nil"/>
              <w:bottom w:val="nil"/>
              <w:right w:val="single" w:sz="8" w:space="0" w:color="auto"/>
            </w:tcBorders>
            <w:shd w:val="clear" w:color="auto" w:fill="auto"/>
            <w:noWrap/>
            <w:vAlign w:val="center"/>
            <w:hideMark/>
          </w:tcPr>
          <w:p w14:paraId="1ADE7DF2"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5'696</w:t>
            </w:r>
          </w:p>
        </w:tc>
      </w:tr>
      <w:tr w:rsidR="00170453" w:rsidRPr="00403A40" w14:paraId="1ADE7DF7" w14:textId="77777777" w:rsidTr="00191316">
        <w:trPr>
          <w:trHeight w:val="306"/>
        </w:trPr>
        <w:tc>
          <w:tcPr>
            <w:tcW w:w="2902" w:type="dxa"/>
            <w:tcBorders>
              <w:top w:val="nil"/>
              <w:left w:val="single" w:sz="8" w:space="0" w:color="auto"/>
              <w:bottom w:val="nil"/>
              <w:right w:val="nil"/>
            </w:tcBorders>
            <w:shd w:val="clear" w:color="auto" w:fill="auto"/>
            <w:noWrap/>
            <w:vAlign w:val="center"/>
            <w:hideMark/>
          </w:tcPr>
          <w:p w14:paraId="1ADE7DF4" w14:textId="77777777" w:rsidR="00170453" w:rsidRPr="00170453" w:rsidRDefault="00170453" w:rsidP="00191316">
            <w:pPr>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200'001 - 300'000</w:t>
            </w:r>
          </w:p>
        </w:tc>
        <w:tc>
          <w:tcPr>
            <w:tcW w:w="1483" w:type="dxa"/>
            <w:tcBorders>
              <w:top w:val="nil"/>
              <w:left w:val="single" w:sz="8" w:space="0" w:color="auto"/>
              <w:bottom w:val="nil"/>
              <w:right w:val="single" w:sz="8" w:space="0" w:color="auto"/>
            </w:tcBorders>
            <w:shd w:val="clear" w:color="auto" w:fill="auto"/>
            <w:noWrap/>
            <w:vAlign w:val="center"/>
            <w:hideMark/>
          </w:tcPr>
          <w:p w14:paraId="1ADE7DF5"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10'855</w:t>
            </w:r>
          </w:p>
        </w:tc>
        <w:tc>
          <w:tcPr>
            <w:tcW w:w="1394" w:type="dxa"/>
            <w:tcBorders>
              <w:top w:val="nil"/>
              <w:left w:val="nil"/>
              <w:bottom w:val="nil"/>
              <w:right w:val="single" w:sz="8" w:space="0" w:color="auto"/>
            </w:tcBorders>
            <w:shd w:val="clear" w:color="auto" w:fill="auto"/>
            <w:noWrap/>
            <w:vAlign w:val="center"/>
            <w:hideMark/>
          </w:tcPr>
          <w:p w14:paraId="1ADE7DF6"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5'775</w:t>
            </w:r>
          </w:p>
        </w:tc>
      </w:tr>
      <w:tr w:rsidR="00170453" w:rsidRPr="00403A40" w14:paraId="1ADE7DFB" w14:textId="77777777" w:rsidTr="00191316">
        <w:trPr>
          <w:trHeight w:val="306"/>
        </w:trPr>
        <w:tc>
          <w:tcPr>
            <w:tcW w:w="2902" w:type="dxa"/>
            <w:tcBorders>
              <w:top w:val="nil"/>
              <w:left w:val="single" w:sz="8" w:space="0" w:color="auto"/>
              <w:bottom w:val="nil"/>
              <w:right w:val="nil"/>
            </w:tcBorders>
            <w:shd w:val="clear" w:color="auto" w:fill="auto"/>
            <w:noWrap/>
            <w:vAlign w:val="center"/>
            <w:hideMark/>
          </w:tcPr>
          <w:p w14:paraId="1ADE7DF8" w14:textId="77777777" w:rsidR="00170453" w:rsidRPr="00170453" w:rsidRDefault="00170453" w:rsidP="00191316">
            <w:pPr>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300'001 - 400'000</w:t>
            </w:r>
          </w:p>
        </w:tc>
        <w:tc>
          <w:tcPr>
            <w:tcW w:w="1483" w:type="dxa"/>
            <w:tcBorders>
              <w:top w:val="nil"/>
              <w:left w:val="single" w:sz="8" w:space="0" w:color="auto"/>
              <w:bottom w:val="nil"/>
              <w:right w:val="single" w:sz="8" w:space="0" w:color="auto"/>
            </w:tcBorders>
            <w:shd w:val="clear" w:color="auto" w:fill="auto"/>
            <w:noWrap/>
            <w:vAlign w:val="center"/>
            <w:hideMark/>
          </w:tcPr>
          <w:p w14:paraId="1ADE7DF9"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11'208</w:t>
            </w:r>
          </w:p>
        </w:tc>
        <w:tc>
          <w:tcPr>
            <w:tcW w:w="1394" w:type="dxa"/>
            <w:tcBorders>
              <w:top w:val="nil"/>
              <w:left w:val="nil"/>
              <w:bottom w:val="nil"/>
              <w:right w:val="single" w:sz="8" w:space="0" w:color="auto"/>
            </w:tcBorders>
            <w:shd w:val="clear" w:color="auto" w:fill="auto"/>
            <w:noWrap/>
            <w:vAlign w:val="center"/>
            <w:hideMark/>
          </w:tcPr>
          <w:p w14:paraId="1ADE7DFA"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5'876</w:t>
            </w:r>
          </w:p>
        </w:tc>
      </w:tr>
      <w:tr w:rsidR="00170453" w:rsidRPr="00403A40" w14:paraId="1ADE7DFF" w14:textId="77777777" w:rsidTr="00191316">
        <w:trPr>
          <w:trHeight w:val="306"/>
        </w:trPr>
        <w:tc>
          <w:tcPr>
            <w:tcW w:w="2902" w:type="dxa"/>
            <w:tcBorders>
              <w:top w:val="nil"/>
              <w:left w:val="single" w:sz="8" w:space="0" w:color="auto"/>
              <w:bottom w:val="nil"/>
              <w:right w:val="nil"/>
            </w:tcBorders>
            <w:shd w:val="clear" w:color="auto" w:fill="auto"/>
            <w:noWrap/>
            <w:vAlign w:val="center"/>
            <w:hideMark/>
          </w:tcPr>
          <w:p w14:paraId="1ADE7DFC" w14:textId="77777777" w:rsidR="00170453" w:rsidRPr="00170453" w:rsidRDefault="00170453" w:rsidP="00191316">
            <w:pPr>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400'001 - 500'000</w:t>
            </w:r>
          </w:p>
        </w:tc>
        <w:tc>
          <w:tcPr>
            <w:tcW w:w="1483" w:type="dxa"/>
            <w:tcBorders>
              <w:top w:val="nil"/>
              <w:left w:val="single" w:sz="8" w:space="0" w:color="auto"/>
              <w:bottom w:val="nil"/>
              <w:right w:val="single" w:sz="8" w:space="0" w:color="auto"/>
            </w:tcBorders>
            <w:shd w:val="clear" w:color="auto" w:fill="auto"/>
            <w:noWrap/>
            <w:vAlign w:val="center"/>
            <w:hideMark/>
          </w:tcPr>
          <w:p w14:paraId="1ADE7DFD"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11'070</w:t>
            </w:r>
          </w:p>
        </w:tc>
        <w:tc>
          <w:tcPr>
            <w:tcW w:w="1394" w:type="dxa"/>
            <w:tcBorders>
              <w:top w:val="nil"/>
              <w:left w:val="nil"/>
              <w:bottom w:val="nil"/>
              <w:right w:val="single" w:sz="8" w:space="0" w:color="auto"/>
            </w:tcBorders>
            <w:shd w:val="clear" w:color="auto" w:fill="auto"/>
            <w:noWrap/>
            <w:vAlign w:val="center"/>
            <w:hideMark/>
          </w:tcPr>
          <w:p w14:paraId="1ADE7DFE"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5'846</w:t>
            </w:r>
          </w:p>
        </w:tc>
      </w:tr>
      <w:tr w:rsidR="00170453" w:rsidRPr="00403A40" w14:paraId="1ADE7E03" w14:textId="77777777" w:rsidTr="00191316">
        <w:trPr>
          <w:trHeight w:val="321"/>
        </w:trPr>
        <w:tc>
          <w:tcPr>
            <w:tcW w:w="2902" w:type="dxa"/>
            <w:tcBorders>
              <w:top w:val="nil"/>
              <w:left w:val="single" w:sz="8" w:space="0" w:color="auto"/>
              <w:bottom w:val="nil"/>
              <w:right w:val="nil"/>
            </w:tcBorders>
            <w:shd w:val="clear" w:color="auto" w:fill="auto"/>
            <w:noWrap/>
            <w:vAlign w:val="center"/>
            <w:hideMark/>
          </w:tcPr>
          <w:p w14:paraId="1ADE7E00" w14:textId="77777777" w:rsidR="00170453" w:rsidRPr="00170453" w:rsidRDefault="00B15355" w:rsidP="00B15355">
            <w:pPr>
              <w:rPr>
                <w:rFonts w:asciiTheme="minorHAnsi" w:hAnsiTheme="minorHAnsi" w:cstheme="minorHAnsi"/>
                <w:color w:val="000000"/>
                <w:sz w:val="20"/>
                <w:szCs w:val="20"/>
                <w:lang w:eastAsia="it-CH"/>
              </w:rPr>
            </w:pPr>
            <w:r>
              <w:rPr>
                <w:rFonts w:asciiTheme="minorHAnsi" w:hAnsiTheme="minorHAnsi" w:cstheme="minorHAnsi"/>
                <w:color w:val="000000"/>
                <w:sz w:val="20"/>
                <w:szCs w:val="20"/>
                <w:lang w:eastAsia="it-CH"/>
              </w:rPr>
              <w:t xml:space="preserve">Oltre </w:t>
            </w:r>
            <w:r w:rsidR="00170453" w:rsidRPr="00170453">
              <w:rPr>
                <w:rFonts w:asciiTheme="minorHAnsi" w:hAnsiTheme="minorHAnsi" w:cstheme="minorHAnsi"/>
                <w:color w:val="000000"/>
                <w:sz w:val="20"/>
                <w:szCs w:val="20"/>
                <w:lang w:eastAsia="it-CH"/>
              </w:rPr>
              <w:t>500'00</w:t>
            </w:r>
            <w:r>
              <w:rPr>
                <w:rFonts w:asciiTheme="minorHAnsi" w:hAnsiTheme="minorHAnsi" w:cstheme="minorHAnsi"/>
                <w:color w:val="000000"/>
                <w:sz w:val="20"/>
                <w:szCs w:val="20"/>
                <w:lang w:eastAsia="it-CH"/>
              </w:rPr>
              <w:t>0</w:t>
            </w:r>
          </w:p>
        </w:tc>
        <w:tc>
          <w:tcPr>
            <w:tcW w:w="1483" w:type="dxa"/>
            <w:tcBorders>
              <w:top w:val="nil"/>
              <w:left w:val="single" w:sz="8" w:space="0" w:color="auto"/>
              <w:bottom w:val="nil"/>
              <w:right w:val="single" w:sz="8" w:space="0" w:color="auto"/>
            </w:tcBorders>
            <w:shd w:val="clear" w:color="auto" w:fill="auto"/>
            <w:noWrap/>
            <w:vAlign w:val="center"/>
            <w:hideMark/>
          </w:tcPr>
          <w:p w14:paraId="1ADE7E01"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11'282</w:t>
            </w:r>
          </w:p>
        </w:tc>
        <w:tc>
          <w:tcPr>
            <w:tcW w:w="1394" w:type="dxa"/>
            <w:tcBorders>
              <w:top w:val="nil"/>
              <w:left w:val="nil"/>
              <w:bottom w:val="nil"/>
              <w:right w:val="single" w:sz="8" w:space="0" w:color="auto"/>
            </w:tcBorders>
            <w:shd w:val="clear" w:color="auto" w:fill="auto"/>
            <w:noWrap/>
            <w:vAlign w:val="center"/>
            <w:hideMark/>
          </w:tcPr>
          <w:p w14:paraId="1ADE7E02" w14:textId="77777777" w:rsidR="00170453" w:rsidRPr="00170453" w:rsidRDefault="00170453" w:rsidP="00191316">
            <w:pPr>
              <w:jc w:val="right"/>
              <w:rPr>
                <w:rFonts w:asciiTheme="minorHAnsi" w:hAnsiTheme="minorHAnsi" w:cstheme="minorHAnsi"/>
                <w:color w:val="000000"/>
                <w:sz w:val="20"/>
                <w:szCs w:val="20"/>
                <w:lang w:eastAsia="it-CH"/>
              </w:rPr>
            </w:pPr>
            <w:r w:rsidRPr="00170453">
              <w:rPr>
                <w:rFonts w:asciiTheme="minorHAnsi" w:hAnsiTheme="minorHAnsi" w:cstheme="minorHAnsi"/>
                <w:color w:val="000000"/>
                <w:sz w:val="20"/>
                <w:szCs w:val="20"/>
                <w:lang w:eastAsia="it-CH"/>
              </w:rPr>
              <w:t>6'226</w:t>
            </w:r>
          </w:p>
        </w:tc>
      </w:tr>
      <w:tr w:rsidR="00170453" w:rsidRPr="00403A40" w14:paraId="1ADE7E07" w14:textId="77777777" w:rsidTr="00191316">
        <w:trPr>
          <w:trHeight w:val="321"/>
        </w:trPr>
        <w:tc>
          <w:tcPr>
            <w:tcW w:w="2902" w:type="dxa"/>
            <w:tcBorders>
              <w:top w:val="single" w:sz="8" w:space="0" w:color="auto"/>
              <w:left w:val="single" w:sz="8" w:space="0" w:color="auto"/>
              <w:bottom w:val="single" w:sz="8" w:space="0" w:color="auto"/>
              <w:right w:val="nil"/>
            </w:tcBorders>
            <w:shd w:val="clear" w:color="auto" w:fill="auto"/>
            <w:noWrap/>
            <w:vAlign w:val="center"/>
            <w:hideMark/>
          </w:tcPr>
          <w:p w14:paraId="1ADE7E04" w14:textId="77777777" w:rsidR="00170453" w:rsidRPr="00170453" w:rsidRDefault="00170453" w:rsidP="00191316">
            <w:pPr>
              <w:rPr>
                <w:rFonts w:asciiTheme="minorHAnsi" w:hAnsiTheme="minorHAnsi" w:cstheme="minorHAnsi"/>
                <w:b/>
                <w:bCs/>
                <w:color w:val="000000"/>
                <w:sz w:val="20"/>
                <w:szCs w:val="20"/>
                <w:lang w:eastAsia="it-CH"/>
              </w:rPr>
            </w:pPr>
            <w:r w:rsidRPr="00170453">
              <w:rPr>
                <w:rFonts w:asciiTheme="minorHAnsi" w:hAnsiTheme="minorHAnsi" w:cstheme="minorHAnsi"/>
                <w:b/>
                <w:bCs/>
                <w:color w:val="000000"/>
                <w:sz w:val="20"/>
                <w:szCs w:val="20"/>
                <w:lang w:eastAsia="it-CH"/>
              </w:rPr>
              <w:t>Totale</w:t>
            </w:r>
          </w:p>
        </w:tc>
        <w:tc>
          <w:tcPr>
            <w:tcW w:w="148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ADE7E05" w14:textId="77777777" w:rsidR="00170453" w:rsidRPr="00170453" w:rsidRDefault="00170453" w:rsidP="00191316">
            <w:pPr>
              <w:jc w:val="right"/>
              <w:rPr>
                <w:rFonts w:asciiTheme="minorHAnsi" w:hAnsiTheme="minorHAnsi" w:cstheme="minorHAnsi"/>
                <w:b/>
                <w:bCs/>
                <w:color w:val="000000"/>
                <w:sz w:val="20"/>
                <w:szCs w:val="20"/>
                <w:lang w:eastAsia="it-CH"/>
              </w:rPr>
            </w:pPr>
            <w:r w:rsidRPr="00170453">
              <w:rPr>
                <w:rFonts w:asciiTheme="minorHAnsi" w:hAnsiTheme="minorHAnsi" w:cstheme="minorHAnsi"/>
                <w:b/>
                <w:bCs/>
                <w:color w:val="000000"/>
                <w:sz w:val="20"/>
                <w:szCs w:val="20"/>
                <w:lang w:eastAsia="it-CH"/>
              </w:rPr>
              <w:t>9'672</w:t>
            </w:r>
          </w:p>
        </w:tc>
        <w:tc>
          <w:tcPr>
            <w:tcW w:w="1394" w:type="dxa"/>
            <w:tcBorders>
              <w:top w:val="single" w:sz="8" w:space="0" w:color="auto"/>
              <w:left w:val="nil"/>
              <w:bottom w:val="single" w:sz="8" w:space="0" w:color="auto"/>
              <w:right w:val="single" w:sz="8" w:space="0" w:color="auto"/>
            </w:tcBorders>
            <w:shd w:val="clear" w:color="auto" w:fill="auto"/>
            <w:noWrap/>
            <w:vAlign w:val="center"/>
            <w:hideMark/>
          </w:tcPr>
          <w:p w14:paraId="1ADE7E06" w14:textId="77777777" w:rsidR="00170453" w:rsidRPr="00170453" w:rsidRDefault="00170453" w:rsidP="00191316">
            <w:pPr>
              <w:jc w:val="right"/>
              <w:rPr>
                <w:rFonts w:asciiTheme="minorHAnsi" w:hAnsiTheme="minorHAnsi" w:cstheme="minorHAnsi"/>
                <w:b/>
                <w:bCs/>
                <w:color w:val="000000"/>
                <w:sz w:val="20"/>
                <w:szCs w:val="20"/>
                <w:lang w:eastAsia="it-CH"/>
              </w:rPr>
            </w:pPr>
            <w:r w:rsidRPr="00170453">
              <w:rPr>
                <w:rFonts w:asciiTheme="minorHAnsi" w:hAnsiTheme="minorHAnsi" w:cstheme="minorHAnsi"/>
                <w:b/>
                <w:bCs/>
                <w:color w:val="000000"/>
                <w:sz w:val="20"/>
                <w:szCs w:val="20"/>
                <w:lang w:eastAsia="it-CH"/>
              </w:rPr>
              <w:t>4'889</w:t>
            </w:r>
          </w:p>
        </w:tc>
      </w:tr>
    </w:tbl>
    <w:p w14:paraId="1ADE7E08" w14:textId="77777777" w:rsidR="00E2477B" w:rsidRPr="000171A8" w:rsidRDefault="00E2477B" w:rsidP="00B15355">
      <w:pPr>
        <w:suppressAutoHyphens w:val="0"/>
        <w:rPr>
          <w:rFonts w:cs="Arial"/>
          <w:sz w:val="22"/>
          <w:szCs w:val="22"/>
          <w:lang w:eastAsia="it-CH"/>
        </w:rPr>
      </w:pPr>
    </w:p>
    <w:p w14:paraId="1ADE7E09" w14:textId="77777777" w:rsidR="00E2477B" w:rsidRPr="000171A8" w:rsidRDefault="00355BB0" w:rsidP="00355BB0">
      <w:pPr>
        <w:pStyle w:val="Titolo2"/>
        <w:numPr>
          <w:ilvl w:val="0"/>
          <w:numId w:val="0"/>
        </w:numPr>
        <w:tabs>
          <w:tab w:val="left" w:pos="426"/>
        </w:tabs>
        <w:spacing w:after="0"/>
        <w:ind w:left="426" w:hanging="426"/>
        <w:jc w:val="both"/>
      </w:pPr>
      <w:r>
        <w:t>2.5</w:t>
      </w:r>
      <w:r>
        <w:tab/>
      </w:r>
      <w:r w:rsidR="00E2477B" w:rsidRPr="000171A8">
        <w:t>Impatto finanziario rilevante per Cantone e Comuni</w:t>
      </w:r>
    </w:p>
    <w:p w14:paraId="1ADE7E0A" w14:textId="77777777" w:rsidR="00E2477B" w:rsidRPr="000171A8" w:rsidRDefault="00E2477B" w:rsidP="00E2477B">
      <w:pPr>
        <w:suppressAutoHyphens w:val="0"/>
        <w:ind w:left="2495" w:hanging="2438"/>
        <w:rPr>
          <w:rFonts w:cs="Arial"/>
          <w:sz w:val="22"/>
          <w:szCs w:val="22"/>
          <w:lang w:eastAsia="it-CH"/>
        </w:rPr>
      </w:pPr>
    </w:p>
    <w:p w14:paraId="1ADE7E0B" w14:textId="77777777" w:rsidR="00E2477B" w:rsidRDefault="00E2477B" w:rsidP="00E2477B">
      <w:pPr>
        <w:rPr>
          <w:rFonts w:cs="Arial"/>
        </w:rPr>
      </w:pPr>
      <w:r w:rsidRPr="000171A8">
        <w:rPr>
          <w:rFonts w:cs="Arial"/>
        </w:rPr>
        <w:t xml:space="preserve">Ipotizzando che la totalità dei contribuenti che </w:t>
      </w:r>
      <w:r w:rsidR="00170453">
        <w:rPr>
          <w:rFonts w:cs="Arial"/>
        </w:rPr>
        <w:t>nel 2020 hanno dedotto</w:t>
      </w:r>
      <w:r w:rsidRPr="000171A8">
        <w:rPr>
          <w:rFonts w:cs="Arial"/>
        </w:rPr>
        <w:t xml:space="preserve"> gli importi massimi </w:t>
      </w:r>
      <w:r w:rsidR="00170453">
        <w:rPr>
          <w:rFonts w:asciiTheme="minorHAnsi" w:hAnsiTheme="minorHAnsi" w:cstheme="minorHAnsi"/>
        </w:rPr>
        <w:t xml:space="preserve">(trattasi di circa 91'000 casi, pari al 43% del totale dei contribuenti) </w:t>
      </w:r>
      <w:r w:rsidRPr="000171A8">
        <w:rPr>
          <w:rFonts w:cs="Arial"/>
        </w:rPr>
        <w:t>in futuro sfruttasse integralmente i nuovi limiti massimi proposti</w:t>
      </w:r>
      <w:r w:rsidR="00170453">
        <w:rPr>
          <w:rStyle w:val="Rimandonotaapidipagina"/>
          <w:rFonts w:cs="Arial"/>
        </w:rPr>
        <w:footnoteReference w:id="2"/>
      </w:r>
      <w:r w:rsidRPr="000171A8">
        <w:rPr>
          <w:rFonts w:cs="Arial"/>
        </w:rPr>
        <w:t xml:space="preserve">, l’attuazione dell’iniziativa comporterebbe un minor gettito di 46.1 milioni </w:t>
      </w:r>
      <w:r w:rsidR="00366601">
        <w:rPr>
          <w:rFonts w:cs="Arial"/>
        </w:rPr>
        <w:t xml:space="preserve">di franchi </w:t>
      </w:r>
      <w:r w:rsidRPr="000171A8">
        <w:rPr>
          <w:rFonts w:cs="Arial"/>
        </w:rPr>
        <w:t>per il Cantone e di 36.9 milioni</w:t>
      </w:r>
      <w:r w:rsidR="00366601">
        <w:rPr>
          <w:rFonts w:cs="Arial"/>
        </w:rPr>
        <w:t xml:space="preserve"> di franchi</w:t>
      </w:r>
      <w:r w:rsidRPr="000171A8">
        <w:rPr>
          <w:rFonts w:cs="Arial"/>
        </w:rPr>
        <w:t xml:space="preserve"> per i Comuni, una contrazione pari al 6% del gettito totale dell’imposta sul reddito delle persone fisiche (dati fiscali 2020). Ritenuto che la deduzione per oneri assicurativi è compresa anche nelle tariffe dell’imposta alla fonte, l’iniziativa comporterebbe un ulteriore impatto anche su questo fronte per un importo valutato in 9 milioni </w:t>
      </w:r>
      <w:r w:rsidR="00366601">
        <w:rPr>
          <w:rFonts w:cs="Arial"/>
        </w:rPr>
        <w:t xml:space="preserve">di franchi </w:t>
      </w:r>
      <w:r w:rsidRPr="000171A8">
        <w:rPr>
          <w:rFonts w:cs="Arial"/>
        </w:rPr>
        <w:t xml:space="preserve">per il Cantone e in 7.2 milioni </w:t>
      </w:r>
      <w:r w:rsidR="00366601">
        <w:rPr>
          <w:rFonts w:cs="Arial"/>
        </w:rPr>
        <w:t xml:space="preserve">di franchi </w:t>
      </w:r>
      <w:r w:rsidRPr="000171A8">
        <w:rPr>
          <w:rFonts w:cs="Arial"/>
        </w:rPr>
        <w:t xml:space="preserve">per i Comuni. </w:t>
      </w:r>
    </w:p>
    <w:p w14:paraId="1ADE7E0C" w14:textId="77777777" w:rsidR="00E2477B" w:rsidRDefault="00E2477B" w:rsidP="00E2477B">
      <w:pPr>
        <w:rPr>
          <w:rFonts w:cs="Arial"/>
        </w:rPr>
      </w:pPr>
    </w:p>
    <w:p w14:paraId="1ADE7E0D" w14:textId="77777777" w:rsidR="00E2477B" w:rsidRPr="000171A8" w:rsidRDefault="00E2477B" w:rsidP="00E2477B">
      <w:pPr>
        <w:rPr>
          <w:rFonts w:cs="Arial"/>
        </w:rPr>
      </w:pPr>
      <w:r w:rsidRPr="000171A8">
        <w:rPr>
          <w:rFonts w:cs="Arial"/>
        </w:rPr>
        <w:t>L’impatto finanziario complessivo di questa iniziativa sulle entrate degli enti pubbl</w:t>
      </w:r>
      <w:r w:rsidR="00366601">
        <w:rPr>
          <w:rFonts w:cs="Arial"/>
        </w:rPr>
        <w:t xml:space="preserve">ici ammonterebbe pertanto a </w:t>
      </w:r>
      <w:r w:rsidRPr="000171A8">
        <w:rPr>
          <w:rFonts w:cs="Arial"/>
        </w:rPr>
        <w:t xml:space="preserve">55.1 milioni </w:t>
      </w:r>
      <w:r w:rsidR="00366601">
        <w:rPr>
          <w:rFonts w:cs="Arial"/>
        </w:rPr>
        <w:t xml:space="preserve">di franchi </w:t>
      </w:r>
      <w:r w:rsidRPr="000171A8">
        <w:rPr>
          <w:rFonts w:cs="Arial"/>
        </w:rPr>
        <w:t xml:space="preserve">per il Cantone e a 44.1 milioni </w:t>
      </w:r>
      <w:r w:rsidR="00366601">
        <w:rPr>
          <w:rFonts w:cs="Arial"/>
        </w:rPr>
        <w:t xml:space="preserve">di franchi </w:t>
      </w:r>
      <w:r w:rsidRPr="000171A8">
        <w:rPr>
          <w:rFonts w:cs="Arial"/>
        </w:rPr>
        <w:t>per i Comuni.</w:t>
      </w:r>
    </w:p>
    <w:p w14:paraId="1ADE7E0E" w14:textId="77777777" w:rsidR="00E2477B" w:rsidRPr="000171A8" w:rsidRDefault="00E2477B" w:rsidP="00B91247">
      <w:pPr>
        <w:suppressAutoHyphens w:val="0"/>
        <w:rPr>
          <w:rFonts w:cs="Arial"/>
          <w:b/>
          <w:i/>
          <w:lang w:eastAsia="it-CH"/>
        </w:rPr>
      </w:pPr>
      <w:r w:rsidRPr="000171A8">
        <w:rPr>
          <w:rFonts w:cs="Arial"/>
          <w:b/>
          <w:i/>
          <w:lang w:eastAsia="it-CH"/>
        </w:rPr>
        <w:lastRenderedPageBreak/>
        <w:t>Stima d</w:t>
      </w:r>
      <w:r w:rsidR="00AA7A7F">
        <w:rPr>
          <w:rFonts w:cs="Arial"/>
          <w:b/>
          <w:i/>
          <w:lang w:eastAsia="it-CH"/>
        </w:rPr>
        <w:t xml:space="preserve">ell’impatto finanziario dell’iniziativa </w:t>
      </w:r>
      <w:r w:rsidRPr="000171A8">
        <w:rPr>
          <w:rFonts w:cs="Arial"/>
          <w:b/>
          <w:i/>
          <w:lang w:eastAsia="it-CH"/>
        </w:rPr>
        <w:t>in milioni</w:t>
      </w:r>
      <w:r w:rsidR="00366601">
        <w:rPr>
          <w:rFonts w:cs="Arial"/>
          <w:b/>
          <w:i/>
          <w:lang w:eastAsia="it-CH"/>
        </w:rPr>
        <w:t xml:space="preserve"> di franchi</w:t>
      </w:r>
    </w:p>
    <w:tbl>
      <w:tblPr>
        <w:tblW w:w="8474" w:type="dxa"/>
        <w:tblCellMar>
          <w:left w:w="70" w:type="dxa"/>
          <w:right w:w="70" w:type="dxa"/>
        </w:tblCellMar>
        <w:tblLook w:val="04A0" w:firstRow="1" w:lastRow="0" w:firstColumn="1" w:lastColumn="0" w:noHBand="0" w:noVBand="1"/>
      </w:tblPr>
      <w:tblGrid>
        <w:gridCol w:w="4424"/>
        <w:gridCol w:w="1406"/>
        <w:gridCol w:w="1322"/>
        <w:gridCol w:w="1322"/>
      </w:tblGrid>
      <w:tr w:rsidR="00E2477B" w:rsidRPr="000171A8" w14:paraId="1ADE7E13" w14:textId="77777777" w:rsidTr="00AA7A7F">
        <w:trPr>
          <w:trHeight w:val="300"/>
        </w:trPr>
        <w:tc>
          <w:tcPr>
            <w:tcW w:w="4424" w:type="dxa"/>
            <w:tcBorders>
              <w:top w:val="nil"/>
              <w:left w:val="nil"/>
              <w:bottom w:val="nil"/>
              <w:right w:val="nil"/>
            </w:tcBorders>
            <w:shd w:val="clear" w:color="auto" w:fill="auto"/>
            <w:noWrap/>
            <w:vAlign w:val="bottom"/>
            <w:hideMark/>
          </w:tcPr>
          <w:p w14:paraId="1ADE7E0F" w14:textId="77777777" w:rsidR="00E2477B" w:rsidRPr="000171A8" w:rsidRDefault="00E2477B" w:rsidP="00AA7A7F">
            <w:pPr>
              <w:suppressAutoHyphens w:val="0"/>
              <w:jc w:val="left"/>
              <w:rPr>
                <w:rFonts w:eastAsia="Times New Roman" w:cs="Arial"/>
                <w:lang w:eastAsia="it-CH"/>
              </w:rPr>
            </w:pPr>
          </w:p>
        </w:tc>
        <w:tc>
          <w:tcPr>
            <w:tcW w:w="14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DE7E10" w14:textId="77777777" w:rsidR="00E2477B" w:rsidRPr="000171A8" w:rsidRDefault="00E2477B" w:rsidP="00AA7A7F">
            <w:pPr>
              <w:suppressAutoHyphens w:val="0"/>
              <w:jc w:val="center"/>
              <w:rPr>
                <w:rFonts w:eastAsia="Times New Roman" w:cs="Arial"/>
                <w:b/>
                <w:bCs/>
                <w:color w:val="000000"/>
                <w:lang w:eastAsia="it-CH"/>
              </w:rPr>
            </w:pPr>
            <w:r w:rsidRPr="000171A8">
              <w:rPr>
                <w:rFonts w:eastAsia="Times New Roman" w:cs="Arial"/>
                <w:b/>
                <w:bCs/>
                <w:color w:val="000000"/>
                <w:lang w:eastAsia="it-CH"/>
              </w:rPr>
              <w:t xml:space="preserve">Cantone </w:t>
            </w:r>
          </w:p>
        </w:tc>
        <w:tc>
          <w:tcPr>
            <w:tcW w:w="1322" w:type="dxa"/>
            <w:tcBorders>
              <w:top w:val="single" w:sz="4" w:space="0" w:color="auto"/>
              <w:left w:val="nil"/>
              <w:bottom w:val="single" w:sz="4" w:space="0" w:color="auto"/>
              <w:right w:val="single" w:sz="4" w:space="0" w:color="auto"/>
            </w:tcBorders>
            <w:shd w:val="clear" w:color="auto" w:fill="auto"/>
            <w:noWrap/>
            <w:vAlign w:val="bottom"/>
            <w:hideMark/>
          </w:tcPr>
          <w:p w14:paraId="1ADE7E11" w14:textId="77777777" w:rsidR="00E2477B" w:rsidRPr="000171A8" w:rsidRDefault="00E2477B" w:rsidP="00AA7A7F">
            <w:pPr>
              <w:suppressAutoHyphens w:val="0"/>
              <w:jc w:val="center"/>
              <w:rPr>
                <w:rFonts w:eastAsia="Times New Roman" w:cs="Arial"/>
                <w:b/>
                <w:bCs/>
                <w:color w:val="000000"/>
                <w:lang w:eastAsia="it-CH"/>
              </w:rPr>
            </w:pPr>
            <w:r w:rsidRPr="000171A8">
              <w:rPr>
                <w:rFonts w:eastAsia="Times New Roman" w:cs="Arial"/>
                <w:b/>
                <w:bCs/>
                <w:color w:val="000000"/>
                <w:lang w:eastAsia="it-CH"/>
              </w:rPr>
              <w:t>Comuni</w:t>
            </w:r>
          </w:p>
        </w:tc>
        <w:tc>
          <w:tcPr>
            <w:tcW w:w="1322" w:type="dxa"/>
            <w:tcBorders>
              <w:top w:val="single" w:sz="4" w:space="0" w:color="auto"/>
              <w:left w:val="nil"/>
              <w:bottom w:val="single" w:sz="4" w:space="0" w:color="auto"/>
              <w:right w:val="single" w:sz="4" w:space="0" w:color="auto"/>
            </w:tcBorders>
          </w:tcPr>
          <w:p w14:paraId="1ADE7E12" w14:textId="77777777" w:rsidR="00E2477B" w:rsidRPr="000171A8" w:rsidRDefault="00E2477B" w:rsidP="00AA7A7F">
            <w:pPr>
              <w:suppressAutoHyphens w:val="0"/>
              <w:jc w:val="center"/>
              <w:rPr>
                <w:rFonts w:eastAsia="Times New Roman" w:cs="Arial"/>
                <w:b/>
                <w:bCs/>
                <w:color w:val="000000"/>
                <w:lang w:eastAsia="it-CH"/>
              </w:rPr>
            </w:pPr>
            <w:r w:rsidRPr="000171A8">
              <w:rPr>
                <w:rFonts w:eastAsia="Times New Roman" w:cs="Arial"/>
                <w:b/>
                <w:bCs/>
                <w:color w:val="000000"/>
                <w:lang w:eastAsia="it-CH"/>
              </w:rPr>
              <w:t>Totale</w:t>
            </w:r>
          </w:p>
        </w:tc>
      </w:tr>
      <w:tr w:rsidR="00E2477B" w:rsidRPr="000171A8" w14:paraId="1ADE7E18" w14:textId="77777777" w:rsidTr="00AA7A7F">
        <w:trPr>
          <w:trHeight w:val="300"/>
        </w:trPr>
        <w:tc>
          <w:tcPr>
            <w:tcW w:w="44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DE7E14" w14:textId="77777777" w:rsidR="00E2477B" w:rsidRPr="000171A8" w:rsidRDefault="00E2477B" w:rsidP="00AA7A7F">
            <w:pPr>
              <w:suppressAutoHyphens w:val="0"/>
              <w:jc w:val="left"/>
              <w:rPr>
                <w:rFonts w:eastAsia="Times New Roman" w:cs="Arial"/>
                <w:color w:val="000000"/>
                <w:lang w:eastAsia="it-CH"/>
              </w:rPr>
            </w:pPr>
            <w:r w:rsidRPr="000171A8">
              <w:rPr>
                <w:rFonts w:eastAsia="Times New Roman" w:cs="Arial"/>
                <w:color w:val="000000"/>
                <w:lang w:eastAsia="it-CH"/>
              </w:rPr>
              <w:t>Imposta sul reddito persone fisiche</w:t>
            </w:r>
          </w:p>
        </w:tc>
        <w:tc>
          <w:tcPr>
            <w:tcW w:w="1406" w:type="dxa"/>
            <w:tcBorders>
              <w:top w:val="nil"/>
              <w:left w:val="nil"/>
              <w:bottom w:val="single" w:sz="4" w:space="0" w:color="auto"/>
              <w:right w:val="single" w:sz="4" w:space="0" w:color="auto"/>
            </w:tcBorders>
            <w:shd w:val="clear" w:color="auto" w:fill="auto"/>
            <w:noWrap/>
            <w:vAlign w:val="bottom"/>
            <w:hideMark/>
          </w:tcPr>
          <w:p w14:paraId="1ADE7E15" w14:textId="77777777" w:rsidR="00E2477B" w:rsidRPr="000171A8" w:rsidRDefault="00E2477B" w:rsidP="00AA7A7F">
            <w:pPr>
              <w:suppressAutoHyphens w:val="0"/>
              <w:jc w:val="right"/>
              <w:rPr>
                <w:rFonts w:eastAsia="Times New Roman" w:cs="Arial"/>
                <w:color w:val="000000"/>
                <w:lang w:eastAsia="it-CH"/>
              </w:rPr>
            </w:pPr>
            <w:r w:rsidRPr="000171A8">
              <w:rPr>
                <w:rFonts w:eastAsia="Times New Roman" w:cs="Arial"/>
                <w:color w:val="000000"/>
                <w:lang w:eastAsia="it-CH"/>
              </w:rPr>
              <w:t>46.1</w:t>
            </w:r>
          </w:p>
        </w:tc>
        <w:tc>
          <w:tcPr>
            <w:tcW w:w="1322" w:type="dxa"/>
            <w:tcBorders>
              <w:top w:val="nil"/>
              <w:left w:val="nil"/>
              <w:bottom w:val="single" w:sz="4" w:space="0" w:color="auto"/>
              <w:right w:val="single" w:sz="4" w:space="0" w:color="auto"/>
            </w:tcBorders>
            <w:shd w:val="clear" w:color="auto" w:fill="auto"/>
            <w:noWrap/>
            <w:vAlign w:val="bottom"/>
            <w:hideMark/>
          </w:tcPr>
          <w:p w14:paraId="1ADE7E16" w14:textId="77777777" w:rsidR="00E2477B" w:rsidRPr="000171A8" w:rsidRDefault="00E2477B" w:rsidP="00AA7A7F">
            <w:pPr>
              <w:suppressAutoHyphens w:val="0"/>
              <w:jc w:val="right"/>
              <w:rPr>
                <w:rFonts w:eastAsia="Times New Roman" w:cs="Arial"/>
                <w:color w:val="000000"/>
                <w:lang w:eastAsia="it-CH"/>
              </w:rPr>
            </w:pPr>
            <w:r w:rsidRPr="000171A8">
              <w:rPr>
                <w:rFonts w:eastAsia="Times New Roman" w:cs="Arial"/>
                <w:color w:val="000000"/>
                <w:lang w:eastAsia="it-CH"/>
              </w:rPr>
              <w:t>36.9</w:t>
            </w:r>
          </w:p>
        </w:tc>
        <w:tc>
          <w:tcPr>
            <w:tcW w:w="1322" w:type="dxa"/>
            <w:tcBorders>
              <w:top w:val="nil"/>
              <w:left w:val="nil"/>
              <w:bottom w:val="single" w:sz="4" w:space="0" w:color="auto"/>
              <w:right w:val="single" w:sz="4" w:space="0" w:color="auto"/>
            </w:tcBorders>
            <w:vAlign w:val="bottom"/>
          </w:tcPr>
          <w:p w14:paraId="1ADE7E17" w14:textId="77777777" w:rsidR="00E2477B" w:rsidRPr="000171A8" w:rsidRDefault="00E2477B" w:rsidP="00AA7A7F">
            <w:pPr>
              <w:suppressAutoHyphens w:val="0"/>
              <w:jc w:val="right"/>
              <w:rPr>
                <w:rFonts w:eastAsia="Times New Roman" w:cs="Arial"/>
                <w:color w:val="000000"/>
                <w:lang w:eastAsia="it-CH"/>
              </w:rPr>
            </w:pPr>
            <w:r w:rsidRPr="000171A8">
              <w:rPr>
                <w:rFonts w:eastAsia="Times New Roman" w:cs="Arial"/>
                <w:color w:val="000000"/>
                <w:lang w:eastAsia="it-CH"/>
              </w:rPr>
              <w:t>83.0</w:t>
            </w:r>
          </w:p>
        </w:tc>
      </w:tr>
      <w:tr w:rsidR="00E2477B" w:rsidRPr="000171A8" w14:paraId="1ADE7E1D" w14:textId="77777777" w:rsidTr="00AA7A7F">
        <w:trPr>
          <w:trHeight w:val="300"/>
        </w:trPr>
        <w:tc>
          <w:tcPr>
            <w:tcW w:w="4424" w:type="dxa"/>
            <w:tcBorders>
              <w:top w:val="nil"/>
              <w:left w:val="single" w:sz="4" w:space="0" w:color="auto"/>
              <w:bottom w:val="single" w:sz="4" w:space="0" w:color="auto"/>
              <w:right w:val="single" w:sz="4" w:space="0" w:color="auto"/>
            </w:tcBorders>
            <w:shd w:val="clear" w:color="auto" w:fill="auto"/>
            <w:noWrap/>
            <w:vAlign w:val="bottom"/>
            <w:hideMark/>
          </w:tcPr>
          <w:p w14:paraId="1ADE7E19" w14:textId="77777777" w:rsidR="00E2477B" w:rsidRPr="000171A8" w:rsidRDefault="00E2477B" w:rsidP="00AA7A7F">
            <w:pPr>
              <w:suppressAutoHyphens w:val="0"/>
              <w:jc w:val="left"/>
              <w:rPr>
                <w:rFonts w:eastAsia="Times New Roman" w:cs="Arial"/>
                <w:color w:val="000000"/>
                <w:lang w:eastAsia="it-CH"/>
              </w:rPr>
            </w:pPr>
            <w:r w:rsidRPr="000171A8">
              <w:rPr>
                <w:rFonts w:eastAsia="Times New Roman" w:cs="Arial"/>
                <w:color w:val="000000"/>
                <w:lang w:eastAsia="it-CH"/>
              </w:rPr>
              <w:t>Imposta alla fonte</w:t>
            </w:r>
          </w:p>
        </w:tc>
        <w:tc>
          <w:tcPr>
            <w:tcW w:w="1406" w:type="dxa"/>
            <w:tcBorders>
              <w:top w:val="nil"/>
              <w:left w:val="nil"/>
              <w:bottom w:val="single" w:sz="4" w:space="0" w:color="auto"/>
              <w:right w:val="single" w:sz="4" w:space="0" w:color="auto"/>
            </w:tcBorders>
            <w:shd w:val="clear" w:color="auto" w:fill="auto"/>
            <w:noWrap/>
            <w:vAlign w:val="bottom"/>
            <w:hideMark/>
          </w:tcPr>
          <w:p w14:paraId="1ADE7E1A" w14:textId="77777777" w:rsidR="00E2477B" w:rsidRPr="000171A8" w:rsidRDefault="00E2477B" w:rsidP="00AA7A7F">
            <w:pPr>
              <w:suppressAutoHyphens w:val="0"/>
              <w:jc w:val="right"/>
              <w:rPr>
                <w:rFonts w:eastAsia="Times New Roman" w:cs="Arial"/>
                <w:color w:val="000000"/>
                <w:lang w:eastAsia="it-CH"/>
              </w:rPr>
            </w:pPr>
            <w:r w:rsidRPr="000171A8">
              <w:rPr>
                <w:rFonts w:eastAsia="Times New Roman" w:cs="Arial"/>
                <w:color w:val="000000"/>
                <w:lang w:eastAsia="it-CH"/>
              </w:rPr>
              <w:t>9.0</w:t>
            </w:r>
          </w:p>
        </w:tc>
        <w:tc>
          <w:tcPr>
            <w:tcW w:w="1322" w:type="dxa"/>
            <w:tcBorders>
              <w:top w:val="nil"/>
              <w:left w:val="nil"/>
              <w:bottom w:val="single" w:sz="4" w:space="0" w:color="auto"/>
              <w:right w:val="single" w:sz="4" w:space="0" w:color="auto"/>
            </w:tcBorders>
            <w:shd w:val="clear" w:color="auto" w:fill="auto"/>
            <w:noWrap/>
            <w:vAlign w:val="bottom"/>
            <w:hideMark/>
          </w:tcPr>
          <w:p w14:paraId="1ADE7E1B" w14:textId="77777777" w:rsidR="00E2477B" w:rsidRPr="000171A8" w:rsidRDefault="00E2477B" w:rsidP="00AA7A7F">
            <w:pPr>
              <w:suppressAutoHyphens w:val="0"/>
              <w:jc w:val="right"/>
              <w:rPr>
                <w:rFonts w:eastAsia="Times New Roman" w:cs="Arial"/>
                <w:color w:val="000000"/>
                <w:lang w:eastAsia="it-CH"/>
              </w:rPr>
            </w:pPr>
            <w:r w:rsidRPr="000171A8">
              <w:rPr>
                <w:rFonts w:eastAsia="Times New Roman" w:cs="Arial"/>
                <w:color w:val="000000"/>
                <w:lang w:eastAsia="it-CH"/>
              </w:rPr>
              <w:t>7.2</w:t>
            </w:r>
          </w:p>
        </w:tc>
        <w:tc>
          <w:tcPr>
            <w:tcW w:w="1322" w:type="dxa"/>
            <w:tcBorders>
              <w:top w:val="nil"/>
              <w:left w:val="nil"/>
              <w:bottom w:val="single" w:sz="4" w:space="0" w:color="auto"/>
              <w:right w:val="single" w:sz="4" w:space="0" w:color="auto"/>
            </w:tcBorders>
            <w:vAlign w:val="bottom"/>
          </w:tcPr>
          <w:p w14:paraId="1ADE7E1C" w14:textId="77777777" w:rsidR="00E2477B" w:rsidRPr="000171A8" w:rsidRDefault="00E2477B" w:rsidP="00AA7A7F">
            <w:pPr>
              <w:suppressAutoHyphens w:val="0"/>
              <w:jc w:val="right"/>
              <w:rPr>
                <w:rFonts w:eastAsia="Times New Roman" w:cs="Arial"/>
                <w:color w:val="000000"/>
                <w:lang w:eastAsia="it-CH"/>
              </w:rPr>
            </w:pPr>
            <w:r w:rsidRPr="000171A8">
              <w:rPr>
                <w:rFonts w:eastAsia="Times New Roman" w:cs="Arial"/>
                <w:color w:val="000000"/>
                <w:lang w:eastAsia="it-CH"/>
              </w:rPr>
              <w:t>16.2</w:t>
            </w:r>
          </w:p>
        </w:tc>
      </w:tr>
      <w:tr w:rsidR="00E2477B" w:rsidRPr="000171A8" w14:paraId="1ADE7E22" w14:textId="77777777" w:rsidTr="00AA7A7F">
        <w:trPr>
          <w:trHeight w:val="300"/>
        </w:trPr>
        <w:tc>
          <w:tcPr>
            <w:tcW w:w="4424" w:type="dxa"/>
            <w:tcBorders>
              <w:top w:val="nil"/>
              <w:left w:val="single" w:sz="4" w:space="0" w:color="auto"/>
              <w:bottom w:val="single" w:sz="4" w:space="0" w:color="auto"/>
              <w:right w:val="single" w:sz="4" w:space="0" w:color="auto"/>
            </w:tcBorders>
            <w:shd w:val="clear" w:color="auto" w:fill="auto"/>
            <w:noWrap/>
            <w:vAlign w:val="bottom"/>
            <w:hideMark/>
          </w:tcPr>
          <w:p w14:paraId="1ADE7E1E" w14:textId="77777777" w:rsidR="00E2477B" w:rsidRPr="000171A8" w:rsidRDefault="00E2477B" w:rsidP="00AA7A7F">
            <w:pPr>
              <w:suppressAutoHyphens w:val="0"/>
              <w:jc w:val="left"/>
              <w:rPr>
                <w:rFonts w:eastAsia="Times New Roman" w:cs="Arial"/>
                <w:b/>
                <w:bCs/>
                <w:color w:val="000000"/>
                <w:lang w:eastAsia="it-CH"/>
              </w:rPr>
            </w:pPr>
            <w:r w:rsidRPr="000171A8">
              <w:rPr>
                <w:rFonts w:eastAsia="Times New Roman" w:cs="Arial"/>
                <w:b/>
                <w:bCs/>
                <w:color w:val="000000"/>
                <w:lang w:eastAsia="it-CH"/>
              </w:rPr>
              <w:t>Totale</w:t>
            </w:r>
          </w:p>
        </w:tc>
        <w:tc>
          <w:tcPr>
            <w:tcW w:w="1406" w:type="dxa"/>
            <w:tcBorders>
              <w:top w:val="nil"/>
              <w:left w:val="nil"/>
              <w:bottom w:val="single" w:sz="4" w:space="0" w:color="auto"/>
              <w:right w:val="single" w:sz="4" w:space="0" w:color="auto"/>
            </w:tcBorders>
            <w:shd w:val="clear" w:color="auto" w:fill="auto"/>
            <w:noWrap/>
            <w:vAlign w:val="bottom"/>
            <w:hideMark/>
          </w:tcPr>
          <w:p w14:paraId="1ADE7E1F" w14:textId="77777777" w:rsidR="00E2477B" w:rsidRPr="000171A8" w:rsidRDefault="00E2477B" w:rsidP="00AA7A7F">
            <w:pPr>
              <w:suppressAutoHyphens w:val="0"/>
              <w:jc w:val="right"/>
              <w:rPr>
                <w:rFonts w:eastAsia="Times New Roman" w:cs="Arial"/>
                <w:b/>
                <w:bCs/>
                <w:color w:val="000000"/>
                <w:lang w:eastAsia="it-CH"/>
              </w:rPr>
            </w:pPr>
            <w:r w:rsidRPr="000171A8">
              <w:rPr>
                <w:rFonts w:eastAsia="Times New Roman" w:cs="Arial"/>
                <w:b/>
                <w:bCs/>
                <w:color w:val="000000"/>
                <w:lang w:eastAsia="it-CH"/>
              </w:rPr>
              <w:t>55.1</w:t>
            </w:r>
          </w:p>
        </w:tc>
        <w:tc>
          <w:tcPr>
            <w:tcW w:w="1322" w:type="dxa"/>
            <w:tcBorders>
              <w:top w:val="nil"/>
              <w:left w:val="nil"/>
              <w:bottom w:val="single" w:sz="4" w:space="0" w:color="auto"/>
              <w:right w:val="single" w:sz="4" w:space="0" w:color="auto"/>
            </w:tcBorders>
            <w:shd w:val="clear" w:color="auto" w:fill="auto"/>
            <w:noWrap/>
            <w:vAlign w:val="bottom"/>
            <w:hideMark/>
          </w:tcPr>
          <w:p w14:paraId="1ADE7E20" w14:textId="77777777" w:rsidR="00E2477B" w:rsidRPr="000171A8" w:rsidRDefault="00E2477B" w:rsidP="00AA7A7F">
            <w:pPr>
              <w:suppressAutoHyphens w:val="0"/>
              <w:jc w:val="right"/>
              <w:rPr>
                <w:rFonts w:eastAsia="Times New Roman" w:cs="Arial"/>
                <w:b/>
                <w:bCs/>
                <w:color w:val="000000"/>
                <w:lang w:eastAsia="it-CH"/>
              </w:rPr>
            </w:pPr>
            <w:r w:rsidRPr="000171A8">
              <w:rPr>
                <w:rFonts w:eastAsia="Times New Roman" w:cs="Arial"/>
                <w:b/>
                <w:bCs/>
                <w:color w:val="000000"/>
                <w:lang w:eastAsia="it-CH"/>
              </w:rPr>
              <w:t>44.1</w:t>
            </w:r>
          </w:p>
        </w:tc>
        <w:tc>
          <w:tcPr>
            <w:tcW w:w="1322" w:type="dxa"/>
            <w:tcBorders>
              <w:top w:val="nil"/>
              <w:left w:val="nil"/>
              <w:bottom w:val="single" w:sz="4" w:space="0" w:color="auto"/>
              <w:right w:val="single" w:sz="4" w:space="0" w:color="auto"/>
            </w:tcBorders>
            <w:vAlign w:val="bottom"/>
          </w:tcPr>
          <w:p w14:paraId="1ADE7E21" w14:textId="77777777" w:rsidR="00E2477B" w:rsidRPr="000171A8" w:rsidRDefault="00E2477B" w:rsidP="00AA7A7F">
            <w:pPr>
              <w:suppressAutoHyphens w:val="0"/>
              <w:jc w:val="right"/>
              <w:rPr>
                <w:rFonts w:eastAsia="Times New Roman" w:cs="Arial"/>
                <w:b/>
                <w:color w:val="000000"/>
                <w:lang w:eastAsia="it-CH"/>
              </w:rPr>
            </w:pPr>
            <w:r w:rsidRPr="000171A8">
              <w:rPr>
                <w:rFonts w:eastAsia="Times New Roman" w:cs="Arial"/>
                <w:b/>
                <w:color w:val="000000"/>
                <w:lang w:eastAsia="it-CH"/>
              </w:rPr>
              <w:t>99.2</w:t>
            </w:r>
          </w:p>
        </w:tc>
      </w:tr>
    </w:tbl>
    <w:p w14:paraId="1ADE7E23" w14:textId="77777777" w:rsidR="00E2477B" w:rsidRPr="000171A8" w:rsidRDefault="00E2477B" w:rsidP="00E2477B">
      <w:pPr>
        <w:suppressAutoHyphens w:val="0"/>
        <w:rPr>
          <w:rFonts w:cs="Arial"/>
          <w:lang w:eastAsia="it-CH"/>
        </w:rPr>
      </w:pPr>
    </w:p>
    <w:p w14:paraId="1ADE7E24" w14:textId="77777777" w:rsidR="00E2477B" w:rsidRPr="000171A8" w:rsidRDefault="00E2477B" w:rsidP="00E2477B">
      <w:pPr>
        <w:rPr>
          <w:rFonts w:cs="Arial"/>
        </w:rPr>
      </w:pPr>
      <w:r w:rsidRPr="000171A8">
        <w:rPr>
          <w:rFonts w:cs="Arial"/>
        </w:rPr>
        <w:t>Segnaliamo che questa quantificazione potrebbe risultare sottostimata in quanto – basandosi sui dati fiscali 2020 - non considera l’evoluzione dei premi di cassa malati che vi è stata dal 2020 ad oggi. Considerato che i premi di cassa malati nel periodo intercorso sono aumentati in media di circa il 30%, è lecito supporre che il num</w:t>
      </w:r>
      <w:r w:rsidRPr="00DB2EE6">
        <w:rPr>
          <w:rFonts w:cs="Arial"/>
        </w:rPr>
        <w:t>ero di contribuenti che nel 2026</w:t>
      </w:r>
      <w:r w:rsidRPr="000171A8">
        <w:rPr>
          <w:rFonts w:cs="Arial"/>
        </w:rPr>
        <w:t xml:space="preserve"> e negli anni a seguire faranno valere la deduzione massima sarà superiore rispetto ai dati accertati 2020. </w:t>
      </w:r>
    </w:p>
    <w:p w14:paraId="1ADE7E25" w14:textId="77777777" w:rsidR="00E2477B" w:rsidRPr="000171A8" w:rsidRDefault="00E2477B" w:rsidP="00E2477B">
      <w:pPr>
        <w:rPr>
          <w:rFonts w:cs="Arial"/>
        </w:rPr>
      </w:pPr>
    </w:p>
    <w:p w14:paraId="1ADE7E26" w14:textId="77777777" w:rsidR="00E2477B" w:rsidRPr="000171A8" w:rsidRDefault="00E2477B" w:rsidP="00E2477B">
      <w:pPr>
        <w:rPr>
          <w:rFonts w:cs="Arial"/>
        </w:rPr>
      </w:pPr>
      <w:r w:rsidRPr="000171A8">
        <w:rPr>
          <w:rFonts w:cs="Arial"/>
        </w:rPr>
        <w:t>Oltre a ciò, va altresì rilevato che l’aumento dei premi si ripercuote anche sul costo delle deduzioni di quei contribuenti che oggi non raggiungono gli importi massimi deducibili. Questo impatto non è considerato nella simulazione finanziaria.</w:t>
      </w:r>
    </w:p>
    <w:p w14:paraId="1ADE7E27" w14:textId="77777777" w:rsidR="00562C70" w:rsidRDefault="00562C70" w:rsidP="00562C70"/>
    <w:p w14:paraId="1ADE7E28" w14:textId="77777777" w:rsidR="00355BB0" w:rsidRDefault="00355BB0" w:rsidP="00562C70"/>
    <w:p w14:paraId="159BB0C0" w14:textId="0693CAC1" w:rsidR="00EB78BA" w:rsidRDefault="00EB78BA" w:rsidP="00355BB0">
      <w:pPr>
        <w:pStyle w:val="Titolo1"/>
        <w:numPr>
          <w:ilvl w:val="0"/>
          <w:numId w:val="23"/>
        </w:numPr>
        <w:spacing w:before="0" w:after="0"/>
        <w:ind w:left="426" w:hanging="426"/>
        <w:rPr>
          <w:bCs/>
        </w:rPr>
      </w:pPr>
      <w:r w:rsidRPr="00EB78BA">
        <w:rPr>
          <w:bCs/>
        </w:rPr>
        <w:t>L’IMPEGNO DEL CANTONE TICINO PER IL CONTENIMENTO DEI COSTI E IL SOSTEGNO AI CITTADINI</w:t>
      </w:r>
    </w:p>
    <w:p w14:paraId="69E774FC" w14:textId="77777777" w:rsidR="00EB78BA" w:rsidRPr="008F2DCE" w:rsidRDefault="00EB78BA" w:rsidP="00EB78BA">
      <w:pPr>
        <w:spacing w:before="100" w:beforeAutospacing="1" w:after="100" w:afterAutospacing="1"/>
        <w:rPr>
          <w:rFonts w:eastAsia="Times New Roman" w:cs="Arial"/>
          <w:lang w:eastAsia="it-CH"/>
        </w:rPr>
      </w:pPr>
      <w:r w:rsidRPr="008F2DCE">
        <w:rPr>
          <w:rFonts w:eastAsia="Times New Roman" w:cs="Arial"/>
          <w:lang w:eastAsia="it-CH"/>
        </w:rPr>
        <w:t xml:space="preserve">L’aumento costante dei premi di cassa malati rappresenta una delle principali fonti di preoccupazione per la popolazione, soprattutto in un Cantone come il Ticino, dove l’onere sulle economie domestiche risulta particolarmente gravoso. Tuttavia, i premi costituiscono solo l’aspetto finale e visibile di un problema ben più profondo: </w:t>
      </w:r>
      <w:r>
        <w:rPr>
          <w:rFonts w:eastAsia="Times New Roman" w:cs="Arial"/>
          <w:lang w:eastAsia="it-CH"/>
        </w:rPr>
        <w:t xml:space="preserve">salari mediani in Ticino molto più bassi rispetto alla mediana nazionale, in concomitanza con </w:t>
      </w:r>
      <w:r w:rsidRPr="008F2DCE">
        <w:rPr>
          <w:rFonts w:eastAsia="Times New Roman" w:cs="Arial"/>
          <w:lang w:eastAsia="it-CH"/>
        </w:rPr>
        <w:t>la continua crescita dei costi della salute. È su questo fronte che occorre intervenire con decisione, promuovendo misure efficaci e sostenibili.</w:t>
      </w:r>
    </w:p>
    <w:p w14:paraId="6F7FDBFC" w14:textId="77777777" w:rsidR="00EB78BA" w:rsidRDefault="00EB78BA" w:rsidP="00EB78BA">
      <w:pPr>
        <w:spacing w:before="100" w:beforeAutospacing="1" w:after="100" w:afterAutospacing="1"/>
        <w:rPr>
          <w:rFonts w:eastAsia="Times New Roman" w:cs="Arial"/>
          <w:lang w:eastAsia="it-CH"/>
        </w:rPr>
      </w:pPr>
      <w:r w:rsidRPr="008F2DCE">
        <w:rPr>
          <w:rFonts w:eastAsia="Times New Roman" w:cs="Arial"/>
          <w:lang w:eastAsia="it-CH"/>
        </w:rPr>
        <w:t>In questo contesto, il Cantone Ticino ha saputo assumersi le proprie responsabilità, agendo con tempestività e determinazione entro i limiti fissati dal diritto federale e utilizzando i ristretti margini d’azione disponibili. Si è distinto per l’adozione di interventi regolatori concreti</w:t>
      </w:r>
      <w:r>
        <w:rPr>
          <w:rFonts w:eastAsia="Times New Roman" w:cs="Arial"/>
          <w:lang w:eastAsia="it-CH"/>
        </w:rPr>
        <w:t xml:space="preserve">, incisivi </w:t>
      </w:r>
      <w:r w:rsidRPr="008F2DCE">
        <w:rPr>
          <w:rFonts w:eastAsia="Times New Roman" w:cs="Arial"/>
          <w:lang w:eastAsia="it-CH"/>
        </w:rPr>
        <w:t>e innovativi</w:t>
      </w:r>
      <w:r>
        <w:rPr>
          <w:rFonts w:eastAsia="Times New Roman" w:cs="Arial"/>
          <w:lang w:eastAsia="it-CH"/>
        </w:rPr>
        <w:t>.</w:t>
      </w:r>
    </w:p>
    <w:p w14:paraId="172736BB" w14:textId="77777777" w:rsidR="00EB78BA" w:rsidRPr="008F2DCE" w:rsidRDefault="00EB78BA" w:rsidP="00EB78BA">
      <w:pPr>
        <w:spacing w:before="100" w:beforeAutospacing="1" w:after="100" w:afterAutospacing="1"/>
        <w:rPr>
          <w:rFonts w:eastAsia="Times New Roman" w:cs="Arial"/>
          <w:lang w:eastAsia="it-CH"/>
        </w:rPr>
      </w:pPr>
      <w:r>
        <w:rPr>
          <w:rFonts w:eastAsia="Times New Roman" w:cs="Arial"/>
          <w:lang w:eastAsia="it-CH"/>
        </w:rPr>
        <w:t>Sul fronte del sostegno ai cittadini il nostro Cantone si distingue sia per un sostegno diretto attraverso sussidi RIPAM che superano ad oggi l’importo lordo di oltre 400 milioni di franchi (valore a preventivo 2025: 426 milioni di franchi) sia attraverso delle deduzioni fiscali legate ai premi di cassa malati che hanno un impatto sul gettito fiscale di oltre 100 milioni di franchi per il Cantone e di oltre 80 milioni di franchi per i Comuni</w:t>
      </w:r>
      <w:r w:rsidRPr="008F2DCE">
        <w:rPr>
          <w:rFonts w:eastAsia="Times New Roman" w:cs="Arial"/>
          <w:lang w:eastAsia="it-CH"/>
        </w:rPr>
        <w:t>.</w:t>
      </w:r>
      <w:r>
        <w:rPr>
          <w:rFonts w:eastAsia="Times New Roman" w:cs="Arial"/>
          <w:lang w:eastAsia="it-CH"/>
        </w:rPr>
        <w:t xml:space="preserve"> In ambedue questi ambiti d’intervento il Canton Ticino risulta fra i cantoni che dedicano maggiori risorse.</w:t>
      </w:r>
    </w:p>
    <w:p w14:paraId="566B51DD" w14:textId="77777777" w:rsidR="00EB78BA" w:rsidRPr="008F2DCE" w:rsidRDefault="00EB78BA" w:rsidP="00EB78BA">
      <w:pPr>
        <w:spacing w:before="100" w:beforeAutospacing="1" w:after="100" w:afterAutospacing="1"/>
        <w:rPr>
          <w:rFonts w:eastAsia="Times New Roman" w:cs="Arial"/>
          <w:lang w:eastAsia="it-CH"/>
        </w:rPr>
      </w:pPr>
      <w:r>
        <w:rPr>
          <w:rFonts w:eastAsia="Times New Roman" w:cs="Arial"/>
          <w:lang w:eastAsia="it-CH"/>
        </w:rPr>
        <w:t>Sul fronte dei costi, n</w:t>
      </w:r>
      <w:r w:rsidRPr="008F2DCE">
        <w:rPr>
          <w:rFonts w:eastAsia="Times New Roman" w:cs="Arial"/>
          <w:lang w:eastAsia="it-CH"/>
        </w:rPr>
        <w:t xml:space="preserve">el contesto della politica sanitaria cantonale, sono state introdotte misure differenziate per contenere la crescita della spesa. </w:t>
      </w:r>
      <w:r>
        <w:rPr>
          <w:rFonts w:eastAsia="Times New Roman" w:cs="Arial"/>
          <w:lang w:eastAsia="it-CH"/>
        </w:rPr>
        <w:t>Nel settore</w:t>
      </w:r>
      <w:r w:rsidRPr="008F2DCE">
        <w:rPr>
          <w:rFonts w:eastAsia="Times New Roman" w:cs="Arial"/>
          <w:lang w:eastAsia="it-CH"/>
        </w:rPr>
        <w:t xml:space="preserve"> ambulatoriale, è stata decisa la riduzione del valore del punto </w:t>
      </w:r>
      <w:proofErr w:type="spellStart"/>
      <w:r w:rsidRPr="008F2DCE">
        <w:rPr>
          <w:rFonts w:eastAsia="Times New Roman" w:cs="Arial"/>
          <w:lang w:eastAsia="it-CH"/>
        </w:rPr>
        <w:t>TarMed</w:t>
      </w:r>
      <w:proofErr w:type="spellEnd"/>
      <w:r w:rsidRPr="008F2DCE">
        <w:rPr>
          <w:rFonts w:eastAsia="Times New Roman" w:cs="Arial"/>
          <w:lang w:eastAsia="it-CH"/>
        </w:rPr>
        <w:t xml:space="preserve"> applicato ai medici, misura tuttora</w:t>
      </w:r>
      <w:r>
        <w:rPr>
          <w:rFonts w:eastAsia="Times New Roman" w:cs="Arial"/>
          <w:lang w:eastAsia="it-CH"/>
        </w:rPr>
        <w:t xml:space="preserve"> oggetto di un ricorso pendente. </w:t>
      </w:r>
      <w:r w:rsidRPr="008F2DCE">
        <w:rPr>
          <w:rFonts w:eastAsia="Times New Roman" w:cs="Arial"/>
          <w:lang w:eastAsia="it-CH"/>
        </w:rPr>
        <w:t>Per contro, la spesa ospedaliera nel settore stazionario risulta nel complesso sotto controllo, grazie all’efficacia del contributo globale: uno strumento di finanziamento che ha permesso di contenere gli aumenti e garantire una gestione più prevedibile e sostenibile dei costi.</w:t>
      </w:r>
    </w:p>
    <w:p w14:paraId="6E307262" w14:textId="77777777" w:rsidR="00EB78BA" w:rsidRPr="008F2DCE" w:rsidRDefault="00EB78BA" w:rsidP="00EB78BA">
      <w:pPr>
        <w:spacing w:before="100" w:beforeAutospacing="1" w:after="100" w:afterAutospacing="1"/>
        <w:rPr>
          <w:rFonts w:eastAsia="Times New Roman" w:cs="Arial"/>
          <w:lang w:eastAsia="it-CH"/>
        </w:rPr>
      </w:pPr>
      <w:r w:rsidRPr="008F2DCE">
        <w:rPr>
          <w:rFonts w:eastAsia="Times New Roman" w:cs="Arial"/>
          <w:lang w:eastAsia="it-CH"/>
        </w:rPr>
        <w:lastRenderedPageBreak/>
        <w:t>Tra gli interventi principali figura la sospensione del rilascio di nuove autorizzazioni a praticare a carico dell’assicurazione obbligatoria delle cure medico-sanitarie (</w:t>
      </w:r>
      <w:proofErr w:type="spellStart"/>
      <w:r w:rsidRPr="008F2DCE">
        <w:rPr>
          <w:rFonts w:eastAsia="Times New Roman" w:cs="Arial"/>
          <w:lang w:eastAsia="it-CH"/>
        </w:rPr>
        <w:t>LAMal</w:t>
      </w:r>
      <w:proofErr w:type="spellEnd"/>
      <w:r w:rsidRPr="008F2DCE">
        <w:rPr>
          <w:rFonts w:eastAsia="Times New Roman" w:cs="Arial"/>
          <w:lang w:eastAsia="it-CH"/>
        </w:rPr>
        <w:t>) in una decina di specialità mediche. Con il decreto legislativo del 21 giugno 2023 sulla determinazione di numeri massimi di medici nel settore ambulatoriale e il relativo regolamento del 18 ottobre 2023, il Ticino si è collocato tra i Cantoni più restrittivi a livello nazionale. In vista della scadenza della fase transitoria, prevista per la fine di giugno 2025, il Consiglio di Stato ha recentemente licenziato un Messaggio volto a consolidare la base legale esistente e a rinnovare la delega al Governo per l’applicazion</w:t>
      </w:r>
      <w:r>
        <w:rPr>
          <w:rFonts w:eastAsia="Times New Roman" w:cs="Arial"/>
          <w:lang w:eastAsia="it-CH"/>
        </w:rPr>
        <w:t>e del regime dei numeri massimi, all’ordine del giorno della Sessione di Gran Consiglio del 19 maggio 2025.</w:t>
      </w:r>
    </w:p>
    <w:p w14:paraId="53A11768" w14:textId="77777777" w:rsidR="00EB78BA" w:rsidRPr="008F2DCE" w:rsidRDefault="00EB78BA" w:rsidP="00EB78BA">
      <w:pPr>
        <w:spacing w:before="100" w:beforeAutospacing="1" w:after="100" w:afterAutospacing="1"/>
        <w:rPr>
          <w:rFonts w:eastAsia="Times New Roman" w:cs="Arial"/>
          <w:lang w:eastAsia="it-CH"/>
        </w:rPr>
      </w:pPr>
      <w:r w:rsidRPr="008F2DCE">
        <w:rPr>
          <w:rFonts w:eastAsia="Times New Roman" w:cs="Arial"/>
          <w:lang w:eastAsia="it-CH"/>
        </w:rPr>
        <w:t>Il Cantone è stato inoltre il primo in Svizzera ad attuare una moratoria per il rilascio di nuove autorizzazioni a infermiere e infermieri indipendenti, nonché alle organizzazioni attive nelle cure a domicilio. Tale misura, entrata in vigore il 1° dicembre 2024, è stata resa possibile grazie alla modifica della Legge cantonale sull’assicurazione malattia (</w:t>
      </w:r>
      <w:proofErr w:type="spellStart"/>
      <w:r w:rsidRPr="008F2DCE">
        <w:rPr>
          <w:rFonts w:eastAsia="Times New Roman" w:cs="Arial"/>
          <w:lang w:eastAsia="it-CH"/>
        </w:rPr>
        <w:t>LCAMal</w:t>
      </w:r>
      <w:proofErr w:type="spellEnd"/>
      <w:r w:rsidRPr="008F2DCE">
        <w:rPr>
          <w:rFonts w:eastAsia="Times New Roman" w:cs="Arial"/>
          <w:lang w:eastAsia="it-CH"/>
        </w:rPr>
        <w:t>), approvata dal Gran Consiglio il 17 settembre 2024.</w:t>
      </w:r>
    </w:p>
    <w:p w14:paraId="660BC9B8" w14:textId="77777777" w:rsidR="00EB78BA" w:rsidRDefault="00EB78BA" w:rsidP="00EB78BA">
      <w:pPr>
        <w:spacing w:before="100" w:beforeAutospacing="1" w:after="100" w:afterAutospacing="1"/>
        <w:rPr>
          <w:rFonts w:eastAsia="Times New Roman" w:cs="Arial"/>
          <w:lang w:eastAsia="it-CH"/>
        </w:rPr>
      </w:pPr>
      <w:r w:rsidRPr="008F2DCE">
        <w:rPr>
          <w:rFonts w:eastAsia="Times New Roman" w:cs="Arial"/>
          <w:lang w:eastAsia="it-CH"/>
        </w:rPr>
        <w:t>In una prospettiva di pianificazione strategica di lungo periodo, merita infine menzione l’introduzione – nell’ambito della nuova pianificazione ospedaliera – di quote di mercato e numeri minimi relativi all’attribuzione dei gruppi di prestazioni nel settore stazionario. Questo orientamento è stato formalizzato nel Messaggio del 22 marzo 2023 sugli indirizzi strategici della pianificazione ospedaliera, approvato dal Gran Consiglio il 12 dicembre dello stesso anno.</w:t>
      </w:r>
    </w:p>
    <w:p w14:paraId="6FC88A83" w14:textId="6D4688FC" w:rsidR="00EB78BA" w:rsidRDefault="00EB78BA" w:rsidP="00274B83">
      <w:r>
        <w:rPr>
          <w:rFonts w:eastAsia="Times New Roman" w:cs="Arial"/>
          <w:lang w:eastAsia="it-CH"/>
        </w:rPr>
        <w:t>Ribadito che l</w:t>
      </w:r>
      <w:r w:rsidRPr="00035CFF">
        <w:rPr>
          <w:rFonts w:eastAsia="Times New Roman" w:cs="Arial"/>
          <w:lang w:eastAsia="it-CH"/>
        </w:rPr>
        <w:t>a Legge federale sull’assicurazione malattie (</w:t>
      </w:r>
      <w:proofErr w:type="spellStart"/>
      <w:r w:rsidRPr="00035CFF">
        <w:rPr>
          <w:rFonts w:eastAsia="Times New Roman" w:cs="Arial"/>
          <w:lang w:eastAsia="it-CH"/>
        </w:rPr>
        <w:t>LAMal</w:t>
      </w:r>
      <w:proofErr w:type="spellEnd"/>
      <w:r w:rsidRPr="00035CFF">
        <w:rPr>
          <w:rFonts w:eastAsia="Times New Roman" w:cs="Arial"/>
          <w:lang w:eastAsia="it-CH"/>
        </w:rPr>
        <w:t>) è di competenza della Confederazione e, pertanto, le riforme strutturali e di principio del sistema sanitario devono necessariamente essere discusse e attuate a livello federale</w:t>
      </w:r>
      <w:r>
        <w:rPr>
          <w:rFonts w:eastAsia="Times New Roman" w:cs="Arial"/>
          <w:lang w:eastAsia="it-CH"/>
        </w:rPr>
        <w:t>, e che n</w:t>
      </w:r>
      <w:r w:rsidRPr="00035CFF">
        <w:rPr>
          <w:rFonts w:eastAsia="Times New Roman" w:cs="Arial"/>
          <w:lang w:eastAsia="it-CH"/>
        </w:rPr>
        <w:t>onostante questo vincolo, il Ticino ha dimostrato fermezza e prontezza, adottando misure incisive per contenere i costi e salvaguardare l’equilibrio del sistema, nel rispetto delle competenze cantonali</w:t>
      </w:r>
      <w:r>
        <w:rPr>
          <w:rFonts w:eastAsia="Times New Roman" w:cs="Arial"/>
          <w:lang w:eastAsia="it-CH"/>
        </w:rPr>
        <w:t>, è intenzione del Consiglio di Stato valutare possibili ulteriori misure per contenere i costi sanitari e di riflesso i premi di cassa malati</w:t>
      </w:r>
      <w:r w:rsidRPr="00035CFF">
        <w:rPr>
          <w:rFonts w:eastAsia="Times New Roman" w:cs="Arial"/>
          <w:lang w:eastAsia="it-CH"/>
        </w:rPr>
        <w:t>.</w:t>
      </w:r>
    </w:p>
    <w:p w14:paraId="110AEE53" w14:textId="0AF68186" w:rsidR="00EB78BA" w:rsidRDefault="00EB78BA" w:rsidP="00274B83"/>
    <w:p w14:paraId="2DD3B5DE" w14:textId="77777777" w:rsidR="00367C65" w:rsidRPr="00274B83" w:rsidRDefault="00367C65" w:rsidP="00274B83"/>
    <w:p w14:paraId="1ADE7E29" w14:textId="0B45F383" w:rsidR="00E2477B" w:rsidRDefault="00B91247" w:rsidP="00355BB0">
      <w:pPr>
        <w:pStyle w:val="Titolo1"/>
        <w:numPr>
          <w:ilvl w:val="0"/>
          <w:numId w:val="23"/>
        </w:numPr>
        <w:spacing w:before="0" w:after="0"/>
        <w:ind w:left="426" w:hanging="426"/>
      </w:pPr>
      <w:r>
        <w:t>CONCLUSIONI</w:t>
      </w:r>
    </w:p>
    <w:p w14:paraId="1ADE7E2A" w14:textId="77777777" w:rsidR="00E2477B" w:rsidRDefault="00E2477B" w:rsidP="00562C70"/>
    <w:p w14:paraId="1ADE7E2B" w14:textId="77777777" w:rsidR="00E2477B" w:rsidRDefault="00E2477B" w:rsidP="00E2477B">
      <w:pPr>
        <w:ind w:right="29"/>
        <w:rPr>
          <w:rFonts w:eastAsia="Times New Roman" w:cs="Arial"/>
          <w:lang w:eastAsia="it-CH"/>
        </w:rPr>
      </w:pPr>
      <w:r w:rsidRPr="000171A8">
        <w:rPr>
          <w:rFonts w:eastAsia="Times New Roman" w:cs="Arial"/>
          <w:lang w:eastAsia="it-CH"/>
        </w:rPr>
        <w:t>In conclusione, il Consiglio di Stato ritiene che l’impatto finanziario dell’iniziativa (pari a circa il 6% del gettito dell’imposta sul reddito) attualmente non sia sostenibile per gli enti pubblici (Cantone e Comuni) e che l’aumento della deduzione fiscale potrebbe indurre gli assicurati a rinunciare a scegliere dei modelli assicurativi dal costo contenuto (es: modello medico di famiglia, franchigia elevata, ecc..). Inoltre, il Ticino è già il Cantone con le deduzioni più elevate a livello svizzero e nel 2023 è stata introdotta anche la deduzione agg</w:t>
      </w:r>
      <w:r w:rsidR="00366601">
        <w:rPr>
          <w:rFonts w:eastAsia="Times New Roman" w:cs="Arial"/>
          <w:lang w:eastAsia="it-CH"/>
        </w:rPr>
        <w:t xml:space="preserve">iuntiva di </w:t>
      </w:r>
      <w:r w:rsidRPr="000171A8">
        <w:rPr>
          <w:rFonts w:eastAsia="Times New Roman" w:cs="Arial"/>
          <w:lang w:eastAsia="it-CH"/>
        </w:rPr>
        <w:t>1</w:t>
      </w:r>
      <w:r w:rsidR="00366601">
        <w:rPr>
          <w:rFonts w:eastAsia="Times New Roman" w:cs="Arial"/>
          <w:lang w:eastAsia="it-CH"/>
        </w:rPr>
        <w:t>'</w:t>
      </w:r>
      <w:r w:rsidRPr="000171A8">
        <w:rPr>
          <w:rFonts w:eastAsia="Times New Roman" w:cs="Arial"/>
          <w:lang w:eastAsia="it-CH"/>
        </w:rPr>
        <w:t>200</w:t>
      </w:r>
      <w:r w:rsidR="00366601">
        <w:rPr>
          <w:rFonts w:eastAsia="Times New Roman" w:cs="Arial"/>
          <w:lang w:eastAsia="it-CH"/>
        </w:rPr>
        <w:t xml:space="preserve"> franchi</w:t>
      </w:r>
      <w:r w:rsidRPr="000171A8">
        <w:rPr>
          <w:rFonts w:eastAsia="Times New Roman" w:cs="Arial"/>
          <w:lang w:eastAsia="it-CH"/>
        </w:rPr>
        <w:t xml:space="preserve"> per ogni figlio a carico.</w:t>
      </w:r>
      <w:r w:rsidRPr="000171A8">
        <w:rPr>
          <w:sz w:val="22"/>
          <w:szCs w:val="22"/>
        </w:rPr>
        <w:t xml:space="preserve"> </w:t>
      </w:r>
      <w:r w:rsidRPr="000171A8">
        <w:rPr>
          <w:rFonts w:eastAsia="Times New Roman" w:cs="Arial"/>
          <w:lang w:eastAsia="it-CH"/>
        </w:rPr>
        <w:t xml:space="preserve">A trarre maggior beneficio dalla nuova deduzione sarebbero in particolare i contribuenti con redditi alti e a beneficiare dell’aumento degli importi deducibili sarebbero anche i contribuenti assoggettati alla fonte. </w:t>
      </w:r>
    </w:p>
    <w:p w14:paraId="1ADE7E2C" w14:textId="77777777" w:rsidR="000048C6" w:rsidRDefault="000048C6" w:rsidP="000048C6">
      <w:pPr>
        <w:ind w:right="29"/>
        <w:rPr>
          <w:rFonts w:eastAsia="Times New Roman" w:cs="Arial"/>
          <w:lang w:eastAsia="it-CH"/>
        </w:rPr>
      </w:pPr>
    </w:p>
    <w:p w14:paraId="1ADE7E2D" w14:textId="77777777" w:rsidR="000048C6" w:rsidRPr="000048C6" w:rsidRDefault="000048C6" w:rsidP="000048C6">
      <w:pPr>
        <w:ind w:right="29"/>
        <w:rPr>
          <w:rFonts w:eastAsia="Times New Roman" w:cs="Arial"/>
          <w:lang w:eastAsia="it-CH"/>
        </w:rPr>
      </w:pPr>
      <w:r w:rsidRPr="00766A55">
        <w:rPr>
          <w:rFonts w:eastAsia="Times New Roman" w:cs="Arial"/>
          <w:lang w:eastAsia="it-CH"/>
        </w:rPr>
        <w:t xml:space="preserve">In parallelo, desta preoccupazione l'impatto finanziario della riforma federale EFAS, inizialmente stimato dalla Confederazione a 15 milioni di franchi per l'anno 2028, ma che potrebbe in realtà aggirarsi sui 115 milioni di franchi e, a tendere, essere compreso tra i 190 e i 240 milioni di franchi nel 2032, senza la garanzia di un corrispondente alleggerimento dei premi. Questo rappresenta un ulteriore elemento di incertezza, </w:t>
      </w:r>
      <w:r w:rsidRPr="00766A55">
        <w:rPr>
          <w:rFonts w:eastAsia="Times New Roman" w:cs="Arial"/>
          <w:lang w:eastAsia="it-CH"/>
        </w:rPr>
        <w:lastRenderedPageBreak/>
        <w:t>aggravato da possibili trasferimenti di oneri dalla Confederazione ai Cantoni (stimati per il nostro Cantone in 40 milioni di franchi annui) e da un contesto economico internazionale instabile che potrebbe avere un'incidenza negativa sui gettiti fiscali.</w:t>
      </w:r>
    </w:p>
    <w:p w14:paraId="1ADE7E2E" w14:textId="77777777" w:rsidR="004133FA" w:rsidRDefault="004133FA" w:rsidP="00E2477B">
      <w:pPr>
        <w:ind w:right="29"/>
        <w:rPr>
          <w:rFonts w:eastAsia="Times New Roman" w:cs="Arial"/>
          <w:lang w:eastAsia="it-CH"/>
        </w:rPr>
      </w:pPr>
    </w:p>
    <w:p w14:paraId="1ADE7E2F" w14:textId="77777777" w:rsidR="004133FA" w:rsidRPr="000171A8" w:rsidRDefault="004133FA" w:rsidP="00E2477B">
      <w:pPr>
        <w:ind w:right="29"/>
        <w:rPr>
          <w:rFonts w:eastAsia="Times New Roman" w:cs="Arial"/>
          <w:lang w:eastAsia="it-CH"/>
        </w:rPr>
      </w:pPr>
      <w:r w:rsidRPr="00AB47A0">
        <w:rPr>
          <w:rFonts w:eastAsia="Times New Roman" w:cs="Arial"/>
          <w:lang w:eastAsia="it-CH"/>
        </w:rPr>
        <w:t xml:space="preserve">In base agli attuali dati finanziari l’impatto della presente iniziativa, senza un’adeguata copertura finanziaria, comporterebbe un mancato rispetto dell’articolo </w:t>
      </w:r>
      <w:r w:rsidR="002F0E52" w:rsidRPr="00AB47A0">
        <w:rPr>
          <w:rFonts w:eastAsia="Times New Roman" w:cs="Arial"/>
          <w:lang w:eastAsia="it-CH"/>
        </w:rPr>
        <w:t xml:space="preserve">costituzionale del freno al disavanzo. Ricordiamo inoltre che a livello federale </w:t>
      </w:r>
      <w:r w:rsidR="002F0E52" w:rsidRPr="00D41839">
        <w:rPr>
          <w:rFonts w:eastAsia="Times New Roman" w:cs="Arial"/>
          <w:lang w:eastAsia="it-CH"/>
        </w:rPr>
        <w:t xml:space="preserve">è stata depositata in data </w:t>
      </w:r>
      <w:r w:rsidR="00355BB0">
        <w:rPr>
          <w:rFonts w:eastAsia="Times New Roman" w:cs="Arial"/>
          <w:lang w:eastAsia="it-CH"/>
        </w:rPr>
        <w:br/>
      </w:r>
      <w:r w:rsidR="002F0E52" w:rsidRPr="00D41839">
        <w:rPr>
          <w:rFonts w:eastAsia="Times New Roman" w:cs="Arial"/>
          <w:lang w:eastAsia="it-CH"/>
        </w:rPr>
        <w:t>21</w:t>
      </w:r>
      <w:r w:rsidR="00355BB0">
        <w:rPr>
          <w:rFonts w:eastAsia="Times New Roman" w:cs="Arial"/>
          <w:lang w:eastAsia="it-CH"/>
        </w:rPr>
        <w:t xml:space="preserve"> febbraio </w:t>
      </w:r>
      <w:r w:rsidR="002F0E52" w:rsidRPr="00D41839">
        <w:rPr>
          <w:rFonts w:eastAsia="Times New Roman" w:cs="Arial"/>
          <w:lang w:eastAsia="it-CH"/>
        </w:rPr>
        <w:t>2025</w:t>
      </w:r>
      <w:r w:rsidR="002F0E52" w:rsidRPr="00AB47A0">
        <w:rPr>
          <w:rFonts w:eastAsia="Times New Roman" w:cs="Arial"/>
          <w:lang w:eastAsia="it-CH"/>
        </w:rPr>
        <w:t xml:space="preserve"> una mozione</w:t>
      </w:r>
      <w:r w:rsidR="002F0E52">
        <w:rPr>
          <w:rFonts w:eastAsia="Times New Roman" w:cs="Arial"/>
          <w:lang w:eastAsia="it-CH"/>
        </w:rPr>
        <w:t xml:space="preserve"> analoga ai contenuti dell’iniziativa e il Consiglio </w:t>
      </w:r>
      <w:r w:rsidR="008003FF">
        <w:rPr>
          <w:rFonts w:eastAsia="Times New Roman" w:cs="Arial"/>
          <w:lang w:eastAsia="it-CH"/>
        </w:rPr>
        <w:t>f</w:t>
      </w:r>
      <w:r w:rsidR="002F0E52">
        <w:rPr>
          <w:rFonts w:eastAsia="Times New Roman" w:cs="Arial"/>
          <w:lang w:eastAsia="it-CH"/>
        </w:rPr>
        <w:t>ederale ha proposto di respingerla in quanto “</w:t>
      </w:r>
      <w:r w:rsidR="002F0E52" w:rsidRPr="002F0E52">
        <w:rPr>
          <w:rFonts w:eastAsia="Times New Roman" w:cs="Arial"/>
          <w:i/>
          <w:lang w:eastAsia="it-CH"/>
        </w:rPr>
        <w:t>prevedere misure in ambito fiscale, segnatamente deduzioni dei premi dell’assicurazione malattie, non è un metodo adeguato per contrastare efficacemente le sempre più elevate spese sanitarie e i consistenti premi delle assicurazioni malattie che ne derivano</w:t>
      </w:r>
      <w:r w:rsidR="002F0E52">
        <w:rPr>
          <w:rFonts w:eastAsia="Times New Roman" w:cs="Arial"/>
          <w:lang w:eastAsia="it-CH"/>
        </w:rPr>
        <w:t>”.</w:t>
      </w:r>
    </w:p>
    <w:p w14:paraId="1ADE7E30" w14:textId="77777777" w:rsidR="00E2477B" w:rsidRPr="000171A8" w:rsidRDefault="00E2477B" w:rsidP="00E2477B">
      <w:pPr>
        <w:ind w:right="29"/>
        <w:rPr>
          <w:rFonts w:eastAsia="Times New Roman" w:cs="Arial"/>
          <w:lang w:eastAsia="it-CH"/>
        </w:rPr>
      </w:pPr>
    </w:p>
    <w:p w14:paraId="1ADE7E31" w14:textId="0C559074" w:rsidR="00E2477B" w:rsidRDefault="00E2477B" w:rsidP="00E2477B">
      <w:pPr>
        <w:ind w:right="29"/>
        <w:rPr>
          <w:rFonts w:cs="Arial"/>
        </w:rPr>
      </w:pPr>
      <w:r>
        <w:rPr>
          <w:rFonts w:eastAsia="Times New Roman" w:cs="Arial"/>
          <w:lang w:eastAsia="it-CH"/>
        </w:rPr>
        <w:t>A fronte di quanto precede e considerato l</w:t>
      </w:r>
      <w:r w:rsidRPr="00DB2EE6">
        <w:rPr>
          <w:rFonts w:eastAsia="Times New Roman" w:cs="Arial"/>
          <w:lang w:eastAsia="it-CH"/>
        </w:rPr>
        <w:t>’attuale con</w:t>
      </w:r>
      <w:r>
        <w:rPr>
          <w:rFonts w:eastAsia="Times New Roman" w:cs="Arial"/>
          <w:lang w:eastAsia="it-CH"/>
        </w:rPr>
        <w:t xml:space="preserve">testo d’incertezze finanziarie - </w:t>
      </w:r>
      <w:r>
        <w:rPr>
          <w:rFonts w:cs="Arial"/>
        </w:rPr>
        <w:t>già segnato dalla recente approvazione d</w:t>
      </w:r>
      <w:r w:rsidR="00B15355">
        <w:rPr>
          <w:rFonts w:cs="Arial"/>
        </w:rPr>
        <w:t>ella riforma per il finanziamento uniforme delle cure (EFAS) e che</w:t>
      </w:r>
      <w:r>
        <w:rPr>
          <w:rFonts w:cs="Arial"/>
        </w:rPr>
        <w:t xml:space="preserve"> potrebbe risultare in futuro ancora più fragile nel caso in cui </w:t>
      </w:r>
      <w:r w:rsidR="00B15355">
        <w:rPr>
          <w:rFonts w:cs="Arial"/>
        </w:rPr>
        <w:t xml:space="preserve">il popolo dovesse approvare </w:t>
      </w:r>
      <w:r>
        <w:rPr>
          <w:rFonts w:cs="Arial"/>
        </w:rPr>
        <w:t xml:space="preserve">la riforma federale volta ad abolire il valore locativo - </w:t>
      </w:r>
      <w:r w:rsidRPr="00DB2EE6">
        <w:rPr>
          <w:rFonts w:cs="Arial"/>
        </w:rPr>
        <w:t xml:space="preserve">il Consiglio di Stato </w:t>
      </w:r>
      <w:r w:rsidR="00864C48">
        <w:rPr>
          <w:rFonts w:cs="Arial"/>
        </w:rPr>
        <w:t>raccomanda al</w:t>
      </w:r>
      <w:r>
        <w:rPr>
          <w:rFonts w:cs="Arial"/>
        </w:rPr>
        <w:t xml:space="preserve"> Gran </w:t>
      </w:r>
      <w:r w:rsidR="00C32820">
        <w:rPr>
          <w:rFonts w:cs="Arial"/>
        </w:rPr>
        <w:t>C</w:t>
      </w:r>
      <w:bookmarkStart w:id="0" w:name="_GoBack"/>
      <w:bookmarkEnd w:id="0"/>
      <w:r>
        <w:rPr>
          <w:rFonts w:cs="Arial"/>
        </w:rPr>
        <w:t xml:space="preserve">onsiglio </w:t>
      </w:r>
      <w:r w:rsidR="00864C48">
        <w:rPr>
          <w:rFonts w:cs="Arial"/>
        </w:rPr>
        <w:t xml:space="preserve">di </w:t>
      </w:r>
      <w:r w:rsidR="00E07FF4">
        <w:rPr>
          <w:rFonts w:cs="Arial"/>
        </w:rPr>
        <w:t>non dar seguito all</w:t>
      </w:r>
      <w:r w:rsidRPr="00DB2EE6">
        <w:rPr>
          <w:rFonts w:cs="Arial"/>
        </w:rPr>
        <w:t>’iniziativa.</w:t>
      </w:r>
    </w:p>
    <w:p w14:paraId="1ADE7E32" w14:textId="77777777" w:rsidR="00562C70" w:rsidRDefault="00562C70" w:rsidP="00562C70"/>
    <w:p w14:paraId="1ADE7E33" w14:textId="7487523C" w:rsidR="00562C70" w:rsidRPr="006F2A27" w:rsidRDefault="00562C70" w:rsidP="00562C70">
      <w:r w:rsidRPr="006F2A27">
        <w:t>Vogliate gradire, signor</w:t>
      </w:r>
      <w:r w:rsidR="008347F9">
        <w:t xml:space="preserve"> </w:t>
      </w:r>
      <w:r w:rsidRPr="006F2A27">
        <w:t xml:space="preserve">Presidente, signore </w:t>
      </w:r>
      <w:r w:rsidR="00367C65">
        <w:t xml:space="preserve">deputate </w:t>
      </w:r>
      <w:r w:rsidRPr="006F2A27">
        <w:t xml:space="preserve">e signori </w:t>
      </w:r>
      <w:r>
        <w:t>d</w:t>
      </w:r>
      <w:r w:rsidRPr="006F2A27">
        <w:t>eputati, l’espressione della nostra massima stima.</w:t>
      </w:r>
    </w:p>
    <w:p w14:paraId="1ADE7E34" w14:textId="77777777" w:rsidR="00562C70" w:rsidRPr="006F2A27" w:rsidRDefault="00562C70" w:rsidP="00562C70"/>
    <w:p w14:paraId="1ADE7E35" w14:textId="77777777" w:rsidR="00562C70" w:rsidRPr="006F2A27" w:rsidRDefault="00562C70" w:rsidP="00562C70"/>
    <w:p w14:paraId="1ADE7E36" w14:textId="77777777" w:rsidR="00562C70" w:rsidRPr="006F2A27" w:rsidRDefault="00562C70" w:rsidP="00562C70">
      <w:r w:rsidRPr="006F2A27">
        <w:t>Per il Consiglio di Stato</w:t>
      </w:r>
    </w:p>
    <w:p w14:paraId="1ADE7E37" w14:textId="77777777" w:rsidR="00562C70" w:rsidRPr="006F2A27" w:rsidRDefault="00562C70" w:rsidP="00562C70"/>
    <w:p w14:paraId="1ADE7E38" w14:textId="77777777" w:rsidR="00562C70" w:rsidRPr="006F2A27" w:rsidRDefault="00562C70" w:rsidP="00562C70">
      <w:r w:rsidRPr="006F2A27">
        <w:t xml:space="preserve">Il Presidente: </w:t>
      </w:r>
      <w:r w:rsidR="008347F9">
        <w:t>Norman Gobbi</w:t>
      </w:r>
    </w:p>
    <w:p w14:paraId="1ADE7E39" w14:textId="77777777" w:rsidR="00562C70" w:rsidRDefault="00562C70" w:rsidP="00562C70">
      <w:r w:rsidRPr="006F2A27">
        <w:t xml:space="preserve">Il Cancelliere: </w:t>
      </w:r>
      <w:r w:rsidR="008347F9">
        <w:t>Arnoldo Coduri</w:t>
      </w:r>
    </w:p>
    <w:p w14:paraId="1ADE7E3B" w14:textId="77777777" w:rsidR="00562C70" w:rsidRPr="00562C70" w:rsidRDefault="00562C70" w:rsidP="00367C65">
      <w:pPr>
        <w:pStyle w:val="StandardRisoluzionedelConsigliodiStato"/>
      </w:pPr>
    </w:p>
    <w:sectPr w:rsidR="00562C70" w:rsidRPr="00562C70" w:rsidSect="00AA7A7F">
      <w:headerReference w:type="even" r:id="rId17"/>
      <w:headerReference w:type="default" r:id="rId18"/>
      <w:footerReference w:type="even" r:id="rId19"/>
      <w:footerReference w:type="default" r:id="rId20"/>
      <w:headerReference w:type="first" r:id="rId21"/>
      <w:footerReference w:type="first" r:id="rId22"/>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DE7E42" w14:textId="77777777" w:rsidR="006C22CA" w:rsidRDefault="006C22CA" w:rsidP="00F657BF">
      <w:r>
        <w:separator/>
      </w:r>
    </w:p>
  </w:endnote>
  <w:endnote w:type="continuationSeparator" w:id="0">
    <w:p w14:paraId="1ADE7E43" w14:textId="77777777" w:rsidR="006C22CA" w:rsidRDefault="006C22CA"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8B4711" w14:textId="77777777" w:rsidR="00367C65" w:rsidRDefault="00367C6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AA7A7F" w:rsidRPr="003D1008" w14:paraId="1ADE7E50" w14:textId="77777777" w:rsidTr="00AA7A7F">
      <w:trPr>
        <w:trHeight w:hRule="exact" w:val="737"/>
      </w:trPr>
      <w:tc>
        <w:tcPr>
          <w:tcW w:w="4695" w:type="dxa"/>
        </w:tcPr>
        <w:p w14:paraId="1ADE7E4C" w14:textId="77777777" w:rsidR="00AA7A7F" w:rsidRPr="003D1008" w:rsidRDefault="00AA7A7F" w:rsidP="00AA7A7F">
          <w:pPr>
            <w:tabs>
              <w:tab w:val="center" w:pos="2382"/>
            </w:tabs>
          </w:pPr>
        </w:p>
      </w:tc>
      <w:tc>
        <w:tcPr>
          <w:tcW w:w="721" w:type="dxa"/>
        </w:tcPr>
        <w:p w14:paraId="1ADE7E4D" w14:textId="77777777" w:rsidR="00AA7A7F" w:rsidRPr="003D1008" w:rsidRDefault="00AA7A7F" w:rsidP="00AA7A7F">
          <w:pPr>
            <w:jc w:val="center"/>
          </w:pPr>
          <w:r w:rsidRPr="003D1008">
            <w:rPr>
              <w:noProof/>
              <w:lang w:eastAsia="it-CH"/>
            </w:rPr>
            <w:drawing>
              <wp:anchor distT="0" distB="0" distL="114300" distR="114300" simplePos="0" relativeHeight="251669504" behindDoc="0" locked="1" layoutInCell="1" allowOverlap="1" wp14:anchorId="1ADE7E6D" wp14:editId="1ADE7E6E">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1ADE7E4E" w14:textId="77777777" w:rsidR="00AA7A7F" w:rsidRPr="003D1008" w:rsidRDefault="00AA7A7F" w:rsidP="00AA7A7F">
          <w:pPr>
            <w:jc w:val="center"/>
          </w:pPr>
          <w:r w:rsidRPr="003D1008">
            <w:rPr>
              <w:noProof/>
              <w:lang w:eastAsia="it-CH"/>
            </w:rPr>
            <w:drawing>
              <wp:anchor distT="0" distB="0" distL="114300" distR="114300" simplePos="0" relativeHeight="251670528" behindDoc="0" locked="1" layoutInCell="1" allowOverlap="1" wp14:anchorId="1ADE7E6F" wp14:editId="1ADE7E70">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1ADE7E4F" w14:textId="77777777" w:rsidR="00AA7A7F" w:rsidRPr="003D1008" w:rsidRDefault="00AA7A7F" w:rsidP="00AA7A7F"/>
      </w:tc>
    </w:tr>
  </w:tbl>
  <w:p w14:paraId="1ADE7E51" w14:textId="77777777" w:rsidR="00AA7A7F" w:rsidRDefault="00AA7A7F" w:rsidP="00AA7A7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E7E69" w14:textId="77777777" w:rsidR="00AA7A7F" w:rsidRDefault="00AA7A7F">
    <w:pPr>
      <w:pStyle w:val="Pidipagina"/>
      <w:jc w:val="center"/>
    </w:pPr>
  </w:p>
  <w:p w14:paraId="1ADE7E6A" w14:textId="77777777" w:rsidR="00AA7A7F" w:rsidRPr="008C6C46" w:rsidRDefault="00AA7A7F" w:rsidP="00AA7A7F">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DE7E40" w14:textId="77777777" w:rsidR="006C22CA" w:rsidRDefault="006C22CA" w:rsidP="00F657BF">
      <w:r>
        <w:separator/>
      </w:r>
    </w:p>
  </w:footnote>
  <w:footnote w:type="continuationSeparator" w:id="0">
    <w:p w14:paraId="1ADE7E41" w14:textId="77777777" w:rsidR="006C22CA" w:rsidRDefault="006C22CA" w:rsidP="00F657BF">
      <w:r>
        <w:continuationSeparator/>
      </w:r>
    </w:p>
  </w:footnote>
  <w:footnote w:id="1">
    <w:p w14:paraId="1ADE7E77" w14:textId="77777777" w:rsidR="00B15355" w:rsidRPr="008003FF" w:rsidRDefault="00B15355" w:rsidP="00B15355">
      <w:pPr>
        <w:pStyle w:val="Testonotaapidipagina"/>
        <w:spacing w:after="0"/>
        <w:rPr>
          <w:rFonts w:cstheme="minorHAnsi"/>
          <w:sz w:val="20"/>
          <w:lang w:val="it-CH"/>
        </w:rPr>
      </w:pPr>
      <w:r w:rsidRPr="00B15355">
        <w:rPr>
          <w:rStyle w:val="Rimandonotaapidipagina"/>
          <w:rFonts w:cstheme="minorHAnsi"/>
          <w:sz w:val="20"/>
        </w:rPr>
        <w:footnoteRef/>
      </w:r>
      <w:r w:rsidRPr="008003FF">
        <w:rPr>
          <w:rFonts w:cstheme="minorHAnsi"/>
          <w:sz w:val="20"/>
          <w:lang w:val="it-CH"/>
        </w:rPr>
        <w:t xml:space="preserve"> La </w:t>
      </w:r>
      <w:r w:rsidRPr="00B15355">
        <w:rPr>
          <w:rFonts w:cstheme="minorHAnsi"/>
          <w:sz w:val="20"/>
          <w:lang w:val="it-IT"/>
        </w:rPr>
        <w:t xml:space="preserve">stratificazione considera sia i contribuenti attivi professionalmente (i cui importi massimi deducibili ammontavano nel 2020 a 5'200 franchi per le persone sole, rispettivamente 10'500 franchi per i coniugati), sia i contribuenti pensionati </w:t>
      </w:r>
      <w:r>
        <w:rPr>
          <w:rFonts w:cstheme="minorHAnsi"/>
          <w:sz w:val="20"/>
          <w:lang w:val="it-IT"/>
        </w:rPr>
        <w:t>(</w:t>
      </w:r>
      <w:r w:rsidRPr="00B15355">
        <w:rPr>
          <w:rFonts w:cstheme="minorHAnsi"/>
          <w:sz w:val="20"/>
          <w:lang w:val="it-IT"/>
        </w:rPr>
        <w:t>che possono dedurre degli importi maggiorati che nel 2020 ammontavano a 7'400 franchi per le persone sole, rispettivamente 14'800 per i coniugati).</w:t>
      </w:r>
      <w:r w:rsidRPr="00B15355">
        <w:rPr>
          <w:rFonts w:cstheme="minorHAnsi"/>
          <w:sz w:val="20"/>
          <w:lang w:val="it-CH"/>
        </w:rPr>
        <w:t xml:space="preserve"> </w:t>
      </w:r>
      <w:r>
        <w:rPr>
          <w:rFonts w:cstheme="minorHAnsi"/>
          <w:sz w:val="20"/>
          <w:lang w:val="it-CH"/>
        </w:rPr>
        <w:t>G</w:t>
      </w:r>
      <w:r w:rsidRPr="00B15355">
        <w:rPr>
          <w:rFonts w:cstheme="minorHAnsi"/>
          <w:sz w:val="20"/>
          <w:lang w:val="it-CH"/>
        </w:rPr>
        <w:t>li importi elevati della deduzione media nelle fasce di reddito basse sono da ricondurre principalmente alle casistiche dei contribuenti al beneficio della prestazione complementare AVS, ai quali – anche in presenza di sussidi RIPAM – viene concesso in deduzione il premio lordo di cassa malati.</w:t>
      </w:r>
    </w:p>
  </w:footnote>
  <w:footnote w:id="2">
    <w:p w14:paraId="1ADE7E78" w14:textId="77777777" w:rsidR="00170453" w:rsidRPr="00355BB0" w:rsidRDefault="00170453" w:rsidP="00355BB0">
      <w:pPr>
        <w:pStyle w:val="Testonotaapidipagina"/>
        <w:spacing w:after="120"/>
        <w:rPr>
          <w:rFonts w:cstheme="minorHAnsi"/>
          <w:sz w:val="20"/>
          <w:lang w:val="it-CH"/>
        </w:rPr>
      </w:pPr>
      <w:r w:rsidRPr="00B15355">
        <w:rPr>
          <w:rStyle w:val="Rimandonotaapidipagina"/>
          <w:rFonts w:cstheme="minorHAnsi"/>
          <w:sz w:val="20"/>
        </w:rPr>
        <w:footnoteRef/>
      </w:r>
      <w:r w:rsidRPr="008003FF">
        <w:rPr>
          <w:rFonts w:cstheme="minorHAnsi"/>
          <w:sz w:val="20"/>
          <w:lang w:val="it-CH"/>
        </w:rPr>
        <w:t xml:space="preserve"> Si </w:t>
      </w:r>
      <w:r w:rsidRPr="00B15355">
        <w:rPr>
          <w:rFonts w:cstheme="minorHAnsi"/>
          <w:sz w:val="20"/>
          <w:lang w:val="it-IT"/>
        </w:rPr>
        <w:t>segnala che la medesima metodologia di stima è stata utilizzata anche dalla Confederazione nell’ambito del Messaggio concernente la modifica della legge federale sull’imposta federale diretta (</w:t>
      </w:r>
      <w:r w:rsidRPr="00B15355">
        <w:rPr>
          <w:rFonts w:cstheme="minorHAnsi"/>
          <w:i/>
          <w:sz w:val="20"/>
          <w:lang w:val="it-IT"/>
        </w:rPr>
        <w:t>Aumento delle deduzioni per i premi assicurativi e gli interessi dei capitali a risparmio</w:t>
      </w:r>
      <w:r w:rsidRPr="00B15355">
        <w:rPr>
          <w:rFonts w:cstheme="minorHAnsi"/>
          <w:sz w:val="20"/>
          <w:lang w:val="it-IT"/>
        </w:rPr>
        <w:t>) del 22 giugno 2022 (vedi</w:t>
      </w:r>
      <w:r w:rsidRPr="008003FF">
        <w:rPr>
          <w:rFonts w:cstheme="minorHAnsi"/>
          <w:sz w:val="20"/>
          <w:lang w:val="it-CH"/>
        </w:rPr>
        <w:t xml:space="preserve"> </w:t>
      </w:r>
      <w:hyperlink r:id="rId1" w:history="1">
        <w:r w:rsidRPr="00B15355">
          <w:rPr>
            <w:rStyle w:val="Collegamentoipertestuale"/>
            <w:rFonts w:cstheme="minorHAnsi"/>
            <w:sz w:val="20"/>
            <w:lang w:val="it-CH"/>
          </w:rPr>
          <w:t>https://www.fedlex.admin.ch/eli/fga/2022/1722/it</w:t>
        </w:r>
      </w:hyperlink>
      <w:r w:rsidRPr="00355BB0">
        <w:rPr>
          <w:rStyle w:val="Collegamentoipertestuale"/>
          <w:rFonts w:cstheme="minorHAnsi"/>
          <w:color w:val="auto"/>
          <w:sz w:val="20"/>
          <w:u w:val="none"/>
          <w:lang w:val="it-CH"/>
        </w:rPr>
        <w:t>)</w:t>
      </w:r>
      <w:r w:rsidR="00B15355" w:rsidRPr="00355BB0">
        <w:rPr>
          <w:rStyle w:val="Collegamentoipertestuale"/>
          <w:rFonts w:cstheme="minorHAnsi"/>
          <w:color w:val="auto"/>
          <w:sz w:val="20"/>
          <w:u w:val="none"/>
          <w:lang w:val="it-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1F07F" w14:textId="77777777" w:rsidR="00367C65" w:rsidRDefault="00367C6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AA7A7F" w:rsidRPr="002747E7" w14:paraId="1ADE7E47" w14:textId="77777777" w:rsidTr="00AA7A7F">
      <w:trPr>
        <w:trHeight w:val="562"/>
      </w:trPr>
      <w:tc>
        <w:tcPr>
          <w:tcW w:w="8383" w:type="dxa"/>
          <w:tcBorders>
            <w:left w:val="single" w:sz="4" w:space="0" w:color="auto"/>
            <w:bottom w:val="single" w:sz="4" w:space="0" w:color="auto"/>
          </w:tcBorders>
          <w:tcMar>
            <w:left w:w="142" w:type="dxa"/>
          </w:tcMar>
          <w:vAlign w:val="bottom"/>
        </w:tcPr>
        <w:p w14:paraId="1ADE7E44" w14:textId="77777777" w:rsidR="00AA7A7F" w:rsidRDefault="00215396" w:rsidP="00AA7A7F">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184C525C-BF4B-4349-B759-8405D755A2B6}"/>
              <w:text w:multiLine="1"/>
            </w:sdtPr>
            <w:sdtEndPr/>
            <w:sdtContent>
              <w:r w:rsidR="00AA7A7F">
                <w:rPr>
                  <w:rFonts w:ascii="Gill Alt One MT Light" w:hAnsi="Gill Alt One MT Light"/>
                  <w:sz w:val="16"/>
                  <w:szCs w:val="16"/>
                </w:rPr>
                <w:t>Repubblica e Cantone Ticino</w:t>
              </w:r>
            </w:sdtContent>
          </w:sdt>
        </w:p>
        <w:p w14:paraId="1ADE7E45" w14:textId="77777777" w:rsidR="00AA7A7F" w:rsidRPr="00E8185F" w:rsidRDefault="00215396" w:rsidP="00AA7A7F">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184C525C-BF4B-4349-B759-8405D755A2B6}"/>
              <w:text w:multiLine="1"/>
            </w:sdtPr>
            <w:sdtEndPr/>
            <w:sdtContent>
              <w:r w:rsidR="00AA7A7F">
                <w:rPr>
                  <w:rFonts w:ascii="Gill Alt One MT Light" w:hAnsi="Gill Alt One MT Light"/>
                  <w:sz w:val="16"/>
                  <w:szCs w:val="16"/>
                </w:rPr>
                <w:t>Consiglio di Stato</w:t>
              </w:r>
            </w:sdtContent>
          </w:sdt>
        </w:p>
      </w:tc>
      <w:tc>
        <w:tcPr>
          <w:tcW w:w="1710" w:type="dxa"/>
          <w:tcBorders>
            <w:bottom w:val="single" w:sz="4" w:space="0" w:color="auto"/>
          </w:tcBorders>
          <w:vAlign w:val="bottom"/>
        </w:tcPr>
        <w:p w14:paraId="1ADE7E46" w14:textId="01F53BFD" w:rsidR="00AA7A7F" w:rsidRPr="004204CB" w:rsidRDefault="00AA7A7F" w:rsidP="00AA7A7F">
          <w:pPr>
            <w:pStyle w:val="Page"/>
            <w:jc w:val="right"/>
          </w:pPr>
          <w:r w:rsidRPr="004204CB">
            <w:fldChar w:fldCharType="begin"/>
          </w:r>
          <w:r w:rsidRPr="004204CB">
            <w:instrText xml:space="preserve"> PAGE   \* MERGEFORMAT </w:instrText>
          </w:r>
          <w:r w:rsidRPr="004204CB">
            <w:fldChar w:fldCharType="separate"/>
          </w:r>
          <w:r w:rsidR="00C32820">
            <w:rPr>
              <w:noProof/>
            </w:rPr>
            <w:t>7</w:t>
          </w:r>
          <w:r w:rsidRPr="004204CB">
            <w:fldChar w:fldCharType="end"/>
          </w:r>
          <w:r w:rsidRPr="004204CB">
            <w:t xml:space="preserve"> di </w:t>
          </w:r>
          <w:fldSimple w:instr=" NUMPAGES   \* MERGEFORMAT ">
            <w:r w:rsidR="00C32820">
              <w:rPr>
                <w:noProof/>
              </w:rPr>
              <w:t>7</w:t>
            </w:r>
          </w:fldSimple>
        </w:p>
      </w:tc>
    </w:tr>
    <w:tr w:rsidR="00AA7A7F" w:rsidRPr="009E444B" w14:paraId="1ADE7E4A" w14:textId="77777777" w:rsidTr="00AA7A7F">
      <w:trPr>
        <w:trHeight w:val="334"/>
      </w:trPr>
      <w:sdt>
        <w:sdtPr>
          <w:rPr>
            <w:rFonts w:ascii="Gill Sans Display MT Pro BdCn" w:hAnsi="Gill Sans Display MT Pro BdCn"/>
            <w:sz w:val="18"/>
            <w:szCs w:val="18"/>
          </w:rPr>
          <w:alias w:val="CustomElements.Fields.Titolo2"/>
          <w:id w:val="48588533"/>
          <w:dataBinding w:xpath="//Text[@id='CustomElements.Fields.Titolo2']" w:storeItemID="{184C525C-BF4B-4349-B759-8405D755A2B6}"/>
          <w:text w:multiLine="1"/>
        </w:sdtPr>
        <w:sdtEndPr/>
        <w:sdtContent>
          <w:tc>
            <w:tcPr>
              <w:tcW w:w="8383" w:type="dxa"/>
              <w:tcBorders>
                <w:left w:val="single" w:sz="4" w:space="0" w:color="auto"/>
              </w:tcBorders>
              <w:tcMar>
                <w:top w:w="0" w:type="dxa"/>
                <w:left w:w="142" w:type="dxa"/>
              </w:tcMar>
            </w:tcPr>
            <w:p w14:paraId="1ADE7E48" w14:textId="3FFB7B22" w:rsidR="00AA7A7F" w:rsidRPr="00E8185F" w:rsidRDefault="00367C65" w:rsidP="00AA7A7F">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8573 del 14 maggio 2025</w:t>
              </w:r>
            </w:p>
          </w:tc>
        </w:sdtContent>
      </w:sdt>
      <w:tc>
        <w:tcPr>
          <w:tcW w:w="1710" w:type="dxa"/>
          <w:tcBorders>
            <w:top w:val="single" w:sz="4" w:space="0" w:color="auto"/>
          </w:tcBorders>
        </w:tcPr>
        <w:p w14:paraId="1ADE7E49" w14:textId="77777777" w:rsidR="00AA7A7F" w:rsidRPr="00E043A3" w:rsidRDefault="00AA7A7F" w:rsidP="00AA7A7F">
          <w:pPr>
            <w:pStyle w:val="InvisibleLine"/>
            <w:rPr>
              <w:lang w:val="de-DE"/>
            </w:rPr>
          </w:pPr>
        </w:p>
      </w:tc>
    </w:tr>
  </w:tbl>
  <w:p w14:paraId="1ADE7E4B" w14:textId="77777777" w:rsidR="00AA7A7F" w:rsidRPr="00980362" w:rsidRDefault="00AA7A7F" w:rsidP="00AA7A7F">
    <w:pPr>
      <w:pStyle w:val="Intestazione"/>
    </w:pPr>
    <w:r>
      <w:rPr>
        <w:noProof/>
        <w:lang w:val="it-CH" w:eastAsia="it-CH"/>
      </w:rPr>
      <mc:AlternateContent>
        <mc:Choice Requires="wps">
          <w:drawing>
            <wp:anchor distT="0" distB="0" distL="114300" distR="114300" simplePos="0" relativeHeight="251665408" behindDoc="1" locked="1" layoutInCell="1" allowOverlap="1" wp14:anchorId="1ADE7E6B" wp14:editId="1ADE7E6C">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184C525C-BF4B-4349-B759-8405D755A2B6}"/>
                            <w:text w:multiLine="1"/>
                          </w:sdtPr>
                          <w:sdtEndPr/>
                          <w:sdtContent>
                            <w:p w14:paraId="1ADE7E79" w14:textId="77777777" w:rsidR="00AA7A7F" w:rsidRPr="00411371" w:rsidRDefault="00AA7A7F" w:rsidP="00AA7A7F">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DE7E6B"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717D34D4-D0B2-4AFF-886B-6FB5CDF31819}"/>
                      <w:text w:multiLine="1"/>
                    </w:sdtPr>
                    <w:sdtEndPr/>
                    <w:sdtContent>
                      <w:p w14:paraId="1ADE7E79" w14:textId="77777777" w:rsidR="00AA7A7F" w:rsidRPr="00411371" w:rsidRDefault="00AA7A7F" w:rsidP="00AA7A7F">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AA7A7F" w:rsidRPr="0004624C" w14:paraId="1ADE7E58" w14:textId="77777777" w:rsidTr="00AA7A7F">
      <w:trPr>
        <w:trHeight w:hRule="exact" w:val="584"/>
      </w:trPr>
      <w:tc>
        <w:tcPr>
          <w:tcW w:w="2440" w:type="pct"/>
          <w:gridSpan w:val="3"/>
          <w:tcBorders>
            <w:top w:val="nil"/>
            <w:left w:val="nil"/>
            <w:bottom w:val="single" w:sz="4" w:space="0" w:color="auto"/>
          </w:tcBorders>
        </w:tcPr>
        <w:p w14:paraId="1ADE7E52" w14:textId="77777777" w:rsidR="00AA7A7F" w:rsidRDefault="00AA7A7F" w:rsidP="00AA7A7F">
          <w:pPr>
            <w:pStyle w:val="InvisibleLine"/>
            <w:spacing w:line="240" w:lineRule="auto"/>
            <w:ind w:left="15"/>
            <w:rPr>
              <w:rFonts w:ascii="Gill Alt One MT Light" w:hAnsi="Gill Alt One MT Light"/>
              <w:sz w:val="16"/>
              <w:lang w:val="it-CH"/>
            </w:rPr>
          </w:pPr>
        </w:p>
        <w:p w14:paraId="1ADE7E53" w14:textId="77777777" w:rsidR="00AA7A7F" w:rsidRDefault="00AA7A7F" w:rsidP="00AA7A7F">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1ADE7E54" w14:textId="77777777" w:rsidR="00AA7A7F" w:rsidRPr="008966E7" w:rsidRDefault="00AA7A7F" w:rsidP="00AA7A7F">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1ADE7E55" w14:textId="77777777" w:rsidR="00AA7A7F" w:rsidRPr="003108C0" w:rsidRDefault="00AA7A7F" w:rsidP="00AA7A7F">
          <w:pPr>
            <w:pStyle w:val="Level"/>
            <w:ind w:left="150"/>
            <w:rPr>
              <w:sz w:val="16"/>
            </w:rPr>
          </w:pPr>
        </w:p>
      </w:tc>
      <w:tc>
        <w:tcPr>
          <w:tcW w:w="209" w:type="pct"/>
          <w:tcBorders>
            <w:top w:val="nil"/>
            <w:bottom w:val="single" w:sz="4" w:space="0" w:color="auto"/>
          </w:tcBorders>
        </w:tcPr>
        <w:p w14:paraId="1ADE7E56" w14:textId="77777777" w:rsidR="00AA7A7F" w:rsidRDefault="00AA7A7F" w:rsidP="00AA7A7F">
          <w:pPr>
            <w:pStyle w:val="InvisibleLine"/>
            <w:ind w:left="150"/>
          </w:pPr>
          <w:r>
            <w:rPr>
              <w:noProof/>
              <w:lang w:val="it-CH" w:eastAsia="it-CH"/>
            </w:rPr>
            <w:drawing>
              <wp:anchor distT="0" distB="0" distL="114300" distR="114300" simplePos="0" relativeHeight="251667456" behindDoc="1" locked="1" layoutInCell="1" allowOverlap="1" wp14:anchorId="1ADE7E71" wp14:editId="1ADE7E72">
                <wp:simplePos x="0" y="0"/>
                <wp:positionH relativeFrom="column">
                  <wp:posOffset>-92710</wp:posOffset>
                </wp:positionH>
                <wp:positionV relativeFrom="page">
                  <wp:posOffset>-119380</wp:posOffset>
                </wp:positionV>
                <wp:extent cx="276653" cy="467995"/>
                <wp:effectExtent l="0" t="0" r="0" b="8255"/>
                <wp:wrapNone/>
                <wp:docPr id="6" name="ooImg_1019547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1ADE7E57" w14:textId="448980E6" w:rsidR="00AA7A7F" w:rsidRPr="004204CB" w:rsidRDefault="00AA7A7F" w:rsidP="00AA7A7F">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C32820">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C32820">
            <w:rPr>
              <w:rFonts w:asciiTheme="minorHAnsi" w:hAnsiTheme="minorHAnsi" w:cstheme="minorHAnsi"/>
              <w:noProof/>
              <w:sz w:val="24"/>
            </w:rPr>
            <w:t>7</w:t>
          </w:r>
          <w:r w:rsidRPr="004204CB">
            <w:rPr>
              <w:rFonts w:asciiTheme="minorHAnsi" w:hAnsiTheme="minorHAnsi" w:cstheme="minorHAnsi"/>
              <w:noProof/>
              <w:sz w:val="24"/>
            </w:rPr>
            <w:fldChar w:fldCharType="end"/>
          </w:r>
        </w:p>
      </w:tc>
    </w:tr>
    <w:tr w:rsidR="00AA7A7F" w:rsidRPr="0004624C" w14:paraId="1ADE7E5A" w14:textId="77777777" w:rsidTr="00AA7A7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184C525C-BF4B-4349-B759-8405D755A2B6}"/>
          <w:text w:multiLine="1"/>
        </w:sdtPr>
        <w:sdtEndPr/>
        <w:sdtContent>
          <w:tc>
            <w:tcPr>
              <w:tcW w:w="5000" w:type="pct"/>
              <w:gridSpan w:val="6"/>
              <w:tcBorders>
                <w:left w:val="nil"/>
                <w:right w:val="nil"/>
              </w:tcBorders>
              <w:noWrap/>
              <w:tcMar>
                <w:top w:w="0" w:type="dxa"/>
              </w:tcMar>
              <w:vAlign w:val="bottom"/>
            </w:tcPr>
            <w:p w14:paraId="1ADE7E59" w14:textId="77777777" w:rsidR="00AA7A7F" w:rsidRPr="008C03B5" w:rsidRDefault="00AA7A7F" w:rsidP="00AA7A7F">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AA7A7F" w:rsidRPr="0004624C" w14:paraId="1ADE7E61" w14:textId="77777777" w:rsidTr="00AA7A7F">
      <w:trPr>
        <w:trHeight w:hRule="exact" w:val="306"/>
      </w:trPr>
      <w:tc>
        <w:tcPr>
          <w:tcW w:w="670" w:type="pct"/>
          <w:tcBorders>
            <w:left w:val="nil"/>
            <w:bottom w:val="nil"/>
          </w:tcBorders>
          <w:noWrap/>
          <w:tcMar>
            <w:top w:w="57" w:type="dxa"/>
            <w:left w:w="142" w:type="dxa"/>
          </w:tcMar>
        </w:tcPr>
        <w:p w14:paraId="1ADE7E5B" w14:textId="77777777" w:rsidR="00AA7A7F" w:rsidRPr="00C7320A" w:rsidRDefault="00AA7A7F" w:rsidP="00AA7A7F">
          <w:pPr>
            <w:pStyle w:val="Level"/>
            <w:spacing w:before="60"/>
            <w:rPr>
              <w:rFonts w:ascii="Gill Alt One MT Light" w:hAnsi="Gill Alt One MT Light"/>
              <w:sz w:val="16"/>
            </w:rPr>
          </w:pPr>
          <w:r w:rsidRPr="00C7320A">
            <w:rPr>
              <w:rFonts w:ascii="Gill Alt One MT Light" w:hAnsi="Gill Alt One MT Light"/>
              <w:sz w:val="16"/>
            </w:rPr>
            <w:t>numero</w:t>
          </w:r>
        </w:p>
        <w:p w14:paraId="1ADE7E5C" w14:textId="77777777" w:rsidR="00AA7A7F" w:rsidRPr="00C7320A" w:rsidRDefault="00AA7A7F" w:rsidP="00AA7A7F">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1ADE7E5D" w14:textId="77777777" w:rsidR="00AA7A7F" w:rsidRPr="00C7320A" w:rsidRDefault="00AA7A7F" w:rsidP="00AA7A7F">
          <w:pPr>
            <w:pStyle w:val="Level"/>
            <w:spacing w:before="60"/>
            <w:rPr>
              <w:rFonts w:ascii="Gill Alt One MT Light" w:hAnsi="Gill Alt One MT Light"/>
              <w:sz w:val="16"/>
            </w:rPr>
          </w:pPr>
          <w:r w:rsidRPr="00C7320A">
            <w:rPr>
              <w:rFonts w:ascii="Gill Alt One MT Light" w:hAnsi="Gill Alt One MT Light"/>
              <w:sz w:val="16"/>
            </w:rPr>
            <w:t>data</w:t>
          </w:r>
        </w:p>
        <w:p w14:paraId="1ADE7E5E" w14:textId="77777777" w:rsidR="00AA7A7F" w:rsidRPr="00C7320A" w:rsidRDefault="00AA7A7F" w:rsidP="00AA7A7F">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1ADE7E5F" w14:textId="77777777" w:rsidR="00AA7A7F" w:rsidRPr="00C7320A" w:rsidRDefault="00AA7A7F" w:rsidP="00AA7A7F">
          <w:pPr>
            <w:pStyle w:val="Level"/>
            <w:spacing w:before="60"/>
            <w:rPr>
              <w:rFonts w:ascii="Gill Alt One MT Light" w:hAnsi="Gill Alt One MT Light"/>
              <w:sz w:val="16"/>
            </w:rPr>
          </w:pPr>
          <w:r>
            <w:rPr>
              <w:rFonts w:ascii="Gill Alt One MT Light" w:hAnsi="Gill Alt One MT Light"/>
              <w:sz w:val="16"/>
            </w:rPr>
            <w:t>competenza</w:t>
          </w:r>
        </w:p>
        <w:p w14:paraId="1ADE7E60" w14:textId="77777777" w:rsidR="00AA7A7F" w:rsidRPr="008C03B5" w:rsidRDefault="00AA7A7F" w:rsidP="00AA7A7F">
          <w:pPr>
            <w:pStyle w:val="Level"/>
            <w:spacing w:before="60" w:line="240" w:lineRule="auto"/>
            <w:rPr>
              <w:rFonts w:ascii="Gill Alt One MT Light" w:hAnsi="Gill Alt One MT Light"/>
              <w:sz w:val="16"/>
            </w:rPr>
          </w:pPr>
        </w:p>
      </w:tc>
    </w:tr>
    <w:tr w:rsidR="00AA7A7F" w:rsidRPr="0004624C" w14:paraId="1ADE7E65" w14:textId="77777777" w:rsidTr="00AA7A7F">
      <w:trPr>
        <w:trHeight w:hRule="exact" w:val="699"/>
      </w:trPr>
      <w:tc>
        <w:tcPr>
          <w:tcW w:w="670" w:type="pct"/>
          <w:tcBorders>
            <w:top w:val="nil"/>
            <w:left w:val="nil"/>
            <w:bottom w:val="single" w:sz="4" w:space="0" w:color="auto"/>
            <w:right w:val="nil"/>
          </w:tcBorders>
          <w:noWrap/>
          <w:tcMar>
            <w:top w:w="0" w:type="dxa"/>
          </w:tcMar>
        </w:tcPr>
        <w:p w14:paraId="1ADE7E62" w14:textId="3D225E6B" w:rsidR="00AA7A7F" w:rsidRPr="00BE22A2" w:rsidRDefault="00215396" w:rsidP="00AA7A7F">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184C525C-BF4B-4349-B759-8405D755A2B6}"/>
              <w:text w:multiLine="1"/>
            </w:sdtPr>
            <w:sdtEndPr/>
            <w:sdtContent>
              <w:r w:rsidR="00367C65">
                <w:rPr>
                  <w:rFonts w:cstheme="minorHAnsi"/>
                  <w:b/>
                  <w:sz w:val="24"/>
                  <w:szCs w:val="24"/>
                </w:rPr>
                <w:t>8573</w:t>
              </w:r>
            </w:sdtContent>
          </w:sdt>
        </w:p>
      </w:tc>
      <w:sdt>
        <w:sdtPr>
          <w:alias w:val="DocParam.Date"/>
          <w:id w:val="-464426178"/>
          <w:dataBinding w:xpath="//DateTime[@id='DocParam.Date']" w:storeItemID="{184C525C-BF4B-4349-B759-8405D755A2B6}"/>
          <w:date w:fullDate="2025-05-14T02: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14:paraId="1ADE7E63" w14:textId="49353EF9" w:rsidR="00AA7A7F" w:rsidRPr="002A0371" w:rsidRDefault="00367C65" w:rsidP="00992489">
              <w:pPr>
                <w:pStyle w:val="Data"/>
              </w:pPr>
              <w:r>
                <w:t>14 maggio 2025</w:t>
              </w:r>
            </w:p>
          </w:tc>
        </w:sdtContent>
      </w:sdt>
      <w:tc>
        <w:tcPr>
          <w:tcW w:w="3218" w:type="pct"/>
          <w:gridSpan w:val="4"/>
          <w:tcBorders>
            <w:top w:val="nil"/>
            <w:left w:val="nil"/>
            <w:bottom w:val="nil"/>
            <w:right w:val="nil"/>
          </w:tcBorders>
        </w:tcPr>
        <w:p w14:paraId="1ADE7E64" w14:textId="77777777" w:rsidR="00AA7A7F" w:rsidRPr="00BE22A2" w:rsidRDefault="00215396" w:rsidP="00AA7A7F">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184C525C-BF4B-4349-B759-8405D755A2B6}"/>
              <w:text w:multiLine="1"/>
            </w:sdtPr>
            <w:sdtEndPr/>
            <w:sdtContent>
              <w:r w:rsidR="00AA7A7F">
                <w:rPr>
                  <w:smallCaps/>
                  <w:sz w:val="23"/>
                  <w:szCs w:val="23"/>
                </w:rPr>
                <w:t>Consiglio di Stato</w:t>
              </w:r>
            </w:sdtContent>
          </w:sdt>
        </w:p>
      </w:tc>
    </w:tr>
    <w:tr w:rsidR="00AA7A7F" w:rsidRPr="00C63927" w14:paraId="1ADE7E67" w14:textId="77777777" w:rsidTr="00AA7A7F">
      <w:trPr>
        <w:trHeight w:hRule="exact" w:val="198"/>
      </w:trPr>
      <w:tc>
        <w:tcPr>
          <w:tcW w:w="5000" w:type="pct"/>
          <w:gridSpan w:val="6"/>
          <w:tcBorders>
            <w:left w:val="nil"/>
            <w:bottom w:val="nil"/>
            <w:right w:val="nil"/>
          </w:tcBorders>
          <w:noWrap/>
          <w:tcMar>
            <w:top w:w="57" w:type="dxa"/>
            <w:left w:w="85" w:type="dxa"/>
            <w:bottom w:w="170" w:type="dxa"/>
          </w:tcMar>
        </w:tcPr>
        <w:p w14:paraId="1ADE7E66" w14:textId="77777777" w:rsidR="00AA7A7F" w:rsidRPr="00C7320A" w:rsidRDefault="00AA7A7F" w:rsidP="00AA7A7F">
          <w:pPr>
            <w:pStyle w:val="Level"/>
            <w:ind w:left="150"/>
            <w:rPr>
              <w:rFonts w:ascii="Gill Alt One MT Light" w:hAnsi="Gill Alt One MT Light"/>
              <w:sz w:val="16"/>
              <w:szCs w:val="16"/>
            </w:rPr>
          </w:pPr>
        </w:p>
      </w:tc>
    </w:tr>
  </w:tbl>
  <w:p w14:paraId="1ADE7E68" w14:textId="77777777" w:rsidR="00AA7A7F" w:rsidRPr="00DA2879" w:rsidRDefault="00AA7A7F" w:rsidP="00AA7A7F">
    <w:pPr>
      <w:pStyle w:val="Nessunaspaziatura"/>
      <w:spacing w:line="40" w:lineRule="exact"/>
    </w:pPr>
    <w:r>
      <w:rPr>
        <w:noProof/>
        <w:lang w:val="it-CH" w:eastAsia="it-CH"/>
      </w:rPr>
      <w:drawing>
        <wp:anchor distT="0" distB="0" distL="114300" distR="114300" simplePos="0" relativeHeight="251659264" behindDoc="1" locked="1" layoutInCell="1" allowOverlap="1" wp14:anchorId="1ADE7E73" wp14:editId="1ADE7E74">
          <wp:simplePos x="0" y="0"/>
          <wp:positionH relativeFrom="column">
            <wp:posOffset>3042920</wp:posOffset>
          </wp:positionH>
          <wp:positionV relativeFrom="page">
            <wp:posOffset>215265</wp:posOffset>
          </wp:positionV>
          <wp:extent cx="459464" cy="467995"/>
          <wp:effectExtent l="0" t="0" r="0" b="8255"/>
          <wp:wrapNone/>
          <wp:docPr id="7" name="ooImg_42931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1ADE7E75" wp14:editId="1ADE7E76">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184C525C-BF4B-4349-B759-8405D755A2B6}"/>
                            <w:text w:multiLine="1"/>
                          </w:sdtPr>
                          <w:sdtEndPr/>
                          <w:sdtContent>
                            <w:p w14:paraId="1ADE7E7A" w14:textId="77777777" w:rsidR="00AA7A7F" w:rsidRPr="00411371" w:rsidRDefault="00AA7A7F" w:rsidP="00AA7A7F">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DE7E75"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717D34D4-D0B2-4AFF-886B-6FB5CDF31819}"/>
                      <w:text w:multiLine="1"/>
                    </w:sdtPr>
                    <w:sdtEndPr/>
                    <w:sdtContent>
                      <w:p w14:paraId="1ADE7E7A" w14:textId="77777777" w:rsidR="00AA7A7F" w:rsidRPr="00411371" w:rsidRDefault="00AA7A7F" w:rsidP="00AA7A7F">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E1B478F"/>
    <w:multiLevelType w:val="multilevel"/>
    <w:tmpl w:val="FA80BD4A"/>
    <w:lvl w:ilvl="0">
      <w:start w:val="1"/>
      <w:numFmt w:val="upperRoman"/>
      <w:lvlText w:val="%1."/>
      <w:lvlJc w:val="left"/>
      <w:pPr>
        <w:ind w:left="363" w:hanging="363"/>
      </w:pPr>
      <w:rPr>
        <w:rFonts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3"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0B45937"/>
    <w:multiLevelType w:val="multilevel"/>
    <w:tmpl w:val="E4529FEA"/>
    <w:lvl w:ilvl="0">
      <w:start w:val="1"/>
      <w:numFmt w:val="upperRoman"/>
      <w:lvlText w:val="%1."/>
      <w:lvlJc w:val="left"/>
      <w:pPr>
        <w:ind w:left="363" w:hanging="363"/>
      </w:pPr>
      <w:rPr>
        <w:rFonts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7151C43"/>
    <w:multiLevelType w:val="hybridMultilevel"/>
    <w:tmpl w:val="1764A588"/>
    <w:lvl w:ilvl="0" w:tplc="7F00AB96">
      <w:numFmt w:val="bullet"/>
      <w:lvlText w:val="-"/>
      <w:lvlJc w:val="left"/>
      <w:pPr>
        <w:ind w:left="417" w:hanging="360"/>
      </w:pPr>
      <w:rPr>
        <w:rFonts w:ascii="Arial" w:eastAsiaTheme="minorHAnsi" w:hAnsi="Arial" w:cs="Arial" w:hint="default"/>
      </w:rPr>
    </w:lvl>
    <w:lvl w:ilvl="1" w:tplc="08100003" w:tentative="1">
      <w:start w:val="1"/>
      <w:numFmt w:val="bullet"/>
      <w:lvlText w:val="o"/>
      <w:lvlJc w:val="left"/>
      <w:pPr>
        <w:ind w:left="1137" w:hanging="360"/>
      </w:pPr>
      <w:rPr>
        <w:rFonts w:ascii="Courier New" w:hAnsi="Courier New" w:cs="Courier New" w:hint="default"/>
      </w:rPr>
    </w:lvl>
    <w:lvl w:ilvl="2" w:tplc="08100005" w:tentative="1">
      <w:start w:val="1"/>
      <w:numFmt w:val="bullet"/>
      <w:lvlText w:val=""/>
      <w:lvlJc w:val="left"/>
      <w:pPr>
        <w:ind w:left="1857" w:hanging="360"/>
      </w:pPr>
      <w:rPr>
        <w:rFonts w:ascii="Wingdings" w:hAnsi="Wingdings" w:hint="default"/>
      </w:rPr>
    </w:lvl>
    <w:lvl w:ilvl="3" w:tplc="08100001" w:tentative="1">
      <w:start w:val="1"/>
      <w:numFmt w:val="bullet"/>
      <w:lvlText w:val=""/>
      <w:lvlJc w:val="left"/>
      <w:pPr>
        <w:ind w:left="2577" w:hanging="360"/>
      </w:pPr>
      <w:rPr>
        <w:rFonts w:ascii="Symbol" w:hAnsi="Symbol" w:hint="default"/>
      </w:rPr>
    </w:lvl>
    <w:lvl w:ilvl="4" w:tplc="08100003" w:tentative="1">
      <w:start w:val="1"/>
      <w:numFmt w:val="bullet"/>
      <w:lvlText w:val="o"/>
      <w:lvlJc w:val="left"/>
      <w:pPr>
        <w:ind w:left="3297" w:hanging="360"/>
      </w:pPr>
      <w:rPr>
        <w:rFonts w:ascii="Courier New" w:hAnsi="Courier New" w:cs="Courier New" w:hint="default"/>
      </w:rPr>
    </w:lvl>
    <w:lvl w:ilvl="5" w:tplc="08100005" w:tentative="1">
      <w:start w:val="1"/>
      <w:numFmt w:val="bullet"/>
      <w:lvlText w:val=""/>
      <w:lvlJc w:val="left"/>
      <w:pPr>
        <w:ind w:left="4017" w:hanging="360"/>
      </w:pPr>
      <w:rPr>
        <w:rFonts w:ascii="Wingdings" w:hAnsi="Wingdings" w:hint="default"/>
      </w:rPr>
    </w:lvl>
    <w:lvl w:ilvl="6" w:tplc="08100001" w:tentative="1">
      <w:start w:val="1"/>
      <w:numFmt w:val="bullet"/>
      <w:lvlText w:val=""/>
      <w:lvlJc w:val="left"/>
      <w:pPr>
        <w:ind w:left="4737" w:hanging="360"/>
      </w:pPr>
      <w:rPr>
        <w:rFonts w:ascii="Symbol" w:hAnsi="Symbol" w:hint="default"/>
      </w:rPr>
    </w:lvl>
    <w:lvl w:ilvl="7" w:tplc="08100003" w:tentative="1">
      <w:start w:val="1"/>
      <w:numFmt w:val="bullet"/>
      <w:lvlText w:val="o"/>
      <w:lvlJc w:val="left"/>
      <w:pPr>
        <w:ind w:left="5457" w:hanging="360"/>
      </w:pPr>
      <w:rPr>
        <w:rFonts w:ascii="Courier New" w:hAnsi="Courier New" w:cs="Courier New" w:hint="default"/>
      </w:rPr>
    </w:lvl>
    <w:lvl w:ilvl="8" w:tplc="08100005" w:tentative="1">
      <w:start w:val="1"/>
      <w:numFmt w:val="bullet"/>
      <w:lvlText w:val=""/>
      <w:lvlJc w:val="left"/>
      <w:pPr>
        <w:ind w:left="6177" w:hanging="360"/>
      </w:pPr>
      <w:rPr>
        <w:rFonts w:ascii="Wingdings" w:hAnsi="Wingdings" w:hint="default"/>
      </w:rPr>
    </w:lvl>
  </w:abstractNum>
  <w:abstractNum w:abstractNumId="17" w15:restartNumberingAfterBreak="0">
    <w:nsid w:val="2AB47336"/>
    <w:multiLevelType w:val="multilevel"/>
    <w:tmpl w:val="C2606BDC"/>
    <w:styleLink w:val="ListNumericList"/>
    <w:lvl w:ilvl="0">
      <w:start w:val="1"/>
      <w:numFmt w:val="decimal"/>
      <w:pStyle w:val="ListNumeric"/>
      <w:lvlText w:val="%1."/>
      <w:lvlJc w:val="left"/>
      <w:pPr>
        <w:ind w:left="1419" w:hanging="284"/>
      </w:pPr>
      <w:rPr>
        <w:rFonts w:asciiTheme="minorHAnsi" w:hAnsiTheme="minorHAnsi" w:hint="default"/>
      </w:rPr>
    </w:lvl>
    <w:lvl w:ilvl="1">
      <w:start w:val="1"/>
      <w:numFmt w:val="decimal"/>
      <w:lvlText w:val="%1.%2."/>
      <w:lvlJc w:val="left"/>
      <w:pPr>
        <w:ind w:left="1702" w:hanging="283"/>
      </w:pPr>
      <w:rPr>
        <w:rFonts w:hint="default"/>
      </w:rPr>
    </w:lvl>
    <w:lvl w:ilvl="2">
      <w:start w:val="1"/>
      <w:numFmt w:val="decimal"/>
      <w:lvlText w:val="%1.%2.%3."/>
      <w:lvlJc w:val="left"/>
      <w:pPr>
        <w:ind w:left="1986" w:hanging="284"/>
      </w:pPr>
      <w:rPr>
        <w:rFonts w:hint="default"/>
      </w:rPr>
    </w:lvl>
    <w:lvl w:ilvl="3">
      <w:start w:val="1"/>
      <w:numFmt w:val="decimal"/>
      <w:lvlText w:val="%1.%2.%3.%4."/>
      <w:lvlJc w:val="left"/>
      <w:pPr>
        <w:ind w:left="2269" w:hanging="283"/>
      </w:pPr>
      <w:rPr>
        <w:rFonts w:hint="default"/>
      </w:rPr>
    </w:lvl>
    <w:lvl w:ilvl="4">
      <w:start w:val="1"/>
      <w:numFmt w:val="none"/>
      <w:lvlText w:val=""/>
      <w:lvlJc w:val="left"/>
      <w:pPr>
        <w:ind w:left="4537" w:hanging="3402"/>
      </w:pPr>
      <w:rPr>
        <w:rFonts w:hint="default"/>
      </w:rPr>
    </w:lvl>
    <w:lvl w:ilvl="5">
      <w:start w:val="1"/>
      <w:numFmt w:val="none"/>
      <w:lvlText w:val=""/>
      <w:lvlJc w:val="left"/>
      <w:pPr>
        <w:ind w:left="4650" w:hanging="3402"/>
      </w:pPr>
      <w:rPr>
        <w:rFonts w:hint="default"/>
      </w:rPr>
    </w:lvl>
    <w:lvl w:ilvl="6">
      <w:start w:val="1"/>
      <w:numFmt w:val="none"/>
      <w:lvlText w:val=""/>
      <w:lvlJc w:val="left"/>
      <w:pPr>
        <w:ind w:left="4764" w:hanging="3402"/>
      </w:pPr>
      <w:rPr>
        <w:rFonts w:hint="default"/>
      </w:rPr>
    </w:lvl>
    <w:lvl w:ilvl="7">
      <w:start w:val="1"/>
      <w:numFmt w:val="none"/>
      <w:lvlText w:val=""/>
      <w:lvlJc w:val="left"/>
      <w:pPr>
        <w:ind w:left="4877" w:hanging="3402"/>
      </w:pPr>
      <w:rPr>
        <w:rFonts w:hint="default"/>
      </w:rPr>
    </w:lvl>
    <w:lvl w:ilvl="8">
      <w:start w:val="1"/>
      <w:numFmt w:val="none"/>
      <w:lvlText w:val=""/>
      <w:lvlJc w:val="left"/>
      <w:pPr>
        <w:ind w:left="4991" w:hanging="3402"/>
      </w:pPr>
      <w:rPr>
        <w:rFonts w:hint="default"/>
      </w:rPr>
    </w:lvl>
  </w:abstractNum>
  <w:abstractNum w:abstractNumId="18" w15:restartNumberingAfterBreak="0">
    <w:nsid w:val="300A3105"/>
    <w:multiLevelType w:val="multilevel"/>
    <w:tmpl w:val="997832F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49D524CC"/>
    <w:multiLevelType w:val="multilevel"/>
    <w:tmpl w:val="953CA1B2"/>
    <w:numStyleLink w:val="HeadingList"/>
  </w:abstractNum>
  <w:abstractNum w:abstractNumId="22" w15:restartNumberingAfterBreak="0">
    <w:nsid w:val="4A9B56F9"/>
    <w:multiLevelType w:val="multilevel"/>
    <w:tmpl w:val="B212D556"/>
    <w:lvl w:ilvl="0">
      <w:start w:val="1"/>
      <w:numFmt w:val="upperRoman"/>
      <w:lvlText w:val="%1."/>
      <w:lvlJc w:val="left"/>
      <w:pPr>
        <w:ind w:left="363" w:hanging="363"/>
      </w:pPr>
      <w:rPr>
        <w:rFonts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61F672EE"/>
    <w:multiLevelType w:val="multilevel"/>
    <w:tmpl w:val="E4529FEA"/>
    <w:lvl w:ilvl="0">
      <w:start w:val="1"/>
      <w:numFmt w:val="upperRoman"/>
      <w:lvlText w:val="%1."/>
      <w:lvlJc w:val="left"/>
      <w:pPr>
        <w:ind w:left="363" w:hanging="363"/>
      </w:pPr>
      <w:rPr>
        <w:rFonts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4" w15:restartNumberingAfterBreak="0">
    <w:nsid w:val="7DCA70D4"/>
    <w:multiLevelType w:val="multilevel"/>
    <w:tmpl w:val="A70260F0"/>
    <w:lvl w:ilvl="0">
      <w:start w:val="1"/>
      <w:numFmt w:val="upperRoman"/>
      <w:lvlText w:val="%1."/>
      <w:lvlJc w:val="right"/>
      <w:pPr>
        <w:ind w:left="363" w:hanging="363"/>
      </w:pPr>
      <w:rPr>
        <w:rFonts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num w:numId="1">
    <w:abstractNumId w:val="13"/>
  </w:num>
  <w:num w:numId="2">
    <w:abstractNumId w:val="21"/>
    <w:lvlOverride w:ilvl="0">
      <w:lvl w:ilvl="0">
        <w:start w:val="1"/>
        <w:numFmt w:val="decimal"/>
        <w:pStyle w:val="Titolo1"/>
        <w:lvlText w:val="%1"/>
        <w:lvlJc w:val="left"/>
        <w:pPr>
          <w:ind w:left="363" w:hanging="363"/>
        </w:pPr>
        <w:rPr>
          <w:rFonts w:ascii="Arial" w:hAnsi="Arial" w:cs="Arial" w:hint="default"/>
        </w:rPr>
      </w:lvl>
    </w:lvlOverride>
    <w:lvlOverride w:ilvl="1">
      <w:lvl w:ilvl="1">
        <w:start w:val="2"/>
        <w:numFmt w:val="decimal"/>
        <w:pStyle w:val="Titolo2"/>
        <w:lvlText w:val="%1.%2"/>
        <w:lvlJc w:val="left"/>
        <w:pPr>
          <w:ind w:left="544" w:hanging="544"/>
        </w:pPr>
        <w:rPr>
          <w:rFonts w:hint="default"/>
        </w:rPr>
      </w:lvl>
    </w:lvlOverride>
    <w:lvlOverride w:ilvl="2">
      <w:lvl w:ilvl="2">
        <w:start w:val="1"/>
        <w:numFmt w:val="decimal"/>
        <w:pStyle w:val="Titolo3"/>
        <w:lvlText w:val="%1.%2.%3"/>
        <w:lvlJc w:val="left"/>
        <w:pPr>
          <w:ind w:left="726"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 w:numId="3">
    <w:abstractNumId w:val="11"/>
  </w:num>
  <w:num w:numId="4">
    <w:abstractNumId w:val="20"/>
  </w:num>
  <w:num w:numId="5">
    <w:abstractNumId w:val="19"/>
  </w:num>
  <w:num w:numId="6">
    <w:abstractNumId w:val="14"/>
  </w:num>
  <w:num w:numId="7">
    <w:abstractNumId w:val="17"/>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2"/>
  </w:num>
  <w:num w:numId="19">
    <w:abstractNumId w:val="21"/>
    <w:lvlOverride w:ilvl="0">
      <w:lvl w:ilvl="0">
        <w:start w:val="1"/>
        <w:numFmt w:val="decimal"/>
        <w:pStyle w:val="Titolo1"/>
        <w:lvlText w:val="%1"/>
        <w:lvlJc w:val="left"/>
        <w:pPr>
          <w:ind w:left="363" w:hanging="363"/>
        </w:pPr>
        <w:rPr>
          <w:rFonts w:asciiTheme="majorHAnsi" w:hAnsiTheme="majorHAnsi" w:hint="default"/>
        </w:rPr>
      </w:lvl>
    </w:lvlOverride>
    <w:lvlOverride w:ilvl="1">
      <w:lvl w:ilvl="1">
        <w:start w:val="1"/>
        <w:numFmt w:val="decimal"/>
        <w:pStyle w:val="Titolo2"/>
        <w:lvlText w:val="%1.%2"/>
        <w:lvlJc w:val="left"/>
        <w:pPr>
          <w:ind w:left="544" w:hanging="544"/>
        </w:pPr>
        <w:rPr>
          <w:rFonts w:hint="default"/>
        </w:rPr>
      </w:lvl>
    </w:lvlOverride>
    <w:lvlOverride w:ilvl="2">
      <w:lvl w:ilvl="2">
        <w:start w:val="1"/>
        <w:numFmt w:val="decimal"/>
        <w:pStyle w:val="Titolo3"/>
        <w:lvlText w:val="%1.%2.%3"/>
        <w:lvlJc w:val="left"/>
        <w:pPr>
          <w:ind w:left="726"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 w:numId="20">
    <w:abstractNumId w:val="16"/>
  </w:num>
  <w:num w:numId="21">
    <w:abstractNumId w:val="24"/>
  </w:num>
  <w:num w:numId="22">
    <w:abstractNumId w:val="21"/>
    <w:lvlOverride w:ilvl="0">
      <w:lvl w:ilvl="0">
        <w:start w:val="1"/>
        <w:numFmt w:val="decimal"/>
        <w:pStyle w:val="Titolo1"/>
        <w:lvlText w:val="%1"/>
        <w:lvlJc w:val="left"/>
        <w:pPr>
          <w:ind w:left="363" w:hanging="363"/>
        </w:pPr>
        <w:rPr>
          <w:rFonts w:ascii="Arial" w:hAnsi="Arial" w:cs="Arial" w:hint="default"/>
        </w:rPr>
      </w:lvl>
    </w:lvlOverride>
  </w:num>
  <w:num w:numId="23">
    <w:abstractNumId w:val="22"/>
  </w:num>
  <w:num w:numId="24">
    <w:abstractNumId w:val="23"/>
  </w:num>
  <w:num w:numId="25">
    <w:abstractNumId w:val="15"/>
  </w:num>
  <w:num w:numId="26">
    <w:abstractNumId w:val="21"/>
    <w:lvlOverride w:ilvl="0">
      <w:lvl w:ilvl="0">
        <w:start w:val="1"/>
        <w:numFmt w:val="decimal"/>
        <w:pStyle w:val="Titolo1"/>
        <w:lvlText w:val="%1"/>
        <w:lvlJc w:val="left"/>
        <w:pPr>
          <w:ind w:left="363" w:hanging="363"/>
        </w:pPr>
        <w:rPr>
          <w:rFonts w:ascii="Arial" w:hAnsi="Arial" w:cs="Arial" w:hint="default"/>
        </w:rPr>
      </w:lvl>
    </w:lvlOverride>
  </w:num>
  <w:num w:numId="27">
    <w:abstractNumId w:val="18"/>
  </w:num>
  <w:num w:numId="28">
    <w:abstractNumId w:val="21"/>
    <w:lvlOverride w:ilvl="0">
      <w:lvl w:ilvl="0">
        <w:start w:val="1"/>
        <w:numFmt w:val="decimal"/>
        <w:pStyle w:val="Titolo1"/>
        <w:lvlText w:val="%1"/>
        <w:lvlJc w:val="left"/>
        <w:pPr>
          <w:ind w:left="363" w:hanging="363"/>
        </w:pPr>
        <w:rPr>
          <w:rFonts w:ascii="Arial" w:hAnsi="Arial" w:cs="Arial" w:hint="default"/>
        </w:rPr>
      </w:lvl>
    </w:lvlOverride>
    <w:lvlOverride w:ilvl="1">
      <w:lvl w:ilvl="1">
        <w:start w:val="2"/>
        <w:numFmt w:val="decimal"/>
        <w:pStyle w:val="Titolo2"/>
        <w:lvlText w:val="%1.%2"/>
        <w:lvlJc w:val="left"/>
        <w:pPr>
          <w:ind w:left="544" w:hanging="544"/>
        </w:pPr>
        <w:rPr>
          <w:rFonts w:hint="default"/>
        </w:rPr>
      </w:lvl>
    </w:lvlOverride>
    <w:lvlOverride w:ilvl="2">
      <w:lvl w:ilvl="2">
        <w:start w:val="1"/>
        <w:numFmt w:val="decimal"/>
        <w:pStyle w:val="Titolo3"/>
        <w:lvlText w:val="%1.%2.%3"/>
        <w:lvlJc w:val="left"/>
        <w:pPr>
          <w:ind w:left="726"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 w:numId="29">
    <w:abstractNumId w:val="21"/>
    <w:lvlOverride w:ilvl="0">
      <w:lvl w:ilvl="0">
        <w:start w:val="1"/>
        <w:numFmt w:val="decimal"/>
        <w:pStyle w:val="Titolo1"/>
        <w:lvlText w:val="%1"/>
        <w:lvlJc w:val="left"/>
        <w:pPr>
          <w:ind w:left="363" w:hanging="363"/>
        </w:pPr>
        <w:rPr>
          <w:rFonts w:ascii="Arial" w:hAnsi="Arial" w:cs="Arial" w:hint="default"/>
        </w:rPr>
      </w:lvl>
    </w:lvlOverride>
    <w:lvlOverride w:ilvl="1">
      <w:lvl w:ilvl="1">
        <w:start w:val="2"/>
        <w:numFmt w:val="decimal"/>
        <w:pStyle w:val="Titolo2"/>
        <w:lvlText w:val="%1.%2"/>
        <w:lvlJc w:val="left"/>
        <w:pPr>
          <w:ind w:left="544" w:hanging="544"/>
        </w:pPr>
        <w:rPr>
          <w:rFonts w:hint="default"/>
        </w:rPr>
      </w:lvl>
    </w:lvlOverride>
    <w:lvlOverride w:ilvl="2">
      <w:lvl w:ilvl="2">
        <w:start w:val="1"/>
        <w:numFmt w:val="decimal"/>
        <w:pStyle w:val="Titolo3"/>
        <w:lvlText w:val="%1.%2.%3"/>
        <w:lvlJc w:val="left"/>
        <w:pPr>
          <w:ind w:left="726"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 w:numId="30">
    <w:abstractNumId w:val="21"/>
    <w:lvlOverride w:ilvl="0">
      <w:lvl w:ilvl="0">
        <w:start w:val="1"/>
        <w:numFmt w:val="decimal"/>
        <w:pStyle w:val="Titolo1"/>
        <w:lvlText w:val="%1"/>
        <w:lvlJc w:val="left"/>
        <w:pPr>
          <w:ind w:left="363" w:hanging="363"/>
        </w:pPr>
        <w:rPr>
          <w:rFonts w:ascii="Arial" w:hAnsi="Arial" w:cs="Arial" w:hint="default"/>
        </w:rPr>
      </w:lvl>
    </w:lvlOverride>
    <w:lvlOverride w:ilvl="1">
      <w:lvl w:ilvl="1">
        <w:start w:val="2"/>
        <w:numFmt w:val="decimal"/>
        <w:pStyle w:val="Titolo2"/>
        <w:lvlText w:val="%1.%2"/>
        <w:lvlJc w:val="left"/>
        <w:pPr>
          <w:ind w:left="544" w:hanging="544"/>
        </w:pPr>
        <w:rPr>
          <w:rFonts w:hint="default"/>
        </w:rPr>
      </w:lvl>
    </w:lvlOverride>
    <w:lvlOverride w:ilvl="2">
      <w:lvl w:ilvl="2">
        <w:start w:val="1"/>
        <w:numFmt w:val="decimal"/>
        <w:pStyle w:val="Titolo3"/>
        <w:lvlText w:val="%1.%2.%3"/>
        <w:lvlJc w:val="left"/>
        <w:pPr>
          <w:ind w:left="726"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 w:numId="31">
    <w:abstractNumId w:val="21"/>
    <w:lvlOverride w:ilvl="0">
      <w:lvl w:ilvl="0">
        <w:start w:val="1"/>
        <w:numFmt w:val="decimal"/>
        <w:pStyle w:val="Titolo1"/>
        <w:lvlText w:val="%1"/>
        <w:lvlJc w:val="left"/>
        <w:pPr>
          <w:ind w:left="363" w:hanging="363"/>
        </w:pPr>
        <w:rPr>
          <w:rFonts w:ascii="Arial" w:hAnsi="Arial" w:cs="Arial" w:hint="default"/>
        </w:rPr>
      </w:lvl>
    </w:lvlOverride>
    <w:lvlOverride w:ilvl="1">
      <w:lvl w:ilvl="1">
        <w:start w:val="2"/>
        <w:numFmt w:val="decimal"/>
        <w:pStyle w:val="Titolo2"/>
        <w:lvlText w:val="%1.%2"/>
        <w:lvlJc w:val="left"/>
        <w:pPr>
          <w:ind w:left="544" w:hanging="544"/>
        </w:pPr>
        <w:rPr>
          <w:rFonts w:hint="default"/>
        </w:rPr>
      </w:lvl>
    </w:lvlOverride>
    <w:lvlOverride w:ilvl="2">
      <w:lvl w:ilvl="2">
        <w:start w:val="1"/>
        <w:numFmt w:val="decimal"/>
        <w:pStyle w:val="Titolo3"/>
        <w:lvlText w:val="%1.%2.%3"/>
        <w:lvlJc w:val="left"/>
        <w:pPr>
          <w:ind w:left="726"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 w:numId="32">
    <w:abstractNumId w:val="10"/>
  </w:num>
  <w:num w:numId="33">
    <w:abstractNumId w:val="21"/>
    <w:lvlOverride w:ilvl="0">
      <w:lvl w:ilvl="0">
        <w:start w:val="1"/>
        <w:numFmt w:val="decimal"/>
        <w:pStyle w:val="Titolo1"/>
        <w:lvlText w:val="%1"/>
        <w:lvlJc w:val="left"/>
        <w:pPr>
          <w:ind w:left="363" w:hanging="363"/>
        </w:pPr>
        <w:rPr>
          <w:rFonts w:ascii="Arial" w:hAnsi="Arial" w:cs="Arial" w:hint="default"/>
        </w:rPr>
      </w:lvl>
    </w:lvlOverride>
    <w:lvlOverride w:ilvl="1">
      <w:lvl w:ilvl="1">
        <w:start w:val="2"/>
        <w:numFmt w:val="decimal"/>
        <w:pStyle w:val="Titolo2"/>
        <w:lvlText w:val="%1.%2"/>
        <w:lvlJc w:val="left"/>
        <w:pPr>
          <w:ind w:left="544" w:hanging="544"/>
        </w:pPr>
        <w:rPr>
          <w:rFonts w:hint="default"/>
        </w:rPr>
      </w:lvl>
    </w:lvlOverride>
    <w:lvlOverride w:ilvl="2">
      <w:lvl w:ilvl="2">
        <w:start w:val="1"/>
        <w:numFmt w:val="decimal"/>
        <w:pStyle w:val="Titolo3"/>
        <w:lvlText w:val="%1.%2.%3"/>
        <w:lvlJc w:val="left"/>
        <w:pPr>
          <w:ind w:left="726"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 w:numId="34">
    <w:abstractNumId w:val="21"/>
    <w:lvlOverride w:ilvl="0">
      <w:lvl w:ilvl="0">
        <w:start w:val="1"/>
        <w:numFmt w:val="decimal"/>
        <w:pStyle w:val="Titolo1"/>
        <w:lvlText w:val="%1"/>
        <w:lvlJc w:val="left"/>
        <w:pPr>
          <w:ind w:left="363" w:hanging="363"/>
        </w:pPr>
        <w:rPr>
          <w:rFonts w:ascii="Arial" w:hAnsi="Arial" w:cs="Arial" w:hint="default"/>
        </w:rPr>
      </w:lvl>
    </w:lvlOverride>
    <w:lvlOverride w:ilvl="1">
      <w:lvl w:ilvl="1">
        <w:start w:val="2"/>
        <w:numFmt w:val="decimal"/>
        <w:pStyle w:val="Titolo2"/>
        <w:lvlText w:val="%1.%2"/>
        <w:lvlJc w:val="left"/>
        <w:pPr>
          <w:ind w:left="544" w:hanging="544"/>
        </w:pPr>
        <w:rPr>
          <w:rFonts w:hint="default"/>
        </w:rPr>
      </w:lvl>
    </w:lvlOverride>
    <w:lvlOverride w:ilvl="2">
      <w:lvl w:ilvl="2">
        <w:start w:val="1"/>
        <w:numFmt w:val="decimal"/>
        <w:pStyle w:val="Titolo3"/>
        <w:lvlText w:val="%1.%2.%3"/>
        <w:lvlJc w:val="left"/>
        <w:pPr>
          <w:ind w:left="726"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C70"/>
    <w:rsid w:val="00003740"/>
    <w:rsid w:val="000048C6"/>
    <w:rsid w:val="000401B7"/>
    <w:rsid w:val="00041667"/>
    <w:rsid w:val="00071047"/>
    <w:rsid w:val="001307D9"/>
    <w:rsid w:val="00170453"/>
    <w:rsid w:val="00175760"/>
    <w:rsid w:val="00175D36"/>
    <w:rsid w:val="001824F7"/>
    <w:rsid w:val="001C4F37"/>
    <w:rsid w:val="001F12C2"/>
    <w:rsid w:val="002052A7"/>
    <w:rsid w:val="00215396"/>
    <w:rsid w:val="00226546"/>
    <w:rsid w:val="00233F45"/>
    <w:rsid w:val="002562F2"/>
    <w:rsid w:val="00274B83"/>
    <w:rsid w:val="0028653C"/>
    <w:rsid w:val="002B49BB"/>
    <w:rsid w:val="002B5D9F"/>
    <w:rsid w:val="002E05E8"/>
    <w:rsid w:val="002E522C"/>
    <w:rsid w:val="002F0E52"/>
    <w:rsid w:val="00322CA4"/>
    <w:rsid w:val="00355BB0"/>
    <w:rsid w:val="00366601"/>
    <w:rsid w:val="00367C65"/>
    <w:rsid w:val="0037787E"/>
    <w:rsid w:val="003862E3"/>
    <w:rsid w:val="00391A93"/>
    <w:rsid w:val="003B756D"/>
    <w:rsid w:val="003F5920"/>
    <w:rsid w:val="00403ADB"/>
    <w:rsid w:val="004133FA"/>
    <w:rsid w:val="004922DA"/>
    <w:rsid w:val="004A53C6"/>
    <w:rsid w:val="004B1EE2"/>
    <w:rsid w:val="00500EA0"/>
    <w:rsid w:val="00501507"/>
    <w:rsid w:val="00511E6E"/>
    <w:rsid w:val="00522EC4"/>
    <w:rsid w:val="00533297"/>
    <w:rsid w:val="0054623B"/>
    <w:rsid w:val="00562C70"/>
    <w:rsid w:val="00572FD3"/>
    <w:rsid w:val="0061326D"/>
    <w:rsid w:val="0062314E"/>
    <w:rsid w:val="0065292D"/>
    <w:rsid w:val="00660756"/>
    <w:rsid w:val="006A6821"/>
    <w:rsid w:val="006B04C1"/>
    <w:rsid w:val="006C22CA"/>
    <w:rsid w:val="006E35E9"/>
    <w:rsid w:val="00715129"/>
    <w:rsid w:val="00715E63"/>
    <w:rsid w:val="0075378B"/>
    <w:rsid w:val="00766A55"/>
    <w:rsid w:val="007752A1"/>
    <w:rsid w:val="007B7AE9"/>
    <w:rsid w:val="007D2FF6"/>
    <w:rsid w:val="007E2901"/>
    <w:rsid w:val="008003FF"/>
    <w:rsid w:val="008347F9"/>
    <w:rsid w:val="008439CE"/>
    <w:rsid w:val="00851246"/>
    <w:rsid w:val="00864C48"/>
    <w:rsid w:val="008720C4"/>
    <w:rsid w:val="00881480"/>
    <w:rsid w:val="008A57A8"/>
    <w:rsid w:val="008F52AF"/>
    <w:rsid w:val="00933598"/>
    <w:rsid w:val="00943C74"/>
    <w:rsid w:val="00954FF0"/>
    <w:rsid w:val="00964A7B"/>
    <w:rsid w:val="00992489"/>
    <w:rsid w:val="009C5E5A"/>
    <w:rsid w:val="00A10C8F"/>
    <w:rsid w:val="00AA0A14"/>
    <w:rsid w:val="00AA7A7F"/>
    <w:rsid w:val="00AB47A0"/>
    <w:rsid w:val="00AC6130"/>
    <w:rsid w:val="00AF0268"/>
    <w:rsid w:val="00B15355"/>
    <w:rsid w:val="00B273FF"/>
    <w:rsid w:val="00B7671C"/>
    <w:rsid w:val="00B91247"/>
    <w:rsid w:val="00B979FD"/>
    <w:rsid w:val="00BB7D41"/>
    <w:rsid w:val="00BF0A1F"/>
    <w:rsid w:val="00C2239E"/>
    <w:rsid w:val="00C2472D"/>
    <w:rsid w:val="00C32820"/>
    <w:rsid w:val="00C87058"/>
    <w:rsid w:val="00CA239F"/>
    <w:rsid w:val="00CF3180"/>
    <w:rsid w:val="00D33940"/>
    <w:rsid w:val="00D41839"/>
    <w:rsid w:val="00D600FD"/>
    <w:rsid w:val="00D649A8"/>
    <w:rsid w:val="00E03C60"/>
    <w:rsid w:val="00E07FF4"/>
    <w:rsid w:val="00E2477B"/>
    <w:rsid w:val="00E63157"/>
    <w:rsid w:val="00EB088A"/>
    <w:rsid w:val="00EB78BA"/>
    <w:rsid w:val="00F6574A"/>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ADE7D5D"/>
  <w15:docId w15:val="{D26FF78E-1B2D-4E50-9D7E-F22E33851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62C70"/>
    <w:pPr>
      <w:suppressAutoHyphens/>
    </w:pPr>
    <w:rPr>
      <w:rFonts w:ascii="Arial" w:hAnsi="Arial"/>
      <w:sz w:val="24"/>
      <w:szCs w:val="24"/>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style>
  <w:style w:type="paragraph" w:customStyle="1" w:styleId="ListNumeric12">
    <w:name w:val="ListNumeric12"/>
    <w:basedOn w:val="ListNumeric"/>
    <w:qFormat/>
    <w:rsid w:val="0040086C"/>
  </w:style>
  <w:style w:type="paragraph" w:customStyle="1" w:styleId="ListBullet12">
    <w:name w:val="ListBullet12"/>
    <w:basedOn w:val="ListBullet"/>
    <w:qFormat/>
    <w:rsid w:val="0040086C"/>
  </w:style>
  <w:style w:type="paragraph" w:customStyle="1" w:styleId="ListLine12">
    <w:name w:val="ListLine12"/>
    <w:basedOn w:val="ListLine"/>
    <w:qFormat/>
    <w:rsid w:val="0040086C"/>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styleId="Collegamentoipertestuale">
    <w:name w:val="Hyperlink"/>
    <w:basedOn w:val="Carpredefinitoparagrafo"/>
    <w:uiPriority w:val="99"/>
    <w:unhideWhenUsed/>
    <w:rsid w:val="00562C70"/>
    <w:rPr>
      <w:color w:val="0000FF" w:themeColor="hyperlink"/>
      <w:u w:val="single"/>
    </w:rPr>
  </w:style>
  <w:style w:type="character" w:styleId="Collegamentovisitato">
    <w:name w:val="FollowedHyperlink"/>
    <w:basedOn w:val="Carpredefinitoparagrafo"/>
    <w:uiPriority w:val="99"/>
    <w:semiHidden/>
    <w:unhideWhenUsed/>
    <w:rsid w:val="00562C70"/>
    <w:rPr>
      <w:color w:val="800080" w:themeColor="followedHyperlink"/>
      <w:u w:val="single"/>
    </w:rPr>
  </w:style>
  <w:style w:type="paragraph" w:styleId="Testofumetto">
    <w:name w:val="Balloon Text"/>
    <w:basedOn w:val="Normale"/>
    <w:link w:val="TestofumettoCarattere"/>
    <w:uiPriority w:val="99"/>
    <w:semiHidden/>
    <w:unhideWhenUsed/>
    <w:rsid w:val="006B04C1"/>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B04C1"/>
    <w:rPr>
      <w:rFonts w:ascii="Segoe UI" w:hAnsi="Segoe UI" w:cs="Segoe UI"/>
      <w:sz w:val="18"/>
      <w:szCs w:val="18"/>
      <w:lang w:val="it-CH"/>
    </w:rPr>
  </w:style>
  <w:style w:type="table" w:styleId="Grigliatabella">
    <w:name w:val="Table Grid"/>
    <w:basedOn w:val="Tabellanormale"/>
    <w:uiPriority w:val="59"/>
    <w:rsid w:val="00E247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latino">
    <w:name w:val="palatino"/>
    <w:basedOn w:val="Normale"/>
    <w:rsid w:val="008003FF"/>
    <w:pPr>
      <w:suppressAutoHyphens w:val="0"/>
    </w:pPr>
    <w:rPr>
      <w:rFonts w:ascii="Palatino" w:eastAsia="Times New Roman" w:hAnsi="Palatino" w:cs="Times New Roman"/>
      <w:sz w:val="22"/>
      <w:szCs w:val="2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423234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www.fedlex.admin.ch/eli/fga/2022/1722/it"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31aba4f3-88f6-4cd4-a838-597f838672ae.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1019547672</Id>
      <Width>0</Width>
      <Height>0</Height>
      <XPath>//Image[@id='Profile.Org.WappenSW']</XPath>
      <ImageHash>02f1c0cdac6aeac316213b2e7cb733a0</ImageHash>
    </ImageSizeDefinition>
    <ImageSizeDefinition>
      <Id>429313419</Id>
      <Width>0</Width>
      <Height>0</Height>
      <XPath>//Image[@id='Profile.Org.Logo']</XPath>
      <ImageHash>c45d7cd7b68e3e6ca57220766e88079c</ImageHash>
    </ImageSizeDefinition>
  </ImageDefinitions>
</OneOffixxImageDefinitionPart>
</file>

<file path=customXml/item3.xml><?xml version="1.0" encoding="utf-8"?>
<p:properties xmlns:p="http://schemas.microsoft.com/office/2006/metadata/properties" xmlns:xsi="http://www.w3.org/2001/XMLSchema-instance" xmlns:pc="http://schemas.microsoft.com/office/infopath/2007/PartnerControls">
  <documentManagement>
    <Visibile xmlns="2357b4e1-a710-4343-b7c5-d4ab6401166f">true</Visibile>
    <Percorso_x0020_URL xmlns="2357b4e1-a710-4343-b7c5-d4ab6401166f">/siti/intranet/Archivio documenti/STRUMENTI DI LAVORO/MODELLI/Atti amministrativi e istituzionali/Modelli atti</Percorso_x0020_URL>
    <Ordinamento xmlns="2357b4e1-a710-4343-b7c5-d4ab6401166f">35</Ordinamento>
    <CRC xmlns="2357b4e1-a710-4343-b7c5-d4ab6401166f">false</CRC>
    <Target xmlns="2357b4e1-a710-4343-b7c5-d4ab6401166f">_blank</Target>
    <Raggruppamento xmlns="2357b4e1-a710-4343-b7c5-d4ab6401166f" xsi:nil="true"/>
    <IconOverlay xmlns="http://schemas.microsoft.com/sharepoint/v4" xsi:nil="true"/>
    <URL xmlns="http://schemas.microsoft.com/sharepoint/v3">
      <Url xsi:nil="true"/>
      <Description xsi:nil="true"/>
    </URL>
    <Descrizione xmlns="2357b4e1-a710-4343-b7c5-d4ab6401166f" xsi:nil="true"/>
    <e88cbbe12bbd4e68bb073ec263a91702 xmlns="2357b4e1-a710-4343-b7c5-d4ab6401166f">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e88cbbe12bbd4e68bb073ec263a91702>
    <InEvidenza xmlns="2357b4e1-a710-4343-b7c5-d4ab6401166f">false</InEvidenza>
    <a0c566320a83495cb741dc18c3706ffb xmlns="2357b4e1-a710-4343-b7c5-d4ab6401166f">
      <Terms xmlns="http://schemas.microsoft.com/office/infopath/2007/PartnerControls"/>
    </a0c566320a83495cb741dc18c3706ffb>
    <he8b62e5d5b448279343bdfdda0b8a6c xmlns="2357b4e1-a710-4343-b7c5-d4ab6401166f">
      <Terms xmlns="http://schemas.microsoft.com/office/infopath/2007/PartnerControls"/>
    </he8b62e5d5b448279343bdfdda0b8a6c>
    <TaxCatchAll xmlns="500022df-510b-49f4-9c25-770d1af90034">
      <Value>206</Value>
    </TaxCatchAll>
  </documentManagement>
</p:properties>
</file>

<file path=customXml/item4.xml><?xml version="1.0" encoding="utf-8"?>
<OneOffixxExtendedBindingPart xmlns:xsd="http://www.w3.org/2001/XMLSchema" xmlns:xsi="http://www.w3.org/2001/XMLSchema-instance" xmlns="http://schema.oneoffixx.com/OneOffixxExtendedBindingPart/1">
  <ExtendedBindings/>
</OneOffixxExtendedBindingPart>
</file>

<file path=customXml/item5.xml><?xml version="1.0" encoding="utf-8"?>
<ct:contentTypeSchema xmlns:ct="http://schemas.microsoft.com/office/2006/metadata/contentType" xmlns:ma="http://schemas.microsoft.com/office/2006/metadata/properties/metaAttributes" ct:_="" ma:_="" ma:contentTypeName="Documento" ma:contentTypeID="0x010100075A9B17A0504F44BA307A6BBC0EABA7" ma:contentTypeVersion="30" ma:contentTypeDescription="Creare un nuovo documento." ma:contentTypeScope="" ma:versionID="31e3fdd5a6c013f8723ce326f19c0474">
  <xsd:schema xmlns:xsd="http://www.w3.org/2001/XMLSchema" xmlns:xs="http://www.w3.org/2001/XMLSchema" xmlns:p="http://schemas.microsoft.com/office/2006/metadata/properties" xmlns:ns1="http://schemas.microsoft.com/sharepoint/v3" xmlns:ns2="2357b4e1-a710-4343-b7c5-d4ab6401166f" xmlns:ns3="500022df-510b-49f4-9c25-770d1af90034" xmlns:ns4="http://schemas.microsoft.com/sharepoint/v4" targetNamespace="http://schemas.microsoft.com/office/2006/metadata/properties" ma:root="true" ma:fieldsID="98d1853f7adff54524fc87246008606f" ns1:_="" ns2:_="" ns3:_="" ns4:_="">
    <xsd:import namespace="http://schemas.microsoft.com/sharepoint/v3"/>
    <xsd:import namespace="2357b4e1-a710-4343-b7c5-d4ab6401166f"/>
    <xsd:import namespace="500022df-510b-49f4-9c25-770d1af90034"/>
    <xsd:import namespace="http://schemas.microsoft.com/sharepoint/v4"/>
    <xsd:element name="properties">
      <xsd:complexType>
        <xsd:sequence>
          <xsd:element name="documentManagement">
            <xsd:complexType>
              <xsd:all>
                <xsd:element ref="ns2:Descrizione" minOccurs="0"/>
                <xsd:element ref="ns2:a0c566320a83495cb741dc18c3706ffb" minOccurs="0"/>
                <xsd:element ref="ns3:TaxCatchAll" minOccurs="0"/>
                <xsd:element ref="ns2:e88cbbe12bbd4e68bb073ec263a91702" minOccurs="0"/>
                <xsd:element ref="ns2:Visibile" minOccurs="0"/>
                <xsd:element ref="ns2:Ordinamento" minOccurs="0"/>
                <xsd:element ref="ns2:he8b62e5d5b448279343bdfdda0b8a6c" minOccurs="0"/>
                <xsd:element ref="ns2:InEvidenza" minOccurs="0"/>
                <xsd:element ref="ns4:IconOverlay" minOccurs="0"/>
                <xsd:element ref="ns2:Target" minOccurs="0"/>
                <xsd:element ref="ns1:URL" minOccurs="0"/>
                <xsd:element ref="ns2:Percorso_x0020_URL" minOccurs="0"/>
                <xsd:element ref="ns2:CRC" minOccurs="0"/>
                <xsd:element ref="ns2:Raggruppamen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1" nillable="true" ma:displayName="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357b4e1-a710-4343-b7c5-d4ab6401166f"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a0c566320a83495cb741dc18c3706ffb" ma:index="10" nillable="true" ma:taxonomy="true" ma:internalName="a0c566320a83495cb741dc18c3706ffb" ma:taxonomyFieldName="PosizionamentoTAG" ma:displayName="PosizionamentoTAG" ma:readOnly="false" ma:default="" ma:fieldId="{a0c56632-0a83-495c-b741-dc18c3706ffb}"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e88cbbe12bbd4e68bb073ec263a91702" ma:index="13" nillable="true" ma:taxonomy="true" ma:internalName="e88cbbe12bbd4e68bb073ec263a91702" ma:taxonomyFieldName="Tipologia" ma:displayName="Tipologia" ma:default="" ma:fieldId="{e88cbbe1-2bbd-4e68-bb07-3ec263a91702}"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Visibile" ma:index="14" nillable="true" ma:displayName="Visibile" ma:default="0" ma:internalName="Visibile">
      <xsd:simpleType>
        <xsd:restriction base="dms:Boolean"/>
      </xsd:simpleType>
    </xsd:element>
    <xsd:element name="Ordinamento" ma:index="15" nillable="true" ma:displayName="Ordinamento" ma:decimals="2" ma:internalName="Ordinamento" ma:percentage="FALSE">
      <xsd:simpleType>
        <xsd:restriction base="dms:Number"/>
      </xsd:simpleType>
    </xsd:element>
    <xsd:element name="he8b62e5d5b448279343bdfdda0b8a6c" ma:index="17" nillable="true" ma:taxonomy="true" ma:internalName="he8b62e5d5b448279343bdfdda0b8a6c" ma:taxonomyFieldName="UA" ma:displayName="UA" ma:default="" ma:fieldId="{1e8b62e5-d5b4-4827-9343-bdfdda0b8a6c}"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InEvidenza" ma:index="18" nillable="true" ma:displayName="InEvidenza" ma:default="0" ma:internalName="InEvidenza">
      <xsd:simpleType>
        <xsd:restriction base="dms:Boolean"/>
      </xsd:simpleType>
    </xsd:element>
    <xsd:element name="Target" ma:index="20" nillable="true" ma:displayName="Target" ma:format="Dropdown" ma:internalName="Target">
      <xsd:simpleType>
        <xsd:restriction base="dms:Choice">
          <xsd:enumeration value="_blank"/>
          <xsd:enumeration value="_self"/>
        </xsd:restriction>
      </xsd:simpleType>
    </xsd:element>
    <xsd:element name="Percorso_x0020_URL" ma:index="22" nillable="true" ma:displayName="PathFolder" ma:description="" ma:internalName="Percorso_x0020_URL">
      <xsd:simpleType>
        <xsd:restriction base="dms:Text">
          <xsd:maxLength value="255"/>
        </xsd:restriction>
      </xsd:simpleType>
    </xsd:element>
    <xsd:element name="CRC" ma:index="23" nillable="true" ma:displayName="CRC" ma:default="0" ma:internalName="CRC">
      <xsd:simpleType>
        <xsd:restriction base="dms:Boolean"/>
      </xsd:simpleType>
    </xsd:element>
    <xsd:element name="Raggruppamento" ma:index="27" nillable="true" ma:displayName="Raggruppamento" ma:internalName="Raggruppamen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1"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23FB5-DB26-46F2-AD63-CBDD1EB18EAC}">
  <ds:schemaRefs>
    <ds:schemaRef ds:uri="http://schemas.microsoft.com/sharepoint/v3/contenttype/forms"/>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E17ACFE3-8DD0-4B6B-91C3-209A428B6B6D}">
  <ds:schemaRefs>
    <ds:schemaRef ds:uri="http://schemas.microsoft.com/office/2006/documentManagement/types"/>
    <ds:schemaRef ds:uri="http://purl.org/dc/dcmitype/"/>
    <ds:schemaRef ds:uri="http://schemas.openxmlformats.org/package/2006/metadata/core-properties"/>
    <ds:schemaRef ds:uri="http://purl.org/dc/elements/1.1/"/>
    <ds:schemaRef ds:uri="http://schemas.microsoft.com/office/infopath/2007/PartnerControls"/>
    <ds:schemaRef ds:uri="500022df-510b-49f4-9c25-770d1af90034"/>
    <ds:schemaRef ds:uri="http://schemas.microsoft.com/sharepoint/v4"/>
    <ds:schemaRef ds:uri="http://purl.org/dc/terms/"/>
    <ds:schemaRef ds:uri="2357b4e1-a710-4343-b7c5-d4ab6401166f"/>
    <ds:schemaRef ds:uri="http://schemas.microsoft.com/sharepoint/v3"/>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5.xml><?xml version="1.0" encoding="utf-8"?>
<ds:datastoreItem xmlns:ds="http://schemas.openxmlformats.org/officeDocument/2006/customXml" ds:itemID="{FBC91398-8DB9-4590-BA65-DB6B97C289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357b4e1-a710-4343-b7c5-d4ab6401166f"/>
    <ds:schemaRef ds:uri="500022df-510b-49f4-9c25-770d1af90034"/>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DB6094C3-6DFC-4376-84EF-7284C7849969}">
  <ds:schemaRefs>
    <ds:schemaRef ds:uri="http://www.w3.org/2001/XMLSchema"/>
    <ds:schemaRef ds:uri="http://schema.oneoffixx.com/OneOffixxFormattingPart/1"/>
    <ds:schemaRef ds:uri=""/>
  </ds:schemaRefs>
</ds:datastoreItem>
</file>

<file path=customXml/itemProps7.xml><?xml version="1.0" encoding="utf-8"?>
<ds:datastoreItem xmlns:ds="http://schemas.openxmlformats.org/officeDocument/2006/customXml" ds:itemID="{184C525C-BF4B-4349-B759-8405D755A2B6}">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1652EBF3-C655-4358-A7A2-F0ADB0FB8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31aba4f3-88f6-4cd4-a838-597f838672ae.dotx</Template>
  <TotalTime>4</TotalTime>
  <Pages>7</Pages>
  <Words>2505</Words>
  <Characters>14285</Characters>
  <Application>Microsoft Office Word</Application>
  <DocSecurity>0</DocSecurity>
  <Lines>119</Lines>
  <Paragraphs>33</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Messaggio governativo CdS</vt:lpstr>
      <vt:lpstr/>
    </vt:vector>
  </TitlesOfParts>
  <Company/>
  <LinksUpToDate>false</LinksUpToDate>
  <CharactersWithSpaces>16757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 governativo CdS</dc:title>
  <dc:creator>Fusaroli Paola / T105694</dc:creator>
  <cp:lastModifiedBy>Reali Francesca</cp:lastModifiedBy>
  <cp:revision>7</cp:revision>
  <cp:lastPrinted>2025-05-14T12:02:00Z</cp:lastPrinted>
  <dcterms:created xsi:type="dcterms:W3CDTF">2025-05-14T14:19:00Z</dcterms:created>
  <dcterms:modified xsi:type="dcterms:W3CDTF">2025-05-16T13:28:00Z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0x010100075A9B17A0504F44BA307A6BBC0EABA7</vt:lpwstr>
  </property>
  <property fmtid="{D5CDD505-2E9C-101B-9397-08002B2CF9AE}" pid="4" name="PosizionamentoTAG">
    <vt:lpwstr/>
  </property>
  <property fmtid="{D5CDD505-2E9C-101B-9397-08002B2CF9AE}" pid="5" name="UA">
    <vt:lpwstr/>
  </property>
  <property fmtid="{D5CDD505-2E9C-101B-9397-08002B2CF9AE}" pid="6" name="Tipologia">
    <vt:lpwstr>206;#Modello|e4ed0d71-d8b7-4b95-acbb-0d70ef5ae075</vt:lpwstr>
  </property>
  <property fmtid="{D5CDD505-2E9C-101B-9397-08002B2CF9AE}" pid="7" name="WorkflowChangePath">
    <vt:lpwstr>c96e7369-a21b-439e-9d03-b0f44479ad89,3;</vt:lpwstr>
  </property>
</Properties>
</file>