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6B3EC" w14:textId="77777777" w:rsidR="00330EC6" w:rsidRPr="00330EC6" w:rsidRDefault="00330EC6" w:rsidP="00330EC6">
      <w:pPr>
        <w:ind w:right="-1"/>
        <w:rPr>
          <w:b/>
          <w:sz w:val="28"/>
          <w:szCs w:val="28"/>
        </w:rPr>
      </w:pPr>
      <w:r w:rsidRPr="00330EC6">
        <w:rPr>
          <w:b/>
          <w:sz w:val="28"/>
          <w:szCs w:val="28"/>
        </w:rPr>
        <w:t>della Commissione ambiente, territorio ed energia</w:t>
      </w:r>
    </w:p>
    <w:p w14:paraId="52B12180" w14:textId="47C06A00" w:rsidR="00330EC6" w:rsidRPr="00330EC6" w:rsidRDefault="00330EC6" w:rsidP="00330EC6">
      <w:pPr>
        <w:ind w:right="-1"/>
        <w:rPr>
          <w:b/>
          <w:sz w:val="28"/>
          <w:szCs w:val="28"/>
        </w:rPr>
      </w:pPr>
      <w:r w:rsidRPr="00330EC6">
        <w:rPr>
          <w:b/>
          <w:sz w:val="28"/>
          <w:szCs w:val="28"/>
        </w:rPr>
        <w:t xml:space="preserve">sul messaggio </w:t>
      </w:r>
      <w:r w:rsidR="00067316">
        <w:rPr>
          <w:b/>
          <w:sz w:val="28"/>
          <w:szCs w:val="28"/>
        </w:rPr>
        <w:t>10 luglio 2024 concernente la t</w:t>
      </w:r>
      <w:r w:rsidRPr="00330EC6">
        <w:rPr>
          <w:b/>
          <w:sz w:val="28"/>
          <w:szCs w:val="28"/>
        </w:rPr>
        <w:t>rasmissione del Piano energetico e climatico cantonale (PECC) per approvazione, modifica della Legge cantonale sull’energia (</w:t>
      </w:r>
      <w:proofErr w:type="spellStart"/>
      <w:r w:rsidRPr="00330EC6">
        <w:rPr>
          <w:b/>
          <w:sz w:val="28"/>
          <w:szCs w:val="28"/>
        </w:rPr>
        <w:t>LEn</w:t>
      </w:r>
      <w:proofErr w:type="spellEnd"/>
      <w:r w:rsidRPr="00330EC6">
        <w:rPr>
          <w:b/>
          <w:sz w:val="28"/>
          <w:szCs w:val="28"/>
        </w:rPr>
        <w:t>), concessione di un credito quadro di 2 milioni di franchi per l’attuazione dei provvedimenti prioritari del PECC ed evasione di 13 atti parlamentari legati ai temi ambientali ed energetici</w:t>
      </w:r>
    </w:p>
    <w:p w14:paraId="705F1140" w14:textId="0C02AC9C" w:rsidR="00330EC6" w:rsidRPr="001F1150" w:rsidRDefault="00330EC6" w:rsidP="00330EC6">
      <w:pPr>
        <w:tabs>
          <w:tab w:val="left" w:pos="5685"/>
        </w:tabs>
        <w:suppressAutoHyphens/>
        <w:autoSpaceDE w:val="0"/>
        <w:autoSpaceDN w:val="0"/>
        <w:adjustRightInd w:val="0"/>
        <w:rPr>
          <w:rFonts w:cs="Arial"/>
          <w:sz w:val="24"/>
          <w:szCs w:val="24"/>
        </w:rPr>
      </w:pPr>
    </w:p>
    <w:p w14:paraId="5DA48FD9" w14:textId="77777777" w:rsidR="001F1150" w:rsidRPr="001F1150" w:rsidRDefault="001F1150" w:rsidP="00330EC6">
      <w:pPr>
        <w:tabs>
          <w:tab w:val="left" w:pos="5685"/>
        </w:tabs>
        <w:suppressAutoHyphens/>
        <w:autoSpaceDE w:val="0"/>
        <w:autoSpaceDN w:val="0"/>
        <w:adjustRightInd w:val="0"/>
        <w:rPr>
          <w:rFonts w:cs="Arial"/>
          <w:sz w:val="24"/>
          <w:szCs w:val="24"/>
        </w:rPr>
      </w:pPr>
    </w:p>
    <w:p w14:paraId="0A25B7B8" w14:textId="77777777" w:rsidR="00330EC6" w:rsidRPr="001F1150" w:rsidRDefault="00330EC6" w:rsidP="00330EC6">
      <w:pPr>
        <w:tabs>
          <w:tab w:val="left" w:pos="5685"/>
        </w:tabs>
        <w:suppressAutoHyphens/>
        <w:autoSpaceDE w:val="0"/>
        <w:autoSpaceDN w:val="0"/>
        <w:adjustRightInd w:val="0"/>
        <w:rPr>
          <w:rFonts w:cs="Arial"/>
          <w:sz w:val="24"/>
          <w:szCs w:val="24"/>
        </w:rPr>
      </w:pPr>
    </w:p>
    <w:sdt>
      <w:sdtPr>
        <w:rPr>
          <w:rFonts w:cs="Arial"/>
          <w:sz w:val="24"/>
          <w:szCs w:val="24"/>
          <w:lang w:val="it-IT"/>
        </w:rPr>
        <w:id w:val="1860540088"/>
        <w:docPartObj>
          <w:docPartGallery w:val="Table of Contents"/>
          <w:docPartUnique/>
        </w:docPartObj>
      </w:sdtPr>
      <w:sdtEndPr>
        <w:rPr>
          <w:bCs/>
          <w:sz w:val="22"/>
          <w:szCs w:val="22"/>
        </w:rPr>
      </w:sdtEndPr>
      <w:sdtContent>
        <w:p w14:paraId="6405BDDF" w14:textId="535B0501" w:rsidR="00330EC6" w:rsidRDefault="00067316" w:rsidP="005D7AFF">
          <w:pPr>
            <w:tabs>
              <w:tab w:val="right" w:pos="9639"/>
            </w:tabs>
            <w:jc w:val="left"/>
            <w:rPr>
              <w:rFonts w:cs="Arial"/>
              <w:b/>
              <w:sz w:val="24"/>
              <w:szCs w:val="24"/>
              <w:lang w:val="it-IT"/>
            </w:rPr>
          </w:pPr>
          <w:r w:rsidRPr="00067316">
            <w:rPr>
              <w:rFonts w:cs="Arial"/>
              <w:b/>
              <w:sz w:val="24"/>
              <w:szCs w:val="24"/>
              <w:lang w:val="it-IT"/>
            </w:rPr>
            <w:t>SOMMARIO:</w:t>
          </w:r>
        </w:p>
        <w:p w14:paraId="65DBCDD4" w14:textId="77777777" w:rsidR="009F68D7" w:rsidRPr="00067316" w:rsidRDefault="009F68D7" w:rsidP="005D7AFF">
          <w:pPr>
            <w:tabs>
              <w:tab w:val="right" w:pos="9639"/>
            </w:tabs>
            <w:jc w:val="left"/>
            <w:rPr>
              <w:rFonts w:cs="Arial"/>
              <w:b/>
              <w:sz w:val="24"/>
              <w:szCs w:val="24"/>
            </w:rPr>
          </w:pPr>
        </w:p>
        <w:p w14:paraId="74934A10" w14:textId="548F51C3" w:rsidR="001F1150" w:rsidRPr="001F1150" w:rsidRDefault="00330EC6" w:rsidP="001F1150">
          <w:pPr>
            <w:pStyle w:val="Sommario1"/>
            <w:rPr>
              <w:rFonts w:asciiTheme="minorHAnsi" w:eastAsiaTheme="minorEastAsia" w:hAnsiTheme="minorHAnsi"/>
              <w:b w:val="0"/>
              <w:noProof/>
              <w:sz w:val="24"/>
              <w:szCs w:val="24"/>
              <w:lang w:eastAsia="it-CH"/>
            </w:rPr>
          </w:pPr>
          <w:r w:rsidRPr="009F68D7">
            <w:rPr>
              <w:sz w:val="24"/>
              <w:szCs w:val="24"/>
            </w:rPr>
            <w:fldChar w:fldCharType="begin"/>
          </w:r>
          <w:r w:rsidRPr="009F68D7">
            <w:rPr>
              <w:sz w:val="24"/>
              <w:szCs w:val="24"/>
            </w:rPr>
            <w:instrText xml:space="preserve"> TOC \o "1-3" \h \z \u </w:instrText>
          </w:r>
          <w:r w:rsidRPr="009F68D7">
            <w:rPr>
              <w:sz w:val="24"/>
              <w:szCs w:val="24"/>
            </w:rPr>
            <w:fldChar w:fldCharType="separate"/>
          </w:r>
          <w:hyperlink w:anchor="_Toc239766127" w:history="1">
            <w:r w:rsidR="001F1150" w:rsidRPr="001F1150">
              <w:rPr>
                <w:rStyle w:val="Collegamentoipertestuale"/>
                <w:rFonts w:eastAsia="Calibri" w:cs="Times New Roman"/>
                <w:b w:val="0"/>
                <w:caps/>
                <w:noProof/>
                <w:sz w:val="24"/>
                <w:szCs w:val="24"/>
                <w:lang w:val="it-IT" w:eastAsia="it-IT"/>
              </w:rPr>
              <w:t>1.</w:t>
            </w:r>
            <w:r w:rsidR="001F1150" w:rsidRPr="001F1150">
              <w:rPr>
                <w:rFonts w:asciiTheme="minorHAnsi" w:eastAsiaTheme="minorEastAsia" w:hAnsiTheme="minorHAnsi"/>
                <w:b w:val="0"/>
                <w:noProof/>
                <w:sz w:val="24"/>
                <w:szCs w:val="24"/>
                <w:lang w:eastAsia="it-CH"/>
              </w:rPr>
              <w:tab/>
            </w:r>
            <w:r w:rsidR="001F1150" w:rsidRPr="001F1150">
              <w:rPr>
                <w:rStyle w:val="Collegamentoipertestuale"/>
                <w:rFonts w:eastAsia="Calibri" w:cs="Times New Roman"/>
                <w:b w:val="0"/>
                <w:caps/>
                <w:noProof/>
                <w:sz w:val="24"/>
                <w:szCs w:val="24"/>
                <w:lang w:val="it-IT" w:eastAsia="it-IT"/>
              </w:rPr>
              <w:t>PREMESSA</w:t>
            </w:r>
            <w:r w:rsidR="001F1150" w:rsidRPr="001F1150">
              <w:rPr>
                <w:b w:val="0"/>
                <w:noProof/>
                <w:webHidden/>
                <w:sz w:val="24"/>
                <w:szCs w:val="24"/>
              </w:rPr>
              <w:tab/>
            </w:r>
            <w:r w:rsidR="001F1150" w:rsidRPr="001F1150">
              <w:rPr>
                <w:b w:val="0"/>
                <w:noProof/>
                <w:webHidden/>
                <w:sz w:val="24"/>
                <w:szCs w:val="24"/>
              </w:rPr>
              <w:fldChar w:fldCharType="begin"/>
            </w:r>
            <w:r w:rsidR="001F1150" w:rsidRPr="001F1150">
              <w:rPr>
                <w:b w:val="0"/>
                <w:noProof/>
                <w:webHidden/>
                <w:sz w:val="24"/>
                <w:szCs w:val="24"/>
              </w:rPr>
              <w:instrText xml:space="preserve"> PAGEREF _Toc239766127 \h </w:instrText>
            </w:r>
            <w:r w:rsidR="001F1150" w:rsidRPr="001F1150">
              <w:rPr>
                <w:b w:val="0"/>
                <w:noProof/>
                <w:webHidden/>
                <w:sz w:val="24"/>
                <w:szCs w:val="24"/>
              </w:rPr>
            </w:r>
            <w:r w:rsidR="001F1150" w:rsidRPr="001F1150">
              <w:rPr>
                <w:b w:val="0"/>
                <w:noProof/>
                <w:webHidden/>
                <w:sz w:val="24"/>
                <w:szCs w:val="24"/>
              </w:rPr>
              <w:fldChar w:fldCharType="separate"/>
            </w:r>
            <w:r w:rsidR="00097B74">
              <w:rPr>
                <w:b w:val="0"/>
                <w:noProof/>
                <w:webHidden/>
                <w:sz w:val="24"/>
                <w:szCs w:val="24"/>
              </w:rPr>
              <w:t>2</w:t>
            </w:r>
            <w:r w:rsidR="001F1150" w:rsidRPr="001F1150">
              <w:rPr>
                <w:b w:val="0"/>
                <w:noProof/>
                <w:webHidden/>
                <w:sz w:val="24"/>
                <w:szCs w:val="24"/>
              </w:rPr>
              <w:fldChar w:fldCharType="end"/>
            </w:r>
          </w:hyperlink>
        </w:p>
        <w:p w14:paraId="518D40AC" w14:textId="50D69F25" w:rsidR="001F1150" w:rsidRPr="001F1150" w:rsidRDefault="001F1150" w:rsidP="001F1150">
          <w:pPr>
            <w:pStyle w:val="Sommario2"/>
            <w:rPr>
              <w:rFonts w:asciiTheme="minorHAnsi" w:eastAsiaTheme="minorEastAsia" w:hAnsiTheme="minorHAnsi"/>
              <w:noProof/>
              <w:sz w:val="24"/>
              <w:szCs w:val="24"/>
              <w:lang w:eastAsia="it-CH"/>
            </w:rPr>
          </w:pPr>
          <w:hyperlink w:anchor="_Toc239766128" w:history="1">
            <w:r w:rsidRPr="001F1150">
              <w:rPr>
                <w:rStyle w:val="Collegamentoipertestuale"/>
                <w:rFonts w:eastAsia="Calibri" w:cs="Times New Roman"/>
                <w:noProof/>
                <w:sz w:val="24"/>
                <w:szCs w:val="24"/>
                <w:lang w:val="it-IT" w:eastAsia="it-IT"/>
              </w:rPr>
              <w:t xml:space="preserve">1.1 </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Cambiamento climatico, pragmatismo e potere d'acquisto</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_Toc239766128 \h </w:instrText>
            </w:r>
            <w:r w:rsidRPr="001F1150">
              <w:rPr>
                <w:noProof/>
                <w:webHidden/>
                <w:sz w:val="24"/>
                <w:szCs w:val="24"/>
              </w:rPr>
            </w:r>
            <w:r w:rsidRPr="001F1150">
              <w:rPr>
                <w:noProof/>
                <w:webHidden/>
                <w:sz w:val="24"/>
                <w:szCs w:val="24"/>
              </w:rPr>
              <w:fldChar w:fldCharType="separate"/>
            </w:r>
            <w:r w:rsidR="00097B74">
              <w:rPr>
                <w:noProof/>
                <w:webHidden/>
                <w:sz w:val="24"/>
                <w:szCs w:val="24"/>
              </w:rPr>
              <w:t>2</w:t>
            </w:r>
            <w:r w:rsidRPr="001F1150">
              <w:rPr>
                <w:noProof/>
                <w:webHidden/>
                <w:sz w:val="24"/>
                <w:szCs w:val="24"/>
              </w:rPr>
              <w:fldChar w:fldCharType="end"/>
            </w:r>
          </w:hyperlink>
        </w:p>
        <w:p w14:paraId="32F6DFE0" w14:textId="37513359" w:rsidR="001F1150" w:rsidRPr="001F1150" w:rsidRDefault="001F1150" w:rsidP="001F1150">
          <w:pPr>
            <w:pStyle w:val="Sommario2"/>
            <w:rPr>
              <w:rFonts w:asciiTheme="minorHAnsi" w:eastAsiaTheme="minorEastAsia" w:hAnsiTheme="minorHAnsi"/>
              <w:noProof/>
              <w:sz w:val="24"/>
              <w:szCs w:val="24"/>
              <w:lang w:eastAsia="it-CH"/>
            </w:rPr>
          </w:pPr>
          <w:hyperlink w:anchor="_Toc239766129" w:history="1">
            <w:r w:rsidRPr="001F1150">
              <w:rPr>
                <w:rStyle w:val="Collegamentoipertestuale"/>
                <w:rFonts w:eastAsia="Calibri" w:cs="Times New Roman"/>
                <w:noProof/>
                <w:sz w:val="24"/>
                <w:szCs w:val="24"/>
                <w:lang w:val="it-IT" w:eastAsia="it-IT"/>
              </w:rPr>
              <w:t xml:space="preserve">1.2 </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La struttura del messaggio e il vizio di metodo centrale</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_Toc239766129 \h </w:instrText>
            </w:r>
            <w:r w:rsidRPr="001F1150">
              <w:rPr>
                <w:noProof/>
                <w:webHidden/>
                <w:sz w:val="24"/>
                <w:szCs w:val="24"/>
              </w:rPr>
            </w:r>
            <w:r w:rsidRPr="001F1150">
              <w:rPr>
                <w:noProof/>
                <w:webHidden/>
                <w:sz w:val="24"/>
                <w:szCs w:val="24"/>
              </w:rPr>
              <w:fldChar w:fldCharType="separate"/>
            </w:r>
            <w:r w:rsidR="00097B74">
              <w:rPr>
                <w:noProof/>
                <w:webHidden/>
                <w:sz w:val="24"/>
                <w:szCs w:val="24"/>
              </w:rPr>
              <w:t>3</w:t>
            </w:r>
            <w:r w:rsidRPr="001F1150">
              <w:rPr>
                <w:noProof/>
                <w:webHidden/>
                <w:sz w:val="24"/>
                <w:szCs w:val="24"/>
              </w:rPr>
              <w:fldChar w:fldCharType="end"/>
            </w:r>
          </w:hyperlink>
        </w:p>
        <w:p w14:paraId="43F7629A" w14:textId="446CACAD" w:rsidR="001F1150" w:rsidRPr="001F1150" w:rsidRDefault="001F1150" w:rsidP="001F1150">
          <w:pPr>
            <w:pStyle w:val="Sommario1"/>
            <w:rPr>
              <w:rFonts w:asciiTheme="minorHAnsi" w:eastAsiaTheme="minorEastAsia" w:hAnsiTheme="minorHAnsi"/>
              <w:b w:val="0"/>
              <w:noProof/>
              <w:sz w:val="24"/>
              <w:szCs w:val="24"/>
              <w:lang w:eastAsia="it-CH"/>
            </w:rPr>
          </w:pPr>
          <w:hyperlink w:anchor="_Toc239766130" w:history="1">
            <w:r w:rsidRPr="001F1150">
              <w:rPr>
                <w:rStyle w:val="Collegamentoipertestuale"/>
                <w:rFonts w:eastAsia="Calibri" w:cs="Times New Roman"/>
                <w:b w:val="0"/>
                <w:caps/>
                <w:noProof/>
                <w:sz w:val="24"/>
                <w:szCs w:val="24"/>
                <w:lang w:val="it-IT" w:eastAsia="it-IT"/>
              </w:rPr>
              <w:t>2.</w:t>
            </w:r>
            <w:r w:rsidRPr="001F1150">
              <w:rPr>
                <w:rFonts w:asciiTheme="minorHAnsi" w:eastAsiaTheme="minorEastAsia" w:hAnsiTheme="minorHAnsi"/>
                <w:b w:val="0"/>
                <w:noProof/>
                <w:sz w:val="24"/>
                <w:szCs w:val="24"/>
                <w:lang w:eastAsia="it-CH"/>
              </w:rPr>
              <w:tab/>
            </w:r>
            <w:r w:rsidRPr="001F1150">
              <w:rPr>
                <w:rStyle w:val="Collegamentoipertestuale"/>
                <w:rFonts w:eastAsia="Calibri" w:cs="Times New Roman"/>
                <w:b w:val="0"/>
                <w:caps/>
                <w:noProof/>
                <w:sz w:val="24"/>
                <w:szCs w:val="24"/>
                <w:lang w:val="it-IT" w:eastAsia="it-IT"/>
              </w:rPr>
              <w:t>UN PIANO COSTRUITO SU PREMESSE NON ANCORA VERIFICATE</w:t>
            </w:r>
            <w:r w:rsidRPr="001F1150">
              <w:rPr>
                <w:b w:val="0"/>
                <w:noProof/>
                <w:webHidden/>
                <w:sz w:val="24"/>
                <w:szCs w:val="24"/>
              </w:rPr>
              <w:tab/>
            </w:r>
            <w:r w:rsidRPr="001F1150">
              <w:rPr>
                <w:b w:val="0"/>
                <w:noProof/>
                <w:webHidden/>
                <w:sz w:val="24"/>
                <w:szCs w:val="24"/>
              </w:rPr>
              <w:fldChar w:fldCharType="begin"/>
            </w:r>
            <w:r w:rsidRPr="001F1150">
              <w:rPr>
                <w:b w:val="0"/>
                <w:noProof/>
                <w:webHidden/>
                <w:sz w:val="24"/>
                <w:szCs w:val="24"/>
              </w:rPr>
              <w:instrText xml:space="preserve"> PAGEREF _Toc239766130 \h </w:instrText>
            </w:r>
            <w:r w:rsidRPr="001F1150">
              <w:rPr>
                <w:b w:val="0"/>
                <w:noProof/>
                <w:webHidden/>
                <w:sz w:val="24"/>
                <w:szCs w:val="24"/>
              </w:rPr>
            </w:r>
            <w:r w:rsidRPr="001F1150">
              <w:rPr>
                <w:b w:val="0"/>
                <w:noProof/>
                <w:webHidden/>
                <w:sz w:val="24"/>
                <w:szCs w:val="24"/>
              </w:rPr>
              <w:fldChar w:fldCharType="separate"/>
            </w:r>
            <w:r w:rsidR="00097B74">
              <w:rPr>
                <w:b w:val="0"/>
                <w:noProof/>
                <w:webHidden/>
                <w:sz w:val="24"/>
                <w:szCs w:val="24"/>
              </w:rPr>
              <w:t>4</w:t>
            </w:r>
            <w:r w:rsidRPr="001F1150">
              <w:rPr>
                <w:b w:val="0"/>
                <w:noProof/>
                <w:webHidden/>
                <w:sz w:val="24"/>
                <w:szCs w:val="24"/>
              </w:rPr>
              <w:fldChar w:fldCharType="end"/>
            </w:r>
          </w:hyperlink>
        </w:p>
        <w:p w14:paraId="048E79B4" w14:textId="7FEAC2E2" w:rsidR="001F1150" w:rsidRPr="001F1150" w:rsidRDefault="001F1150" w:rsidP="001F1150">
          <w:pPr>
            <w:pStyle w:val="Sommario2"/>
            <w:rPr>
              <w:rFonts w:asciiTheme="minorHAnsi" w:eastAsiaTheme="minorEastAsia" w:hAnsiTheme="minorHAnsi"/>
              <w:noProof/>
              <w:sz w:val="24"/>
              <w:szCs w:val="24"/>
              <w:lang w:eastAsia="it-CH"/>
            </w:rPr>
          </w:pPr>
          <w:hyperlink w:anchor="_Toc239766131" w:history="1">
            <w:r w:rsidRPr="001F1150">
              <w:rPr>
                <w:rStyle w:val="Collegamentoipertestuale"/>
                <w:rFonts w:eastAsia="Calibri" w:cs="Times New Roman"/>
                <w:noProof/>
                <w:sz w:val="24"/>
                <w:szCs w:val="24"/>
                <w:lang w:val="it-IT" w:eastAsia="it-IT"/>
              </w:rPr>
              <w:t xml:space="preserve">2.1 </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Le premesse di fabbisogno sono già obsolete</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_Toc239766131 \h </w:instrText>
            </w:r>
            <w:r w:rsidRPr="001F1150">
              <w:rPr>
                <w:noProof/>
                <w:webHidden/>
                <w:sz w:val="24"/>
                <w:szCs w:val="24"/>
              </w:rPr>
            </w:r>
            <w:r w:rsidRPr="001F1150">
              <w:rPr>
                <w:noProof/>
                <w:webHidden/>
                <w:sz w:val="24"/>
                <w:szCs w:val="24"/>
              </w:rPr>
              <w:fldChar w:fldCharType="separate"/>
            </w:r>
            <w:r w:rsidR="00097B74">
              <w:rPr>
                <w:noProof/>
                <w:webHidden/>
                <w:sz w:val="24"/>
                <w:szCs w:val="24"/>
              </w:rPr>
              <w:t>4</w:t>
            </w:r>
            <w:r w:rsidRPr="001F1150">
              <w:rPr>
                <w:noProof/>
                <w:webHidden/>
                <w:sz w:val="24"/>
                <w:szCs w:val="24"/>
              </w:rPr>
              <w:fldChar w:fldCharType="end"/>
            </w:r>
          </w:hyperlink>
        </w:p>
        <w:p w14:paraId="68DF9401" w14:textId="707CA49D" w:rsidR="001F1150" w:rsidRPr="001F1150" w:rsidRDefault="001F1150" w:rsidP="001F1150">
          <w:pPr>
            <w:pStyle w:val="Sommario2"/>
            <w:rPr>
              <w:rFonts w:asciiTheme="minorHAnsi" w:eastAsiaTheme="minorEastAsia" w:hAnsiTheme="minorHAnsi"/>
              <w:noProof/>
              <w:sz w:val="24"/>
              <w:szCs w:val="24"/>
              <w:lang w:eastAsia="it-CH"/>
            </w:rPr>
          </w:pPr>
          <w:hyperlink w:anchor="_Toc239766132" w:history="1">
            <w:r w:rsidRPr="001F1150">
              <w:rPr>
                <w:rStyle w:val="Collegamentoipertestuale"/>
                <w:rFonts w:eastAsia="Calibri" w:cs="Times New Roman"/>
                <w:noProof/>
                <w:sz w:val="24"/>
                <w:szCs w:val="24"/>
                <w:lang w:val="it-IT" w:eastAsia="it-IT"/>
              </w:rPr>
              <w:t xml:space="preserve">2.2 </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Le grandi assenti: digitalizzazione, IA e industria 4.0</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_Toc239766132 \h </w:instrText>
            </w:r>
            <w:r w:rsidRPr="001F1150">
              <w:rPr>
                <w:noProof/>
                <w:webHidden/>
                <w:sz w:val="24"/>
                <w:szCs w:val="24"/>
              </w:rPr>
            </w:r>
            <w:r w:rsidRPr="001F1150">
              <w:rPr>
                <w:noProof/>
                <w:webHidden/>
                <w:sz w:val="24"/>
                <w:szCs w:val="24"/>
              </w:rPr>
              <w:fldChar w:fldCharType="separate"/>
            </w:r>
            <w:r w:rsidR="00097B74">
              <w:rPr>
                <w:noProof/>
                <w:webHidden/>
                <w:sz w:val="24"/>
                <w:szCs w:val="24"/>
              </w:rPr>
              <w:t>4</w:t>
            </w:r>
            <w:r w:rsidRPr="001F1150">
              <w:rPr>
                <w:noProof/>
                <w:webHidden/>
                <w:sz w:val="24"/>
                <w:szCs w:val="24"/>
              </w:rPr>
              <w:fldChar w:fldCharType="end"/>
            </w:r>
          </w:hyperlink>
        </w:p>
        <w:p w14:paraId="643DCB3E" w14:textId="128A309F" w:rsidR="001F1150" w:rsidRPr="001F1150" w:rsidRDefault="001F1150" w:rsidP="001F1150">
          <w:pPr>
            <w:pStyle w:val="Sommario1"/>
            <w:rPr>
              <w:rFonts w:asciiTheme="minorHAnsi" w:eastAsiaTheme="minorEastAsia" w:hAnsiTheme="minorHAnsi"/>
              <w:b w:val="0"/>
              <w:noProof/>
              <w:sz w:val="24"/>
              <w:szCs w:val="24"/>
              <w:lang w:eastAsia="it-CH"/>
            </w:rPr>
          </w:pPr>
          <w:hyperlink w:anchor="_Toc239766133" w:history="1">
            <w:r w:rsidRPr="001F1150">
              <w:rPr>
                <w:rStyle w:val="Collegamentoipertestuale"/>
                <w:rFonts w:eastAsia="Calibri" w:cs="Times New Roman"/>
                <w:b w:val="0"/>
                <w:caps/>
                <w:noProof/>
                <w:sz w:val="24"/>
                <w:szCs w:val="24"/>
                <w:lang w:val="it-IT" w:eastAsia="it-IT"/>
              </w:rPr>
              <w:t>3.</w:t>
            </w:r>
            <w:r w:rsidRPr="001F1150">
              <w:rPr>
                <w:rFonts w:asciiTheme="minorHAnsi" w:eastAsiaTheme="minorEastAsia" w:hAnsiTheme="minorHAnsi"/>
                <w:b w:val="0"/>
                <w:noProof/>
                <w:sz w:val="24"/>
                <w:szCs w:val="24"/>
                <w:lang w:eastAsia="it-CH"/>
              </w:rPr>
              <w:tab/>
            </w:r>
            <w:r w:rsidRPr="001F1150">
              <w:rPr>
                <w:rStyle w:val="Collegamentoipertestuale"/>
                <w:rFonts w:eastAsia="Calibri" w:cs="Times New Roman"/>
                <w:b w:val="0"/>
                <w:caps/>
                <w:noProof/>
                <w:sz w:val="24"/>
                <w:szCs w:val="24"/>
                <w:lang w:val="it-IT" w:eastAsia="it-IT"/>
              </w:rPr>
              <w:t>LA SICUREZZA DELL'APPROVVIGIONAMENTO INVERNALE: ASSUNZIONI NON DOCUMENTATE</w:t>
            </w:r>
            <w:r w:rsidRPr="001F1150">
              <w:rPr>
                <w:b w:val="0"/>
                <w:noProof/>
                <w:webHidden/>
                <w:sz w:val="24"/>
                <w:szCs w:val="24"/>
              </w:rPr>
              <w:tab/>
            </w:r>
            <w:r w:rsidRPr="001F1150">
              <w:rPr>
                <w:b w:val="0"/>
                <w:noProof/>
                <w:webHidden/>
                <w:sz w:val="24"/>
                <w:szCs w:val="24"/>
              </w:rPr>
              <w:fldChar w:fldCharType="begin"/>
            </w:r>
            <w:r w:rsidRPr="001F1150">
              <w:rPr>
                <w:b w:val="0"/>
                <w:noProof/>
                <w:webHidden/>
                <w:sz w:val="24"/>
                <w:szCs w:val="24"/>
              </w:rPr>
              <w:instrText xml:space="preserve"> PAGEREF _Toc239766133 \h </w:instrText>
            </w:r>
            <w:r w:rsidRPr="001F1150">
              <w:rPr>
                <w:b w:val="0"/>
                <w:noProof/>
                <w:webHidden/>
                <w:sz w:val="24"/>
                <w:szCs w:val="24"/>
              </w:rPr>
            </w:r>
            <w:r w:rsidRPr="001F1150">
              <w:rPr>
                <w:b w:val="0"/>
                <w:noProof/>
                <w:webHidden/>
                <w:sz w:val="24"/>
                <w:szCs w:val="24"/>
              </w:rPr>
              <w:fldChar w:fldCharType="separate"/>
            </w:r>
            <w:r w:rsidR="00097B74">
              <w:rPr>
                <w:b w:val="0"/>
                <w:noProof/>
                <w:webHidden/>
                <w:sz w:val="24"/>
                <w:szCs w:val="24"/>
              </w:rPr>
              <w:t>5</w:t>
            </w:r>
            <w:r w:rsidRPr="001F1150">
              <w:rPr>
                <w:b w:val="0"/>
                <w:noProof/>
                <w:webHidden/>
                <w:sz w:val="24"/>
                <w:szCs w:val="24"/>
              </w:rPr>
              <w:fldChar w:fldCharType="end"/>
            </w:r>
          </w:hyperlink>
        </w:p>
        <w:p w14:paraId="31AB0468" w14:textId="4A17D104" w:rsidR="001F1150" w:rsidRPr="001F1150" w:rsidRDefault="001F1150" w:rsidP="001F1150">
          <w:pPr>
            <w:pStyle w:val="Sommario1"/>
            <w:rPr>
              <w:rFonts w:asciiTheme="minorHAnsi" w:eastAsiaTheme="minorEastAsia" w:hAnsiTheme="minorHAnsi"/>
              <w:b w:val="0"/>
              <w:noProof/>
              <w:sz w:val="24"/>
              <w:szCs w:val="24"/>
              <w:lang w:eastAsia="it-CH"/>
            </w:rPr>
          </w:pPr>
          <w:hyperlink w:anchor="_Toc239766134" w:history="1">
            <w:r w:rsidRPr="001F1150">
              <w:rPr>
                <w:rStyle w:val="Collegamentoipertestuale"/>
                <w:rFonts w:eastAsia="Calibri" w:cs="Times New Roman"/>
                <w:b w:val="0"/>
                <w:caps/>
                <w:noProof/>
                <w:sz w:val="24"/>
                <w:szCs w:val="24"/>
                <w:lang w:val="it-IT" w:eastAsia="it-IT"/>
              </w:rPr>
              <w:t>4.</w:t>
            </w:r>
            <w:r w:rsidRPr="001F1150">
              <w:rPr>
                <w:rFonts w:asciiTheme="minorHAnsi" w:eastAsiaTheme="minorEastAsia" w:hAnsiTheme="minorHAnsi"/>
                <w:b w:val="0"/>
                <w:noProof/>
                <w:sz w:val="24"/>
                <w:szCs w:val="24"/>
                <w:lang w:eastAsia="it-CH"/>
              </w:rPr>
              <w:tab/>
            </w:r>
            <w:r w:rsidRPr="001F1150">
              <w:rPr>
                <w:rStyle w:val="Collegamentoipertestuale"/>
                <w:rFonts w:eastAsia="Calibri" w:cs="Times New Roman"/>
                <w:b w:val="0"/>
                <w:caps/>
                <w:noProof/>
                <w:sz w:val="24"/>
                <w:szCs w:val="24"/>
                <w:lang w:val="it-IT" w:eastAsia="it-IT"/>
              </w:rPr>
              <w:t>UN QUADRO FEDERALE IN PIENA TRASFORMAZIONE</w:t>
            </w:r>
            <w:r w:rsidRPr="001F1150">
              <w:rPr>
                <w:b w:val="0"/>
                <w:noProof/>
                <w:webHidden/>
                <w:sz w:val="24"/>
                <w:szCs w:val="24"/>
              </w:rPr>
              <w:tab/>
            </w:r>
            <w:r w:rsidRPr="001F1150">
              <w:rPr>
                <w:b w:val="0"/>
                <w:noProof/>
                <w:webHidden/>
                <w:sz w:val="24"/>
                <w:szCs w:val="24"/>
              </w:rPr>
              <w:fldChar w:fldCharType="begin"/>
            </w:r>
            <w:r w:rsidRPr="001F1150">
              <w:rPr>
                <w:b w:val="0"/>
                <w:noProof/>
                <w:webHidden/>
                <w:sz w:val="24"/>
                <w:szCs w:val="24"/>
              </w:rPr>
              <w:instrText xml:space="preserve"> PAGEREF _Toc239766134 \h </w:instrText>
            </w:r>
            <w:r w:rsidRPr="001F1150">
              <w:rPr>
                <w:b w:val="0"/>
                <w:noProof/>
                <w:webHidden/>
                <w:sz w:val="24"/>
                <w:szCs w:val="24"/>
              </w:rPr>
            </w:r>
            <w:r w:rsidRPr="001F1150">
              <w:rPr>
                <w:b w:val="0"/>
                <w:noProof/>
                <w:webHidden/>
                <w:sz w:val="24"/>
                <w:szCs w:val="24"/>
              </w:rPr>
              <w:fldChar w:fldCharType="separate"/>
            </w:r>
            <w:r w:rsidR="00097B74">
              <w:rPr>
                <w:b w:val="0"/>
                <w:noProof/>
                <w:webHidden/>
                <w:sz w:val="24"/>
                <w:szCs w:val="24"/>
              </w:rPr>
              <w:t>6</w:t>
            </w:r>
            <w:r w:rsidRPr="001F1150">
              <w:rPr>
                <w:b w:val="0"/>
                <w:noProof/>
                <w:webHidden/>
                <w:sz w:val="24"/>
                <w:szCs w:val="24"/>
              </w:rPr>
              <w:fldChar w:fldCharType="end"/>
            </w:r>
          </w:hyperlink>
        </w:p>
        <w:p w14:paraId="08D4DF6E" w14:textId="2248C9AD" w:rsidR="001F1150" w:rsidRPr="001F1150" w:rsidRDefault="001F1150" w:rsidP="001F1150">
          <w:pPr>
            <w:pStyle w:val="Sommario1"/>
            <w:rPr>
              <w:rFonts w:asciiTheme="minorHAnsi" w:eastAsiaTheme="minorEastAsia" w:hAnsiTheme="minorHAnsi"/>
              <w:b w:val="0"/>
              <w:noProof/>
              <w:sz w:val="24"/>
              <w:szCs w:val="24"/>
              <w:lang w:eastAsia="it-CH"/>
            </w:rPr>
          </w:pPr>
          <w:hyperlink w:anchor="_Toc239766135" w:history="1">
            <w:r w:rsidRPr="001F1150">
              <w:rPr>
                <w:rStyle w:val="Collegamentoipertestuale"/>
                <w:rFonts w:eastAsia="Calibri" w:cs="Times New Roman"/>
                <w:b w:val="0"/>
                <w:caps/>
                <w:noProof/>
                <w:sz w:val="24"/>
                <w:szCs w:val="24"/>
                <w:lang w:val="it-IT" w:eastAsia="it-IT"/>
              </w:rPr>
              <w:t>5.</w:t>
            </w:r>
            <w:r w:rsidRPr="001F1150">
              <w:rPr>
                <w:rFonts w:asciiTheme="minorHAnsi" w:eastAsiaTheme="minorEastAsia" w:hAnsiTheme="minorHAnsi"/>
                <w:b w:val="0"/>
                <w:noProof/>
                <w:sz w:val="24"/>
                <w:szCs w:val="24"/>
                <w:lang w:eastAsia="it-CH"/>
              </w:rPr>
              <w:tab/>
            </w:r>
            <w:r w:rsidRPr="001F1150">
              <w:rPr>
                <w:rStyle w:val="Collegamentoipertestuale"/>
                <w:rFonts w:eastAsia="Calibri" w:cs="Times New Roman"/>
                <w:b w:val="0"/>
                <w:caps/>
                <w:noProof/>
                <w:sz w:val="24"/>
                <w:szCs w:val="24"/>
                <w:lang w:val="it-IT" w:eastAsia="it-IT"/>
              </w:rPr>
              <w:t>LE MODIFICHE ALLA LEn: OBBLIGHI SENZA BASI ANALITICHE E SENZA STIMA DELL'ONERE NETTO</w:t>
            </w:r>
            <w:r w:rsidRPr="001F1150">
              <w:rPr>
                <w:b w:val="0"/>
                <w:noProof/>
                <w:webHidden/>
                <w:sz w:val="24"/>
                <w:szCs w:val="24"/>
              </w:rPr>
              <w:tab/>
            </w:r>
            <w:r w:rsidRPr="001F1150">
              <w:rPr>
                <w:b w:val="0"/>
                <w:noProof/>
                <w:webHidden/>
                <w:sz w:val="24"/>
                <w:szCs w:val="24"/>
              </w:rPr>
              <w:fldChar w:fldCharType="begin"/>
            </w:r>
            <w:r w:rsidRPr="001F1150">
              <w:rPr>
                <w:b w:val="0"/>
                <w:noProof/>
                <w:webHidden/>
                <w:sz w:val="24"/>
                <w:szCs w:val="24"/>
              </w:rPr>
              <w:instrText xml:space="preserve"> PAGEREF _Toc239766135 \h </w:instrText>
            </w:r>
            <w:r w:rsidRPr="001F1150">
              <w:rPr>
                <w:b w:val="0"/>
                <w:noProof/>
                <w:webHidden/>
                <w:sz w:val="24"/>
                <w:szCs w:val="24"/>
              </w:rPr>
            </w:r>
            <w:r w:rsidRPr="001F1150">
              <w:rPr>
                <w:b w:val="0"/>
                <w:noProof/>
                <w:webHidden/>
                <w:sz w:val="24"/>
                <w:szCs w:val="24"/>
              </w:rPr>
              <w:fldChar w:fldCharType="separate"/>
            </w:r>
            <w:r w:rsidR="00097B74">
              <w:rPr>
                <w:b w:val="0"/>
                <w:noProof/>
                <w:webHidden/>
                <w:sz w:val="24"/>
                <w:szCs w:val="24"/>
              </w:rPr>
              <w:t>7</w:t>
            </w:r>
            <w:r w:rsidRPr="001F1150">
              <w:rPr>
                <w:b w:val="0"/>
                <w:noProof/>
                <w:webHidden/>
                <w:sz w:val="24"/>
                <w:szCs w:val="24"/>
              </w:rPr>
              <w:fldChar w:fldCharType="end"/>
            </w:r>
          </w:hyperlink>
        </w:p>
        <w:p w14:paraId="698C23AC" w14:textId="52B6EF76" w:rsidR="001F1150" w:rsidRPr="001F1150" w:rsidRDefault="001F1150" w:rsidP="001F1150">
          <w:pPr>
            <w:pStyle w:val="Sommario2"/>
            <w:rPr>
              <w:rFonts w:asciiTheme="minorHAnsi" w:eastAsiaTheme="minorEastAsia" w:hAnsiTheme="minorHAnsi"/>
              <w:noProof/>
              <w:sz w:val="24"/>
              <w:szCs w:val="24"/>
              <w:lang w:eastAsia="it-CH"/>
            </w:rPr>
          </w:pPr>
          <w:hyperlink w:anchor="_Toc239766136" w:history="1">
            <w:r w:rsidRPr="001F1150">
              <w:rPr>
                <w:rStyle w:val="Collegamentoipertestuale"/>
                <w:rFonts w:eastAsia="Calibri" w:cs="Times New Roman"/>
                <w:noProof/>
                <w:sz w:val="24"/>
                <w:szCs w:val="24"/>
                <w:lang w:val="it-IT" w:eastAsia="it-IT"/>
              </w:rPr>
              <w:t xml:space="preserve">5.1 </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La sequenza logica rovesciata</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_Toc239766136 \h </w:instrText>
            </w:r>
            <w:r w:rsidRPr="001F1150">
              <w:rPr>
                <w:noProof/>
                <w:webHidden/>
                <w:sz w:val="24"/>
                <w:szCs w:val="24"/>
              </w:rPr>
            </w:r>
            <w:r w:rsidRPr="001F1150">
              <w:rPr>
                <w:noProof/>
                <w:webHidden/>
                <w:sz w:val="24"/>
                <w:szCs w:val="24"/>
              </w:rPr>
              <w:fldChar w:fldCharType="separate"/>
            </w:r>
            <w:r w:rsidR="00097B74">
              <w:rPr>
                <w:noProof/>
                <w:webHidden/>
                <w:sz w:val="24"/>
                <w:szCs w:val="24"/>
              </w:rPr>
              <w:t>7</w:t>
            </w:r>
            <w:r w:rsidRPr="001F1150">
              <w:rPr>
                <w:noProof/>
                <w:webHidden/>
                <w:sz w:val="24"/>
                <w:szCs w:val="24"/>
              </w:rPr>
              <w:fldChar w:fldCharType="end"/>
            </w:r>
          </w:hyperlink>
        </w:p>
        <w:p w14:paraId="40417DD6" w14:textId="4FA3737E" w:rsidR="001F1150" w:rsidRPr="001F1150" w:rsidRDefault="001F1150" w:rsidP="001F1150">
          <w:pPr>
            <w:pStyle w:val="Sommario2"/>
            <w:rPr>
              <w:rFonts w:asciiTheme="minorHAnsi" w:eastAsiaTheme="minorEastAsia" w:hAnsiTheme="minorHAnsi"/>
              <w:noProof/>
              <w:sz w:val="24"/>
              <w:szCs w:val="24"/>
              <w:lang w:eastAsia="it-CH"/>
            </w:rPr>
          </w:pPr>
          <w:hyperlink w:anchor="_Toc239766137" w:history="1">
            <w:r w:rsidRPr="001F1150">
              <w:rPr>
                <w:rStyle w:val="Collegamentoipertestuale"/>
                <w:rFonts w:eastAsia="Calibri" w:cs="Times New Roman"/>
                <w:noProof/>
                <w:sz w:val="24"/>
                <w:szCs w:val="24"/>
                <w:lang w:val="it-IT" w:eastAsia="it-IT"/>
              </w:rPr>
              <w:t xml:space="preserve">5.2 </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L'obbligo di installazione fotovoltaica</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_Toc239766137 \h </w:instrText>
            </w:r>
            <w:r w:rsidRPr="001F1150">
              <w:rPr>
                <w:noProof/>
                <w:webHidden/>
                <w:sz w:val="24"/>
                <w:szCs w:val="24"/>
              </w:rPr>
            </w:r>
            <w:r w:rsidRPr="001F1150">
              <w:rPr>
                <w:noProof/>
                <w:webHidden/>
                <w:sz w:val="24"/>
                <w:szCs w:val="24"/>
              </w:rPr>
              <w:fldChar w:fldCharType="separate"/>
            </w:r>
            <w:r w:rsidR="00097B74">
              <w:rPr>
                <w:noProof/>
                <w:webHidden/>
                <w:sz w:val="24"/>
                <w:szCs w:val="24"/>
              </w:rPr>
              <w:t>7</w:t>
            </w:r>
            <w:r w:rsidRPr="001F1150">
              <w:rPr>
                <w:noProof/>
                <w:webHidden/>
                <w:sz w:val="24"/>
                <w:szCs w:val="24"/>
              </w:rPr>
              <w:fldChar w:fldCharType="end"/>
            </w:r>
          </w:hyperlink>
        </w:p>
        <w:p w14:paraId="2B855A5A" w14:textId="2D13C26A" w:rsidR="001F1150" w:rsidRPr="001F1150" w:rsidRDefault="001F1150" w:rsidP="001F1150">
          <w:pPr>
            <w:pStyle w:val="Sommario2"/>
            <w:rPr>
              <w:rFonts w:asciiTheme="minorHAnsi" w:eastAsiaTheme="minorEastAsia" w:hAnsiTheme="minorHAnsi"/>
              <w:noProof/>
              <w:sz w:val="24"/>
              <w:szCs w:val="24"/>
              <w:lang w:eastAsia="it-CH"/>
            </w:rPr>
          </w:pPr>
          <w:hyperlink w:anchor="_Toc239766138" w:history="1">
            <w:r w:rsidRPr="001F1150">
              <w:rPr>
                <w:rStyle w:val="Collegamentoipertestuale"/>
                <w:rFonts w:eastAsia="Calibri" w:cs="Times New Roman"/>
                <w:noProof/>
                <w:sz w:val="24"/>
                <w:szCs w:val="24"/>
                <w:lang w:val="it-IT" w:eastAsia="it-IT"/>
              </w:rPr>
              <w:t xml:space="preserve">5.3 </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Gli obblighi sul riscaldamento, il potere d'acquisto e i 2,5 miliardi</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_Toc239766138 \h </w:instrText>
            </w:r>
            <w:r w:rsidRPr="001F1150">
              <w:rPr>
                <w:noProof/>
                <w:webHidden/>
                <w:sz w:val="24"/>
                <w:szCs w:val="24"/>
              </w:rPr>
            </w:r>
            <w:r w:rsidRPr="001F1150">
              <w:rPr>
                <w:noProof/>
                <w:webHidden/>
                <w:sz w:val="24"/>
                <w:szCs w:val="24"/>
              </w:rPr>
              <w:fldChar w:fldCharType="separate"/>
            </w:r>
            <w:r w:rsidR="00097B74">
              <w:rPr>
                <w:noProof/>
                <w:webHidden/>
                <w:sz w:val="24"/>
                <w:szCs w:val="24"/>
              </w:rPr>
              <w:t>8</w:t>
            </w:r>
            <w:r w:rsidRPr="001F1150">
              <w:rPr>
                <w:noProof/>
                <w:webHidden/>
                <w:sz w:val="24"/>
                <w:szCs w:val="24"/>
              </w:rPr>
              <w:fldChar w:fldCharType="end"/>
            </w:r>
          </w:hyperlink>
        </w:p>
        <w:p w14:paraId="35E7FFD8" w14:textId="6E0AEA36" w:rsidR="001F1150" w:rsidRPr="001F1150" w:rsidRDefault="001F1150" w:rsidP="001F1150">
          <w:pPr>
            <w:pStyle w:val="Sommario2"/>
            <w:rPr>
              <w:rFonts w:asciiTheme="minorHAnsi" w:eastAsiaTheme="minorEastAsia" w:hAnsiTheme="minorHAnsi"/>
              <w:noProof/>
              <w:sz w:val="24"/>
              <w:szCs w:val="24"/>
              <w:lang w:eastAsia="it-CH"/>
            </w:rPr>
          </w:pPr>
          <w:hyperlink w:anchor="_Toc239766139" w:history="1">
            <w:r w:rsidRPr="001F1150">
              <w:rPr>
                <w:rStyle w:val="Collegamentoipertestuale"/>
                <w:rFonts w:eastAsia="Calibri" w:cs="Times New Roman"/>
                <w:noProof/>
                <w:sz w:val="24"/>
                <w:szCs w:val="24"/>
                <w:lang w:val="it-IT" w:eastAsia="it-IT"/>
              </w:rPr>
              <w:t>5.4</w:t>
            </w:r>
            <w:r w:rsidRPr="001F1150">
              <w:rPr>
                <w:rFonts w:asciiTheme="minorHAnsi" w:eastAsiaTheme="minorEastAsia" w:hAnsiTheme="minorHAnsi"/>
                <w:noProof/>
                <w:sz w:val="24"/>
                <w:szCs w:val="24"/>
                <w:lang w:eastAsia="it-CH"/>
              </w:rPr>
              <w:tab/>
            </w:r>
            <w:r w:rsidRPr="001F1150">
              <w:rPr>
                <w:rStyle w:val="Collegamentoipertestuale"/>
                <w:rFonts w:eastAsia="Calibri" w:cs="Times New Roman"/>
                <w:noProof/>
                <w:sz w:val="24"/>
                <w:szCs w:val="24"/>
                <w:lang w:val="it-IT" w:eastAsia="it-IT"/>
              </w:rPr>
              <w:t xml:space="preserve"> Il confronto con il MoPEC 2025</w:t>
            </w:r>
            <w:r w:rsidRPr="001F1150">
              <w:rPr>
                <w:noProof/>
                <w:webHidden/>
                <w:sz w:val="24"/>
                <w:szCs w:val="24"/>
              </w:rPr>
              <w:tab/>
            </w:r>
            <w:r w:rsidRPr="001F1150">
              <w:rPr>
                <w:noProof/>
                <w:webHidden/>
                <w:sz w:val="24"/>
                <w:szCs w:val="24"/>
              </w:rPr>
              <w:fldChar w:fldCharType="begin"/>
            </w:r>
            <w:r w:rsidRPr="001F1150">
              <w:rPr>
                <w:noProof/>
                <w:webHidden/>
                <w:sz w:val="24"/>
                <w:szCs w:val="24"/>
              </w:rPr>
              <w:instrText xml:space="preserve"> PAGEREF _Toc239766139 \h </w:instrText>
            </w:r>
            <w:r w:rsidRPr="001F1150">
              <w:rPr>
                <w:noProof/>
                <w:webHidden/>
                <w:sz w:val="24"/>
                <w:szCs w:val="24"/>
              </w:rPr>
            </w:r>
            <w:r w:rsidRPr="001F1150">
              <w:rPr>
                <w:noProof/>
                <w:webHidden/>
                <w:sz w:val="24"/>
                <w:szCs w:val="24"/>
              </w:rPr>
              <w:fldChar w:fldCharType="separate"/>
            </w:r>
            <w:r w:rsidR="00097B74">
              <w:rPr>
                <w:noProof/>
                <w:webHidden/>
                <w:sz w:val="24"/>
                <w:szCs w:val="24"/>
              </w:rPr>
              <w:t>9</w:t>
            </w:r>
            <w:r w:rsidRPr="001F1150">
              <w:rPr>
                <w:noProof/>
                <w:webHidden/>
                <w:sz w:val="24"/>
                <w:szCs w:val="24"/>
              </w:rPr>
              <w:fldChar w:fldCharType="end"/>
            </w:r>
          </w:hyperlink>
        </w:p>
        <w:p w14:paraId="204ED072" w14:textId="1EF51AA4" w:rsidR="001F1150" w:rsidRPr="001F1150" w:rsidRDefault="001F1150" w:rsidP="001F1150">
          <w:pPr>
            <w:pStyle w:val="Sommario1"/>
            <w:rPr>
              <w:rFonts w:asciiTheme="minorHAnsi" w:eastAsiaTheme="minorEastAsia" w:hAnsiTheme="minorHAnsi"/>
              <w:b w:val="0"/>
              <w:noProof/>
              <w:sz w:val="24"/>
              <w:szCs w:val="24"/>
              <w:lang w:eastAsia="it-CH"/>
            </w:rPr>
          </w:pPr>
          <w:hyperlink w:anchor="_Toc239766140" w:history="1">
            <w:r w:rsidRPr="001F1150">
              <w:rPr>
                <w:rStyle w:val="Collegamentoipertestuale"/>
                <w:rFonts w:eastAsia="Calibri" w:cs="Times New Roman"/>
                <w:b w:val="0"/>
                <w:caps/>
                <w:noProof/>
                <w:sz w:val="24"/>
                <w:szCs w:val="24"/>
                <w:lang w:val="it-IT" w:eastAsia="it-IT"/>
              </w:rPr>
              <w:t>6.</w:t>
            </w:r>
            <w:r w:rsidRPr="001F1150">
              <w:rPr>
                <w:rFonts w:asciiTheme="minorHAnsi" w:eastAsiaTheme="minorEastAsia" w:hAnsiTheme="minorHAnsi"/>
                <w:b w:val="0"/>
                <w:noProof/>
                <w:sz w:val="24"/>
                <w:szCs w:val="24"/>
                <w:lang w:eastAsia="it-CH"/>
              </w:rPr>
              <w:tab/>
            </w:r>
            <w:r w:rsidRPr="001F1150">
              <w:rPr>
                <w:rStyle w:val="Collegamentoipertestuale"/>
                <w:rFonts w:eastAsia="Calibri" w:cs="Times New Roman"/>
                <w:b w:val="0"/>
                <w:caps/>
                <w:noProof/>
                <w:sz w:val="24"/>
                <w:szCs w:val="24"/>
                <w:lang w:val="it-IT" w:eastAsia="it-IT"/>
              </w:rPr>
              <w:t>I COSTI: UNA CONTABILITÀ ANCORA DA COSTRUIRE</w:t>
            </w:r>
            <w:r w:rsidRPr="001F1150">
              <w:rPr>
                <w:b w:val="0"/>
                <w:noProof/>
                <w:webHidden/>
                <w:sz w:val="24"/>
                <w:szCs w:val="24"/>
              </w:rPr>
              <w:tab/>
            </w:r>
            <w:r w:rsidRPr="001F1150">
              <w:rPr>
                <w:b w:val="0"/>
                <w:noProof/>
                <w:webHidden/>
                <w:sz w:val="24"/>
                <w:szCs w:val="24"/>
              </w:rPr>
              <w:fldChar w:fldCharType="begin"/>
            </w:r>
            <w:r w:rsidRPr="001F1150">
              <w:rPr>
                <w:b w:val="0"/>
                <w:noProof/>
                <w:webHidden/>
                <w:sz w:val="24"/>
                <w:szCs w:val="24"/>
              </w:rPr>
              <w:instrText xml:space="preserve"> PAGEREF _Toc239766140 \h </w:instrText>
            </w:r>
            <w:r w:rsidRPr="001F1150">
              <w:rPr>
                <w:b w:val="0"/>
                <w:noProof/>
                <w:webHidden/>
                <w:sz w:val="24"/>
                <w:szCs w:val="24"/>
              </w:rPr>
            </w:r>
            <w:r w:rsidRPr="001F1150">
              <w:rPr>
                <w:b w:val="0"/>
                <w:noProof/>
                <w:webHidden/>
                <w:sz w:val="24"/>
                <w:szCs w:val="24"/>
              </w:rPr>
              <w:fldChar w:fldCharType="separate"/>
            </w:r>
            <w:r w:rsidR="00097B74">
              <w:rPr>
                <w:b w:val="0"/>
                <w:noProof/>
                <w:webHidden/>
                <w:sz w:val="24"/>
                <w:szCs w:val="24"/>
              </w:rPr>
              <w:t>9</w:t>
            </w:r>
            <w:r w:rsidRPr="001F1150">
              <w:rPr>
                <w:b w:val="0"/>
                <w:noProof/>
                <w:webHidden/>
                <w:sz w:val="24"/>
                <w:szCs w:val="24"/>
              </w:rPr>
              <w:fldChar w:fldCharType="end"/>
            </w:r>
          </w:hyperlink>
        </w:p>
        <w:p w14:paraId="0A9F6A20" w14:textId="2BC0DD7D" w:rsidR="001F1150" w:rsidRPr="001F1150" w:rsidRDefault="001F1150" w:rsidP="001F1150">
          <w:pPr>
            <w:pStyle w:val="Sommario1"/>
            <w:rPr>
              <w:rFonts w:asciiTheme="minorHAnsi" w:eastAsiaTheme="minorEastAsia" w:hAnsiTheme="minorHAnsi"/>
              <w:b w:val="0"/>
              <w:noProof/>
              <w:sz w:val="24"/>
              <w:szCs w:val="24"/>
              <w:lang w:eastAsia="it-CH"/>
            </w:rPr>
          </w:pPr>
          <w:hyperlink w:anchor="_Toc239766141" w:history="1">
            <w:r w:rsidRPr="001F1150">
              <w:rPr>
                <w:rStyle w:val="Collegamentoipertestuale"/>
                <w:rFonts w:eastAsia="Calibri" w:cs="Times New Roman"/>
                <w:b w:val="0"/>
                <w:caps/>
                <w:noProof/>
                <w:sz w:val="24"/>
                <w:szCs w:val="24"/>
                <w:lang w:val="it-IT" w:eastAsia="it-IT"/>
              </w:rPr>
              <w:t>7.</w:t>
            </w:r>
            <w:r w:rsidRPr="001F1150">
              <w:rPr>
                <w:rFonts w:asciiTheme="minorHAnsi" w:eastAsiaTheme="minorEastAsia" w:hAnsiTheme="minorHAnsi"/>
                <w:b w:val="0"/>
                <w:noProof/>
                <w:sz w:val="24"/>
                <w:szCs w:val="24"/>
                <w:lang w:eastAsia="it-CH"/>
              </w:rPr>
              <w:tab/>
            </w:r>
            <w:r w:rsidRPr="001F1150">
              <w:rPr>
                <w:rStyle w:val="Collegamentoipertestuale"/>
                <w:rFonts w:eastAsia="Calibri" w:cs="Times New Roman"/>
                <w:b w:val="0"/>
                <w:caps/>
                <w:noProof/>
                <w:sz w:val="24"/>
                <w:szCs w:val="24"/>
                <w:lang w:val="it-IT" w:eastAsia="it-IT"/>
              </w:rPr>
              <w:t>LA CONSULTAZIONE E I LAVORI COMMISSIONALI</w:t>
            </w:r>
            <w:r w:rsidRPr="001F1150">
              <w:rPr>
                <w:b w:val="0"/>
                <w:noProof/>
                <w:webHidden/>
                <w:sz w:val="24"/>
                <w:szCs w:val="24"/>
              </w:rPr>
              <w:tab/>
            </w:r>
            <w:r w:rsidRPr="001F1150">
              <w:rPr>
                <w:b w:val="0"/>
                <w:noProof/>
                <w:webHidden/>
                <w:sz w:val="24"/>
                <w:szCs w:val="24"/>
              </w:rPr>
              <w:fldChar w:fldCharType="begin"/>
            </w:r>
            <w:r w:rsidRPr="001F1150">
              <w:rPr>
                <w:b w:val="0"/>
                <w:noProof/>
                <w:webHidden/>
                <w:sz w:val="24"/>
                <w:szCs w:val="24"/>
              </w:rPr>
              <w:instrText xml:space="preserve"> PAGEREF _Toc239766141 \h </w:instrText>
            </w:r>
            <w:r w:rsidRPr="001F1150">
              <w:rPr>
                <w:b w:val="0"/>
                <w:noProof/>
                <w:webHidden/>
                <w:sz w:val="24"/>
                <w:szCs w:val="24"/>
              </w:rPr>
            </w:r>
            <w:r w:rsidRPr="001F1150">
              <w:rPr>
                <w:b w:val="0"/>
                <w:noProof/>
                <w:webHidden/>
                <w:sz w:val="24"/>
                <w:szCs w:val="24"/>
              </w:rPr>
              <w:fldChar w:fldCharType="separate"/>
            </w:r>
            <w:r w:rsidR="00097B74">
              <w:rPr>
                <w:b w:val="0"/>
                <w:noProof/>
                <w:webHidden/>
                <w:sz w:val="24"/>
                <w:szCs w:val="24"/>
              </w:rPr>
              <w:t>10</w:t>
            </w:r>
            <w:r w:rsidRPr="001F1150">
              <w:rPr>
                <w:b w:val="0"/>
                <w:noProof/>
                <w:webHidden/>
                <w:sz w:val="24"/>
                <w:szCs w:val="24"/>
              </w:rPr>
              <w:fldChar w:fldCharType="end"/>
            </w:r>
          </w:hyperlink>
        </w:p>
        <w:p w14:paraId="20B716C2" w14:textId="4383CE9B" w:rsidR="001F1150" w:rsidRPr="001F1150" w:rsidRDefault="001F1150" w:rsidP="001F1150">
          <w:pPr>
            <w:pStyle w:val="Sommario1"/>
            <w:rPr>
              <w:rFonts w:asciiTheme="minorHAnsi" w:eastAsiaTheme="minorEastAsia" w:hAnsiTheme="minorHAnsi"/>
              <w:b w:val="0"/>
              <w:noProof/>
              <w:sz w:val="24"/>
              <w:szCs w:val="24"/>
              <w:lang w:eastAsia="it-CH"/>
            </w:rPr>
          </w:pPr>
          <w:hyperlink w:anchor="_Toc239766142" w:history="1">
            <w:r w:rsidRPr="001F1150">
              <w:rPr>
                <w:rStyle w:val="Collegamentoipertestuale"/>
                <w:rFonts w:eastAsia="Calibri" w:cs="Times New Roman"/>
                <w:b w:val="0"/>
                <w:caps/>
                <w:noProof/>
                <w:sz w:val="24"/>
                <w:szCs w:val="24"/>
                <w:lang w:val="it-IT" w:eastAsia="it-IT"/>
              </w:rPr>
              <w:t>8.</w:t>
            </w:r>
            <w:r w:rsidRPr="001F1150">
              <w:rPr>
                <w:rFonts w:asciiTheme="minorHAnsi" w:eastAsiaTheme="minorEastAsia" w:hAnsiTheme="minorHAnsi"/>
                <w:b w:val="0"/>
                <w:noProof/>
                <w:sz w:val="24"/>
                <w:szCs w:val="24"/>
                <w:lang w:eastAsia="it-CH"/>
              </w:rPr>
              <w:tab/>
            </w:r>
            <w:r w:rsidRPr="001F1150">
              <w:rPr>
                <w:rStyle w:val="Collegamentoipertestuale"/>
                <w:rFonts w:eastAsia="Calibri" w:cs="Times New Roman"/>
                <w:b w:val="0"/>
                <w:caps/>
                <w:noProof/>
                <w:sz w:val="24"/>
                <w:szCs w:val="24"/>
                <w:lang w:val="it-IT" w:eastAsia="it-IT"/>
              </w:rPr>
              <w:t>LE RAGIONI DEL VOTO CONTRARIO</w:t>
            </w:r>
            <w:r w:rsidRPr="001F1150">
              <w:rPr>
                <w:b w:val="0"/>
                <w:noProof/>
                <w:webHidden/>
                <w:sz w:val="24"/>
                <w:szCs w:val="24"/>
              </w:rPr>
              <w:tab/>
            </w:r>
            <w:r w:rsidRPr="001F1150">
              <w:rPr>
                <w:b w:val="0"/>
                <w:noProof/>
                <w:webHidden/>
                <w:sz w:val="24"/>
                <w:szCs w:val="24"/>
              </w:rPr>
              <w:fldChar w:fldCharType="begin"/>
            </w:r>
            <w:r w:rsidRPr="001F1150">
              <w:rPr>
                <w:b w:val="0"/>
                <w:noProof/>
                <w:webHidden/>
                <w:sz w:val="24"/>
                <w:szCs w:val="24"/>
              </w:rPr>
              <w:instrText xml:space="preserve"> PAGEREF _Toc239766142 \h </w:instrText>
            </w:r>
            <w:r w:rsidRPr="001F1150">
              <w:rPr>
                <w:b w:val="0"/>
                <w:noProof/>
                <w:webHidden/>
                <w:sz w:val="24"/>
                <w:szCs w:val="24"/>
              </w:rPr>
            </w:r>
            <w:r w:rsidRPr="001F1150">
              <w:rPr>
                <w:b w:val="0"/>
                <w:noProof/>
                <w:webHidden/>
                <w:sz w:val="24"/>
                <w:szCs w:val="24"/>
              </w:rPr>
              <w:fldChar w:fldCharType="separate"/>
            </w:r>
            <w:r w:rsidR="00097B74">
              <w:rPr>
                <w:b w:val="0"/>
                <w:noProof/>
                <w:webHidden/>
                <w:sz w:val="24"/>
                <w:szCs w:val="24"/>
              </w:rPr>
              <w:t>11</w:t>
            </w:r>
            <w:r w:rsidRPr="001F1150">
              <w:rPr>
                <w:b w:val="0"/>
                <w:noProof/>
                <w:webHidden/>
                <w:sz w:val="24"/>
                <w:szCs w:val="24"/>
              </w:rPr>
              <w:fldChar w:fldCharType="end"/>
            </w:r>
          </w:hyperlink>
        </w:p>
        <w:p w14:paraId="33184D72" w14:textId="2F467E32" w:rsidR="006B3044" w:rsidRPr="006D4C77" w:rsidRDefault="00330EC6" w:rsidP="005D37EC">
          <w:pPr>
            <w:tabs>
              <w:tab w:val="right" w:leader="dot" w:pos="8918"/>
              <w:tab w:val="right" w:leader="dot" w:pos="9639"/>
            </w:tabs>
            <w:spacing w:before="120"/>
            <w:rPr>
              <w:rFonts w:cs="Arial"/>
            </w:rPr>
          </w:pPr>
          <w:r w:rsidRPr="009F68D7">
            <w:rPr>
              <w:rFonts w:cs="Arial"/>
              <w:sz w:val="24"/>
              <w:szCs w:val="24"/>
            </w:rPr>
            <w:fldChar w:fldCharType="end"/>
          </w:r>
        </w:p>
      </w:sdtContent>
    </w:sdt>
    <w:p w14:paraId="37F8FA37" w14:textId="77777777" w:rsidR="0027622E" w:rsidRDefault="0027622E">
      <w:pPr>
        <w:rPr>
          <w:rFonts w:eastAsia="Calibri" w:cs="Times New Roman"/>
          <w:b/>
          <w:caps/>
          <w:sz w:val="24"/>
          <w:szCs w:val="24"/>
          <w:highlight w:val="lightGray"/>
          <w:lang w:val="it-IT" w:eastAsia="it-IT"/>
        </w:rPr>
      </w:pPr>
      <w:bookmarkStart w:id="0" w:name="_Toc239766127"/>
      <w:r>
        <w:rPr>
          <w:rFonts w:eastAsia="Calibri" w:cs="Times New Roman"/>
          <w:caps/>
          <w:szCs w:val="24"/>
          <w:highlight w:val="lightGray"/>
          <w:lang w:val="it-IT" w:eastAsia="it-IT"/>
        </w:rPr>
        <w:br w:type="page"/>
      </w:r>
    </w:p>
    <w:p w14:paraId="33EA0119" w14:textId="1EBBDF15" w:rsidR="005D37EC" w:rsidRPr="009F68D7" w:rsidRDefault="0027622E" w:rsidP="0027622E">
      <w:pPr>
        <w:pStyle w:val="Titolo1"/>
        <w:tabs>
          <w:tab w:val="left" w:pos="567"/>
        </w:tabs>
        <w:spacing w:before="0"/>
        <w:jc w:val="both"/>
        <w:rPr>
          <w:rFonts w:eastAsia="Calibri" w:cs="Times New Roman"/>
          <w:caps/>
          <w:szCs w:val="24"/>
          <w:lang w:val="it-IT" w:eastAsia="it-IT"/>
        </w:rPr>
      </w:pPr>
      <w:r>
        <w:rPr>
          <w:rFonts w:eastAsia="Calibri" w:cs="Times New Roman"/>
          <w:caps/>
          <w:szCs w:val="24"/>
          <w:lang w:val="it-IT" w:eastAsia="it-IT"/>
        </w:rPr>
        <w:lastRenderedPageBreak/>
        <w:t>1.</w:t>
      </w:r>
      <w:r>
        <w:rPr>
          <w:rFonts w:eastAsia="Calibri" w:cs="Times New Roman"/>
          <w:caps/>
          <w:szCs w:val="24"/>
          <w:lang w:val="it-IT" w:eastAsia="it-IT"/>
        </w:rPr>
        <w:tab/>
      </w:r>
      <w:bookmarkStart w:id="1" w:name="_GoBack"/>
      <w:bookmarkEnd w:id="1"/>
      <w:r w:rsidR="005D37EC" w:rsidRPr="009F68D7">
        <w:rPr>
          <w:rFonts w:eastAsia="Calibri" w:cs="Times New Roman"/>
          <w:caps/>
          <w:szCs w:val="24"/>
          <w:lang w:val="it-IT" w:eastAsia="it-IT"/>
        </w:rPr>
        <w:t>PREMESSA</w:t>
      </w:r>
      <w:bookmarkEnd w:id="0"/>
    </w:p>
    <w:p w14:paraId="26928717" w14:textId="16AE3312" w:rsidR="004C39E8" w:rsidRDefault="004C39E8" w:rsidP="004C39E8">
      <w:pPr>
        <w:rPr>
          <w:rFonts w:cs="Arial"/>
          <w:sz w:val="24"/>
          <w:szCs w:val="24"/>
          <w:lang w:val="it-IT"/>
        </w:rPr>
      </w:pPr>
      <w:r w:rsidRPr="004C39E8">
        <w:rPr>
          <w:rFonts w:cs="Arial"/>
          <w:sz w:val="24"/>
          <w:szCs w:val="24"/>
          <w:lang w:val="it-IT"/>
        </w:rPr>
        <w:t>Gli scriventi commissari condividono l'esigenza di aggiornare la pianificazione energetica cantonale, di ridurre la dipendenza dai vettori fossili e di sviluppare le fonti rinnovabili indigene. Non è su questi obiettivi che si esprime il disaccordo.</w:t>
      </w:r>
    </w:p>
    <w:p w14:paraId="2A9F400C" w14:textId="77777777" w:rsidR="004C39E8" w:rsidRPr="004C39E8" w:rsidRDefault="004C39E8" w:rsidP="004C39E8">
      <w:pPr>
        <w:rPr>
          <w:rFonts w:cs="Arial"/>
          <w:sz w:val="24"/>
          <w:szCs w:val="24"/>
          <w:lang w:val="it-IT"/>
        </w:rPr>
      </w:pPr>
    </w:p>
    <w:p w14:paraId="0D2BBEF7" w14:textId="5E5555B2" w:rsidR="00330EC6" w:rsidRDefault="004C39E8" w:rsidP="004C39E8">
      <w:pPr>
        <w:rPr>
          <w:rFonts w:cs="Arial"/>
          <w:sz w:val="24"/>
          <w:szCs w:val="24"/>
          <w:lang w:val="it-IT"/>
        </w:rPr>
      </w:pPr>
      <w:r w:rsidRPr="004C39E8">
        <w:rPr>
          <w:rFonts w:cs="Arial"/>
          <w:sz w:val="24"/>
          <w:szCs w:val="24"/>
          <w:lang w:val="it-IT"/>
        </w:rPr>
        <w:t>Il disaccordo riguarda la solidità delle fondamenta su cui il messaggio n. 8467 è costruito, la coerenza degli strumenti proposti con le evidenze energetiche più aggiornate, la mancanza di trasparenza sui costi reali per i cittadini e le finanze pubbliche, e la qualità del metodo scelto.</w:t>
      </w:r>
    </w:p>
    <w:p w14:paraId="262E90E9" w14:textId="3DC981FB" w:rsidR="00767611" w:rsidRDefault="00767611" w:rsidP="004C39E8">
      <w:pPr>
        <w:rPr>
          <w:rFonts w:cs="Arial"/>
          <w:lang w:val="it-IT"/>
        </w:rPr>
      </w:pPr>
    </w:p>
    <w:p w14:paraId="768C5B4A" w14:textId="77777777" w:rsidR="009F68D7" w:rsidRPr="00330EC6" w:rsidRDefault="009F68D7" w:rsidP="004C39E8">
      <w:pPr>
        <w:rPr>
          <w:rFonts w:cs="Arial"/>
          <w:lang w:val="it-IT"/>
        </w:rPr>
      </w:pPr>
    </w:p>
    <w:p w14:paraId="24BE998E" w14:textId="2394DA02" w:rsidR="0063770A" w:rsidRPr="009F68D7" w:rsidRDefault="007F3EC4" w:rsidP="009F68D7">
      <w:pPr>
        <w:pStyle w:val="Titolo2"/>
        <w:tabs>
          <w:tab w:val="left" w:pos="567"/>
        </w:tabs>
        <w:spacing w:before="0" w:after="120"/>
        <w:jc w:val="both"/>
        <w:rPr>
          <w:rFonts w:eastAsia="Calibri" w:cs="Times New Roman"/>
          <w:lang w:val="it-IT" w:eastAsia="it-IT"/>
        </w:rPr>
      </w:pPr>
      <w:bookmarkStart w:id="2" w:name="_Toc239766128"/>
      <w:r w:rsidRPr="009F68D7">
        <w:rPr>
          <w:rFonts w:eastAsia="Calibri" w:cs="Times New Roman"/>
          <w:lang w:val="it-IT" w:eastAsia="it-IT"/>
        </w:rPr>
        <w:t xml:space="preserve">1.1 </w:t>
      </w:r>
      <w:r w:rsidR="009F68D7">
        <w:rPr>
          <w:rFonts w:eastAsia="Calibri" w:cs="Times New Roman"/>
          <w:lang w:val="it-IT" w:eastAsia="it-IT"/>
        </w:rPr>
        <w:tab/>
      </w:r>
      <w:r w:rsidR="009A1F9F" w:rsidRPr="009F68D7">
        <w:rPr>
          <w:rFonts w:eastAsia="Calibri" w:cs="Times New Roman"/>
          <w:lang w:val="it-IT" w:eastAsia="it-IT"/>
        </w:rPr>
        <w:t>Cambiamento climatico, pragmatismo e potere d'acquisto</w:t>
      </w:r>
      <w:bookmarkEnd w:id="2"/>
    </w:p>
    <w:p w14:paraId="5185EDC1" w14:textId="23EBB44E" w:rsidR="00595EF0" w:rsidRPr="00595EF0" w:rsidRDefault="006C33B6" w:rsidP="00595EF0">
      <w:pPr>
        <w:rPr>
          <w:rFonts w:cs="Arial"/>
          <w:sz w:val="24"/>
          <w:szCs w:val="24"/>
          <w:lang w:val="it-IT"/>
        </w:rPr>
      </w:pPr>
      <w:r>
        <w:rPr>
          <w:rFonts w:cs="Arial"/>
          <w:sz w:val="24"/>
          <w:szCs w:val="24"/>
          <w:lang w:val="it-IT"/>
        </w:rPr>
        <w:t>La minoranza riconosce</w:t>
      </w:r>
      <w:r w:rsidR="00595EF0" w:rsidRPr="00595EF0">
        <w:rPr>
          <w:rFonts w:cs="Arial"/>
          <w:sz w:val="24"/>
          <w:szCs w:val="24"/>
          <w:lang w:val="it-IT"/>
        </w:rPr>
        <w:t xml:space="preserve"> senza riserve che vi sono cambiamenti climatici</w:t>
      </w:r>
      <w:r w:rsidR="00595EF0">
        <w:rPr>
          <w:rFonts w:cs="Arial"/>
          <w:sz w:val="24"/>
          <w:szCs w:val="24"/>
          <w:lang w:val="it-IT"/>
        </w:rPr>
        <w:t xml:space="preserve"> in atto</w:t>
      </w:r>
      <w:r w:rsidR="00595EF0" w:rsidRPr="00595EF0">
        <w:rPr>
          <w:rFonts w:cs="Arial"/>
          <w:sz w:val="24"/>
          <w:szCs w:val="24"/>
          <w:lang w:val="it-IT"/>
        </w:rPr>
        <w:t>, che l'attività umana vi contribuisce in modo importante e che la riduzione delle emissioni di gas serra è un obiettivo legittimo e necessario. Su questo</w:t>
      </w:r>
      <w:r w:rsidR="007F352C">
        <w:rPr>
          <w:rFonts w:cs="Arial"/>
          <w:sz w:val="24"/>
          <w:szCs w:val="24"/>
          <w:lang w:val="it-IT"/>
        </w:rPr>
        <w:t xml:space="preserve"> punto</w:t>
      </w:r>
      <w:r w:rsidR="00595EF0" w:rsidRPr="00595EF0">
        <w:rPr>
          <w:rFonts w:cs="Arial"/>
          <w:sz w:val="24"/>
          <w:szCs w:val="24"/>
          <w:lang w:val="it-IT"/>
        </w:rPr>
        <w:t xml:space="preserve"> non vi è alcun disaccordo con la maggioranza.</w:t>
      </w:r>
    </w:p>
    <w:p w14:paraId="19FED776" w14:textId="77777777" w:rsidR="00595EF0" w:rsidRPr="00595EF0" w:rsidRDefault="00595EF0" w:rsidP="00595EF0">
      <w:pPr>
        <w:rPr>
          <w:rFonts w:cs="Arial"/>
          <w:sz w:val="24"/>
          <w:szCs w:val="24"/>
          <w:lang w:val="it-IT"/>
        </w:rPr>
      </w:pPr>
    </w:p>
    <w:p w14:paraId="609C953E" w14:textId="3BB35AAD" w:rsidR="00595EF0" w:rsidRPr="00595EF0" w:rsidRDefault="00595EF0" w:rsidP="00595EF0">
      <w:pPr>
        <w:rPr>
          <w:rFonts w:cs="Arial"/>
          <w:sz w:val="24"/>
          <w:szCs w:val="24"/>
          <w:lang w:val="it-IT"/>
        </w:rPr>
      </w:pPr>
      <w:r w:rsidRPr="00595EF0">
        <w:rPr>
          <w:rFonts w:cs="Arial"/>
          <w:sz w:val="24"/>
          <w:szCs w:val="24"/>
          <w:lang w:val="it-IT"/>
        </w:rPr>
        <w:t>Il disaccordo riguarda piuttosto il metodo, non il fine. L'articolo 89 capoverso 1 della Costituzione federale impone di considerare congiuntamente sufficienza, diversificazione, sicurezza, economicità ed ecologia dell'approvvigionamento energetico. Il P</w:t>
      </w:r>
      <w:r w:rsidR="001825D8">
        <w:rPr>
          <w:rFonts w:cs="Arial"/>
          <w:sz w:val="24"/>
          <w:szCs w:val="24"/>
          <w:lang w:val="it-IT"/>
        </w:rPr>
        <w:t>iano energetico e climatico cantonale (PECC)</w:t>
      </w:r>
      <w:r w:rsidRPr="00595EF0">
        <w:rPr>
          <w:rFonts w:cs="Arial"/>
          <w:sz w:val="24"/>
          <w:szCs w:val="24"/>
          <w:lang w:val="it-IT"/>
        </w:rPr>
        <w:t xml:space="preserve"> non dimostra che gli obblighi proposti soddisfino congiuntamente tutti questi criteri in misura proporzionata. Non è una questione di incostituzionalità diretta, bensì una questione di proporzionalità insufficiente e di equilibrio politico non dimostrato.</w:t>
      </w:r>
    </w:p>
    <w:p w14:paraId="72166162" w14:textId="77777777" w:rsidR="00595EF0" w:rsidRPr="00595EF0" w:rsidRDefault="00595EF0" w:rsidP="00595EF0">
      <w:pPr>
        <w:rPr>
          <w:rFonts w:cs="Arial"/>
          <w:sz w:val="24"/>
          <w:szCs w:val="24"/>
          <w:lang w:val="it-IT"/>
        </w:rPr>
      </w:pPr>
    </w:p>
    <w:p w14:paraId="5FA2E216" w14:textId="77777777" w:rsidR="00595EF0" w:rsidRPr="00595EF0" w:rsidRDefault="00595EF0" w:rsidP="00595EF0">
      <w:pPr>
        <w:rPr>
          <w:rFonts w:cs="Arial"/>
          <w:sz w:val="24"/>
          <w:szCs w:val="24"/>
          <w:lang w:val="it-IT"/>
        </w:rPr>
      </w:pPr>
      <w:r w:rsidRPr="00595EF0">
        <w:rPr>
          <w:rFonts w:cs="Arial"/>
          <w:sz w:val="24"/>
          <w:szCs w:val="24"/>
          <w:lang w:val="it-IT"/>
        </w:rPr>
        <w:t>Il pragmatismo che la minoranza auspica non comporta una rinuncia agli obiettivi climatici. È pretendere che gli strumenti per raggiungerli siano fondati su premesse verificabili, che la sicurezza dell'approvvigionamento sia garantita anche negli scenari meno favorevoli e che i costi della transizione siano esposti con chiarezza ai cittadini prima di imporli per legge. Non si emette meno CO</w:t>
      </w:r>
      <w:r w:rsidRPr="00595EF0">
        <w:rPr>
          <w:rFonts w:ascii="Cambria Math" w:hAnsi="Cambria Math" w:cs="Cambria Math"/>
          <w:sz w:val="24"/>
          <w:szCs w:val="24"/>
          <w:lang w:val="it-IT"/>
        </w:rPr>
        <w:t>₂</w:t>
      </w:r>
      <w:r w:rsidRPr="00595EF0">
        <w:rPr>
          <w:rFonts w:cs="Arial"/>
          <w:sz w:val="24"/>
          <w:szCs w:val="24"/>
          <w:lang w:val="it-IT"/>
        </w:rPr>
        <w:t xml:space="preserve"> con un piano che poggia su ipotesi non ancora sottoposte a stress test. Si emette meno CO</w:t>
      </w:r>
      <w:r w:rsidRPr="00595EF0">
        <w:rPr>
          <w:rFonts w:ascii="Cambria Math" w:hAnsi="Cambria Math" w:cs="Cambria Math"/>
          <w:sz w:val="24"/>
          <w:szCs w:val="24"/>
          <w:lang w:val="it-IT"/>
        </w:rPr>
        <w:t>₂</w:t>
      </w:r>
      <w:r w:rsidRPr="00595EF0">
        <w:rPr>
          <w:rFonts w:cs="Arial"/>
          <w:sz w:val="24"/>
          <w:szCs w:val="24"/>
          <w:lang w:val="it-IT"/>
        </w:rPr>
        <w:t xml:space="preserve"> con un piano che funziona, costruito su ciò che il Cantone ha già: gli impianti idroelettrici sul territorio producono mediamente circa 3'752 </w:t>
      </w:r>
      <w:proofErr w:type="spellStart"/>
      <w:r w:rsidRPr="00595EF0">
        <w:rPr>
          <w:rFonts w:cs="Arial"/>
          <w:sz w:val="24"/>
          <w:szCs w:val="24"/>
          <w:lang w:val="it-IT"/>
        </w:rPr>
        <w:t>GWh</w:t>
      </w:r>
      <w:proofErr w:type="spellEnd"/>
      <w:r w:rsidRPr="00595EF0">
        <w:rPr>
          <w:rFonts w:cs="Arial"/>
          <w:sz w:val="24"/>
          <w:szCs w:val="24"/>
          <w:lang w:val="it-IT"/>
        </w:rPr>
        <w:t xml:space="preserve"> annui, di cui circa 1'815 </w:t>
      </w:r>
      <w:proofErr w:type="spellStart"/>
      <w:r w:rsidRPr="00595EF0">
        <w:rPr>
          <w:rFonts w:cs="Arial"/>
          <w:sz w:val="24"/>
          <w:szCs w:val="24"/>
          <w:lang w:val="it-IT"/>
        </w:rPr>
        <w:t>GWh</w:t>
      </w:r>
      <w:proofErr w:type="spellEnd"/>
      <w:r w:rsidRPr="00595EF0">
        <w:rPr>
          <w:rFonts w:cs="Arial"/>
          <w:sz w:val="24"/>
          <w:szCs w:val="24"/>
          <w:lang w:val="it-IT"/>
        </w:rPr>
        <w:t xml:space="preserve"> a favore del Cantone. I 4'000 </w:t>
      </w:r>
      <w:proofErr w:type="spellStart"/>
      <w:r w:rsidRPr="00595EF0">
        <w:rPr>
          <w:rFonts w:cs="Arial"/>
          <w:sz w:val="24"/>
          <w:szCs w:val="24"/>
          <w:lang w:val="it-IT"/>
        </w:rPr>
        <w:t>GWh</w:t>
      </w:r>
      <w:proofErr w:type="spellEnd"/>
      <w:r w:rsidRPr="00595EF0">
        <w:rPr>
          <w:rFonts w:cs="Arial"/>
          <w:sz w:val="24"/>
          <w:szCs w:val="24"/>
          <w:lang w:val="it-IT"/>
        </w:rPr>
        <w:t xml:space="preserve"> indicati dal PECC sono un obiettivo al 2050, da raggiungere grazie alle riversioni e ai nuovi impianti. Non è il punto di partenza di un Cantone che ignora la questione climatica.</w:t>
      </w:r>
    </w:p>
    <w:p w14:paraId="06C85F01" w14:textId="77777777" w:rsidR="00595EF0" w:rsidRPr="00595EF0" w:rsidRDefault="00595EF0" w:rsidP="00595EF0">
      <w:pPr>
        <w:rPr>
          <w:rFonts w:cs="Arial"/>
          <w:sz w:val="24"/>
          <w:szCs w:val="24"/>
          <w:lang w:val="it-IT"/>
        </w:rPr>
      </w:pPr>
    </w:p>
    <w:p w14:paraId="55FA1D6E" w14:textId="68DD74A7" w:rsidR="00251E85" w:rsidRDefault="00595EF0" w:rsidP="00595EF0">
      <w:pPr>
        <w:rPr>
          <w:rFonts w:cs="Arial"/>
          <w:sz w:val="24"/>
          <w:szCs w:val="24"/>
          <w:lang w:val="it-IT"/>
        </w:rPr>
      </w:pPr>
      <w:r w:rsidRPr="00595EF0">
        <w:rPr>
          <w:rFonts w:cs="Arial"/>
          <w:sz w:val="24"/>
          <w:szCs w:val="24"/>
          <w:lang w:val="it-IT"/>
        </w:rPr>
        <w:t xml:space="preserve">La transizione energetica ha un costo reale che si trasferisce sui bilanci familiari tramite le tariffe. Le famiglie ticinesi ricordano bene le bollette del 2023: tra il 2022 e il 2023, AIL ha registrato un rincaro complessivo del 30,9%, SES ha visto la componente energia passare da 8,10 a 12,05 centesimi per kWh, e a livello nazionale </w:t>
      </w:r>
      <w:proofErr w:type="spellStart"/>
      <w:r w:rsidRPr="00595EF0">
        <w:rPr>
          <w:rFonts w:cs="Arial"/>
          <w:sz w:val="24"/>
          <w:szCs w:val="24"/>
          <w:lang w:val="it-IT"/>
        </w:rPr>
        <w:t>ElCom</w:t>
      </w:r>
      <w:proofErr w:type="spellEnd"/>
      <w:r w:rsidRPr="00595EF0">
        <w:rPr>
          <w:rFonts w:cs="Arial"/>
          <w:sz w:val="24"/>
          <w:szCs w:val="24"/>
          <w:lang w:val="it-IT"/>
        </w:rPr>
        <w:t xml:space="preserve"> ha calcolato un aumento medio del 27% per un'economia domestica tipo</w:t>
      </w:r>
      <w:r w:rsidR="00271666">
        <w:rPr>
          <w:rStyle w:val="Rimandonotaapidipagina"/>
          <w:rFonts w:cs="Arial"/>
          <w:sz w:val="24"/>
          <w:szCs w:val="24"/>
          <w:lang w:val="it-IT"/>
        </w:rPr>
        <w:footnoteReference w:id="1"/>
      </w:r>
      <w:r w:rsidRPr="00595EF0">
        <w:rPr>
          <w:rFonts w:cs="Arial"/>
          <w:sz w:val="24"/>
          <w:szCs w:val="24"/>
          <w:lang w:val="it-IT"/>
        </w:rPr>
        <w:t xml:space="preserve">. </w:t>
      </w:r>
      <w:r w:rsidR="0006156B" w:rsidRPr="0006156B">
        <w:rPr>
          <w:rFonts w:cs="Arial"/>
          <w:sz w:val="24"/>
          <w:szCs w:val="24"/>
          <w:lang w:val="it-IT"/>
        </w:rPr>
        <w:t>Quei rincari hanno mostrato la vulnerabilità di un sistema esposto ai prezzi di borsa europei per la componente energia e dipendente dalle importazioni nei momenti critici.</w:t>
      </w:r>
      <w:r w:rsidRPr="00595EF0">
        <w:rPr>
          <w:rFonts w:cs="Arial"/>
          <w:sz w:val="24"/>
          <w:szCs w:val="24"/>
          <w:lang w:val="it-IT"/>
        </w:rPr>
        <w:t xml:space="preserve"> Il Consiglio di Stato stesso, nelle risposte alle domande poste dalla Commissione, ha ammesso che </w:t>
      </w:r>
      <w:r w:rsidR="00471B60" w:rsidRPr="00471B60">
        <w:rPr>
          <w:rFonts w:cs="Arial"/>
          <w:i/>
          <w:iCs/>
          <w:sz w:val="24"/>
          <w:szCs w:val="24"/>
          <w:lang w:val="it-IT"/>
        </w:rPr>
        <w:t>“</w:t>
      </w:r>
      <w:r w:rsidRPr="00471B60">
        <w:rPr>
          <w:rFonts w:cs="Arial"/>
          <w:i/>
          <w:iCs/>
          <w:sz w:val="24"/>
          <w:szCs w:val="24"/>
          <w:lang w:val="it-IT"/>
        </w:rPr>
        <w:t>il costo unitario CHF/kWh aumenterà dal momento che la rete dovrà essere estesa e potenziata</w:t>
      </w:r>
      <w:r w:rsidR="00471B60" w:rsidRPr="00471B60">
        <w:rPr>
          <w:rFonts w:cs="Arial"/>
          <w:i/>
          <w:iCs/>
          <w:sz w:val="24"/>
          <w:szCs w:val="24"/>
          <w:lang w:val="it-IT"/>
        </w:rPr>
        <w:t>”</w:t>
      </w:r>
      <w:r w:rsidRPr="00471B60">
        <w:rPr>
          <w:rFonts w:cs="Arial"/>
          <w:i/>
          <w:iCs/>
          <w:sz w:val="24"/>
          <w:szCs w:val="24"/>
          <w:lang w:val="it-IT"/>
        </w:rPr>
        <w:t>,</w:t>
      </w:r>
      <w:r w:rsidRPr="00595EF0">
        <w:rPr>
          <w:rFonts w:cs="Arial"/>
          <w:sz w:val="24"/>
          <w:szCs w:val="24"/>
          <w:lang w:val="it-IT"/>
        </w:rPr>
        <w:t xml:space="preserve"> senza quantificarne però l'entità. Il messaggio n. 8467 non contiene alcuna analisi di come le </w:t>
      </w:r>
      <w:r w:rsidRPr="00595EF0">
        <w:rPr>
          <w:rFonts w:cs="Arial"/>
          <w:sz w:val="24"/>
          <w:szCs w:val="24"/>
          <w:lang w:val="it-IT"/>
        </w:rPr>
        <w:lastRenderedPageBreak/>
        <w:t>scelte proposte influiranno sulle tariffe future, né alcuna stima dell'impatto sul potere d'acquisto delle famiglie. Il Gran Consiglio è chiamato ad approvare obblighi che modificano strutturalmente il sistema energetico ticinese senza sapere quanto peseranno nella fattura che verrà inviata a cittadini e imprese.</w:t>
      </w:r>
    </w:p>
    <w:p w14:paraId="7F0CE99A" w14:textId="23C95FED" w:rsidR="00390757" w:rsidRDefault="00390757" w:rsidP="00251E85">
      <w:pPr>
        <w:rPr>
          <w:rFonts w:cs="Arial"/>
          <w:sz w:val="24"/>
          <w:szCs w:val="24"/>
          <w:lang w:val="it-IT"/>
        </w:rPr>
      </w:pPr>
    </w:p>
    <w:p w14:paraId="7F71C150" w14:textId="77777777" w:rsidR="009F68D7" w:rsidRDefault="009F68D7" w:rsidP="00251E85">
      <w:pPr>
        <w:rPr>
          <w:rFonts w:cs="Arial"/>
          <w:sz w:val="24"/>
          <w:szCs w:val="24"/>
          <w:lang w:val="it-IT"/>
        </w:rPr>
      </w:pPr>
    </w:p>
    <w:p w14:paraId="6C29546F" w14:textId="5085BBD1" w:rsidR="002817BF" w:rsidRPr="009F68D7" w:rsidRDefault="007F3EC4" w:rsidP="009F68D7">
      <w:pPr>
        <w:pStyle w:val="Titolo2"/>
        <w:tabs>
          <w:tab w:val="left" w:pos="567"/>
        </w:tabs>
        <w:spacing w:before="0" w:after="120"/>
        <w:jc w:val="both"/>
        <w:rPr>
          <w:rFonts w:eastAsia="Calibri" w:cs="Times New Roman"/>
          <w:lang w:val="it-IT" w:eastAsia="it-IT"/>
        </w:rPr>
      </w:pPr>
      <w:bookmarkStart w:id="3" w:name="_Toc239766129"/>
      <w:r w:rsidRPr="009F68D7">
        <w:rPr>
          <w:rFonts w:eastAsia="Calibri" w:cs="Times New Roman"/>
          <w:lang w:val="it-IT" w:eastAsia="it-IT"/>
        </w:rPr>
        <w:t xml:space="preserve">1.2 </w:t>
      </w:r>
      <w:r w:rsidR="009F68D7">
        <w:rPr>
          <w:rFonts w:eastAsia="Calibri" w:cs="Times New Roman"/>
          <w:lang w:val="it-IT" w:eastAsia="it-IT"/>
        </w:rPr>
        <w:tab/>
      </w:r>
      <w:r w:rsidR="00A02A23" w:rsidRPr="009F68D7">
        <w:rPr>
          <w:rFonts w:eastAsia="Calibri" w:cs="Times New Roman"/>
          <w:lang w:val="it-IT" w:eastAsia="it-IT"/>
        </w:rPr>
        <w:t>La struttura del messaggio e il vizio di metodo centrale</w:t>
      </w:r>
      <w:bookmarkEnd w:id="3"/>
    </w:p>
    <w:p w14:paraId="65307889" w14:textId="62679CDB" w:rsidR="002817BF" w:rsidRDefault="00C64AA6" w:rsidP="002817BF">
      <w:pPr>
        <w:rPr>
          <w:rFonts w:cs="Arial"/>
          <w:sz w:val="24"/>
          <w:szCs w:val="24"/>
          <w:lang w:val="it-IT"/>
        </w:rPr>
      </w:pPr>
      <w:r w:rsidRPr="00C64AA6">
        <w:rPr>
          <w:rFonts w:cs="Arial"/>
          <w:sz w:val="24"/>
          <w:szCs w:val="24"/>
          <w:lang w:val="it-IT"/>
        </w:rPr>
        <w:t>Con il messaggio n. 8467 il Consiglio di Stato chiede al Gran Consiglio di approvare il PECC, di stanziare un credito quadro di 2 milioni di franchi per studi e approfondimenti prioritari, di modificare la Legge cantonale sull'energia e, nella sezione II del medesimo disegno di legge, la Legge sull'Azienda elettrica ticinese, e infine di evadere tredici atti parlamentari. Già questa architettura rivela un vizio di metodo</w:t>
      </w:r>
      <w:r w:rsidR="002817BF" w:rsidRPr="002817BF">
        <w:rPr>
          <w:rFonts w:cs="Arial"/>
          <w:sz w:val="24"/>
          <w:szCs w:val="24"/>
          <w:lang w:val="it-IT"/>
        </w:rPr>
        <w:t>. Il credito quadro serv</w:t>
      </w:r>
      <w:r w:rsidR="005A4B25">
        <w:rPr>
          <w:rFonts w:cs="Arial"/>
          <w:sz w:val="24"/>
          <w:szCs w:val="24"/>
          <w:lang w:val="it-IT"/>
        </w:rPr>
        <w:t>e</w:t>
      </w:r>
      <w:r w:rsidR="002817BF" w:rsidRPr="002817BF">
        <w:rPr>
          <w:rFonts w:cs="Arial"/>
          <w:sz w:val="24"/>
          <w:szCs w:val="24"/>
          <w:lang w:val="it-IT"/>
        </w:rPr>
        <w:t xml:space="preserve"> a finanziare studi che avrebbero dovuto precedere il piano</w:t>
      </w:r>
      <w:r w:rsidR="00E16A91">
        <w:rPr>
          <w:rFonts w:cs="Arial"/>
          <w:sz w:val="24"/>
          <w:szCs w:val="24"/>
          <w:lang w:val="it-IT"/>
        </w:rPr>
        <w:t xml:space="preserve"> e le relative schede provvedimento come</w:t>
      </w:r>
      <w:r w:rsidR="002817BF" w:rsidRPr="002817BF">
        <w:rPr>
          <w:rFonts w:cs="Arial"/>
          <w:sz w:val="24"/>
          <w:szCs w:val="24"/>
          <w:lang w:val="it-IT"/>
        </w:rPr>
        <w:t xml:space="preserve"> il modello energetico cantonale (P.4.4), l'analisi del potenziale fotovoltaico fuori dalle zone edificabili (P.3.5), gli approfondimenti sugli accumuli di energia termica di lunga durata (P.12.2). </w:t>
      </w:r>
      <w:r w:rsidR="00B97B63" w:rsidRPr="00B97B63">
        <w:rPr>
          <w:rFonts w:cs="Arial"/>
          <w:sz w:val="24"/>
          <w:szCs w:val="24"/>
          <w:lang w:val="it-IT"/>
        </w:rPr>
        <w:t>Lo stesso rapporto di maggioranza descrive la scheda P.4.4 come lo strumento necessario per quantificare i potenziali, simulare le opzioni con i relativi costi e rischi e permettere decisioni informate</w:t>
      </w:r>
      <w:r w:rsidR="00B3767F">
        <w:rPr>
          <w:rFonts w:cs="Arial"/>
          <w:sz w:val="24"/>
          <w:szCs w:val="24"/>
          <w:lang w:val="it-IT"/>
        </w:rPr>
        <w:t xml:space="preserve">. </w:t>
      </w:r>
      <w:r w:rsidR="002817BF" w:rsidRPr="002817BF">
        <w:rPr>
          <w:rFonts w:cs="Arial"/>
          <w:sz w:val="24"/>
          <w:szCs w:val="24"/>
          <w:lang w:val="it-IT"/>
        </w:rPr>
        <w:t xml:space="preserve">Si propone dunque di assumere oggi le decisioni principali prima che questo strumento esista, e nel frattempo le modifiche normative della </w:t>
      </w:r>
      <w:proofErr w:type="spellStart"/>
      <w:r w:rsidR="002817BF" w:rsidRPr="002817BF">
        <w:rPr>
          <w:rFonts w:cs="Arial"/>
          <w:sz w:val="24"/>
          <w:szCs w:val="24"/>
          <w:lang w:val="it-IT"/>
        </w:rPr>
        <w:t>LEn</w:t>
      </w:r>
      <w:proofErr w:type="spellEnd"/>
      <w:r w:rsidR="002817BF" w:rsidRPr="002817BF">
        <w:rPr>
          <w:rFonts w:cs="Arial"/>
          <w:sz w:val="24"/>
          <w:szCs w:val="24"/>
          <w:lang w:val="it-IT"/>
        </w:rPr>
        <w:t xml:space="preserve"> producono già effetti vincolanti su investimenti privati e pubblici nell'ordine di decine di migliaia di franchi per immobile. </w:t>
      </w:r>
    </w:p>
    <w:p w14:paraId="2C91D746" w14:textId="77777777" w:rsidR="00826559" w:rsidRPr="002817BF" w:rsidRDefault="00826559" w:rsidP="002817BF">
      <w:pPr>
        <w:rPr>
          <w:rFonts w:cs="Arial"/>
          <w:sz w:val="24"/>
          <w:szCs w:val="24"/>
          <w:lang w:val="it-IT"/>
        </w:rPr>
      </w:pPr>
    </w:p>
    <w:p w14:paraId="0F8CFE1C" w14:textId="26AC9123" w:rsidR="002817BF" w:rsidRPr="002817BF" w:rsidRDefault="001807DC" w:rsidP="002817BF">
      <w:pPr>
        <w:rPr>
          <w:rFonts w:cs="Arial"/>
          <w:sz w:val="24"/>
          <w:szCs w:val="24"/>
          <w:lang w:val="it-IT"/>
        </w:rPr>
      </w:pPr>
      <w:r w:rsidRPr="001807DC">
        <w:rPr>
          <w:rFonts w:cs="Arial"/>
          <w:sz w:val="24"/>
          <w:szCs w:val="24"/>
          <w:lang w:val="it-IT"/>
        </w:rPr>
        <w:t>Occorre distinguere ciò che il PECC vincola direttamente</w:t>
      </w:r>
      <w:r w:rsidR="002817BF" w:rsidRPr="002817BF">
        <w:rPr>
          <w:rFonts w:cs="Arial"/>
          <w:sz w:val="24"/>
          <w:szCs w:val="24"/>
          <w:lang w:val="it-IT"/>
        </w:rPr>
        <w:t xml:space="preserve"> da ciò che richiede una norma separata. Come documento strategico, il PECC vincola gli enti pubblici e AET. Gli obblighi per i privati, l'installazione fotovoltaica e la conversione degli impianti di riscaldamento, derivano invece dalle modifiche della </w:t>
      </w:r>
      <w:proofErr w:type="spellStart"/>
      <w:r w:rsidR="002817BF" w:rsidRPr="002817BF">
        <w:rPr>
          <w:rFonts w:cs="Arial"/>
          <w:sz w:val="24"/>
          <w:szCs w:val="24"/>
          <w:lang w:val="it-IT"/>
        </w:rPr>
        <w:t>LEn</w:t>
      </w:r>
      <w:proofErr w:type="spellEnd"/>
      <w:r w:rsidR="002817BF" w:rsidRPr="002817BF">
        <w:rPr>
          <w:rFonts w:cs="Arial"/>
          <w:sz w:val="24"/>
          <w:szCs w:val="24"/>
          <w:lang w:val="it-IT"/>
        </w:rPr>
        <w:t xml:space="preserve">. I due livelli restano distinti nell'analisi, ma nella proposta governativa i due disegni di atto sono presentati congiuntamente e si completano a vicenda. </w:t>
      </w:r>
      <w:r w:rsidR="00F40551" w:rsidRPr="00F40551">
        <w:rPr>
          <w:rFonts w:cs="Arial"/>
          <w:sz w:val="24"/>
          <w:szCs w:val="24"/>
          <w:lang w:val="it-IT"/>
        </w:rPr>
        <w:t xml:space="preserve">Il Governo stesso ammette di </w:t>
      </w:r>
      <w:r w:rsidR="00F40551" w:rsidRPr="00F40551">
        <w:rPr>
          <w:rFonts w:cs="Arial"/>
          <w:i/>
          <w:iCs/>
          <w:sz w:val="24"/>
          <w:szCs w:val="24"/>
          <w:lang w:val="it-IT"/>
        </w:rPr>
        <w:t xml:space="preserve">“confidare, senza averne certezza” </w:t>
      </w:r>
      <w:r w:rsidR="00F40551" w:rsidRPr="00F40551">
        <w:rPr>
          <w:rFonts w:cs="Arial"/>
          <w:sz w:val="24"/>
          <w:szCs w:val="24"/>
          <w:lang w:val="it-IT"/>
        </w:rPr>
        <w:t>nel raggiungimento degli obiettivi: lo scenario TI-2050 è dunque una bussola, non un dato acquisito.</w:t>
      </w:r>
      <w:r w:rsidR="00F40551">
        <w:rPr>
          <w:rFonts w:cs="Arial"/>
          <w:sz w:val="24"/>
          <w:szCs w:val="24"/>
          <w:lang w:val="it-IT"/>
        </w:rPr>
        <w:t xml:space="preserve"> </w:t>
      </w:r>
      <w:r w:rsidR="002817BF" w:rsidRPr="002817BF">
        <w:rPr>
          <w:rFonts w:cs="Arial"/>
          <w:sz w:val="24"/>
          <w:szCs w:val="24"/>
          <w:lang w:val="it-IT"/>
        </w:rPr>
        <w:t>Non è su questa base che si costruiscono obblighi normativi</w:t>
      </w:r>
      <w:r w:rsidR="00A87B35">
        <w:rPr>
          <w:rFonts w:cs="Arial"/>
          <w:sz w:val="24"/>
          <w:szCs w:val="24"/>
          <w:lang w:val="it-IT"/>
        </w:rPr>
        <w:t xml:space="preserve"> più restrittivi rispetto a quanto sinora discusso e deciso a livello federale</w:t>
      </w:r>
      <w:r w:rsidR="00403054">
        <w:rPr>
          <w:rFonts w:cs="Arial"/>
          <w:sz w:val="24"/>
          <w:szCs w:val="24"/>
          <w:lang w:val="it-IT"/>
        </w:rPr>
        <w:t>, soprattutto</w:t>
      </w:r>
      <w:r w:rsidR="002817BF" w:rsidRPr="002817BF">
        <w:rPr>
          <w:rFonts w:cs="Arial"/>
          <w:sz w:val="24"/>
          <w:szCs w:val="24"/>
          <w:lang w:val="it-IT"/>
        </w:rPr>
        <w:t xml:space="preserve"> prima ancora </w:t>
      </w:r>
      <w:r w:rsidR="00DD03C6">
        <w:rPr>
          <w:rFonts w:cs="Arial"/>
          <w:sz w:val="24"/>
          <w:szCs w:val="24"/>
          <w:lang w:val="it-IT"/>
        </w:rPr>
        <w:t>di aver completato</w:t>
      </w:r>
      <w:r w:rsidR="002817BF" w:rsidRPr="002817BF">
        <w:rPr>
          <w:rFonts w:cs="Arial"/>
          <w:sz w:val="24"/>
          <w:szCs w:val="24"/>
          <w:lang w:val="it-IT"/>
        </w:rPr>
        <w:t xml:space="preserve"> le analisi che dovrebbero fondarli.</w:t>
      </w:r>
      <w:r w:rsidR="00A87B35">
        <w:rPr>
          <w:rFonts w:cs="Arial"/>
          <w:sz w:val="24"/>
          <w:szCs w:val="24"/>
          <w:lang w:val="it-IT"/>
        </w:rPr>
        <w:t xml:space="preserve"> </w:t>
      </w:r>
    </w:p>
    <w:p w14:paraId="2EFD1F96" w14:textId="77777777" w:rsidR="002817BF" w:rsidRPr="002817BF" w:rsidRDefault="002817BF" w:rsidP="002817BF">
      <w:pPr>
        <w:rPr>
          <w:rFonts w:cs="Arial"/>
          <w:sz w:val="24"/>
          <w:szCs w:val="24"/>
          <w:lang w:val="it-IT"/>
        </w:rPr>
      </w:pPr>
    </w:p>
    <w:p w14:paraId="0A8D05AC" w14:textId="77A6AE8F" w:rsidR="005F1B00" w:rsidRDefault="00D27DC0" w:rsidP="002817BF">
      <w:pPr>
        <w:rPr>
          <w:rFonts w:cs="Arial"/>
          <w:sz w:val="24"/>
          <w:szCs w:val="24"/>
          <w:lang w:val="it-IT"/>
        </w:rPr>
      </w:pPr>
      <w:r w:rsidRPr="00D27DC0">
        <w:rPr>
          <w:rFonts w:cs="Arial"/>
          <w:sz w:val="24"/>
          <w:szCs w:val="24"/>
          <w:lang w:val="it-IT"/>
        </w:rPr>
        <w:t>La maggioranza sostiene che non approvare il messaggio</w:t>
      </w:r>
      <w:r w:rsidR="002817BF" w:rsidRPr="002817BF">
        <w:rPr>
          <w:rFonts w:cs="Arial"/>
          <w:sz w:val="24"/>
          <w:szCs w:val="24"/>
          <w:lang w:val="it-IT"/>
        </w:rPr>
        <w:t xml:space="preserve"> equivarrebbe a bloccare la politica energetica cantonale. </w:t>
      </w:r>
      <w:r w:rsidR="000C3B26">
        <w:rPr>
          <w:rFonts w:cs="Arial"/>
          <w:sz w:val="24"/>
          <w:szCs w:val="24"/>
          <w:lang w:val="it-IT"/>
        </w:rPr>
        <w:t xml:space="preserve">Dichiarazione smentita direttamente dal </w:t>
      </w:r>
      <w:r w:rsidR="002817BF" w:rsidRPr="002817BF">
        <w:rPr>
          <w:rFonts w:cs="Arial"/>
          <w:sz w:val="24"/>
          <w:szCs w:val="24"/>
          <w:lang w:val="it-IT"/>
        </w:rPr>
        <w:t>Capo della Divisione dell'ambiente in audizione il 10 ottobre 2024</w:t>
      </w:r>
      <w:r w:rsidR="0067348E">
        <w:rPr>
          <w:rFonts w:cs="Arial"/>
          <w:sz w:val="24"/>
          <w:szCs w:val="24"/>
          <w:lang w:val="it-IT"/>
        </w:rPr>
        <w:t>:</w:t>
      </w:r>
      <w:r w:rsidR="000C3B26">
        <w:rPr>
          <w:rFonts w:cs="Arial"/>
          <w:sz w:val="24"/>
          <w:szCs w:val="24"/>
          <w:lang w:val="it-IT"/>
        </w:rPr>
        <w:t xml:space="preserve"> </w:t>
      </w:r>
      <w:r w:rsidR="000C3B26" w:rsidRPr="000C3B26">
        <w:rPr>
          <w:rFonts w:cs="Arial"/>
          <w:i/>
          <w:iCs/>
          <w:sz w:val="24"/>
          <w:szCs w:val="24"/>
          <w:lang w:val="it-IT"/>
        </w:rPr>
        <w:t>“</w:t>
      </w:r>
      <w:r w:rsidR="002817BF" w:rsidRPr="000C3B26">
        <w:rPr>
          <w:rFonts w:cs="Arial"/>
          <w:i/>
          <w:iCs/>
          <w:sz w:val="24"/>
          <w:szCs w:val="24"/>
          <w:lang w:val="it-IT"/>
        </w:rPr>
        <w:t>Se il PECC non fosse approvato, credo che politicamente si proseguirebbe comunque, perché i singoli provvedimenti possono essere portati avanti tramite messaggi, anche senza un documento programmatico approvato dal Gran Consiglio</w:t>
      </w:r>
      <w:r w:rsidR="000C3B26">
        <w:rPr>
          <w:rFonts w:cs="Arial"/>
          <w:i/>
          <w:iCs/>
          <w:sz w:val="24"/>
          <w:szCs w:val="24"/>
          <w:lang w:val="it-IT"/>
        </w:rPr>
        <w:t>”</w:t>
      </w:r>
      <w:r w:rsidR="002817BF" w:rsidRPr="002817BF">
        <w:rPr>
          <w:rFonts w:cs="Arial"/>
          <w:sz w:val="24"/>
          <w:szCs w:val="24"/>
          <w:lang w:val="it-IT"/>
        </w:rPr>
        <w:t xml:space="preserve">. Resterebbero in vigore il PEC-2013 e la </w:t>
      </w:r>
      <w:proofErr w:type="spellStart"/>
      <w:r w:rsidR="002817BF" w:rsidRPr="002817BF">
        <w:rPr>
          <w:rFonts w:cs="Arial"/>
          <w:sz w:val="24"/>
          <w:szCs w:val="24"/>
          <w:lang w:val="it-IT"/>
        </w:rPr>
        <w:t>LEn</w:t>
      </w:r>
      <w:proofErr w:type="spellEnd"/>
      <w:r w:rsidR="002817BF" w:rsidRPr="002817BF">
        <w:rPr>
          <w:rFonts w:cs="Arial"/>
          <w:sz w:val="24"/>
          <w:szCs w:val="24"/>
          <w:lang w:val="it-IT"/>
        </w:rPr>
        <w:t xml:space="preserve"> vigente. I crediti già approvati continuerebbero a operare pienamente, insieme al FER rinnovato</w:t>
      </w:r>
      <w:r w:rsidR="005E61EA">
        <w:rPr>
          <w:rFonts w:cs="Arial"/>
          <w:sz w:val="24"/>
          <w:szCs w:val="24"/>
          <w:lang w:val="it-IT"/>
        </w:rPr>
        <w:t xml:space="preserve"> (</w:t>
      </w:r>
      <w:r w:rsidR="002817BF" w:rsidRPr="002817BF">
        <w:rPr>
          <w:rFonts w:cs="Arial"/>
          <w:sz w:val="24"/>
          <w:szCs w:val="24"/>
          <w:lang w:val="it-IT"/>
        </w:rPr>
        <w:t xml:space="preserve">100 milioni netti su 200 milioni di spesa autorizzata per la </w:t>
      </w:r>
      <w:proofErr w:type="spellStart"/>
      <w:r w:rsidR="002817BF" w:rsidRPr="002817BF">
        <w:rPr>
          <w:rFonts w:cs="Arial"/>
          <w:sz w:val="24"/>
          <w:szCs w:val="24"/>
          <w:lang w:val="it-IT"/>
        </w:rPr>
        <w:t>decarbonizzazione</w:t>
      </w:r>
      <w:proofErr w:type="spellEnd"/>
      <w:r w:rsidR="002817BF" w:rsidRPr="002817BF">
        <w:rPr>
          <w:rFonts w:cs="Arial"/>
          <w:sz w:val="24"/>
          <w:szCs w:val="24"/>
          <w:lang w:val="it-IT"/>
        </w:rPr>
        <w:t xml:space="preserve"> e 27 milioni netti su 40 milioni autorizzati per il teleriscaldamento</w:t>
      </w:r>
      <w:r w:rsidR="005E61EA">
        <w:rPr>
          <w:rFonts w:cs="Arial"/>
          <w:sz w:val="24"/>
          <w:szCs w:val="24"/>
          <w:lang w:val="it-IT"/>
        </w:rPr>
        <w:t>)</w:t>
      </w:r>
      <w:r w:rsidR="002817BF" w:rsidRPr="002817BF">
        <w:rPr>
          <w:rFonts w:cs="Arial"/>
          <w:sz w:val="24"/>
          <w:szCs w:val="24"/>
          <w:lang w:val="it-IT"/>
        </w:rPr>
        <w:t xml:space="preserve">. </w:t>
      </w:r>
    </w:p>
    <w:p w14:paraId="34776063" w14:textId="77777777" w:rsidR="00535208" w:rsidRDefault="00535208" w:rsidP="002817BF">
      <w:pPr>
        <w:rPr>
          <w:rFonts w:cs="Arial"/>
          <w:sz w:val="24"/>
          <w:szCs w:val="24"/>
          <w:lang w:val="it-IT"/>
        </w:rPr>
      </w:pPr>
    </w:p>
    <w:p w14:paraId="026D2A6C" w14:textId="77777777" w:rsidR="00535208" w:rsidRDefault="00535208" w:rsidP="002817BF">
      <w:pPr>
        <w:rPr>
          <w:rFonts w:cs="Arial"/>
          <w:sz w:val="24"/>
          <w:szCs w:val="24"/>
          <w:lang w:val="it-IT"/>
        </w:rPr>
      </w:pPr>
    </w:p>
    <w:p w14:paraId="252BF1B7" w14:textId="77777777" w:rsidR="002817BF" w:rsidRDefault="002817BF" w:rsidP="002817BF">
      <w:pPr>
        <w:rPr>
          <w:rFonts w:cs="Arial"/>
          <w:sz w:val="24"/>
          <w:szCs w:val="24"/>
          <w:lang w:val="it-IT"/>
        </w:rPr>
      </w:pPr>
    </w:p>
    <w:p w14:paraId="76E7A32A" w14:textId="77777777" w:rsidR="00946D13" w:rsidRDefault="00946D13" w:rsidP="002817BF">
      <w:pPr>
        <w:rPr>
          <w:rFonts w:cs="Arial"/>
          <w:sz w:val="24"/>
          <w:szCs w:val="24"/>
          <w:lang w:val="it-IT"/>
        </w:rPr>
      </w:pPr>
    </w:p>
    <w:p w14:paraId="10568AF5" w14:textId="77777777" w:rsidR="001D0A4F" w:rsidRPr="005F1B00" w:rsidRDefault="001D0A4F" w:rsidP="002817BF">
      <w:pPr>
        <w:rPr>
          <w:rFonts w:cs="Arial"/>
          <w:sz w:val="24"/>
          <w:szCs w:val="24"/>
          <w:lang w:val="it-IT"/>
        </w:rPr>
      </w:pPr>
    </w:p>
    <w:p w14:paraId="66F0B2B8" w14:textId="2782BD4F" w:rsidR="00330EC6" w:rsidRPr="009F68D7" w:rsidRDefault="009F68D7" w:rsidP="009F68D7">
      <w:pPr>
        <w:pStyle w:val="Titolo1"/>
        <w:tabs>
          <w:tab w:val="left" w:pos="567"/>
        </w:tabs>
        <w:spacing w:before="0"/>
        <w:ind w:left="567" w:hanging="567"/>
        <w:jc w:val="both"/>
        <w:rPr>
          <w:rFonts w:eastAsia="Calibri" w:cs="Times New Roman"/>
          <w:caps/>
          <w:szCs w:val="24"/>
          <w:lang w:val="it-IT" w:eastAsia="it-IT"/>
        </w:rPr>
      </w:pPr>
      <w:bookmarkStart w:id="4" w:name="_Toc239766130"/>
      <w:r>
        <w:rPr>
          <w:rFonts w:eastAsia="Calibri" w:cs="Times New Roman"/>
          <w:caps/>
          <w:szCs w:val="24"/>
          <w:lang w:val="it-IT" w:eastAsia="it-IT"/>
        </w:rPr>
        <w:lastRenderedPageBreak/>
        <w:t>2.</w:t>
      </w:r>
      <w:r>
        <w:rPr>
          <w:rFonts w:eastAsia="Calibri" w:cs="Times New Roman"/>
          <w:caps/>
          <w:szCs w:val="24"/>
          <w:lang w:val="it-IT" w:eastAsia="it-IT"/>
        </w:rPr>
        <w:tab/>
      </w:r>
      <w:r w:rsidR="00510FCF" w:rsidRPr="009F68D7">
        <w:rPr>
          <w:rFonts w:eastAsia="Calibri" w:cs="Times New Roman"/>
          <w:caps/>
          <w:szCs w:val="24"/>
          <w:lang w:val="it-IT" w:eastAsia="it-IT"/>
        </w:rPr>
        <w:t>UN PIANO COSTRUITO SU PREMESSE NON ANCORA VERIFICATE</w:t>
      </w:r>
      <w:bookmarkEnd w:id="4"/>
    </w:p>
    <w:p w14:paraId="3D3266B7" w14:textId="24CC171B" w:rsidR="00424B13" w:rsidRPr="009F68D7" w:rsidRDefault="007F3EC4" w:rsidP="009F68D7">
      <w:pPr>
        <w:pStyle w:val="Titolo2"/>
        <w:tabs>
          <w:tab w:val="left" w:pos="567"/>
        </w:tabs>
        <w:spacing w:before="0" w:after="120"/>
        <w:jc w:val="both"/>
        <w:rPr>
          <w:rFonts w:eastAsia="Calibri" w:cs="Times New Roman"/>
          <w:lang w:val="it-IT" w:eastAsia="it-IT"/>
        </w:rPr>
      </w:pPr>
      <w:bookmarkStart w:id="5" w:name="_Toc239766131"/>
      <w:r w:rsidRPr="009F68D7">
        <w:rPr>
          <w:rFonts w:eastAsia="Calibri" w:cs="Times New Roman"/>
          <w:lang w:val="it-IT" w:eastAsia="it-IT"/>
        </w:rPr>
        <w:t xml:space="preserve">2.1 </w:t>
      </w:r>
      <w:r w:rsidR="009F68D7">
        <w:rPr>
          <w:rFonts w:eastAsia="Calibri" w:cs="Times New Roman"/>
          <w:lang w:val="it-IT" w:eastAsia="it-IT"/>
        </w:rPr>
        <w:tab/>
      </w:r>
      <w:r w:rsidR="008F3C79" w:rsidRPr="009F68D7">
        <w:rPr>
          <w:rFonts w:eastAsia="Calibri" w:cs="Times New Roman"/>
          <w:lang w:val="it-IT" w:eastAsia="it-IT"/>
        </w:rPr>
        <w:t xml:space="preserve">Le premesse di fabbisogno </w:t>
      </w:r>
      <w:r w:rsidR="00DA252B" w:rsidRPr="009F68D7">
        <w:rPr>
          <w:rFonts w:eastAsia="Calibri" w:cs="Times New Roman"/>
          <w:lang w:val="it-IT" w:eastAsia="it-IT"/>
        </w:rPr>
        <w:t>sono già obsolete</w:t>
      </w:r>
      <w:bookmarkEnd w:id="5"/>
    </w:p>
    <w:p w14:paraId="357188F6" w14:textId="3DA0D498" w:rsidR="003E2CF0" w:rsidRDefault="005C1406" w:rsidP="003E2CF0">
      <w:pPr>
        <w:rPr>
          <w:sz w:val="24"/>
        </w:rPr>
      </w:pPr>
      <w:r w:rsidRPr="005C1406">
        <w:rPr>
          <w:sz w:val="24"/>
        </w:rPr>
        <w:t xml:space="preserve">Lo scenario TI-2050 prevede una riduzione del 37% dei consumi energetici totali rispetto ai 9'917 </w:t>
      </w:r>
      <w:proofErr w:type="spellStart"/>
      <w:r w:rsidRPr="005C1406">
        <w:rPr>
          <w:sz w:val="24"/>
        </w:rPr>
        <w:t>GWh</w:t>
      </w:r>
      <w:proofErr w:type="spellEnd"/>
      <w:r w:rsidRPr="005C1406">
        <w:rPr>
          <w:sz w:val="24"/>
        </w:rPr>
        <w:t xml:space="preserve"> del 2008, portandoli a circa 6'400 </w:t>
      </w:r>
      <w:proofErr w:type="spellStart"/>
      <w:r w:rsidRPr="005C1406">
        <w:rPr>
          <w:sz w:val="24"/>
        </w:rPr>
        <w:t>GWh</w:t>
      </w:r>
      <w:proofErr w:type="spellEnd"/>
      <w:r w:rsidRPr="005C1406">
        <w:rPr>
          <w:sz w:val="24"/>
        </w:rPr>
        <w:t xml:space="preserve"> nel 2050. I dati più recenti non confermano questa traiettoria come acquisita: secondo il Bilancio energetico cantonale 2024 pubblicato dall'USTAT, nel 2024 il Ticino ha consumato 8'687,6 </w:t>
      </w:r>
      <w:proofErr w:type="spellStart"/>
      <w:r w:rsidRPr="005C1406">
        <w:rPr>
          <w:sz w:val="24"/>
        </w:rPr>
        <w:t>GWh</w:t>
      </w:r>
      <w:proofErr w:type="spellEnd"/>
      <w:r w:rsidRPr="005C1406">
        <w:rPr>
          <w:sz w:val="24"/>
        </w:rPr>
        <w:t xml:space="preserve"> di energia finale</w:t>
      </w:r>
      <w:r w:rsidR="00DA2381">
        <w:rPr>
          <w:rStyle w:val="Rimandonotaapidipagina"/>
          <w:sz w:val="24"/>
        </w:rPr>
        <w:footnoteReference w:id="2"/>
      </w:r>
      <w:r w:rsidRPr="005C1406">
        <w:rPr>
          <w:sz w:val="24"/>
        </w:rPr>
        <w:t xml:space="preserve">, con un aumento rispetto all'anno precedente, in controtendenza </w:t>
      </w:r>
      <w:r w:rsidR="00543766" w:rsidRPr="005C1406">
        <w:rPr>
          <w:sz w:val="24"/>
        </w:rPr>
        <w:t>rispetto alla tendenza decrescente avviata</w:t>
      </w:r>
      <w:r w:rsidRPr="005C1406">
        <w:rPr>
          <w:sz w:val="24"/>
        </w:rPr>
        <w:t xml:space="preserve"> nel 2011. Un singolo anno, ovviamente, non smentisce uno scenario a lungo termine, ma segnala che la traiettoria non è automatica.</w:t>
      </w:r>
    </w:p>
    <w:p w14:paraId="151F7943" w14:textId="77777777" w:rsidR="005C1406" w:rsidRPr="003E2CF0" w:rsidRDefault="005C1406" w:rsidP="003E2CF0">
      <w:pPr>
        <w:rPr>
          <w:sz w:val="24"/>
        </w:rPr>
      </w:pPr>
    </w:p>
    <w:p w14:paraId="1014582B" w14:textId="0E0ADF2D" w:rsidR="002F768E" w:rsidRDefault="00BB23AC" w:rsidP="00911A0D">
      <w:pPr>
        <w:rPr>
          <w:sz w:val="24"/>
        </w:rPr>
      </w:pPr>
      <w:r>
        <w:rPr>
          <w:sz w:val="24"/>
        </w:rPr>
        <w:t>Inoltre, il</w:t>
      </w:r>
      <w:r w:rsidRPr="00BB23AC">
        <w:rPr>
          <w:sz w:val="24"/>
        </w:rPr>
        <w:t xml:space="preserve"> piano si fonda sulle Prospettive energetiche 2050+ dell'UFE del 2021, scenario "Saldo netto pari a zero"</w:t>
      </w:r>
      <w:r w:rsidR="00CC7820">
        <w:rPr>
          <w:rStyle w:val="Rimandonotaapidipagina"/>
          <w:sz w:val="24"/>
        </w:rPr>
        <w:footnoteReference w:id="3"/>
      </w:r>
      <w:r w:rsidRPr="00BB23AC">
        <w:rPr>
          <w:sz w:val="24"/>
        </w:rPr>
        <w:t xml:space="preserve">. </w:t>
      </w:r>
      <w:r w:rsidR="000E2E4A" w:rsidRPr="000E2E4A">
        <w:rPr>
          <w:sz w:val="24"/>
        </w:rPr>
        <w:t xml:space="preserve">Lo scenario ZERO Base dell'UFE colloca la domanda elettrica svizzera al 2050 attorno ai 70,7 </w:t>
      </w:r>
      <w:proofErr w:type="spellStart"/>
      <w:r w:rsidR="000E2E4A" w:rsidRPr="000E2E4A">
        <w:rPr>
          <w:sz w:val="24"/>
        </w:rPr>
        <w:t>TWh</w:t>
      </w:r>
      <w:proofErr w:type="spellEnd"/>
      <w:r w:rsidR="000E2E4A" w:rsidRPr="000E2E4A">
        <w:rPr>
          <w:sz w:val="24"/>
        </w:rPr>
        <w:t xml:space="preserve">. </w:t>
      </w:r>
      <w:r w:rsidR="00287C31" w:rsidRPr="00287C31">
        <w:rPr>
          <w:sz w:val="24"/>
        </w:rPr>
        <w:t>Il Consiglio federale ha del resto annunciato che queste proiezioni saranno sostituite da nuove Prospettive energetiche entro la fine del 2027</w:t>
      </w:r>
      <w:r w:rsidR="008B464A">
        <w:rPr>
          <w:sz w:val="24"/>
        </w:rPr>
        <w:t xml:space="preserve">. </w:t>
      </w:r>
      <w:r w:rsidR="000E2E4A" w:rsidRPr="000E2E4A">
        <w:rPr>
          <w:sz w:val="24"/>
        </w:rPr>
        <w:t xml:space="preserve">L'ETH </w:t>
      </w:r>
      <w:proofErr w:type="spellStart"/>
      <w:r w:rsidR="000E2E4A" w:rsidRPr="000E2E4A">
        <w:rPr>
          <w:sz w:val="24"/>
        </w:rPr>
        <w:t>Zurich</w:t>
      </w:r>
      <w:proofErr w:type="spellEnd"/>
      <w:r w:rsidR="000E2E4A" w:rsidRPr="000E2E4A">
        <w:rPr>
          <w:sz w:val="24"/>
        </w:rPr>
        <w:t xml:space="preserve"> Energy Science Center la stima invece nell'ordine di 80-100 </w:t>
      </w:r>
      <w:proofErr w:type="spellStart"/>
      <w:r w:rsidR="000E2E4A" w:rsidRPr="000E2E4A">
        <w:rPr>
          <w:sz w:val="24"/>
        </w:rPr>
        <w:t>TWh</w:t>
      </w:r>
      <w:proofErr w:type="spellEnd"/>
      <w:r w:rsidR="000E2E4A" w:rsidRPr="000E2E4A">
        <w:rPr>
          <w:sz w:val="24"/>
        </w:rPr>
        <w:t xml:space="preserve">, rispetto agli attuali 57-58 </w:t>
      </w:r>
      <w:proofErr w:type="spellStart"/>
      <w:r w:rsidR="000E2E4A" w:rsidRPr="000E2E4A">
        <w:rPr>
          <w:sz w:val="24"/>
        </w:rPr>
        <w:t>TWh</w:t>
      </w:r>
      <w:proofErr w:type="spellEnd"/>
      <w:r w:rsidR="00523C08">
        <w:rPr>
          <w:rStyle w:val="Rimandonotaapidipagina"/>
          <w:sz w:val="24"/>
        </w:rPr>
        <w:footnoteReference w:id="4"/>
      </w:r>
      <w:r w:rsidR="000E2E4A" w:rsidRPr="000E2E4A">
        <w:rPr>
          <w:sz w:val="24"/>
        </w:rPr>
        <w:t xml:space="preserve">: uno scarto compreso fra i 9 e i 29 </w:t>
      </w:r>
      <w:proofErr w:type="spellStart"/>
      <w:r w:rsidR="000E2E4A" w:rsidRPr="000E2E4A">
        <w:rPr>
          <w:sz w:val="24"/>
        </w:rPr>
        <w:t>TWh</w:t>
      </w:r>
      <w:proofErr w:type="spellEnd"/>
      <w:r w:rsidR="000E2E4A" w:rsidRPr="000E2E4A">
        <w:rPr>
          <w:sz w:val="24"/>
        </w:rPr>
        <w:t xml:space="preserve"> rispetto al riferimento su cui il PECC è costruito. Su un piano distinto, l'Associazione svizzera delle aziende elettriche segnala secondo la propria metodologia un deterioramento della sicurezza dell'approvvigionamento nel semestre invernale, con un indicatore a 69 punti nel 2050 rispetto all'obiettivo di 100</w:t>
      </w:r>
      <w:r w:rsidR="006C0525">
        <w:rPr>
          <w:rStyle w:val="Rimandonotaapidipagina"/>
          <w:sz w:val="24"/>
        </w:rPr>
        <w:footnoteReference w:id="5"/>
      </w:r>
      <w:r w:rsidR="000E2E4A" w:rsidRPr="000E2E4A">
        <w:rPr>
          <w:sz w:val="24"/>
        </w:rPr>
        <w:t>. Il rapporto di monitoraggio dell'UFE del dicembre 2025 prevede a sua volta un incremento sostanziale della domanda elettrica per effetto dell'elettrificazione</w:t>
      </w:r>
      <w:r w:rsidRPr="00BB23AC">
        <w:rPr>
          <w:sz w:val="24"/>
        </w:rPr>
        <w:t>. Le ipotesi di partenza del PECC non sono mai state sottopost</w:t>
      </w:r>
      <w:r w:rsidR="00D93702">
        <w:rPr>
          <w:sz w:val="24"/>
        </w:rPr>
        <w:t>e</w:t>
      </w:r>
      <w:r w:rsidRPr="00BB23AC">
        <w:rPr>
          <w:sz w:val="24"/>
        </w:rPr>
        <w:t xml:space="preserve"> ad analisi su scenari alternativi che tengano conto di questi sviluppi. Il Parlamento non dispone quindi degli elementi necessari per stabilire se la traiettoria regga anche in condizioni meno favorevoli. Lo</w:t>
      </w:r>
      <w:r w:rsidR="00331F46">
        <w:rPr>
          <w:sz w:val="24"/>
        </w:rPr>
        <w:t xml:space="preserve"> stesso direttore del DT lo</w:t>
      </w:r>
      <w:r w:rsidRPr="00BB23AC">
        <w:rPr>
          <w:sz w:val="24"/>
        </w:rPr>
        <w:t xml:space="preserve"> ha ammesso in audizione </w:t>
      </w:r>
      <w:r w:rsidR="00D93702" w:rsidRPr="00D93702">
        <w:rPr>
          <w:i/>
          <w:iCs/>
          <w:sz w:val="24"/>
        </w:rPr>
        <w:t>“</w:t>
      </w:r>
      <w:r w:rsidRPr="00D93702">
        <w:rPr>
          <w:i/>
          <w:iCs/>
          <w:sz w:val="24"/>
        </w:rPr>
        <w:t>Il PECC è stato elaborato al netto delle conoscenze odierne. Abbiamo la grande incognita, ma anche la grande speranza, che l'evoluzione tecnologica dei prossimi 30 anni, che ignoriamo, permetta di fare grandi progressi nell'ambito dello stoccaggio della corrente elettrica</w:t>
      </w:r>
      <w:r w:rsidR="00D93702" w:rsidRPr="00D93702">
        <w:rPr>
          <w:i/>
          <w:iCs/>
          <w:sz w:val="24"/>
        </w:rPr>
        <w:t>”</w:t>
      </w:r>
      <w:r w:rsidRPr="00BB23AC">
        <w:rPr>
          <w:sz w:val="24"/>
        </w:rPr>
        <w:t>. Un piano che confida nella speranza tecnologica futura non può fondare obblighi normativi immediati in assenza di queste analisi.</w:t>
      </w:r>
    </w:p>
    <w:p w14:paraId="309AE462" w14:textId="5FAEE27E" w:rsidR="00C222A6" w:rsidRDefault="00C222A6" w:rsidP="00911A0D"/>
    <w:p w14:paraId="5333DDB4" w14:textId="77777777" w:rsidR="009F68D7" w:rsidRDefault="009F68D7" w:rsidP="00911A0D"/>
    <w:p w14:paraId="74829325" w14:textId="4CCF5EE6" w:rsidR="003044A9" w:rsidRPr="009F68D7" w:rsidRDefault="007F3EC4" w:rsidP="009F68D7">
      <w:pPr>
        <w:pStyle w:val="Titolo2"/>
        <w:tabs>
          <w:tab w:val="left" w:pos="567"/>
        </w:tabs>
        <w:spacing w:before="0" w:after="120"/>
        <w:jc w:val="both"/>
        <w:rPr>
          <w:rFonts w:eastAsia="Calibri" w:cs="Times New Roman"/>
          <w:lang w:val="it-IT" w:eastAsia="it-IT"/>
        </w:rPr>
      </w:pPr>
      <w:bookmarkStart w:id="6" w:name="_Toc239766132"/>
      <w:r w:rsidRPr="009F68D7">
        <w:rPr>
          <w:rFonts w:eastAsia="Calibri" w:cs="Times New Roman"/>
          <w:lang w:val="it-IT" w:eastAsia="it-IT"/>
        </w:rPr>
        <w:t>2.</w:t>
      </w:r>
      <w:r w:rsidR="004F3739" w:rsidRPr="009F68D7">
        <w:rPr>
          <w:rFonts w:eastAsia="Calibri" w:cs="Times New Roman"/>
          <w:lang w:val="it-IT" w:eastAsia="it-IT"/>
        </w:rPr>
        <w:t>2</w:t>
      </w:r>
      <w:r w:rsidRPr="009F68D7">
        <w:rPr>
          <w:rFonts w:eastAsia="Calibri" w:cs="Times New Roman"/>
          <w:lang w:val="it-IT" w:eastAsia="it-IT"/>
        </w:rPr>
        <w:t xml:space="preserve"> </w:t>
      </w:r>
      <w:r w:rsidR="009F68D7">
        <w:rPr>
          <w:rFonts w:eastAsia="Calibri" w:cs="Times New Roman"/>
          <w:lang w:val="it-IT" w:eastAsia="it-IT"/>
        </w:rPr>
        <w:tab/>
      </w:r>
      <w:r w:rsidR="009E6430" w:rsidRPr="009F68D7">
        <w:rPr>
          <w:rFonts w:eastAsia="Calibri" w:cs="Times New Roman"/>
          <w:lang w:val="it-IT" w:eastAsia="it-IT"/>
        </w:rPr>
        <w:t>Le grandi</w:t>
      </w:r>
      <w:r w:rsidR="00BA75B7" w:rsidRPr="009F68D7">
        <w:rPr>
          <w:rFonts w:eastAsia="Calibri" w:cs="Times New Roman"/>
          <w:lang w:val="it-IT" w:eastAsia="it-IT"/>
        </w:rPr>
        <w:t xml:space="preserve"> assenti: digitalizzazione, IA e industria 4.0</w:t>
      </w:r>
      <w:bookmarkEnd w:id="6"/>
    </w:p>
    <w:p w14:paraId="5CDADA1C" w14:textId="00806C79" w:rsidR="00532689" w:rsidRDefault="00D858AE" w:rsidP="00F751D4">
      <w:r w:rsidRPr="00D858AE">
        <w:rPr>
          <w:sz w:val="24"/>
          <w:szCs w:val="24"/>
        </w:rPr>
        <w:t xml:space="preserve">Le analisi più aggiornate non incorporano nemmeno l'impatto della crescita digitale sul fabbisogno energetico. L'Agenzia Internazionale dell'Energia documenta una crescita del consumo elettrico dei data center europei di oltre 45 </w:t>
      </w:r>
      <w:proofErr w:type="spellStart"/>
      <w:r w:rsidRPr="00D858AE">
        <w:rPr>
          <w:sz w:val="24"/>
          <w:szCs w:val="24"/>
        </w:rPr>
        <w:t>TWh</w:t>
      </w:r>
      <w:proofErr w:type="spellEnd"/>
      <w:r w:rsidRPr="00D858AE">
        <w:rPr>
          <w:sz w:val="24"/>
          <w:szCs w:val="24"/>
        </w:rPr>
        <w:t xml:space="preserve"> entro il 2030, pari al 70% rispetto al 2024</w:t>
      </w:r>
      <w:r w:rsidR="00E819A2">
        <w:rPr>
          <w:rStyle w:val="Rimandonotaapidipagina"/>
          <w:sz w:val="24"/>
          <w:szCs w:val="24"/>
        </w:rPr>
        <w:footnoteReference w:id="6"/>
      </w:r>
      <w:r w:rsidRPr="00D858AE">
        <w:rPr>
          <w:sz w:val="24"/>
          <w:szCs w:val="24"/>
        </w:rPr>
        <w:t xml:space="preserve">, generata in soli sei anni da intelligenza artificiale, server e infrastrutture dei data center. A questi si aggiungono i consumi legati all'automazione e alla digitalizzazione dei processi produttivi, un fattore rilevante per un Cantone con un tessuto manifatturiero importante. Si tratta di carichi che i modelli energetici attuali faticano a captare perché crescono in modo esponenziale, e il PECC non li integra. La scheda provvedimento P.4.4, </w:t>
      </w:r>
      <w:r w:rsidRPr="00D858AE">
        <w:rPr>
          <w:sz w:val="24"/>
          <w:szCs w:val="24"/>
        </w:rPr>
        <w:lastRenderedPageBreak/>
        <w:t>una volta realizzata, dovrebbe includere analisi su scenari alternativi che ne tengano conto: l'entità di questi consumi sul territorio cantonale non è prevedibile con certezza, ma non può essere ignorata in un piano indirizzato al 2050.</w:t>
      </w:r>
    </w:p>
    <w:p w14:paraId="1DD3F205" w14:textId="3DC42F4C" w:rsidR="009E152C" w:rsidRDefault="009E152C" w:rsidP="00F751D4"/>
    <w:p w14:paraId="2A573D32" w14:textId="77777777" w:rsidR="009F68D7" w:rsidRDefault="009F68D7" w:rsidP="00F751D4"/>
    <w:p w14:paraId="4F0E7AC6" w14:textId="77777777" w:rsidR="009F68D7" w:rsidRDefault="009F68D7" w:rsidP="00F751D4"/>
    <w:p w14:paraId="602C44E0" w14:textId="5A1F3957" w:rsidR="00330EC6" w:rsidRPr="009F68D7" w:rsidRDefault="009F68D7" w:rsidP="009F68D7">
      <w:pPr>
        <w:pStyle w:val="Titolo1"/>
        <w:tabs>
          <w:tab w:val="left" w:pos="567"/>
        </w:tabs>
        <w:spacing w:before="0"/>
        <w:ind w:left="567" w:hanging="567"/>
        <w:jc w:val="both"/>
        <w:rPr>
          <w:rFonts w:eastAsia="Calibri" w:cs="Times New Roman"/>
          <w:caps/>
          <w:szCs w:val="24"/>
          <w:lang w:val="it-IT" w:eastAsia="it-IT"/>
        </w:rPr>
      </w:pPr>
      <w:bookmarkStart w:id="7" w:name="_Toc239766133"/>
      <w:r>
        <w:rPr>
          <w:rFonts w:eastAsia="Calibri" w:cs="Times New Roman"/>
          <w:caps/>
          <w:szCs w:val="24"/>
          <w:lang w:val="it-IT" w:eastAsia="it-IT"/>
        </w:rPr>
        <w:t>3.</w:t>
      </w:r>
      <w:r>
        <w:rPr>
          <w:rFonts w:eastAsia="Calibri" w:cs="Times New Roman"/>
          <w:caps/>
          <w:szCs w:val="24"/>
          <w:lang w:val="it-IT" w:eastAsia="it-IT"/>
        </w:rPr>
        <w:tab/>
      </w:r>
      <w:r w:rsidR="00CA7079" w:rsidRPr="009F68D7">
        <w:rPr>
          <w:rFonts w:eastAsia="Calibri" w:cs="Times New Roman"/>
          <w:caps/>
          <w:szCs w:val="24"/>
          <w:lang w:val="it-IT" w:eastAsia="it-IT"/>
        </w:rPr>
        <w:t>LA SICUREZZA DELL'APPROVVIGIONAMENTO INVERNALE: ASSUNZIONI NON DOCUMENTATE</w:t>
      </w:r>
      <w:bookmarkEnd w:id="7"/>
    </w:p>
    <w:p w14:paraId="05FA0891" w14:textId="26F37EE2" w:rsidR="000A6DEE" w:rsidRPr="000A6DEE" w:rsidRDefault="000A6DEE" w:rsidP="000A6DEE">
      <w:pPr>
        <w:rPr>
          <w:sz w:val="24"/>
          <w:szCs w:val="24"/>
        </w:rPr>
      </w:pPr>
      <w:r w:rsidRPr="000A6DEE">
        <w:rPr>
          <w:sz w:val="24"/>
          <w:szCs w:val="24"/>
        </w:rPr>
        <w:t xml:space="preserve">Il PECC punta principalmente sul fotovoltaico come fonte </w:t>
      </w:r>
      <w:r w:rsidR="00BB6415">
        <w:rPr>
          <w:sz w:val="24"/>
          <w:szCs w:val="24"/>
        </w:rPr>
        <w:t>energetica aggiuntiva</w:t>
      </w:r>
      <w:r w:rsidRPr="000A6DEE">
        <w:rPr>
          <w:sz w:val="24"/>
          <w:szCs w:val="24"/>
        </w:rPr>
        <w:t>. La Tabella 9 del PECC</w:t>
      </w:r>
      <w:r w:rsidR="00324328">
        <w:rPr>
          <w:rStyle w:val="Rimandonotaapidipagina"/>
          <w:sz w:val="24"/>
          <w:szCs w:val="24"/>
        </w:rPr>
        <w:footnoteReference w:id="7"/>
      </w:r>
      <w:r w:rsidRPr="000A6DEE">
        <w:rPr>
          <w:sz w:val="24"/>
          <w:szCs w:val="24"/>
        </w:rPr>
        <w:t xml:space="preserve"> rivela però una criticità strutturale che il piano non risolve: su 1'510 </w:t>
      </w:r>
      <w:proofErr w:type="spellStart"/>
      <w:r w:rsidRPr="000A6DEE">
        <w:rPr>
          <w:sz w:val="24"/>
          <w:szCs w:val="24"/>
        </w:rPr>
        <w:t>GWh</w:t>
      </w:r>
      <w:proofErr w:type="spellEnd"/>
      <w:r w:rsidRPr="000A6DEE">
        <w:rPr>
          <w:sz w:val="24"/>
          <w:szCs w:val="24"/>
        </w:rPr>
        <w:t xml:space="preserve"> fotovoltaici annui previsti nel 2050, solo 483 </w:t>
      </w:r>
      <w:proofErr w:type="spellStart"/>
      <w:r w:rsidRPr="000A6DEE">
        <w:rPr>
          <w:sz w:val="24"/>
          <w:szCs w:val="24"/>
        </w:rPr>
        <w:t>GWh</w:t>
      </w:r>
      <w:proofErr w:type="spellEnd"/>
      <w:r w:rsidRPr="000A6DEE">
        <w:rPr>
          <w:sz w:val="24"/>
          <w:szCs w:val="24"/>
        </w:rPr>
        <w:t xml:space="preserve"> (il 32%) sono prodotti nel semestre invernale, mentre 1'027 </w:t>
      </w:r>
      <w:proofErr w:type="spellStart"/>
      <w:r w:rsidRPr="000A6DEE">
        <w:rPr>
          <w:sz w:val="24"/>
          <w:szCs w:val="24"/>
        </w:rPr>
        <w:t>GWh</w:t>
      </w:r>
      <w:proofErr w:type="spellEnd"/>
      <w:r w:rsidRPr="000A6DEE">
        <w:rPr>
          <w:sz w:val="24"/>
          <w:szCs w:val="24"/>
        </w:rPr>
        <w:t xml:space="preserve"> (il 68%) sono prodotti in estate, quando la domanda di riscaldamento è minima e la rete rischia la congestione. Lo stesso Direttore del DT in audizione ha riconosciuto questa tensione: </w:t>
      </w:r>
      <w:r w:rsidR="0027334C" w:rsidRPr="0027334C">
        <w:rPr>
          <w:i/>
          <w:iCs/>
          <w:sz w:val="24"/>
          <w:szCs w:val="24"/>
        </w:rPr>
        <w:t>“</w:t>
      </w:r>
      <w:r w:rsidRPr="0027334C">
        <w:rPr>
          <w:i/>
          <w:iCs/>
          <w:sz w:val="24"/>
          <w:szCs w:val="24"/>
        </w:rPr>
        <w:t>L'idroelettrico dovrà diventare probabilmente funzionale al fotovoltaico e non viceversa. Vi è ancora un approccio non sufficientemente coordinato di queste due importanti fonti di energia</w:t>
      </w:r>
      <w:r w:rsidR="0027334C" w:rsidRPr="0027334C">
        <w:rPr>
          <w:i/>
          <w:iCs/>
          <w:sz w:val="24"/>
          <w:szCs w:val="24"/>
        </w:rPr>
        <w:t>”</w:t>
      </w:r>
      <w:r w:rsidRPr="0027334C">
        <w:rPr>
          <w:i/>
          <w:iCs/>
          <w:sz w:val="24"/>
          <w:szCs w:val="24"/>
        </w:rPr>
        <w:t>.</w:t>
      </w:r>
      <w:r w:rsidRPr="000A6DEE">
        <w:rPr>
          <w:sz w:val="24"/>
          <w:szCs w:val="24"/>
        </w:rPr>
        <w:t xml:space="preserve"> </w:t>
      </w:r>
      <w:proofErr w:type="spellStart"/>
      <w:r w:rsidRPr="000A6DEE">
        <w:rPr>
          <w:sz w:val="24"/>
          <w:szCs w:val="24"/>
        </w:rPr>
        <w:t>Enertì</w:t>
      </w:r>
      <w:proofErr w:type="spellEnd"/>
      <w:r w:rsidRPr="000A6DEE">
        <w:rPr>
          <w:sz w:val="24"/>
          <w:szCs w:val="24"/>
        </w:rPr>
        <w:t xml:space="preserve"> ha confermato la stessa valutazione: le rinnovabili da sole non bastano a risolvere il problema invernale e le soluzioni di accumulo disponibili non risolvono lo spostamento stagionale della produzione.</w:t>
      </w:r>
    </w:p>
    <w:p w14:paraId="6427612A" w14:textId="77777777" w:rsidR="000A6DEE" w:rsidRPr="000A6DEE" w:rsidRDefault="000A6DEE" w:rsidP="000A6DEE">
      <w:pPr>
        <w:rPr>
          <w:sz w:val="24"/>
          <w:szCs w:val="24"/>
        </w:rPr>
      </w:pPr>
    </w:p>
    <w:p w14:paraId="55C774D4" w14:textId="280B4C7F" w:rsidR="000A6DEE" w:rsidRPr="000A6DEE" w:rsidRDefault="000A6DEE" w:rsidP="000A6DEE">
      <w:pPr>
        <w:rPr>
          <w:sz w:val="24"/>
          <w:szCs w:val="24"/>
        </w:rPr>
      </w:pPr>
      <w:r w:rsidRPr="000A6DEE">
        <w:rPr>
          <w:sz w:val="24"/>
          <w:szCs w:val="24"/>
        </w:rPr>
        <w:t xml:space="preserve">Ne consegue un divario invernale strutturale che la Tabella 9 quantifica in circa 345 </w:t>
      </w:r>
      <w:proofErr w:type="spellStart"/>
      <w:r w:rsidRPr="000A6DEE">
        <w:rPr>
          <w:sz w:val="24"/>
          <w:szCs w:val="24"/>
        </w:rPr>
        <w:t>GWh</w:t>
      </w:r>
      <w:proofErr w:type="spellEnd"/>
      <w:r w:rsidRPr="000A6DEE">
        <w:rPr>
          <w:sz w:val="24"/>
          <w:szCs w:val="24"/>
        </w:rPr>
        <w:t xml:space="preserve"> al 2050. La sua copertura dipende da 280 </w:t>
      </w:r>
      <w:proofErr w:type="spellStart"/>
      <w:r w:rsidRPr="000A6DEE">
        <w:rPr>
          <w:sz w:val="24"/>
          <w:szCs w:val="24"/>
        </w:rPr>
        <w:t>GWh</w:t>
      </w:r>
      <w:proofErr w:type="spellEnd"/>
      <w:r w:rsidRPr="000A6DEE">
        <w:rPr>
          <w:sz w:val="24"/>
          <w:szCs w:val="24"/>
        </w:rPr>
        <w:t xml:space="preserve"> di misure complementari e da 400 </w:t>
      </w:r>
      <w:proofErr w:type="spellStart"/>
      <w:r w:rsidRPr="000A6DEE">
        <w:rPr>
          <w:sz w:val="24"/>
          <w:szCs w:val="24"/>
        </w:rPr>
        <w:t>GWh</w:t>
      </w:r>
      <w:proofErr w:type="spellEnd"/>
      <w:r w:rsidRPr="000A6DEE">
        <w:rPr>
          <w:sz w:val="24"/>
          <w:szCs w:val="24"/>
        </w:rPr>
        <w:t xml:space="preserve"> annui di partecipazioni e contratti extra-cantonali, dei quali 220 </w:t>
      </w:r>
      <w:proofErr w:type="spellStart"/>
      <w:r w:rsidRPr="000A6DEE">
        <w:rPr>
          <w:sz w:val="24"/>
          <w:szCs w:val="24"/>
        </w:rPr>
        <w:t>GWh</w:t>
      </w:r>
      <w:proofErr w:type="spellEnd"/>
      <w:r w:rsidRPr="000A6DEE">
        <w:rPr>
          <w:sz w:val="24"/>
          <w:szCs w:val="24"/>
        </w:rPr>
        <w:t xml:space="preserve"> nel semestre critico. Alla domanda della Commissione su quali accordi esistano per scenari di carenza, il Consiglio di Stato ha risposto che il tema </w:t>
      </w:r>
      <w:r w:rsidR="00370E74" w:rsidRPr="00370E74">
        <w:rPr>
          <w:i/>
          <w:iCs/>
          <w:sz w:val="24"/>
          <w:szCs w:val="24"/>
        </w:rPr>
        <w:t>“</w:t>
      </w:r>
      <w:r w:rsidRPr="00370E74">
        <w:rPr>
          <w:i/>
          <w:iCs/>
          <w:sz w:val="24"/>
          <w:szCs w:val="24"/>
        </w:rPr>
        <w:t>è di competenza federale e non del Consiglio di Stato</w:t>
      </w:r>
      <w:r w:rsidR="00370E74" w:rsidRPr="00370E74">
        <w:rPr>
          <w:i/>
          <w:iCs/>
          <w:sz w:val="24"/>
          <w:szCs w:val="24"/>
        </w:rPr>
        <w:t>”</w:t>
      </w:r>
      <w:r w:rsidRPr="000A6DEE">
        <w:rPr>
          <w:sz w:val="24"/>
          <w:szCs w:val="24"/>
        </w:rPr>
        <w:t>. Non è una risposta: è un'ammissione che la copertura del deficit invernale è affidata a misure la cui maturità, costo e affidabilità negli scenari avversi non sono documentati nel</w:t>
      </w:r>
      <w:r w:rsidR="00651E58">
        <w:rPr>
          <w:sz w:val="24"/>
          <w:szCs w:val="24"/>
        </w:rPr>
        <w:t xml:space="preserve"> </w:t>
      </w:r>
      <w:r w:rsidRPr="000A6DEE">
        <w:rPr>
          <w:sz w:val="24"/>
          <w:szCs w:val="24"/>
        </w:rPr>
        <w:t>messaggio</w:t>
      </w:r>
      <w:r w:rsidR="00E77E94">
        <w:rPr>
          <w:sz w:val="24"/>
          <w:szCs w:val="24"/>
        </w:rPr>
        <w:t xml:space="preserve"> in esame</w:t>
      </w:r>
      <w:r w:rsidRPr="000A6DEE">
        <w:rPr>
          <w:sz w:val="24"/>
          <w:szCs w:val="24"/>
        </w:rPr>
        <w:t>.</w:t>
      </w:r>
    </w:p>
    <w:p w14:paraId="5FD9CA6C" w14:textId="77777777" w:rsidR="000A6DEE" w:rsidRPr="000A6DEE" w:rsidRDefault="000A6DEE" w:rsidP="000A6DEE">
      <w:pPr>
        <w:rPr>
          <w:sz w:val="24"/>
          <w:szCs w:val="24"/>
        </w:rPr>
      </w:pPr>
    </w:p>
    <w:p w14:paraId="4137702B" w14:textId="57901E60" w:rsidR="000A6DEE" w:rsidRPr="000A6DEE" w:rsidRDefault="000A6DEE" w:rsidP="000A6DEE">
      <w:pPr>
        <w:rPr>
          <w:sz w:val="24"/>
          <w:szCs w:val="24"/>
        </w:rPr>
      </w:pPr>
      <w:r w:rsidRPr="000A6DEE">
        <w:rPr>
          <w:sz w:val="24"/>
          <w:szCs w:val="24"/>
        </w:rPr>
        <w:t xml:space="preserve">Le famiglie ticinesi sanno già cosa significa questo concretamente. Tra il 2022 e il 2023 le tariffe dell'elettricità sono aumentate tra il 27 e il 31% per la maggior parte delle economie domestiche ticinesi, per effetto dell'esposizione ai mercati europei in un momento di pressione sul sistema. </w:t>
      </w:r>
      <w:r w:rsidR="00293E74" w:rsidRPr="00293E74">
        <w:rPr>
          <w:sz w:val="24"/>
          <w:szCs w:val="24"/>
        </w:rPr>
        <w:t xml:space="preserve">Sulle tariffe incidono più fattori, dai prezzi europei alla quota di produzione propria fino alla strategia di acquisto di ciascun gestore. Resta il fatto che il PECC affida la copertura del deficit invernale ad apporti extra-cantonali di cui non documenta disponibilità, durata, costo e </w:t>
      </w:r>
      <w:r w:rsidR="00271820">
        <w:rPr>
          <w:sz w:val="24"/>
          <w:szCs w:val="24"/>
        </w:rPr>
        <w:t>affidabilità</w:t>
      </w:r>
      <w:r w:rsidR="00293E74" w:rsidRPr="00293E74">
        <w:rPr>
          <w:sz w:val="24"/>
          <w:szCs w:val="24"/>
        </w:rPr>
        <w:t>. Il Gran Consiglio non dispone quindi degli elementi per valutare quanto quella copertura sia solida negli anni difficili.</w:t>
      </w:r>
    </w:p>
    <w:p w14:paraId="06D700C9" w14:textId="77777777" w:rsidR="000A6DEE" w:rsidRPr="000A6DEE" w:rsidRDefault="000A6DEE" w:rsidP="000A6DEE">
      <w:pPr>
        <w:rPr>
          <w:sz w:val="24"/>
          <w:szCs w:val="24"/>
        </w:rPr>
      </w:pPr>
    </w:p>
    <w:p w14:paraId="4B7D1A79" w14:textId="0875E65F" w:rsidR="00BC7A50" w:rsidRDefault="000A6DEE" w:rsidP="000A6DEE">
      <w:pPr>
        <w:rPr>
          <w:sz w:val="24"/>
          <w:szCs w:val="24"/>
        </w:rPr>
      </w:pPr>
      <w:r w:rsidRPr="000A6DEE">
        <w:rPr>
          <w:sz w:val="24"/>
          <w:szCs w:val="24"/>
        </w:rPr>
        <w:t xml:space="preserve">Lo stoccaggio stagionale non offre una via d'uscita a costi ragionevoli. Lo studio di </w:t>
      </w:r>
      <w:proofErr w:type="spellStart"/>
      <w:r w:rsidRPr="000A6DEE">
        <w:rPr>
          <w:sz w:val="24"/>
          <w:szCs w:val="24"/>
        </w:rPr>
        <w:t>Züttel</w:t>
      </w:r>
      <w:proofErr w:type="spellEnd"/>
      <w:r w:rsidRPr="000A6DEE">
        <w:rPr>
          <w:sz w:val="24"/>
          <w:szCs w:val="24"/>
        </w:rPr>
        <w:t xml:space="preserve"> et al. (</w:t>
      </w:r>
      <w:proofErr w:type="spellStart"/>
      <w:r w:rsidRPr="000A6DEE">
        <w:rPr>
          <w:sz w:val="24"/>
          <w:szCs w:val="24"/>
        </w:rPr>
        <w:t>Frontiers</w:t>
      </w:r>
      <w:proofErr w:type="spellEnd"/>
      <w:r w:rsidRPr="000A6DEE">
        <w:rPr>
          <w:sz w:val="24"/>
          <w:szCs w:val="24"/>
        </w:rPr>
        <w:t xml:space="preserve"> in Energy </w:t>
      </w:r>
      <w:proofErr w:type="spellStart"/>
      <w:r w:rsidRPr="000A6DEE">
        <w:rPr>
          <w:sz w:val="24"/>
          <w:szCs w:val="24"/>
        </w:rPr>
        <w:t>Research</w:t>
      </w:r>
      <w:proofErr w:type="spellEnd"/>
      <w:r w:rsidRPr="000A6DEE">
        <w:rPr>
          <w:sz w:val="24"/>
          <w:szCs w:val="24"/>
        </w:rPr>
        <w:t xml:space="preserve">, 2022) quantifica l'ordine di grandezza: coprire il deficit invernale svizzero tramite pompaggio richiederebbe 13 nuove centrali di capacità equivalente alla Grande </w:t>
      </w:r>
      <w:proofErr w:type="spellStart"/>
      <w:r w:rsidRPr="000A6DEE">
        <w:rPr>
          <w:sz w:val="24"/>
          <w:szCs w:val="24"/>
        </w:rPr>
        <w:t>Dixence</w:t>
      </w:r>
      <w:proofErr w:type="spellEnd"/>
      <w:r w:rsidRPr="000A6DEE">
        <w:rPr>
          <w:sz w:val="24"/>
          <w:szCs w:val="24"/>
        </w:rPr>
        <w:t>; tramite idrogeno, caverne sotterranee per un volume pari a 25 volte il tunnel di base del San Gottardo</w:t>
      </w:r>
      <w:r w:rsidR="000E74AE">
        <w:rPr>
          <w:rStyle w:val="Rimandonotaapidipagina"/>
          <w:sz w:val="24"/>
          <w:szCs w:val="24"/>
        </w:rPr>
        <w:footnoteReference w:id="8"/>
      </w:r>
      <w:r w:rsidRPr="000A6DEE">
        <w:rPr>
          <w:sz w:val="24"/>
          <w:szCs w:val="24"/>
        </w:rPr>
        <w:t xml:space="preserve">. Il PECC stesso riconosce che il </w:t>
      </w:r>
      <w:proofErr w:type="spellStart"/>
      <w:r w:rsidRPr="000A6DEE">
        <w:rPr>
          <w:sz w:val="24"/>
          <w:szCs w:val="24"/>
        </w:rPr>
        <w:t>Power</w:t>
      </w:r>
      <w:proofErr w:type="spellEnd"/>
      <w:r w:rsidRPr="000A6DEE">
        <w:rPr>
          <w:sz w:val="24"/>
          <w:szCs w:val="24"/>
        </w:rPr>
        <w:t xml:space="preserve">-to-X è una tecnologia ancora marginale, con processi di trasformazione </w:t>
      </w:r>
      <w:r w:rsidR="00170B55">
        <w:rPr>
          <w:sz w:val="24"/>
          <w:szCs w:val="24"/>
        </w:rPr>
        <w:t xml:space="preserve">altamente </w:t>
      </w:r>
      <w:r w:rsidRPr="000A6DEE">
        <w:rPr>
          <w:sz w:val="24"/>
          <w:szCs w:val="24"/>
        </w:rPr>
        <w:t xml:space="preserve">energivori e poco efficienti. E i bacini idroelettrici ticinesi non sono una riserva disponibile </w:t>
      </w:r>
      <w:r w:rsidRPr="000A6DEE">
        <w:rPr>
          <w:sz w:val="24"/>
          <w:szCs w:val="24"/>
        </w:rPr>
        <w:lastRenderedPageBreak/>
        <w:t xml:space="preserve">a piacimento: la </w:t>
      </w:r>
      <w:proofErr w:type="spellStart"/>
      <w:r w:rsidRPr="000A6DEE">
        <w:rPr>
          <w:sz w:val="24"/>
          <w:szCs w:val="24"/>
        </w:rPr>
        <w:t>LAEl</w:t>
      </w:r>
      <w:proofErr w:type="spellEnd"/>
      <w:r w:rsidRPr="000A6DEE">
        <w:rPr>
          <w:sz w:val="24"/>
          <w:szCs w:val="24"/>
        </w:rPr>
        <w:t xml:space="preserve"> prevede che i gestori delle grandi centrali ad accumulazione partecipino obbligatoriamente alle riserve strategiche nazionali a partire da una capacità di 10 </w:t>
      </w:r>
      <w:proofErr w:type="spellStart"/>
      <w:r w:rsidRPr="000A6DEE">
        <w:rPr>
          <w:sz w:val="24"/>
          <w:szCs w:val="24"/>
        </w:rPr>
        <w:t>GWh</w:t>
      </w:r>
      <w:proofErr w:type="spellEnd"/>
      <w:r w:rsidRPr="000A6DEE">
        <w:rPr>
          <w:sz w:val="24"/>
          <w:szCs w:val="24"/>
        </w:rPr>
        <w:t xml:space="preserve"> (art. 8b cpv. 2 </w:t>
      </w:r>
      <w:proofErr w:type="spellStart"/>
      <w:r w:rsidRPr="000A6DEE">
        <w:rPr>
          <w:sz w:val="24"/>
          <w:szCs w:val="24"/>
        </w:rPr>
        <w:t>lett</w:t>
      </w:r>
      <w:proofErr w:type="spellEnd"/>
      <w:r w:rsidRPr="000A6DEE">
        <w:rPr>
          <w:sz w:val="24"/>
          <w:szCs w:val="24"/>
        </w:rPr>
        <w:t xml:space="preserve">. a </w:t>
      </w:r>
      <w:proofErr w:type="spellStart"/>
      <w:r w:rsidRPr="000A6DEE">
        <w:rPr>
          <w:sz w:val="24"/>
          <w:szCs w:val="24"/>
        </w:rPr>
        <w:t>LAEl</w:t>
      </w:r>
      <w:proofErr w:type="spellEnd"/>
      <w:r w:rsidRPr="000A6DEE">
        <w:rPr>
          <w:sz w:val="24"/>
          <w:szCs w:val="24"/>
        </w:rPr>
        <w:t xml:space="preserve">). In caso di penuria, quell'acqua risponde alle esigenze del sistema svizzero nel suo complesso, non alla sola autonomia cantonale. </w:t>
      </w:r>
    </w:p>
    <w:p w14:paraId="648ACEFA" w14:textId="0165ECAE" w:rsidR="002F768E" w:rsidRDefault="002F768E" w:rsidP="00D861E7">
      <w:pPr>
        <w:rPr>
          <w:sz w:val="24"/>
          <w:szCs w:val="24"/>
        </w:rPr>
      </w:pPr>
    </w:p>
    <w:p w14:paraId="3E3582D6" w14:textId="462E3256" w:rsidR="009F68D7" w:rsidRDefault="009F68D7" w:rsidP="00D861E7">
      <w:pPr>
        <w:rPr>
          <w:sz w:val="24"/>
          <w:szCs w:val="24"/>
        </w:rPr>
      </w:pPr>
    </w:p>
    <w:p w14:paraId="754DF6AA" w14:textId="77777777" w:rsidR="009F68D7" w:rsidRDefault="009F68D7" w:rsidP="00D861E7">
      <w:pPr>
        <w:rPr>
          <w:sz w:val="24"/>
          <w:szCs w:val="24"/>
        </w:rPr>
      </w:pPr>
    </w:p>
    <w:p w14:paraId="2FB175B0" w14:textId="365A0EED" w:rsidR="00B310E0" w:rsidRPr="009F68D7" w:rsidRDefault="009F68D7" w:rsidP="009F68D7">
      <w:pPr>
        <w:pStyle w:val="Titolo1"/>
        <w:tabs>
          <w:tab w:val="left" w:pos="567"/>
        </w:tabs>
        <w:spacing w:before="0"/>
        <w:ind w:left="567" w:hanging="567"/>
        <w:jc w:val="both"/>
        <w:rPr>
          <w:rFonts w:eastAsia="Calibri" w:cs="Times New Roman"/>
          <w:caps/>
          <w:szCs w:val="24"/>
          <w:lang w:val="it-IT" w:eastAsia="it-IT"/>
        </w:rPr>
      </w:pPr>
      <w:bookmarkStart w:id="8" w:name="_Toc239766134"/>
      <w:r>
        <w:rPr>
          <w:rFonts w:eastAsia="Calibri" w:cs="Times New Roman"/>
          <w:caps/>
          <w:szCs w:val="24"/>
          <w:lang w:val="it-IT" w:eastAsia="it-IT"/>
        </w:rPr>
        <w:t>4.</w:t>
      </w:r>
      <w:r>
        <w:rPr>
          <w:rFonts w:eastAsia="Calibri" w:cs="Times New Roman"/>
          <w:caps/>
          <w:szCs w:val="24"/>
          <w:lang w:val="it-IT" w:eastAsia="it-IT"/>
        </w:rPr>
        <w:tab/>
      </w:r>
      <w:r w:rsidR="00B059D1" w:rsidRPr="009F68D7">
        <w:rPr>
          <w:rFonts w:eastAsia="Calibri" w:cs="Times New Roman"/>
          <w:caps/>
          <w:szCs w:val="24"/>
          <w:lang w:val="it-IT" w:eastAsia="it-IT"/>
        </w:rPr>
        <w:t>UN QUADRO FEDERALE IN PIENA TRASFORMAZIONE</w:t>
      </w:r>
      <w:bookmarkEnd w:id="8"/>
    </w:p>
    <w:p w14:paraId="085EBC7A" w14:textId="1A499F35" w:rsidR="00BB4C28" w:rsidRPr="00BB4C28" w:rsidRDefault="00BB4C28" w:rsidP="00BB4C28">
      <w:pPr>
        <w:rPr>
          <w:sz w:val="24"/>
          <w:szCs w:val="24"/>
        </w:rPr>
      </w:pPr>
      <w:r w:rsidRPr="00BB4C28">
        <w:rPr>
          <w:sz w:val="24"/>
          <w:szCs w:val="24"/>
        </w:rPr>
        <w:t xml:space="preserve">Il PECC è stato licenziato il 10 luglio 2024 </w:t>
      </w:r>
      <w:r w:rsidR="00A42CFA" w:rsidRPr="00A42CFA">
        <w:rPr>
          <w:sz w:val="24"/>
          <w:szCs w:val="24"/>
        </w:rPr>
        <w:t>in un contesto normativo e tecnologico che nei due anni successivi è cambiato su più fronti</w:t>
      </w:r>
      <w:r w:rsidRPr="00BB4C28">
        <w:rPr>
          <w:sz w:val="24"/>
          <w:szCs w:val="24"/>
        </w:rPr>
        <w:t xml:space="preserve">. </w:t>
      </w:r>
      <w:r w:rsidR="00E656B1" w:rsidRPr="00E656B1">
        <w:rPr>
          <w:sz w:val="24"/>
          <w:szCs w:val="24"/>
        </w:rPr>
        <w:t>L’Atto mantello, approvato in votazione popolare il 9 giugno 2024</w:t>
      </w:r>
      <w:r w:rsidR="00E77E94">
        <w:rPr>
          <w:sz w:val="24"/>
          <w:szCs w:val="24"/>
        </w:rPr>
        <w:t xml:space="preserve"> (</w:t>
      </w:r>
      <w:r w:rsidR="00E77E94" w:rsidRPr="00E77E94">
        <w:rPr>
          <w:sz w:val="24"/>
          <w:szCs w:val="24"/>
        </w:rPr>
        <w:t>Legge federale su un approvvigionamento elettrico sicuro con le energie rinnovabili</w:t>
      </w:r>
      <w:r w:rsidR="00E77E94">
        <w:rPr>
          <w:sz w:val="24"/>
          <w:szCs w:val="24"/>
        </w:rPr>
        <w:t>)</w:t>
      </w:r>
      <w:r w:rsidR="00E656B1" w:rsidRPr="00E656B1">
        <w:rPr>
          <w:sz w:val="24"/>
          <w:szCs w:val="24"/>
        </w:rPr>
        <w:t>, è entrato in vigore in due tappe, il 1° gennaio 2025 e il 1° gennaio 2026, con le relative disposizioni esecutive. Al momento del licenziamento, il PECC non poteva quindi valutarne pienamente gli effetti.</w:t>
      </w:r>
      <w:r w:rsidRPr="00BB4C28">
        <w:rPr>
          <w:sz w:val="24"/>
          <w:szCs w:val="24"/>
        </w:rPr>
        <w:t xml:space="preserve"> Il </w:t>
      </w:r>
      <w:proofErr w:type="spellStart"/>
      <w:r w:rsidRPr="00BB4C28">
        <w:rPr>
          <w:sz w:val="24"/>
          <w:szCs w:val="24"/>
        </w:rPr>
        <w:t>MoPEC</w:t>
      </w:r>
      <w:proofErr w:type="spellEnd"/>
      <w:r w:rsidRPr="00BB4C28">
        <w:rPr>
          <w:sz w:val="24"/>
          <w:szCs w:val="24"/>
        </w:rPr>
        <w:t xml:space="preserve"> 2025, adottato dalla Conferenza dei direttori cantonali dell'energia il 29 agosto 2025, tredici mesi dopo il licenziamento del messaggio, ha fissato il nuovo riferimento </w:t>
      </w:r>
      <w:proofErr w:type="spellStart"/>
      <w:r w:rsidRPr="00BB4C28">
        <w:rPr>
          <w:sz w:val="24"/>
          <w:szCs w:val="24"/>
        </w:rPr>
        <w:t>intercantonale</w:t>
      </w:r>
      <w:proofErr w:type="spellEnd"/>
      <w:r w:rsidRPr="00BB4C28">
        <w:rPr>
          <w:sz w:val="24"/>
          <w:szCs w:val="24"/>
        </w:rPr>
        <w:t xml:space="preserve"> per le prescrizioni energetiche degli edifici. </w:t>
      </w:r>
      <w:r w:rsidR="00BB7885" w:rsidRPr="00BB7885">
        <w:rPr>
          <w:sz w:val="24"/>
          <w:szCs w:val="24"/>
        </w:rPr>
        <w:t xml:space="preserve">Nel giugno 2026 le Camere federali hanno approvato il controprogetto indiretto all'iniziativa </w:t>
      </w:r>
      <w:r w:rsidR="00AC2280">
        <w:rPr>
          <w:sz w:val="24"/>
          <w:szCs w:val="24"/>
        </w:rPr>
        <w:t>“</w:t>
      </w:r>
      <w:r w:rsidR="00BB7885" w:rsidRPr="00BB7885">
        <w:rPr>
          <w:sz w:val="24"/>
          <w:szCs w:val="24"/>
        </w:rPr>
        <w:t>Stop al blackout</w:t>
      </w:r>
      <w:r w:rsidR="00F9162E">
        <w:rPr>
          <w:sz w:val="24"/>
          <w:szCs w:val="24"/>
        </w:rPr>
        <w:t>”</w:t>
      </w:r>
      <w:r w:rsidR="00BB7885" w:rsidRPr="00BB7885">
        <w:rPr>
          <w:sz w:val="24"/>
          <w:szCs w:val="24"/>
        </w:rPr>
        <w:t>, che abroga il divieto di autorizzare nuove centrali nucleari. Contro questa modifica è stato lanciato il referendum e il voto popolare è atteso il 28 febbraio 2027</w:t>
      </w:r>
      <w:r w:rsidR="00FF6070">
        <w:rPr>
          <w:rStyle w:val="Rimandonotaapidipagina"/>
          <w:sz w:val="24"/>
          <w:szCs w:val="24"/>
        </w:rPr>
        <w:footnoteReference w:id="9"/>
      </w:r>
      <w:r w:rsidRPr="00BB4C28">
        <w:rPr>
          <w:sz w:val="24"/>
          <w:szCs w:val="24"/>
        </w:rPr>
        <w:t>. L'accordo elettrico Svizzera-UE, firmato il 2 marzo 2026 e trasmesso al Parlamento federale il 13 marzo 2026, introduce una trasformazione strutturale del mercato che il PECC non ha potuto considerare.</w:t>
      </w:r>
    </w:p>
    <w:p w14:paraId="357156B5" w14:textId="77777777" w:rsidR="00BB4C28" w:rsidRPr="00BB4C28" w:rsidRDefault="00BB4C28" w:rsidP="00BB4C28">
      <w:pPr>
        <w:rPr>
          <w:sz w:val="24"/>
          <w:szCs w:val="24"/>
        </w:rPr>
      </w:pPr>
    </w:p>
    <w:p w14:paraId="5818350B" w14:textId="39AB71D9" w:rsidR="00BB4C28" w:rsidRPr="00BB4C28" w:rsidRDefault="00BB4C28" w:rsidP="00BB4C28">
      <w:pPr>
        <w:rPr>
          <w:sz w:val="24"/>
          <w:szCs w:val="24"/>
        </w:rPr>
      </w:pPr>
      <w:r w:rsidRPr="00BB4C28">
        <w:rPr>
          <w:sz w:val="24"/>
          <w:szCs w:val="24"/>
        </w:rPr>
        <w:t xml:space="preserve">Ciascuno di questi sviluppi tocca direttamente le premesse del piano. </w:t>
      </w:r>
      <w:r w:rsidR="00694339" w:rsidRPr="00694339">
        <w:rPr>
          <w:sz w:val="24"/>
          <w:szCs w:val="24"/>
        </w:rPr>
        <w:t>Il PECC, una volta approvato, sostituisce il PEC-2013 come piano energetico cantonale di riferimento. AET vi è già vincolata in forza dell'art</w:t>
      </w:r>
      <w:r w:rsidR="005272B8">
        <w:rPr>
          <w:sz w:val="24"/>
          <w:szCs w:val="24"/>
        </w:rPr>
        <w:t>.</w:t>
      </w:r>
      <w:r w:rsidR="00694339" w:rsidRPr="00694339">
        <w:rPr>
          <w:sz w:val="24"/>
          <w:szCs w:val="24"/>
        </w:rPr>
        <w:t xml:space="preserve"> 2 capoverso 2 LAET, che la modifica proposta</w:t>
      </w:r>
      <w:r w:rsidR="005272B8">
        <w:rPr>
          <w:sz w:val="24"/>
          <w:szCs w:val="24"/>
        </w:rPr>
        <w:t xml:space="preserve"> nel messaggio</w:t>
      </w:r>
      <w:r w:rsidR="00694339" w:rsidRPr="00694339">
        <w:rPr>
          <w:sz w:val="24"/>
          <w:szCs w:val="24"/>
        </w:rPr>
        <w:t xml:space="preserve"> si limita ad aggiornare nella denominazione. Quanto ai Comuni, il caso di Lugano è indicativo: il 30 luglio 2026 il Municipio ha adottato il proprio Piano energetico comunale</w:t>
      </w:r>
      <w:r w:rsidR="007F1D3E">
        <w:rPr>
          <w:sz w:val="24"/>
          <w:szCs w:val="24"/>
        </w:rPr>
        <w:t xml:space="preserve"> (</w:t>
      </w:r>
      <w:proofErr w:type="spellStart"/>
      <w:r w:rsidR="007F1D3E">
        <w:rPr>
          <w:sz w:val="24"/>
          <w:szCs w:val="24"/>
        </w:rPr>
        <w:t>PECo</w:t>
      </w:r>
      <w:proofErr w:type="spellEnd"/>
      <w:r w:rsidR="007F1D3E">
        <w:rPr>
          <w:sz w:val="24"/>
          <w:szCs w:val="24"/>
        </w:rPr>
        <w:t>)</w:t>
      </w:r>
      <w:r w:rsidR="00694339" w:rsidRPr="00694339">
        <w:rPr>
          <w:sz w:val="24"/>
          <w:szCs w:val="24"/>
        </w:rPr>
        <w:t xml:space="preserve"> allineandolo agli obiettivi cantonali</w:t>
      </w:r>
      <w:r w:rsidR="00A55163">
        <w:rPr>
          <w:sz w:val="24"/>
          <w:szCs w:val="24"/>
        </w:rPr>
        <w:t xml:space="preserve"> del PECC</w:t>
      </w:r>
      <w:r w:rsidR="00A92A8E">
        <w:rPr>
          <w:rStyle w:val="Rimandonotaapidipagina"/>
          <w:sz w:val="24"/>
          <w:szCs w:val="24"/>
        </w:rPr>
        <w:footnoteReference w:id="10"/>
      </w:r>
      <w:r w:rsidR="00694339" w:rsidRPr="00694339">
        <w:rPr>
          <w:sz w:val="24"/>
          <w:szCs w:val="24"/>
        </w:rPr>
        <w:t xml:space="preserve">, quando il PECC non era ancora stato </w:t>
      </w:r>
      <w:r w:rsidR="00A55163">
        <w:rPr>
          <w:sz w:val="24"/>
          <w:szCs w:val="24"/>
        </w:rPr>
        <w:t xml:space="preserve">discusso e </w:t>
      </w:r>
      <w:r w:rsidR="00694339" w:rsidRPr="00694339">
        <w:rPr>
          <w:sz w:val="24"/>
          <w:szCs w:val="24"/>
        </w:rPr>
        <w:t xml:space="preserve">approvato dal Gran Consiglio. Il piano cantonale </w:t>
      </w:r>
      <w:r w:rsidR="007F1D3E">
        <w:rPr>
          <w:sz w:val="24"/>
          <w:szCs w:val="24"/>
        </w:rPr>
        <w:t>sta già producendo</w:t>
      </w:r>
      <w:r w:rsidR="00694339" w:rsidRPr="00694339">
        <w:rPr>
          <w:sz w:val="24"/>
          <w:szCs w:val="24"/>
        </w:rPr>
        <w:t xml:space="preserve"> effetti sulla pianificazione comunale prima ancora del voto parlamentare, e li produce su scenari elaborati nel 2021.</w:t>
      </w:r>
      <w:r w:rsidRPr="00BB4C28">
        <w:rPr>
          <w:sz w:val="24"/>
          <w:szCs w:val="24"/>
        </w:rPr>
        <w:t xml:space="preserve"> Questo vincolo entra in vigore </w:t>
      </w:r>
      <w:r w:rsidR="005C3A35">
        <w:rPr>
          <w:sz w:val="24"/>
          <w:szCs w:val="24"/>
        </w:rPr>
        <w:t>immediatamente</w:t>
      </w:r>
      <w:r w:rsidRPr="00BB4C28">
        <w:rPr>
          <w:sz w:val="24"/>
          <w:szCs w:val="24"/>
        </w:rPr>
        <w:t xml:space="preserve">, su scenari che non incorporano l'Atto mantello, il </w:t>
      </w:r>
      <w:proofErr w:type="spellStart"/>
      <w:r w:rsidRPr="00BB4C28">
        <w:rPr>
          <w:sz w:val="24"/>
          <w:szCs w:val="24"/>
        </w:rPr>
        <w:t>MoPEC</w:t>
      </w:r>
      <w:proofErr w:type="spellEnd"/>
      <w:r w:rsidRPr="00BB4C28">
        <w:rPr>
          <w:sz w:val="24"/>
          <w:szCs w:val="24"/>
        </w:rPr>
        <w:t xml:space="preserve"> 2025, la riapertura del dossier nucleare né gli effetti dell'accordo con l'UE sul ruolo di AET, dei distributori locali e degli </w:t>
      </w:r>
      <w:proofErr w:type="spellStart"/>
      <w:r w:rsidRPr="00BB4C28">
        <w:rPr>
          <w:sz w:val="24"/>
          <w:szCs w:val="24"/>
        </w:rPr>
        <w:t>autoproduttori</w:t>
      </w:r>
      <w:proofErr w:type="spellEnd"/>
      <w:r w:rsidRPr="00BB4C28">
        <w:rPr>
          <w:sz w:val="24"/>
          <w:szCs w:val="24"/>
        </w:rPr>
        <w:t>. La maggioranza risponde che il monitoraggio quadriennale permetterà di adeguarsi. Non è una risposta pertinente</w:t>
      </w:r>
      <w:r w:rsidR="005C3A35">
        <w:rPr>
          <w:sz w:val="24"/>
          <w:szCs w:val="24"/>
        </w:rPr>
        <w:t>, in quanto</w:t>
      </w:r>
      <w:r w:rsidRPr="00BB4C28">
        <w:rPr>
          <w:sz w:val="24"/>
          <w:szCs w:val="24"/>
        </w:rPr>
        <w:t xml:space="preserve"> il monitoraggio produce un rapporto sullo stato di avanzamento, </w:t>
      </w:r>
      <w:r w:rsidR="00E51CEC" w:rsidRPr="00E51CEC">
        <w:rPr>
          <w:sz w:val="24"/>
          <w:szCs w:val="24"/>
        </w:rPr>
        <w:t>non una revisione degli scenari di base né una sospensione dei vincoli già in essere</w:t>
      </w:r>
      <w:r w:rsidRPr="00BB4C28">
        <w:rPr>
          <w:sz w:val="24"/>
          <w:szCs w:val="24"/>
        </w:rPr>
        <w:t>.</w:t>
      </w:r>
    </w:p>
    <w:p w14:paraId="33B7D84A" w14:textId="77777777" w:rsidR="00BB4C28" w:rsidRPr="00BB4C28" w:rsidRDefault="00BB4C28" w:rsidP="00BB4C28">
      <w:pPr>
        <w:rPr>
          <w:sz w:val="24"/>
          <w:szCs w:val="24"/>
        </w:rPr>
      </w:pPr>
    </w:p>
    <w:p w14:paraId="760B2E8D" w14:textId="66DFF148" w:rsidR="00FA73FC" w:rsidRDefault="00BB4C28" w:rsidP="00BB4C28">
      <w:pPr>
        <w:rPr>
          <w:sz w:val="24"/>
          <w:szCs w:val="24"/>
        </w:rPr>
      </w:pPr>
      <w:r w:rsidRPr="00BB4C28">
        <w:rPr>
          <w:sz w:val="24"/>
          <w:szCs w:val="24"/>
        </w:rPr>
        <w:t xml:space="preserve">Sul </w:t>
      </w:r>
      <w:proofErr w:type="spellStart"/>
      <w:r w:rsidRPr="00BB4C28">
        <w:rPr>
          <w:sz w:val="24"/>
          <w:szCs w:val="24"/>
        </w:rPr>
        <w:t>MoPEC</w:t>
      </w:r>
      <w:proofErr w:type="spellEnd"/>
      <w:r w:rsidR="00597177">
        <w:rPr>
          <w:sz w:val="24"/>
          <w:szCs w:val="24"/>
        </w:rPr>
        <w:t xml:space="preserve">, inoltre, </w:t>
      </w:r>
      <w:r w:rsidRPr="00BB4C28">
        <w:rPr>
          <w:sz w:val="24"/>
          <w:szCs w:val="24"/>
        </w:rPr>
        <w:t>va</w:t>
      </w:r>
      <w:r w:rsidR="00597177">
        <w:rPr>
          <w:sz w:val="24"/>
          <w:szCs w:val="24"/>
        </w:rPr>
        <w:t xml:space="preserve"> fatta </w:t>
      </w:r>
      <w:r w:rsidRPr="00BB4C28">
        <w:rPr>
          <w:sz w:val="24"/>
          <w:szCs w:val="24"/>
        </w:rPr>
        <w:t xml:space="preserve">una precisazione specifica. Il rapporto di maggioranza ha esaminato il confronto e ha modificato la scadenza per il fotovoltaico sugli edifici esistenti al 2045. </w:t>
      </w:r>
      <w:r w:rsidR="000C415B" w:rsidRPr="000C415B">
        <w:rPr>
          <w:sz w:val="24"/>
          <w:szCs w:val="24"/>
        </w:rPr>
        <w:t xml:space="preserve">La correzione della scadenza fotovoltaica non cambia la sostanza. L'obbligo generalizzato sui tetti idonei sopra 300 m² resta, il </w:t>
      </w:r>
      <w:proofErr w:type="spellStart"/>
      <w:r w:rsidR="000C415B" w:rsidRPr="000C415B">
        <w:rPr>
          <w:sz w:val="24"/>
          <w:szCs w:val="24"/>
        </w:rPr>
        <w:t>MoPEC</w:t>
      </w:r>
      <w:proofErr w:type="spellEnd"/>
      <w:r w:rsidR="000C415B" w:rsidRPr="000C415B">
        <w:rPr>
          <w:sz w:val="24"/>
          <w:szCs w:val="24"/>
        </w:rPr>
        <w:t xml:space="preserve"> non lo prevede, e nessuno ha </w:t>
      </w:r>
      <w:r w:rsidR="000C415B" w:rsidRPr="000C415B">
        <w:rPr>
          <w:sz w:val="24"/>
          <w:szCs w:val="24"/>
        </w:rPr>
        <w:lastRenderedPageBreak/>
        <w:t>spiegato perché il Ticino debba assumerselo</w:t>
      </w:r>
      <w:r w:rsidRPr="00BB4C28">
        <w:rPr>
          <w:sz w:val="24"/>
          <w:szCs w:val="24"/>
        </w:rPr>
        <w:t xml:space="preserve">. Rimane però lo scostamento che il disegno di modifica della </w:t>
      </w:r>
      <w:proofErr w:type="spellStart"/>
      <w:r w:rsidRPr="00BB4C28">
        <w:rPr>
          <w:sz w:val="24"/>
          <w:szCs w:val="24"/>
        </w:rPr>
        <w:t>LEn</w:t>
      </w:r>
      <w:proofErr w:type="spellEnd"/>
      <w:r w:rsidRPr="00BB4C28">
        <w:rPr>
          <w:sz w:val="24"/>
          <w:szCs w:val="24"/>
        </w:rPr>
        <w:t xml:space="preserve"> introduce rispetto al </w:t>
      </w:r>
      <w:proofErr w:type="spellStart"/>
      <w:r w:rsidRPr="00BB4C28">
        <w:rPr>
          <w:sz w:val="24"/>
          <w:szCs w:val="24"/>
        </w:rPr>
        <w:t>MoPEC</w:t>
      </w:r>
      <w:proofErr w:type="spellEnd"/>
      <w:r w:rsidR="00D07391">
        <w:rPr>
          <w:sz w:val="24"/>
          <w:szCs w:val="24"/>
        </w:rPr>
        <w:t>, in quanto</w:t>
      </w:r>
      <w:r w:rsidRPr="00BB4C28">
        <w:rPr>
          <w:sz w:val="24"/>
          <w:szCs w:val="24"/>
        </w:rPr>
        <w:t xml:space="preserve"> l'obbligo fotovoltaico generalizzato entro il 2045 per tutti i tetti idonei sopra 300 m², anche in assenza di ristrutturazione, va oltre il riferimento </w:t>
      </w:r>
      <w:proofErr w:type="spellStart"/>
      <w:r w:rsidRPr="00BB4C28">
        <w:rPr>
          <w:sz w:val="24"/>
          <w:szCs w:val="24"/>
        </w:rPr>
        <w:t>intercantonale</w:t>
      </w:r>
      <w:proofErr w:type="spellEnd"/>
      <w:r w:rsidRPr="00BB4C28">
        <w:rPr>
          <w:sz w:val="24"/>
          <w:szCs w:val="24"/>
        </w:rPr>
        <w:t xml:space="preserve"> senza un'analisi specifica dei costi di questo scostamento. </w:t>
      </w:r>
      <w:r w:rsidR="00F869AC">
        <w:rPr>
          <w:sz w:val="24"/>
          <w:szCs w:val="24"/>
        </w:rPr>
        <w:t xml:space="preserve">In questo contesto mal si comprende la motivazione </w:t>
      </w:r>
      <w:r w:rsidR="0046314C">
        <w:rPr>
          <w:sz w:val="24"/>
          <w:szCs w:val="24"/>
        </w:rPr>
        <w:t xml:space="preserve">dietro alla volontà di essere più papisti del Papa. </w:t>
      </w:r>
    </w:p>
    <w:p w14:paraId="3B1D37BA" w14:textId="77777777" w:rsidR="00873A99" w:rsidRDefault="00873A99" w:rsidP="00BB4C28">
      <w:pPr>
        <w:rPr>
          <w:sz w:val="24"/>
          <w:szCs w:val="24"/>
        </w:rPr>
      </w:pPr>
    </w:p>
    <w:p w14:paraId="092DEEB7" w14:textId="1EE434F2" w:rsidR="00873A99" w:rsidRDefault="00873A99" w:rsidP="00BB4C28">
      <w:pPr>
        <w:rPr>
          <w:sz w:val="24"/>
          <w:szCs w:val="24"/>
        </w:rPr>
      </w:pPr>
      <w:r w:rsidRPr="00873A99">
        <w:rPr>
          <w:sz w:val="24"/>
          <w:szCs w:val="24"/>
        </w:rPr>
        <w:t xml:space="preserve">A questo si aggiunge un elemento che il Consiglio di Stato non poteva conoscere quando ha licenziato il messaggio, ma che il Gran Consiglio conosce oggi. Nel messaggio dell'agosto 2025 sul controprogetto all'iniziativa </w:t>
      </w:r>
      <w:r w:rsidR="00AC2280">
        <w:rPr>
          <w:sz w:val="24"/>
          <w:szCs w:val="24"/>
        </w:rPr>
        <w:t>“</w:t>
      </w:r>
      <w:r w:rsidRPr="00873A99">
        <w:rPr>
          <w:sz w:val="24"/>
          <w:szCs w:val="24"/>
        </w:rPr>
        <w:t>Stop al blackout</w:t>
      </w:r>
      <w:r w:rsidR="00F9162E">
        <w:rPr>
          <w:sz w:val="24"/>
          <w:szCs w:val="24"/>
        </w:rPr>
        <w:t>”</w:t>
      </w:r>
      <w:r w:rsidRPr="00873A99">
        <w:rPr>
          <w:sz w:val="24"/>
          <w:szCs w:val="24"/>
        </w:rPr>
        <w:t xml:space="preserve">, il Consiglio federale ha annunciato che le nuove Prospettive energetiche saranno disponibili entro la fine del 2027 e che rappresenteranno </w:t>
      </w:r>
      <w:r w:rsidR="00AC2280">
        <w:rPr>
          <w:sz w:val="24"/>
          <w:szCs w:val="24"/>
        </w:rPr>
        <w:t>“</w:t>
      </w:r>
      <w:r w:rsidRPr="00EB7377">
        <w:rPr>
          <w:i/>
          <w:iCs/>
          <w:sz w:val="24"/>
          <w:szCs w:val="24"/>
        </w:rPr>
        <w:t>una valutazione tecnica e strategica per la futura politica energetica</w:t>
      </w:r>
      <w:r w:rsidR="00F9162E">
        <w:rPr>
          <w:sz w:val="24"/>
          <w:szCs w:val="24"/>
        </w:rPr>
        <w:t>”</w:t>
      </w:r>
      <w:r w:rsidRPr="00873A99">
        <w:rPr>
          <w:sz w:val="24"/>
          <w:szCs w:val="24"/>
        </w:rPr>
        <w:t>. Sono le stesse Prospettive che, nella versione del 2021, costituiscono la base di calcolo dello scenario TI-2050. Il Cantone si accinge dunque ad approvare un piano al 2050 fondato su proiezioni federali che la Confederazione stessa sostituirà entro poco più di un anno, e lo fa vincolando fin da subito AET, gli enti pubblici e i proprietari immobiliari. Attendere l'aggiornamento non significa rinviare la politica energetica cantonale, che prosegue con gli strumenti già approvati: significa costruirla su basi che saranno finalmente aggiornate.</w:t>
      </w:r>
    </w:p>
    <w:p w14:paraId="34B2CEDB" w14:textId="74896670" w:rsidR="004D3809" w:rsidRDefault="004D3809" w:rsidP="0037606B"/>
    <w:p w14:paraId="562BC668" w14:textId="3172F2F8" w:rsidR="009F68D7" w:rsidRDefault="009F68D7" w:rsidP="0037606B"/>
    <w:p w14:paraId="21DFD788" w14:textId="77777777" w:rsidR="009F68D7" w:rsidRPr="0037606B" w:rsidRDefault="009F68D7" w:rsidP="0037606B"/>
    <w:p w14:paraId="5910FD86" w14:textId="0CF35AFE" w:rsidR="004D3809" w:rsidRPr="009F68D7" w:rsidRDefault="009F68D7" w:rsidP="009F68D7">
      <w:pPr>
        <w:pStyle w:val="Titolo1"/>
        <w:tabs>
          <w:tab w:val="left" w:pos="567"/>
        </w:tabs>
        <w:spacing w:before="0"/>
        <w:ind w:left="567" w:hanging="567"/>
        <w:jc w:val="both"/>
        <w:rPr>
          <w:rFonts w:eastAsia="Calibri" w:cs="Times New Roman"/>
          <w:caps/>
          <w:szCs w:val="24"/>
          <w:lang w:val="it-IT" w:eastAsia="it-IT"/>
        </w:rPr>
      </w:pPr>
      <w:bookmarkStart w:id="9" w:name="_Toc239766135"/>
      <w:r>
        <w:rPr>
          <w:rFonts w:eastAsia="Calibri" w:cs="Times New Roman"/>
          <w:caps/>
          <w:szCs w:val="24"/>
          <w:lang w:val="it-IT" w:eastAsia="it-IT"/>
        </w:rPr>
        <w:t>5.</w:t>
      </w:r>
      <w:r>
        <w:rPr>
          <w:rFonts w:eastAsia="Calibri" w:cs="Times New Roman"/>
          <w:caps/>
          <w:szCs w:val="24"/>
          <w:lang w:val="it-IT" w:eastAsia="it-IT"/>
        </w:rPr>
        <w:tab/>
      </w:r>
      <w:r w:rsidR="004D3809" w:rsidRPr="009F68D7">
        <w:rPr>
          <w:rFonts w:eastAsia="Calibri" w:cs="Times New Roman"/>
          <w:caps/>
          <w:szCs w:val="24"/>
          <w:lang w:val="it-IT" w:eastAsia="it-IT"/>
        </w:rPr>
        <w:t>LE MODIFICHE ALLA LEn: OBBLIGHI SENZA BASI ANALITICHE E SENZA STIMA DELL'ONERE NETTO</w:t>
      </w:r>
      <w:bookmarkEnd w:id="9"/>
    </w:p>
    <w:p w14:paraId="431A2B2F" w14:textId="417DE5E0" w:rsidR="009E6B8D" w:rsidRPr="009F68D7" w:rsidRDefault="002620C9" w:rsidP="009F68D7">
      <w:pPr>
        <w:pStyle w:val="Titolo2"/>
        <w:tabs>
          <w:tab w:val="left" w:pos="567"/>
        </w:tabs>
        <w:spacing w:before="0" w:after="120"/>
        <w:jc w:val="both"/>
        <w:rPr>
          <w:rFonts w:eastAsia="Calibri" w:cs="Times New Roman"/>
          <w:lang w:val="it-IT" w:eastAsia="it-IT"/>
        </w:rPr>
      </w:pPr>
      <w:bookmarkStart w:id="10" w:name="_Toc239766136"/>
      <w:r w:rsidRPr="009F68D7">
        <w:rPr>
          <w:rFonts w:eastAsia="Calibri" w:cs="Times New Roman"/>
          <w:lang w:val="it-IT" w:eastAsia="it-IT"/>
        </w:rPr>
        <w:t>5</w:t>
      </w:r>
      <w:r w:rsidR="002E1DF4" w:rsidRPr="009F68D7">
        <w:rPr>
          <w:rFonts w:eastAsia="Calibri" w:cs="Times New Roman"/>
          <w:lang w:val="it-IT" w:eastAsia="it-IT"/>
        </w:rPr>
        <w:t xml:space="preserve">.1 </w:t>
      </w:r>
      <w:r w:rsidR="009F68D7">
        <w:rPr>
          <w:rFonts w:eastAsia="Calibri" w:cs="Times New Roman"/>
          <w:lang w:val="it-IT" w:eastAsia="it-IT"/>
        </w:rPr>
        <w:tab/>
      </w:r>
      <w:r w:rsidR="009E6B8D" w:rsidRPr="009F68D7">
        <w:rPr>
          <w:rFonts w:eastAsia="Calibri" w:cs="Times New Roman"/>
          <w:lang w:val="it-IT" w:eastAsia="it-IT"/>
        </w:rPr>
        <w:t>La sequenza logica rovesciata</w:t>
      </w:r>
      <w:bookmarkEnd w:id="10"/>
    </w:p>
    <w:p w14:paraId="79E8CC8F" w14:textId="79D83CF0" w:rsidR="009E6B8D" w:rsidRDefault="00C60612" w:rsidP="009E6B8D">
      <w:pPr>
        <w:rPr>
          <w:sz w:val="24"/>
          <w:szCs w:val="24"/>
        </w:rPr>
      </w:pPr>
      <w:r w:rsidRPr="00C60612">
        <w:rPr>
          <w:sz w:val="24"/>
          <w:szCs w:val="24"/>
        </w:rPr>
        <w:t xml:space="preserve">Le modifiche normative proposte condividono un difetto strutturale: vengono introdotti obblighi che presuppongono analisi ancora da compiere. Il modello energetico cantonale (P.4.4), l'analisi del potenziale fotovoltaico fuori dalle zone edificabili (P.3.5) e gli approfondimenti sugli accumuli termici di lunga durata (P.12.2) non sono stati completati. </w:t>
      </w:r>
      <w:r w:rsidR="000C594C" w:rsidRPr="000C594C">
        <w:rPr>
          <w:sz w:val="24"/>
          <w:szCs w:val="24"/>
        </w:rPr>
        <w:t xml:space="preserve">Come già evidenziato </w:t>
      </w:r>
      <w:r w:rsidR="000C594C">
        <w:rPr>
          <w:sz w:val="24"/>
          <w:szCs w:val="24"/>
        </w:rPr>
        <w:t>nella</w:t>
      </w:r>
      <w:r w:rsidR="000C594C" w:rsidRPr="000C594C">
        <w:rPr>
          <w:sz w:val="24"/>
          <w:szCs w:val="24"/>
        </w:rPr>
        <w:t xml:space="preserve"> premessa, la stessa maggioranza ammette che la scheda P.4.4 è indispensabile per decidere. La sequenza corretta è </w:t>
      </w:r>
      <w:r w:rsidR="00124198">
        <w:rPr>
          <w:sz w:val="24"/>
          <w:szCs w:val="24"/>
        </w:rPr>
        <w:t>quindi: analisi, obiettivi e poi</w:t>
      </w:r>
      <w:r w:rsidR="00DB0532">
        <w:rPr>
          <w:sz w:val="24"/>
          <w:szCs w:val="24"/>
        </w:rPr>
        <w:t xml:space="preserve"> le norme.</w:t>
      </w:r>
    </w:p>
    <w:p w14:paraId="7F26B3CC" w14:textId="37BEA2B9" w:rsidR="00C60612" w:rsidRDefault="00C60612" w:rsidP="009E6B8D">
      <w:pPr>
        <w:rPr>
          <w:sz w:val="24"/>
          <w:szCs w:val="24"/>
        </w:rPr>
      </w:pPr>
    </w:p>
    <w:p w14:paraId="27756D46" w14:textId="77777777" w:rsidR="009F68D7" w:rsidRDefault="009F68D7" w:rsidP="009E6B8D">
      <w:pPr>
        <w:rPr>
          <w:sz w:val="24"/>
          <w:szCs w:val="24"/>
        </w:rPr>
      </w:pPr>
    </w:p>
    <w:p w14:paraId="74AD5B16" w14:textId="145C6A05" w:rsidR="00E142FC" w:rsidRPr="009F68D7" w:rsidRDefault="002620C9" w:rsidP="009F68D7">
      <w:pPr>
        <w:pStyle w:val="Titolo2"/>
        <w:tabs>
          <w:tab w:val="left" w:pos="567"/>
        </w:tabs>
        <w:spacing w:before="0" w:after="120"/>
        <w:jc w:val="both"/>
        <w:rPr>
          <w:rFonts w:eastAsia="Calibri" w:cs="Times New Roman"/>
          <w:lang w:val="it-IT" w:eastAsia="it-IT"/>
        </w:rPr>
      </w:pPr>
      <w:bookmarkStart w:id="11" w:name="_Toc239766137"/>
      <w:r w:rsidRPr="009F68D7">
        <w:rPr>
          <w:rFonts w:eastAsia="Calibri" w:cs="Times New Roman"/>
          <w:lang w:val="it-IT" w:eastAsia="it-IT"/>
        </w:rPr>
        <w:t>5</w:t>
      </w:r>
      <w:r w:rsidR="00E142FC" w:rsidRPr="009F68D7">
        <w:rPr>
          <w:rFonts w:eastAsia="Calibri" w:cs="Times New Roman"/>
          <w:lang w:val="it-IT" w:eastAsia="it-IT"/>
        </w:rPr>
        <w:t xml:space="preserve">.2 </w:t>
      </w:r>
      <w:r w:rsidR="009F68D7">
        <w:rPr>
          <w:rFonts w:eastAsia="Calibri" w:cs="Times New Roman"/>
          <w:lang w:val="it-IT" w:eastAsia="it-IT"/>
        </w:rPr>
        <w:tab/>
      </w:r>
      <w:r w:rsidR="00E142FC" w:rsidRPr="009F68D7">
        <w:rPr>
          <w:rFonts w:eastAsia="Calibri" w:cs="Times New Roman"/>
          <w:lang w:val="it-IT" w:eastAsia="it-IT"/>
        </w:rPr>
        <w:t>L'obbligo di installazione fotovoltaica</w:t>
      </w:r>
      <w:bookmarkEnd w:id="11"/>
    </w:p>
    <w:p w14:paraId="5019221F" w14:textId="6BD32D76" w:rsidR="00931A94" w:rsidRDefault="00815BCF" w:rsidP="00815BCF">
      <w:pPr>
        <w:rPr>
          <w:sz w:val="24"/>
          <w:szCs w:val="24"/>
        </w:rPr>
      </w:pPr>
      <w:r w:rsidRPr="00815BCF">
        <w:rPr>
          <w:sz w:val="24"/>
          <w:szCs w:val="24"/>
        </w:rPr>
        <w:t xml:space="preserve">La maggioranza ha corretto la proposta governativa spostando al 2045 la scadenza per gli edifici esistenti sopra 300 m² e introducendo deroghe per i casi in cui l'installazione non sia </w:t>
      </w:r>
      <w:r w:rsidR="004752A2" w:rsidRPr="00993742">
        <w:rPr>
          <w:i/>
          <w:iCs/>
          <w:sz w:val="24"/>
          <w:szCs w:val="24"/>
        </w:rPr>
        <w:t>“</w:t>
      </w:r>
      <w:r w:rsidRPr="00993742">
        <w:rPr>
          <w:i/>
          <w:iCs/>
          <w:sz w:val="24"/>
          <w:szCs w:val="24"/>
        </w:rPr>
        <w:t>opportuna o ragionevolmente esigibile</w:t>
      </w:r>
      <w:r w:rsidR="004752A2" w:rsidRPr="00993742">
        <w:rPr>
          <w:i/>
          <w:iCs/>
          <w:sz w:val="24"/>
          <w:szCs w:val="24"/>
        </w:rPr>
        <w:t>”</w:t>
      </w:r>
      <w:r w:rsidRPr="00815BCF">
        <w:rPr>
          <w:sz w:val="24"/>
          <w:szCs w:val="24"/>
        </w:rPr>
        <w:t xml:space="preserve">. </w:t>
      </w:r>
      <w:r w:rsidR="00DF129A" w:rsidRPr="00DF129A">
        <w:rPr>
          <w:sz w:val="24"/>
          <w:szCs w:val="24"/>
        </w:rPr>
        <w:t xml:space="preserve">La Commissione ha spostato la scadenza, non ha toccato il problema. Il </w:t>
      </w:r>
      <w:proofErr w:type="spellStart"/>
      <w:r w:rsidR="00DF129A" w:rsidRPr="00DF129A">
        <w:rPr>
          <w:sz w:val="24"/>
          <w:szCs w:val="24"/>
        </w:rPr>
        <w:t>MoPEC</w:t>
      </w:r>
      <w:proofErr w:type="spellEnd"/>
      <w:r w:rsidR="00DF129A" w:rsidRPr="00DF129A">
        <w:rPr>
          <w:sz w:val="24"/>
          <w:szCs w:val="24"/>
        </w:rPr>
        <w:t xml:space="preserve"> 2025 prevede l'obbligo fotovoltaico solo in caso di importante ristrutturazione del tetto; il disegno di legge cantonale lo estende a tutti i tetti idonei sopra 300 m² anche senza alcun intervento. Su questo scostamento non esiste una riga di analisi</w:t>
      </w:r>
      <w:r w:rsidRPr="00815BCF">
        <w:rPr>
          <w:sz w:val="24"/>
          <w:szCs w:val="24"/>
        </w:rPr>
        <w:t xml:space="preserve">. Il rapporto di maggioranza ammette che gli oneri per i Comuni </w:t>
      </w:r>
      <w:r w:rsidR="00AC2280">
        <w:rPr>
          <w:sz w:val="24"/>
          <w:szCs w:val="24"/>
        </w:rPr>
        <w:t>“</w:t>
      </w:r>
      <w:r w:rsidRPr="00EB7377">
        <w:rPr>
          <w:i/>
          <w:iCs/>
          <w:sz w:val="24"/>
          <w:szCs w:val="24"/>
        </w:rPr>
        <w:t>non sono quantificabili con precisione</w:t>
      </w:r>
      <w:r w:rsidR="00F9162E" w:rsidRPr="00EB7377">
        <w:rPr>
          <w:i/>
          <w:iCs/>
          <w:sz w:val="24"/>
          <w:szCs w:val="24"/>
        </w:rPr>
        <w:t>”</w:t>
      </w:r>
      <w:r w:rsidRPr="00EB7377">
        <w:rPr>
          <w:i/>
          <w:iCs/>
          <w:sz w:val="24"/>
          <w:szCs w:val="24"/>
        </w:rPr>
        <w:t>.</w:t>
      </w:r>
      <w:r w:rsidRPr="00815BCF">
        <w:rPr>
          <w:sz w:val="24"/>
          <w:szCs w:val="24"/>
        </w:rPr>
        <w:t xml:space="preserve"> La capacità di assorbimento della rete per scenari di produzione fotovoltaica simultanea su larga scala non è stata verificata: il PECC stesso ammette che con circa 1'400 MW fotovoltaici installati, vale a dire circa sette volte la potenza attuale, </w:t>
      </w:r>
      <w:r w:rsidR="00E4034D">
        <w:rPr>
          <w:sz w:val="24"/>
          <w:szCs w:val="24"/>
        </w:rPr>
        <w:t>“</w:t>
      </w:r>
      <w:r w:rsidRPr="00EB7377">
        <w:rPr>
          <w:i/>
          <w:iCs/>
          <w:sz w:val="24"/>
          <w:szCs w:val="24"/>
        </w:rPr>
        <w:t xml:space="preserve">andrà pertanto affrontato </w:t>
      </w:r>
      <w:proofErr w:type="gramStart"/>
      <w:r w:rsidRPr="00EB7377">
        <w:rPr>
          <w:i/>
          <w:iCs/>
          <w:sz w:val="24"/>
          <w:szCs w:val="24"/>
        </w:rPr>
        <w:t>e</w:t>
      </w:r>
      <w:proofErr w:type="gramEnd"/>
      <w:r w:rsidRPr="00EB7377">
        <w:rPr>
          <w:i/>
          <w:iCs/>
          <w:sz w:val="24"/>
          <w:szCs w:val="24"/>
        </w:rPr>
        <w:t xml:space="preserve"> risolto il problema di garantire la stabilità della rete</w:t>
      </w:r>
      <w:r w:rsidR="00AC2280">
        <w:rPr>
          <w:sz w:val="24"/>
          <w:szCs w:val="24"/>
        </w:rPr>
        <w:t>”</w:t>
      </w:r>
      <w:r w:rsidRPr="00815BCF">
        <w:rPr>
          <w:sz w:val="24"/>
          <w:szCs w:val="24"/>
        </w:rPr>
        <w:t>. Le deroghe, rinviate a un regolamento non ancora scritto, lasciano i proprietari in incertezza giuridica prolungata.</w:t>
      </w:r>
    </w:p>
    <w:p w14:paraId="4A8B2EF5" w14:textId="44683034" w:rsidR="00BE6890" w:rsidRPr="009F68D7" w:rsidRDefault="002620C9" w:rsidP="009F68D7">
      <w:pPr>
        <w:pStyle w:val="Titolo2"/>
        <w:tabs>
          <w:tab w:val="left" w:pos="567"/>
        </w:tabs>
        <w:spacing w:before="0" w:after="120"/>
        <w:jc w:val="both"/>
        <w:rPr>
          <w:rFonts w:eastAsia="Calibri" w:cs="Times New Roman"/>
          <w:lang w:val="it-IT" w:eastAsia="it-IT"/>
        </w:rPr>
      </w:pPr>
      <w:bookmarkStart w:id="12" w:name="_Toc239766138"/>
      <w:r w:rsidRPr="009F68D7">
        <w:rPr>
          <w:rFonts w:eastAsia="Calibri" w:cs="Times New Roman"/>
          <w:lang w:val="it-IT" w:eastAsia="it-IT"/>
        </w:rPr>
        <w:lastRenderedPageBreak/>
        <w:t>5</w:t>
      </w:r>
      <w:r w:rsidR="00C46687" w:rsidRPr="009F68D7">
        <w:rPr>
          <w:rFonts w:eastAsia="Calibri" w:cs="Times New Roman"/>
          <w:lang w:val="it-IT" w:eastAsia="it-IT"/>
        </w:rPr>
        <w:t xml:space="preserve">.3 </w:t>
      </w:r>
      <w:r w:rsidR="009F68D7">
        <w:rPr>
          <w:rFonts w:eastAsia="Calibri" w:cs="Times New Roman"/>
          <w:lang w:val="it-IT" w:eastAsia="it-IT"/>
        </w:rPr>
        <w:tab/>
      </w:r>
      <w:r w:rsidR="003250F5" w:rsidRPr="009F68D7">
        <w:rPr>
          <w:rFonts w:eastAsia="Calibri" w:cs="Times New Roman"/>
          <w:lang w:val="it-IT" w:eastAsia="it-IT"/>
        </w:rPr>
        <w:t>Gli obblighi sul riscaldamento, il potere d'acquisto e i 2,5 miliardi</w:t>
      </w:r>
      <w:bookmarkEnd w:id="12"/>
    </w:p>
    <w:p w14:paraId="1CBBA83B" w14:textId="69B7FC44" w:rsidR="00A07B65" w:rsidRDefault="00A07B65" w:rsidP="00A07B65">
      <w:pPr>
        <w:rPr>
          <w:sz w:val="24"/>
          <w:szCs w:val="24"/>
        </w:rPr>
      </w:pPr>
      <w:r w:rsidRPr="00A07B65">
        <w:rPr>
          <w:sz w:val="24"/>
          <w:szCs w:val="24"/>
        </w:rPr>
        <w:t xml:space="preserve">La maggioranza ha abrogato l'obbligo retroattivo generalizzato di sostituzione entro una data fissa. Rimane l'obbligo alla sostituzione della centrale primaria, con deroghe. </w:t>
      </w:r>
      <w:r w:rsidR="0053200E" w:rsidRPr="0053200E">
        <w:rPr>
          <w:sz w:val="24"/>
          <w:szCs w:val="24"/>
        </w:rPr>
        <w:t xml:space="preserve">L'abrogazione dell'obbligo retroattivo era il minimo, e riporta il Ticino su quanto il </w:t>
      </w:r>
      <w:proofErr w:type="spellStart"/>
      <w:r w:rsidR="0053200E" w:rsidRPr="0053200E">
        <w:rPr>
          <w:sz w:val="24"/>
          <w:szCs w:val="24"/>
        </w:rPr>
        <w:t>MoPEC</w:t>
      </w:r>
      <w:proofErr w:type="spellEnd"/>
      <w:r w:rsidR="0053200E" w:rsidRPr="0053200E">
        <w:rPr>
          <w:sz w:val="24"/>
          <w:szCs w:val="24"/>
        </w:rPr>
        <w:t xml:space="preserve"> 2025 già prevede. Non risolve nulla di ciò che conta: chi paga l'adeguamento, con quali mezzi e con quale sostegno.</w:t>
      </w:r>
    </w:p>
    <w:p w14:paraId="70DB5597" w14:textId="77777777" w:rsidR="00A07B65" w:rsidRPr="00A07B65" w:rsidRDefault="00A07B65" w:rsidP="00A07B65">
      <w:pPr>
        <w:rPr>
          <w:sz w:val="24"/>
          <w:szCs w:val="24"/>
        </w:rPr>
      </w:pPr>
    </w:p>
    <w:p w14:paraId="7FE37E74" w14:textId="3D585ED7" w:rsidR="00A07B65" w:rsidRDefault="00A07B65" w:rsidP="00A07B65">
      <w:pPr>
        <w:rPr>
          <w:sz w:val="24"/>
          <w:szCs w:val="24"/>
        </w:rPr>
      </w:pPr>
      <w:r w:rsidRPr="00A07B65">
        <w:rPr>
          <w:sz w:val="24"/>
          <w:szCs w:val="24"/>
        </w:rPr>
        <w:t xml:space="preserve">In audizione il Capo della Divisione dell'ambiente ha fornito un ordine di grandezza lordo: </w:t>
      </w:r>
      <w:r w:rsidR="00E4034D">
        <w:rPr>
          <w:sz w:val="24"/>
          <w:szCs w:val="24"/>
        </w:rPr>
        <w:t>“</w:t>
      </w:r>
      <w:r w:rsidRPr="00EB7377">
        <w:rPr>
          <w:i/>
          <w:iCs/>
          <w:sz w:val="24"/>
          <w:szCs w:val="24"/>
        </w:rPr>
        <w:t xml:space="preserve">Gli impianti sono circa 50'000; se calcoliamo </w:t>
      </w:r>
      <w:proofErr w:type="spellStart"/>
      <w:r w:rsidRPr="00EB7377">
        <w:rPr>
          <w:i/>
          <w:iCs/>
          <w:sz w:val="24"/>
          <w:szCs w:val="24"/>
        </w:rPr>
        <w:t>fr</w:t>
      </w:r>
      <w:proofErr w:type="spellEnd"/>
      <w:r w:rsidRPr="00EB7377">
        <w:rPr>
          <w:i/>
          <w:iCs/>
          <w:sz w:val="24"/>
          <w:szCs w:val="24"/>
        </w:rPr>
        <w:t>. 50'000 per ognuno, si arriva a un totale di 2,5 miliardi. Questo è l'ordine di grandezza dell'investimento totale per la conversione di tutti gli impianti di riscaldamento</w:t>
      </w:r>
      <w:r w:rsidR="00F9162E">
        <w:rPr>
          <w:sz w:val="24"/>
          <w:szCs w:val="24"/>
        </w:rPr>
        <w:t>”</w:t>
      </w:r>
      <w:r w:rsidRPr="00A07B65">
        <w:rPr>
          <w:sz w:val="24"/>
          <w:szCs w:val="24"/>
        </w:rPr>
        <w:t>. La scheda C.1.1 del PECC indica a sua volta circa 2,4 miliardi di investimenti privati al 2050. Le due cifre si sovrappongono parzialmente ma non sono state riconciliate. Soprattutto, nessuna analisi presenta l'onere incrementale netto dopo incentivi, sostituzioni comunque necessarie per fine vita degli impianti e risparmi d'esercizio. Senza questa analisi il Gran Consiglio non può valutare gli effetti distributivi su famiglie, proprietari anziani, locatari e PMI.</w:t>
      </w:r>
    </w:p>
    <w:p w14:paraId="568D32B6" w14:textId="77777777" w:rsidR="00A07B65" w:rsidRPr="00A07B65" w:rsidRDefault="00A07B65" w:rsidP="00A07B65">
      <w:pPr>
        <w:rPr>
          <w:sz w:val="24"/>
          <w:szCs w:val="24"/>
        </w:rPr>
      </w:pPr>
    </w:p>
    <w:p w14:paraId="18B2513D" w14:textId="170696B2" w:rsidR="00A07B65" w:rsidRDefault="00A07B65" w:rsidP="00A07B65">
      <w:pPr>
        <w:rPr>
          <w:sz w:val="24"/>
          <w:szCs w:val="24"/>
        </w:rPr>
      </w:pPr>
      <w:r w:rsidRPr="00A07B65">
        <w:rPr>
          <w:sz w:val="24"/>
          <w:szCs w:val="24"/>
        </w:rPr>
        <w:t xml:space="preserve">La questione del potere d'acquisto non è accessoria. Una sostituzione di impianto di riscaldamento può costare tra i 20'000 e i 50'000 franchi, a seconda delle condizioni costruttive dell'edificio. Per un proprietario a reddito fisso, per chi vive di rendita o per chi ha ereditato un immobile datato, si tratta di un investimento che può richiedere un indebitamento significativo. Il messaggio non analizza né quante famiglie si trovino in questa situazione, né quali meccanismi di sostegno siano previsti oltre agli incentivi già esistenti. La Camera di commercio ticinese e l'Associazione Industrie Ticinesi avevano chiesto esplicitamente in consultazione </w:t>
      </w:r>
      <w:r w:rsidR="00E4034D">
        <w:rPr>
          <w:sz w:val="24"/>
          <w:szCs w:val="24"/>
        </w:rPr>
        <w:t>“</w:t>
      </w:r>
      <w:r w:rsidRPr="00857856">
        <w:rPr>
          <w:i/>
          <w:iCs/>
          <w:sz w:val="24"/>
          <w:szCs w:val="24"/>
        </w:rPr>
        <w:t>una valutazione dell'impatto finanziario degli obiettivi perseguiti</w:t>
      </w:r>
      <w:r w:rsidR="00F9162E">
        <w:rPr>
          <w:sz w:val="24"/>
          <w:szCs w:val="24"/>
        </w:rPr>
        <w:t>”</w:t>
      </w:r>
      <w:r w:rsidRPr="00A07B65">
        <w:rPr>
          <w:sz w:val="24"/>
          <w:szCs w:val="24"/>
        </w:rPr>
        <w:t xml:space="preserve">, definendola </w:t>
      </w:r>
      <w:r w:rsidR="00E4034D">
        <w:rPr>
          <w:sz w:val="24"/>
          <w:szCs w:val="24"/>
        </w:rPr>
        <w:t>“</w:t>
      </w:r>
      <w:r w:rsidRPr="00857856">
        <w:rPr>
          <w:i/>
          <w:iCs/>
          <w:sz w:val="24"/>
          <w:szCs w:val="24"/>
        </w:rPr>
        <w:t>assolutamente necessaria</w:t>
      </w:r>
      <w:r w:rsidR="00F9162E">
        <w:rPr>
          <w:sz w:val="24"/>
          <w:szCs w:val="24"/>
        </w:rPr>
        <w:t>”</w:t>
      </w:r>
      <w:r w:rsidRPr="00A07B65">
        <w:rPr>
          <w:sz w:val="24"/>
          <w:szCs w:val="24"/>
        </w:rPr>
        <w:t>. Non è stata fornita risposta adeguata.</w:t>
      </w:r>
    </w:p>
    <w:p w14:paraId="14D97ACD" w14:textId="77777777" w:rsidR="007A1A4B" w:rsidRDefault="007A1A4B" w:rsidP="00A07B65">
      <w:pPr>
        <w:rPr>
          <w:sz w:val="24"/>
          <w:szCs w:val="24"/>
        </w:rPr>
      </w:pPr>
    </w:p>
    <w:p w14:paraId="624F668E" w14:textId="72FE45A2" w:rsidR="007A1A4B" w:rsidRDefault="007A1A4B" w:rsidP="00A07B65">
      <w:pPr>
        <w:rPr>
          <w:sz w:val="24"/>
          <w:szCs w:val="24"/>
        </w:rPr>
      </w:pPr>
      <w:r w:rsidRPr="007A1A4B">
        <w:rPr>
          <w:sz w:val="24"/>
          <w:szCs w:val="24"/>
        </w:rPr>
        <w:t xml:space="preserve">Accanto alle famiglie, l'onere ricade sulle imprese. Il quadro federale e </w:t>
      </w:r>
      <w:proofErr w:type="spellStart"/>
      <w:r w:rsidRPr="007A1A4B">
        <w:rPr>
          <w:sz w:val="24"/>
          <w:szCs w:val="24"/>
        </w:rPr>
        <w:t>intercantonale</w:t>
      </w:r>
      <w:proofErr w:type="spellEnd"/>
      <w:r w:rsidRPr="007A1A4B">
        <w:rPr>
          <w:sz w:val="24"/>
          <w:szCs w:val="24"/>
        </w:rPr>
        <w:t xml:space="preserve"> prevede già l'abbandono delle fonti fossili negli edifici entro il 2050 e l'obbligo di riscaldamento rinnovabile al momento della sostituzione dell'impianto: su questo le aziende ticinesi si adegueranno come tutte le altre in Svizzera. Il disegno di modifica della </w:t>
      </w:r>
      <w:proofErr w:type="spellStart"/>
      <w:r w:rsidRPr="007A1A4B">
        <w:rPr>
          <w:sz w:val="24"/>
          <w:szCs w:val="24"/>
        </w:rPr>
        <w:t>LEn</w:t>
      </w:r>
      <w:proofErr w:type="spellEnd"/>
      <w:r w:rsidRPr="007A1A4B">
        <w:rPr>
          <w:sz w:val="24"/>
          <w:szCs w:val="24"/>
        </w:rPr>
        <w:t xml:space="preserve"> va però oltre, con un obbligo fotovoltaico generalizzato sui tetti idonei sopra 300 m² che colpisce in particolare i capannoni industriali e artigianali, anche in assenza di ristrutturazione. Il messaggio non contiene alcuna analisi di impatto di questo scostamento sulla competitività del tessuto economico cantonale, in un contesto in cui le imprese ticinesi competono con concorrenti d'oltrefrontiera. La Camera di commercio e l'Associazione Industrie Ticinesi lo avevano segnalato in consultazione. Non hanno ricevuto risposta.</w:t>
      </w:r>
    </w:p>
    <w:p w14:paraId="7288FB1B" w14:textId="77777777" w:rsidR="00A07B65" w:rsidRPr="00A07B65" w:rsidRDefault="00A07B65" w:rsidP="00A07B65">
      <w:pPr>
        <w:rPr>
          <w:sz w:val="24"/>
          <w:szCs w:val="24"/>
        </w:rPr>
      </w:pPr>
    </w:p>
    <w:p w14:paraId="5603FC65" w14:textId="03778CC5" w:rsidR="00E142FC" w:rsidRDefault="00A07B65" w:rsidP="00A07B65">
      <w:pPr>
        <w:rPr>
          <w:sz w:val="24"/>
          <w:szCs w:val="24"/>
        </w:rPr>
      </w:pPr>
      <w:r w:rsidRPr="00A07B65">
        <w:rPr>
          <w:sz w:val="24"/>
          <w:szCs w:val="24"/>
        </w:rPr>
        <w:t xml:space="preserve">Il commissario Padlina ha sollevato in audizione la questione con precisione: se la transizione avviene spontaneamente, come Bernasconi ha affermato citando i dati sulle domande di costruzione, perché introdurre un obbligo? La risposta del DT è stata: </w:t>
      </w:r>
      <w:r w:rsidR="00447EC6" w:rsidRPr="00447EC6">
        <w:rPr>
          <w:i/>
          <w:iCs/>
          <w:sz w:val="24"/>
          <w:szCs w:val="24"/>
        </w:rPr>
        <w:t>“</w:t>
      </w:r>
      <w:r w:rsidRPr="00447EC6">
        <w:rPr>
          <w:i/>
          <w:iCs/>
          <w:sz w:val="24"/>
          <w:szCs w:val="24"/>
        </w:rPr>
        <w:t>Se la transizione avviene spontaneamente, l'obbligo non causerà alcuna difficoltà</w:t>
      </w:r>
      <w:r w:rsidR="00447EC6" w:rsidRPr="00447EC6">
        <w:rPr>
          <w:i/>
          <w:iCs/>
          <w:sz w:val="24"/>
          <w:szCs w:val="24"/>
        </w:rPr>
        <w:t>”</w:t>
      </w:r>
      <w:r w:rsidRPr="00447EC6">
        <w:rPr>
          <w:i/>
          <w:iCs/>
          <w:sz w:val="24"/>
          <w:szCs w:val="24"/>
        </w:rPr>
        <w:t xml:space="preserve">. </w:t>
      </w:r>
      <w:r w:rsidRPr="00A07B65">
        <w:rPr>
          <w:sz w:val="24"/>
          <w:szCs w:val="24"/>
        </w:rPr>
        <w:t>Non giustifica il costo giuridico e l'onere iniziale per chi non può adeguarsi spontaneamente. Un obbligo che non crea difficoltà a chi ha le risorse per adeguarsi, ma le crea a chi non le ha, non è proporzionato.</w:t>
      </w:r>
    </w:p>
    <w:p w14:paraId="4BCEABBF" w14:textId="77777777" w:rsidR="00A07B65" w:rsidRDefault="00A07B65" w:rsidP="00A07B65">
      <w:pPr>
        <w:rPr>
          <w:sz w:val="24"/>
          <w:szCs w:val="24"/>
        </w:rPr>
      </w:pPr>
    </w:p>
    <w:p w14:paraId="63766A15" w14:textId="2A6DE6F8" w:rsidR="009865B5" w:rsidRPr="009F68D7" w:rsidRDefault="002620C9" w:rsidP="009F68D7">
      <w:pPr>
        <w:pStyle w:val="Titolo2"/>
        <w:tabs>
          <w:tab w:val="left" w:pos="567"/>
        </w:tabs>
        <w:spacing w:before="0" w:after="120"/>
        <w:jc w:val="both"/>
        <w:rPr>
          <w:rFonts w:eastAsia="Calibri" w:cs="Times New Roman"/>
          <w:lang w:val="it-IT" w:eastAsia="it-IT"/>
        </w:rPr>
      </w:pPr>
      <w:bookmarkStart w:id="13" w:name="_Toc239766139"/>
      <w:r w:rsidRPr="009F68D7">
        <w:rPr>
          <w:rFonts w:eastAsia="Calibri" w:cs="Times New Roman"/>
          <w:lang w:val="it-IT" w:eastAsia="it-IT"/>
        </w:rPr>
        <w:lastRenderedPageBreak/>
        <w:t>5</w:t>
      </w:r>
      <w:r w:rsidR="009865B5" w:rsidRPr="009F68D7">
        <w:rPr>
          <w:rFonts w:eastAsia="Calibri" w:cs="Times New Roman"/>
          <w:lang w:val="it-IT" w:eastAsia="it-IT"/>
        </w:rPr>
        <w:t>.4</w:t>
      </w:r>
      <w:r w:rsidR="009F68D7">
        <w:rPr>
          <w:rFonts w:eastAsia="Calibri" w:cs="Times New Roman"/>
          <w:lang w:val="it-IT" w:eastAsia="it-IT"/>
        </w:rPr>
        <w:tab/>
      </w:r>
      <w:r w:rsidR="009865B5" w:rsidRPr="009F68D7">
        <w:rPr>
          <w:rFonts w:eastAsia="Calibri" w:cs="Times New Roman"/>
          <w:lang w:val="it-IT" w:eastAsia="it-IT"/>
        </w:rPr>
        <w:t xml:space="preserve"> Il confronto con il </w:t>
      </w:r>
      <w:proofErr w:type="spellStart"/>
      <w:r w:rsidR="009865B5" w:rsidRPr="009F68D7">
        <w:rPr>
          <w:rFonts w:eastAsia="Calibri" w:cs="Times New Roman"/>
          <w:lang w:val="it-IT" w:eastAsia="it-IT"/>
        </w:rPr>
        <w:t>MoPEC</w:t>
      </w:r>
      <w:proofErr w:type="spellEnd"/>
      <w:r w:rsidR="009865B5" w:rsidRPr="009F68D7">
        <w:rPr>
          <w:rFonts w:eastAsia="Calibri" w:cs="Times New Roman"/>
          <w:lang w:val="it-IT" w:eastAsia="it-IT"/>
        </w:rPr>
        <w:t xml:space="preserve"> 2025</w:t>
      </w:r>
      <w:bookmarkEnd w:id="13"/>
    </w:p>
    <w:p w14:paraId="4553DF04" w14:textId="6332BF0D" w:rsidR="006D4C77" w:rsidRDefault="00047224" w:rsidP="00047224">
      <w:pPr>
        <w:rPr>
          <w:sz w:val="24"/>
          <w:szCs w:val="24"/>
        </w:rPr>
      </w:pPr>
      <w:r w:rsidRPr="00047224">
        <w:rPr>
          <w:sz w:val="24"/>
          <w:szCs w:val="24"/>
        </w:rPr>
        <w:t xml:space="preserve">Il </w:t>
      </w:r>
      <w:proofErr w:type="spellStart"/>
      <w:r w:rsidRPr="00047224">
        <w:rPr>
          <w:sz w:val="24"/>
          <w:szCs w:val="24"/>
        </w:rPr>
        <w:t>MoPEC</w:t>
      </w:r>
      <w:proofErr w:type="spellEnd"/>
      <w:r w:rsidRPr="00047224">
        <w:rPr>
          <w:sz w:val="24"/>
          <w:szCs w:val="24"/>
        </w:rPr>
        <w:t xml:space="preserve"> 2025, adottato il 29 agosto 2025, tredici mesi dopo il licenziamento del messaggio, prevede l'obbligo di riscaldamento rinnovabile alla sostituzione dell'impianto fossile e l'obbligo fotovoltaico in caso di importante ristrutturazione del tetto. Su questi punti il disegno di modifica della </w:t>
      </w:r>
      <w:proofErr w:type="spellStart"/>
      <w:r w:rsidRPr="00047224">
        <w:rPr>
          <w:sz w:val="24"/>
          <w:szCs w:val="24"/>
        </w:rPr>
        <w:t>LEn</w:t>
      </w:r>
      <w:proofErr w:type="spellEnd"/>
      <w:r w:rsidRPr="00047224">
        <w:rPr>
          <w:sz w:val="24"/>
          <w:szCs w:val="24"/>
        </w:rPr>
        <w:t xml:space="preserve"> è sostanzialmente allineato. </w:t>
      </w:r>
      <w:r w:rsidR="00B143C3" w:rsidRPr="00B143C3">
        <w:rPr>
          <w:sz w:val="24"/>
          <w:szCs w:val="24"/>
        </w:rPr>
        <w:t>La differenza che la minoranza contesta è l'estensione dell'obbligo fotovoltaico agli edifici esistenti</w:t>
      </w:r>
      <w:r w:rsidR="00B143C3">
        <w:rPr>
          <w:sz w:val="24"/>
          <w:szCs w:val="24"/>
        </w:rPr>
        <w:t xml:space="preserve"> </w:t>
      </w:r>
      <w:r w:rsidR="00E5659A" w:rsidRPr="00E5659A">
        <w:rPr>
          <w:sz w:val="24"/>
          <w:szCs w:val="24"/>
        </w:rPr>
        <w:t xml:space="preserve">anche in assenza di ristrutturazione. Questa forzatura va oltre il </w:t>
      </w:r>
      <w:proofErr w:type="spellStart"/>
      <w:r w:rsidR="00E5659A" w:rsidRPr="00E5659A">
        <w:rPr>
          <w:sz w:val="24"/>
          <w:szCs w:val="24"/>
        </w:rPr>
        <w:t>MoPEC</w:t>
      </w:r>
      <w:proofErr w:type="spellEnd"/>
      <w:r w:rsidRPr="00047224">
        <w:rPr>
          <w:sz w:val="24"/>
          <w:szCs w:val="24"/>
        </w:rPr>
        <w:t xml:space="preserve"> e comporta un onere iniziale e un vincolo giuridico per proprietari e imprese, </w:t>
      </w:r>
      <w:r w:rsidR="008023C6" w:rsidRPr="008023C6">
        <w:rPr>
          <w:sz w:val="24"/>
          <w:szCs w:val="24"/>
        </w:rPr>
        <w:t xml:space="preserve">il cui impatto netto, </w:t>
      </w:r>
      <w:r w:rsidR="00A0119C">
        <w:rPr>
          <w:sz w:val="24"/>
          <w:szCs w:val="24"/>
        </w:rPr>
        <w:t>al netto di</w:t>
      </w:r>
      <w:r w:rsidR="008023C6" w:rsidRPr="008023C6">
        <w:rPr>
          <w:sz w:val="24"/>
          <w:szCs w:val="24"/>
        </w:rPr>
        <w:t xml:space="preserve"> incentivi, autoconsumo, rimunerazione dell'immissione e risparmi in bolletta, non è stato quantificat</w:t>
      </w:r>
      <w:r w:rsidR="00321923">
        <w:rPr>
          <w:sz w:val="24"/>
          <w:szCs w:val="24"/>
        </w:rPr>
        <w:t>o.</w:t>
      </w:r>
    </w:p>
    <w:p w14:paraId="7EBC20ED" w14:textId="3AD5C9EC" w:rsidR="006D4C77" w:rsidRDefault="006D4C77" w:rsidP="00047224">
      <w:pPr>
        <w:rPr>
          <w:sz w:val="24"/>
          <w:szCs w:val="24"/>
        </w:rPr>
      </w:pPr>
    </w:p>
    <w:p w14:paraId="36B03E99" w14:textId="02F355DB" w:rsidR="009F68D7" w:rsidRDefault="009F68D7" w:rsidP="00047224">
      <w:pPr>
        <w:rPr>
          <w:sz w:val="24"/>
          <w:szCs w:val="24"/>
        </w:rPr>
      </w:pPr>
    </w:p>
    <w:p w14:paraId="4C315D58" w14:textId="77777777" w:rsidR="009F68D7" w:rsidRDefault="009F68D7" w:rsidP="00047224">
      <w:pPr>
        <w:rPr>
          <w:sz w:val="24"/>
          <w:szCs w:val="24"/>
        </w:rPr>
      </w:pPr>
    </w:p>
    <w:p w14:paraId="5C1CD1A7" w14:textId="03FF69F0" w:rsidR="0038672A" w:rsidRPr="009F68D7" w:rsidRDefault="009F68D7" w:rsidP="009F68D7">
      <w:pPr>
        <w:pStyle w:val="Titolo1"/>
        <w:tabs>
          <w:tab w:val="left" w:pos="567"/>
        </w:tabs>
        <w:spacing w:before="0"/>
        <w:ind w:left="567" w:hanging="567"/>
        <w:jc w:val="both"/>
        <w:rPr>
          <w:rFonts w:eastAsia="Calibri" w:cs="Times New Roman"/>
          <w:caps/>
          <w:szCs w:val="24"/>
          <w:lang w:val="it-IT" w:eastAsia="it-IT"/>
        </w:rPr>
      </w:pPr>
      <w:bookmarkStart w:id="14" w:name="_Toc239766140"/>
      <w:r>
        <w:rPr>
          <w:rFonts w:eastAsia="Calibri" w:cs="Times New Roman"/>
          <w:caps/>
          <w:szCs w:val="24"/>
          <w:lang w:val="it-IT" w:eastAsia="it-IT"/>
        </w:rPr>
        <w:t>6.</w:t>
      </w:r>
      <w:r>
        <w:rPr>
          <w:rFonts w:eastAsia="Calibri" w:cs="Times New Roman"/>
          <w:caps/>
          <w:szCs w:val="24"/>
          <w:lang w:val="it-IT" w:eastAsia="it-IT"/>
        </w:rPr>
        <w:tab/>
      </w:r>
      <w:r w:rsidR="00446D61" w:rsidRPr="009F68D7">
        <w:rPr>
          <w:rFonts w:eastAsia="Calibri" w:cs="Times New Roman"/>
          <w:caps/>
          <w:szCs w:val="24"/>
          <w:lang w:val="it-IT" w:eastAsia="it-IT"/>
        </w:rPr>
        <w:t>I COSTI: UNA CONTABILITÀ ANCORA DA COSTRUIRE</w:t>
      </w:r>
      <w:bookmarkEnd w:id="14"/>
    </w:p>
    <w:p w14:paraId="301B2F1F" w14:textId="188EA827" w:rsidR="0036706E" w:rsidRDefault="001550D0" w:rsidP="009865B5">
      <w:pPr>
        <w:rPr>
          <w:sz w:val="24"/>
          <w:szCs w:val="24"/>
        </w:rPr>
      </w:pPr>
      <w:r w:rsidRPr="001550D0">
        <w:rPr>
          <w:sz w:val="24"/>
          <w:szCs w:val="24"/>
        </w:rPr>
        <w:t xml:space="preserve">Il capitolo 10.1 del PECC afferma che </w:t>
      </w:r>
      <w:r w:rsidR="0000022A" w:rsidRPr="0000022A">
        <w:rPr>
          <w:i/>
          <w:iCs/>
          <w:sz w:val="24"/>
          <w:szCs w:val="24"/>
        </w:rPr>
        <w:t>“</w:t>
      </w:r>
      <w:r w:rsidRPr="0000022A">
        <w:rPr>
          <w:i/>
          <w:iCs/>
          <w:sz w:val="24"/>
          <w:szCs w:val="24"/>
        </w:rPr>
        <w:t>il totale degli investimenti previsti per i settori pubblici e privati è difficilmente stimabile</w:t>
      </w:r>
      <w:r w:rsidR="0000022A" w:rsidRPr="0000022A">
        <w:rPr>
          <w:i/>
          <w:iCs/>
          <w:sz w:val="24"/>
          <w:szCs w:val="24"/>
        </w:rPr>
        <w:t>”</w:t>
      </w:r>
      <w:r w:rsidRPr="001550D0">
        <w:rPr>
          <w:sz w:val="24"/>
          <w:szCs w:val="24"/>
        </w:rPr>
        <w:t xml:space="preserve"> e che </w:t>
      </w:r>
      <w:r w:rsidR="00AC2280">
        <w:rPr>
          <w:sz w:val="24"/>
          <w:szCs w:val="24"/>
        </w:rPr>
        <w:t>“</w:t>
      </w:r>
      <w:r w:rsidRPr="00BC4FEC">
        <w:rPr>
          <w:i/>
          <w:iCs/>
          <w:sz w:val="24"/>
          <w:szCs w:val="24"/>
        </w:rPr>
        <w:t>sussistono notevoli incognite</w:t>
      </w:r>
      <w:r w:rsidR="00F9162E">
        <w:rPr>
          <w:sz w:val="24"/>
          <w:szCs w:val="24"/>
        </w:rPr>
        <w:t>”</w:t>
      </w:r>
      <w:r w:rsidRPr="001550D0">
        <w:rPr>
          <w:sz w:val="24"/>
          <w:szCs w:val="24"/>
        </w:rPr>
        <w:t xml:space="preserve">. Lo stesso capitolo rileva l'assenza di stime consolidate a livello cantonale, federale e internazionale. La risposta del Consiglio di Stato alle domande della Commissione rinvia alle schede settoriali, dove nella grande maggioranza dei casi la voce </w:t>
      </w:r>
      <w:r w:rsidR="009E73A3">
        <w:rPr>
          <w:sz w:val="24"/>
          <w:szCs w:val="24"/>
        </w:rPr>
        <w:t>“</w:t>
      </w:r>
      <w:r w:rsidRPr="001550D0">
        <w:rPr>
          <w:sz w:val="24"/>
          <w:szCs w:val="24"/>
        </w:rPr>
        <w:t>Investimenti e costi</w:t>
      </w:r>
      <w:r w:rsidR="009E73A3">
        <w:rPr>
          <w:sz w:val="24"/>
          <w:szCs w:val="24"/>
        </w:rPr>
        <w:t>”</w:t>
      </w:r>
      <w:r w:rsidRPr="001550D0">
        <w:rPr>
          <w:sz w:val="24"/>
          <w:szCs w:val="24"/>
        </w:rPr>
        <w:t xml:space="preserve"> riporta la dicitura </w:t>
      </w:r>
      <w:r w:rsidR="009E73A3" w:rsidRPr="009E73A3">
        <w:rPr>
          <w:i/>
          <w:iCs/>
          <w:sz w:val="24"/>
          <w:szCs w:val="24"/>
        </w:rPr>
        <w:t>“</w:t>
      </w:r>
      <w:r w:rsidRPr="009E73A3">
        <w:rPr>
          <w:i/>
          <w:iCs/>
          <w:sz w:val="24"/>
          <w:szCs w:val="24"/>
        </w:rPr>
        <w:t>dato specifico non quantificabile</w:t>
      </w:r>
      <w:r w:rsidR="009E73A3" w:rsidRPr="009E73A3">
        <w:rPr>
          <w:i/>
          <w:iCs/>
          <w:sz w:val="24"/>
          <w:szCs w:val="24"/>
        </w:rPr>
        <w:t>”</w:t>
      </w:r>
      <w:r w:rsidRPr="001550D0">
        <w:rPr>
          <w:sz w:val="24"/>
          <w:szCs w:val="24"/>
        </w:rPr>
        <w:t>. Per le due norme con il maggiore impatto economico, ossia l'obbligo fotovoltaico (P.3.3) e l'obbligo di riscaldamento (C.1.4), il campo costi è vuoto. La richiesta della minoranza è che il Governo presenti una contabilità aggregata, senza doppioni, con scenari alto/medio/basso e con separazione tra costi pubblici, costi privati e costi di sistema.</w:t>
      </w:r>
    </w:p>
    <w:p w14:paraId="3C0CAEA6" w14:textId="77777777" w:rsidR="00D63FB4" w:rsidRDefault="00D63FB4" w:rsidP="009865B5">
      <w:pPr>
        <w:rPr>
          <w:sz w:val="24"/>
          <w:szCs w:val="24"/>
        </w:rPr>
      </w:pPr>
    </w:p>
    <w:p w14:paraId="65ADEE89" w14:textId="3532474B" w:rsidR="00D63FB4" w:rsidRDefault="00766609" w:rsidP="009865B5">
      <w:pPr>
        <w:rPr>
          <w:sz w:val="24"/>
          <w:szCs w:val="24"/>
        </w:rPr>
      </w:pPr>
      <w:r w:rsidRPr="00766609">
        <w:rPr>
          <w:sz w:val="24"/>
          <w:szCs w:val="24"/>
        </w:rPr>
        <w:t>A questo si aggiunge un onere che il piano introduce senza</w:t>
      </w:r>
      <w:r w:rsidR="00AD5B14">
        <w:rPr>
          <w:sz w:val="24"/>
          <w:szCs w:val="24"/>
        </w:rPr>
        <w:t xml:space="preserve"> alcuna reale</w:t>
      </w:r>
      <w:r w:rsidRPr="00766609">
        <w:rPr>
          <w:sz w:val="24"/>
          <w:szCs w:val="24"/>
        </w:rPr>
        <w:t xml:space="preserve"> necessità. Al capitolo 6.2.3.1 il PECC propone l'istituzione di un'entità incaricata del coordinamento</w:t>
      </w:r>
      <w:r w:rsidR="00125C64">
        <w:rPr>
          <w:rStyle w:val="Rimandonotaapidipagina"/>
          <w:sz w:val="24"/>
          <w:szCs w:val="24"/>
        </w:rPr>
        <w:footnoteReference w:id="11"/>
      </w:r>
      <w:r w:rsidRPr="00766609">
        <w:rPr>
          <w:sz w:val="24"/>
          <w:szCs w:val="24"/>
        </w:rPr>
        <w:t xml:space="preserve">, della raccolta e della diffusione delle iniziative sull'adattamento ai cambiamenti climatici, con un coordinatore che opera all'interno di una struttura composta da tre gruppi di lavoro, da partner esterni all'Amministrazione cantonale e da una piattaforma dedicata. Il Dipartimento del territorio dispone già di una Divisione dell'ambiente, di una Sezione della protezione dell'aria, dell'acqua e del suolo e di un Ufficio del clima e della </w:t>
      </w:r>
      <w:proofErr w:type="spellStart"/>
      <w:r w:rsidRPr="00766609">
        <w:rPr>
          <w:sz w:val="24"/>
          <w:szCs w:val="24"/>
        </w:rPr>
        <w:t>decarbonizzazione</w:t>
      </w:r>
      <w:proofErr w:type="spellEnd"/>
      <w:r w:rsidRPr="00766609">
        <w:rPr>
          <w:sz w:val="24"/>
          <w:szCs w:val="24"/>
        </w:rPr>
        <w:t>, ai quali si affianca l'Ufficio dell'energia presso il Dipartimento delle finanze e dell'economia. Sono strutture costruite esattamente per governare la politica energetica e climatica cantonale. Aggiungervi accanto una nuova entità di coordinamento significa creare un livello amministrativo là dove servirebbe piuttosto far lavorare meglio insieme quello che esiste già. In un Cantone che discute di contenimento della spesa pubblica, moltiplicare le strutture non è</w:t>
      </w:r>
      <w:r w:rsidR="00694F2F">
        <w:rPr>
          <w:sz w:val="24"/>
          <w:szCs w:val="24"/>
        </w:rPr>
        <w:t xml:space="preserve"> di certo</w:t>
      </w:r>
      <w:r w:rsidRPr="00766609">
        <w:rPr>
          <w:sz w:val="24"/>
          <w:szCs w:val="24"/>
        </w:rPr>
        <w:t xml:space="preserve"> una risposta.</w:t>
      </w:r>
    </w:p>
    <w:p w14:paraId="00835246" w14:textId="77777777" w:rsidR="001D0A4F" w:rsidRDefault="001D0A4F" w:rsidP="009865B5">
      <w:pPr>
        <w:rPr>
          <w:sz w:val="24"/>
          <w:szCs w:val="24"/>
        </w:rPr>
      </w:pPr>
    </w:p>
    <w:p w14:paraId="6E82F425" w14:textId="3FF8F9F9" w:rsidR="004E6E15" w:rsidRDefault="004E6E15" w:rsidP="009865B5">
      <w:pPr>
        <w:rPr>
          <w:sz w:val="24"/>
          <w:szCs w:val="24"/>
        </w:rPr>
      </w:pPr>
    </w:p>
    <w:p w14:paraId="4D9AAF08" w14:textId="77777777" w:rsidR="009F68D7" w:rsidRDefault="009F68D7" w:rsidP="009865B5">
      <w:pPr>
        <w:rPr>
          <w:sz w:val="24"/>
          <w:szCs w:val="24"/>
        </w:rPr>
      </w:pPr>
    </w:p>
    <w:p w14:paraId="2F124EEE" w14:textId="7BABCF80" w:rsidR="004E6E15" w:rsidRDefault="004E6E15" w:rsidP="009865B5">
      <w:pPr>
        <w:rPr>
          <w:sz w:val="24"/>
          <w:szCs w:val="24"/>
        </w:rPr>
      </w:pPr>
      <w:r>
        <w:rPr>
          <w:sz w:val="24"/>
          <w:szCs w:val="24"/>
        </w:rPr>
        <w:t xml:space="preserve">La seguente tabella riassume le sovrapposizioni finanziarie: </w:t>
      </w:r>
    </w:p>
    <w:p w14:paraId="23BB2FB8" w14:textId="77777777" w:rsidR="001550D0" w:rsidRDefault="001550D0" w:rsidP="009865B5">
      <w:pPr>
        <w:rPr>
          <w:sz w:val="24"/>
          <w:szCs w:val="24"/>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3"/>
        <w:gridCol w:w="2146"/>
        <w:gridCol w:w="2181"/>
      </w:tblGrid>
      <w:tr w:rsidR="003867F1" w14:paraId="24CC5BDE" w14:textId="77777777" w:rsidTr="002E4B31">
        <w:trPr>
          <w:tblHeader/>
        </w:trPr>
        <w:tc>
          <w:tcPr>
            <w:tcW w:w="4673"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vAlign w:val="center"/>
          </w:tcPr>
          <w:p w14:paraId="47C76437" w14:textId="77777777" w:rsidR="003867F1" w:rsidRPr="003867F1" w:rsidRDefault="003867F1" w:rsidP="002E4B31">
            <w:pPr>
              <w:spacing w:before="50" w:after="50"/>
              <w:jc w:val="center"/>
            </w:pPr>
            <w:r w:rsidRPr="003867F1">
              <w:rPr>
                <w:rFonts w:eastAsia="Arial" w:cs="Arial"/>
                <w:b/>
                <w:bCs/>
              </w:rPr>
              <w:lastRenderedPageBreak/>
              <w:t>Crediti parlamentari</w:t>
            </w:r>
          </w:p>
        </w:tc>
        <w:tc>
          <w:tcPr>
            <w:tcW w:w="2146"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vAlign w:val="center"/>
          </w:tcPr>
          <w:p w14:paraId="475C66F3" w14:textId="77777777" w:rsidR="003867F1" w:rsidRPr="003867F1" w:rsidRDefault="003867F1" w:rsidP="002E4B31">
            <w:pPr>
              <w:spacing w:before="50" w:after="50"/>
              <w:jc w:val="center"/>
            </w:pPr>
            <w:r w:rsidRPr="003867F1">
              <w:rPr>
                <w:rFonts w:eastAsia="Arial" w:cs="Arial"/>
                <w:b/>
                <w:bCs/>
              </w:rPr>
              <w:t>Credito netto</w:t>
            </w:r>
          </w:p>
        </w:tc>
        <w:tc>
          <w:tcPr>
            <w:tcW w:w="2181"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vAlign w:val="center"/>
          </w:tcPr>
          <w:p w14:paraId="3EE6515E" w14:textId="124E2DB8" w:rsidR="003867F1" w:rsidRPr="003867F1" w:rsidRDefault="003867F1" w:rsidP="002E4B31">
            <w:pPr>
              <w:spacing w:before="50" w:after="50"/>
              <w:jc w:val="center"/>
            </w:pPr>
            <w:r w:rsidRPr="003867F1">
              <w:rPr>
                <w:rFonts w:eastAsia="Arial" w:cs="Arial"/>
                <w:b/>
                <w:bCs/>
              </w:rPr>
              <w:t>Spesa autorizzata</w:t>
            </w:r>
            <w:r w:rsidR="0049331D">
              <w:rPr>
                <w:rFonts w:eastAsia="Arial" w:cs="Arial"/>
                <w:b/>
                <w:bCs/>
              </w:rPr>
              <w:t>/stimata</w:t>
            </w:r>
          </w:p>
        </w:tc>
      </w:tr>
      <w:tr w:rsidR="003867F1" w14:paraId="574965CA" w14:textId="77777777" w:rsidTr="0049331D">
        <w:tc>
          <w:tcPr>
            <w:tcW w:w="4673"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4EED0985" w14:textId="67611EE0" w:rsidR="003867F1" w:rsidRPr="003867F1" w:rsidRDefault="003867F1" w:rsidP="00FB793F">
            <w:pPr>
              <w:spacing w:before="50" w:after="50"/>
              <w:jc w:val="left"/>
            </w:pPr>
            <w:r w:rsidRPr="003867F1">
              <w:rPr>
                <w:rFonts w:eastAsia="Arial" w:cs="Arial"/>
                <w:b/>
                <w:bCs/>
              </w:rPr>
              <w:t xml:space="preserve">A — Messaggio 8467: decreto PECC </w:t>
            </w:r>
          </w:p>
        </w:tc>
        <w:tc>
          <w:tcPr>
            <w:tcW w:w="2146"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76932428" w14:textId="77777777" w:rsidR="003867F1" w:rsidRPr="003867F1" w:rsidRDefault="003867F1" w:rsidP="00900F8F">
            <w:pPr>
              <w:spacing w:before="50" w:after="50"/>
              <w:jc w:val="right"/>
            </w:pPr>
            <w:r w:rsidRPr="003867F1">
              <w:rPr>
                <w:rFonts w:eastAsia="Arial" w:cs="Arial"/>
                <w:b/>
                <w:bCs/>
              </w:rPr>
              <w:t>2 Mio CHF</w:t>
            </w:r>
          </w:p>
        </w:tc>
        <w:tc>
          <w:tcPr>
            <w:tcW w:w="2181"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05DF0181" w14:textId="77777777" w:rsidR="003867F1" w:rsidRPr="003867F1" w:rsidRDefault="003867F1" w:rsidP="00900F8F">
            <w:pPr>
              <w:spacing w:before="50" w:after="50"/>
              <w:jc w:val="right"/>
            </w:pPr>
            <w:r w:rsidRPr="003867F1">
              <w:rPr>
                <w:rFonts w:eastAsia="Arial" w:cs="Arial"/>
                <w:b/>
                <w:bCs/>
              </w:rPr>
              <w:t>2 Mio CHF</w:t>
            </w:r>
          </w:p>
        </w:tc>
      </w:tr>
      <w:tr w:rsidR="003867F1" w14:paraId="112B1818" w14:textId="77777777" w:rsidTr="0049331D">
        <w:tc>
          <w:tcPr>
            <w:tcW w:w="4673"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35D2CB81" w14:textId="13EA5770" w:rsidR="003867F1" w:rsidRPr="003867F1" w:rsidRDefault="003867F1" w:rsidP="00FB793F">
            <w:pPr>
              <w:spacing w:before="50" w:after="50"/>
              <w:jc w:val="left"/>
            </w:pPr>
            <w:r w:rsidRPr="003867F1">
              <w:rPr>
                <w:rFonts w:eastAsia="Arial" w:cs="Arial"/>
                <w:b/>
                <w:bCs/>
              </w:rPr>
              <w:t xml:space="preserve">B — Crediti già approvati </w:t>
            </w:r>
          </w:p>
        </w:tc>
        <w:tc>
          <w:tcPr>
            <w:tcW w:w="2146"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72D5D486" w14:textId="77777777" w:rsidR="003867F1" w:rsidRPr="003867F1" w:rsidRDefault="003867F1" w:rsidP="00900F8F">
            <w:pPr>
              <w:spacing w:before="50" w:after="50"/>
            </w:pPr>
          </w:p>
        </w:tc>
        <w:tc>
          <w:tcPr>
            <w:tcW w:w="2181"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10470F85" w14:textId="77777777" w:rsidR="003867F1" w:rsidRPr="003867F1" w:rsidRDefault="003867F1" w:rsidP="00900F8F">
            <w:pPr>
              <w:spacing w:before="50" w:after="50"/>
            </w:pPr>
          </w:p>
        </w:tc>
      </w:tr>
      <w:tr w:rsidR="003867F1" w14:paraId="2462F9AB" w14:textId="77777777" w:rsidTr="0049331D">
        <w:tc>
          <w:tcPr>
            <w:tcW w:w="467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D47FBBA" w14:textId="5F46CA81" w:rsidR="003867F1" w:rsidRPr="003867F1" w:rsidRDefault="0024669C" w:rsidP="00FB793F">
            <w:pPr>
              <w:spacing w:before="50" w:after="50"/>
              <w:jc w:val="left"/>
            </w:pPr>
            <w:r>
              <w:rPr>
                <w:rFonts w:eastAsia="Arial" w:cs="Arial"/>
              </w:rPr>
              <w:t xml:space="preserve">Messaggio </w:t>
            </w:r>
            <w:r w:rsidR="003867F1" w:rsidRPr="003867F1">
              <w:rPr>
                <w:rFonts w:eastAsia="Arial" w:cs="Arial"/>
              </w:rPr>
              <w:t xml:space="preserve">8385 — Incentivi </w:t>
            </w:r>
            <w:proofErr w:type="spellStart"/>
            <w:r w:rsidR="003867F1" w:rsidRPr="003867F1">
              <w:rPr>
                <w:rFonts w:eastAsia="Arial" w:cs="Arial"/>
              </w:rPr>
              <w:t>decarbonizzazione</w:t>
            </w:r>
            <w:proofErr w:type="spellEnd"/>
            <w:r w:rsidR="003867F1" w:rsidRPr="003867F1">
              <w:rPr>
                <w:rFonts w:eastAsia="Arial" w:cs="Arial"/>
              </w:rPr>
              <w:t xml:space="preserve"> (settembre 2024)</w:t>
            </w:r>
          </w:p>
        </w:tc>
        <w:tc>
          <w:tcPr>
            <w:tcW w:w="214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D90F274" w14:textId="77777777" w:rsidR="003867F1" w:rsidRPr="003867F1" w:rsidRDefault="003867F1" w:rsidP="00900F8F">
            <w:pPr>
              <w:spacing w:before="50" w:after="50"/>
              <w:jc w:val="right"/>
            </w:pPr>
            <w:r w:rsidRPr="003867F1">
              <w:rPr>
                <w:rFonts w:eastAsia="Arial" w:cs="Arial"/>
              </w:rPr>
              <w:t>100 Mio CHF</w:t>
            </w:r>
          </w:p>
        </w:tc>
        <w:tc>
          <w:tcPr>
            <w:tcW w:w="21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CB2047D" w14:textId="77777777" w:rsidR="003867F1" w:rsidRPr="003867F1" w:rsidRDefault="003867F1" w:rsidP="00900F8F">
            <w:pPr>
              <w:spacing w:before="50" w:after="50"/>
              <w:jc w:val="right"/>
            </w:pPr>
            <w:r w:rsidRPr="003867F1">
              <w:rPr>
                <w:rFonts w:eastAsia="Arial" w:cs="Arial"/>
              </w:rPr>
              <w:t>200 Mio CHF</w:t>
            </w:r>
          </w:p>
        </w:tc>
      </w:tr>
      <w:tr w:rsidR="003867F1" w14:paraId="13389F33" w14:textId="77777777" w:rsidTr="0049331D">
        <w:tc>
          <w:tcPr>
            <w:tcW w:w="467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410C8D3" w14:textId="6CFEF36F" w:rsidR="003867F1" w:rsidRPr="003867F1" w:rsidRDefault="0024669C" w:rsidP="00FB793F">
            <w:pPr>
              <w:spacing w:before="50" w:after="50"/>
              <w:jc w:val="left"/>
            </w:pPr>
            <w:r>
              <w:rPr>
                <w:rFonts w:eastAsia="Arial" w:cs="Arial"/>
              </w:rPr>
              <w:t xml:space="preserve">Messaggio </w:t>
            </w:r>
            <w:r w:rsidR="003867F1" w:rsidRPr="003867F1">
              <w:rPr>
                <w:rFonts w:eastAsia="Arial" w:cs="Arial"/>
              </w:rPr>
              <w:t>8299 — Teleriscaldamento (giugno 2024)</w:t>
            </w:r>
          </w:p>
        </w:tc>
        <w:tc>
          <w:tcPr>
            <w:tcW w:w="214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2F506DE" w14:textId="77777777" w:rsidR="003867F1" w:rsidRPr="003867F1" w:rsidRDefault="003867F1" w:rsidP="00900F8F">
            <w:pPr>
              <w:spacing w:before="50" w:after="50"/>
              <w:jc w:val="right"/>
            </w:pPr>
            <w:r w:rsidRPr="003867F1">
              <w:rPr>
                <w:rFonts w:eastAsia="Arial" w:cs="Arial"/>
              </w:rPr>
              <w:t>27 Mio CHF</w:t>
            </w:r>
          </w:p>
        </w:tc>
        <w:tc>
          <w:tcPr>
            <w:tcW w:w="21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D153FAC" w14:textId="77777777" w:rsidR="003867F1" w:rsidRPr="003867F1" w:rsidRDefault="003867F1" w:rsidP="00900F8F">
            <w:pPr>
              <w:spacing w:before="50" w:after="50"/>
              <w:jc w:val="right"/>
            </w:pPr>
            <w:r w:rsidRPr="003867F1">
              <w:rPr>
                <w:rFonts w:eastAsia="Arial" w:cs="Arial"/>
              </w:rPr>
              <w:t>40 Mio CHF</w:t>
            </w:r>
          </w:p>
        </w:tc>
      </w:tr>
      <w:tr w:rsidR="003867F1" w14:paraId="0BE9BFAD" w14:textId="77777777" w:rsidTr="0049331D">
        <w:tc>
          <w:tcPr>
            <w:tcW w:w="467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E4028B6" w14:textId="4DA3CFDC" w:rsidR="003867F1" w:rsidRPr="003867F1" w:rsidRDefault="003867F1" w:rsidP="00FB793F">
            <w:pPr>
              <w:spacing w:before="50" w:after="50"/>
              <w:jc w:val="left"/>
            </w:pPr>
            <w:r w:rsidRPr="003867F1">
              <w:rPr>
                <w:rFonts w:eastAsia="Arial" w:cs="Arial"/>
                <w:b/>
                <w:bCs/>
              </w:rPr>
              <w:t>Totale crediti già approvati (B)</w:t>
            </w:r>
          </w:p>
        </w:tc>
        <w:tc>
          <w:tcPr>
            <w:tcW w:w="214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E66CF5D" w14:textId="77777777" w:rsidR="003867F1" w:rsidRPr="003867F1" w:rsidRDefault="003867F1" w:rsidP="00900F8F">
            <w:pPr>
              <w:spacing w:before="50" w:after="50"/>
              <w:jc w:val="right"/>
            </w:pPr>
            <w:r w:rsidRPr="003867F1">
              <w:rPr>
                <w:rFonts w:eastAsia="Arial" w:cs="Arial"/>
                <w:b/>
                <w:bCs/>
              </w:rPr>
              <w:t>127 Mio CHF</w:t>
            </w:r>
          </w:p>
        </w:tc>
        <w:tc>
          <w:tcPr>
            <w:tcW w:w="21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92E2FBA" w14:textId="77777777" w:rsidR="003867F1" w:rsidRPr="003867F1" w:rsidRDefault="003867F1" w:rsidP="00900F8F">
            <w:pPr>
              <w:spacing w:before="50" w:after="50"/>
              <w:jc w:val="right"/>
            </w:pPr>
            <w:r w:rsidRPr="003867F1">
              <w:rPr>
                <w:rFonts w:eastAsia="Arial" w:cs="Arial"/>
                <w:b/>
                <w:bCs/>
              </w:rPr>
              <w:t>240 Mio CHF</w:t>
            </w:r>
          </w:p>
        </w:tc>
      </w:tr>
      <w:tr w:rsidR="003867F1" w14:paraId="1E436AB2" w14:textId="77777777" w:rsidTr="0049331D">
        <w:tc>
          <w:tcPr>
            <w:tcW w:w="467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16AFFCE" w14:textId="767C995C" w:rsidR="003867F1" w:rsidRPr="003867F1" w:rsidRDefault="003867F1" w:rsidP="00FB793F">
            <w:pPr>
              <w:spacing w:before="50" w:after="50"/>
              <w:jc w:val="left"/>
            </w:pPr>
            <w:r w:rsidRPr="003867F1">
              <w:rPr>
                <w:rFonts w:eastAsia="Arial" w:cs="Arial"/>
                <w:b/>
                <w:bCs/>
              </w:rPr>
              <w:t>Totale con il messaggio 8467 (A+B)</w:t>
            </w:r>
          </w:p>
        </w:tc>
        <w:tc>
          <w:tcPr>
            <w:tcW w:w="214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0E43EE8" w14:textId="77777777" w:rsidR="003867F1" w:rsidRPr="003867F1" w:rsidRDefault="003867F1" w:rsidP="00900F8F">
            <w:pPr>
              <w:spacing w:before="50" w:after="50"/>
              <w:jc w:val="right"/>
            </w:pPr>
            <w:r w:rsidRPr="003867F1">
              <w:rPr>
                <w:rFonts w:eastAsia="Arial" w:cs="Arial"/>
                <w:b/>
                <w:bCs/>
              </w:rPr>
              <w:t>129 Mio CHF</w:t>
            </w:r>
          </w:p>
        </w:tc>
        <w:tc>
          <w:tcPr>
            <w:tcW w:w="21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F4DFF2E" w14:textId="77777777" w:rsidR="003867F1" w:rsidRPr="003867F1" w:rsidRDefault="003867F1" w:rsidP="00900F8F">
            <w:pPr>
              <w:spacing w:before="50" w:after="50"/>
              <w:jc w:val="right"/>
            </w:pPr>
            <w:r w:rsidRPr="003867F1">
              <w:rPr>
                <w:rFonts w:eastAsia="Arial" w:cs="Arial"/>
                <w:b/>
                <w:bCs/>
              </w:rPr>
              <w:t>242 Mio CHF</w:t>
            </w:r>
          </w:p>
        </w:tc>
      </w:tr>
      <w:tr w:rsidR="003867F1" w14:paraId="4DA9A11B" w14:textId="77777777" w:rsidTr="0049331D">
        <w:tc>
          <w:tcPr>
            <w:tcW w:w="4673"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1B60E032" w14:textId="69ADF3D3" w:rsidR="003867F1" w:rsidRPr="003867F1" w:rsidRDefault="003867F1" w:rsidP="00FB793F">
            <w:pPr>
              <w:spacing w:before="50" w:after="50"/>
              <w:jc w:val="left"/>
            </w:pPr>
            <w:r w:rsidRPr="003867F1">
              <w:rPr>
                <w:rFonts w:eastAsia="Arial" w:cs="Arial"/>
                <w:b/>
                <w:bCs/>
              </w:rPr>
              <w:t xml:space="preserve">C — FER </w:t>
            </w:r>
            <w:r w:rsidR="0089172E" w:rsidRPr="00112FEC">
              <w:rPr>
                <w:rFonts w:eastAsia="Arial" w:cs="Arial"/>
                <w:b/>
                <w:bCs/>
                <w:i/>
                <w:iCs/>
                <w:color w:val="EE0000"/>
              </w:rPr>
              <w:t>/ Stima</w:t>
            </w:r>
          </w:p>
        </w:tc>
        <w:tc>
          <w:tcPr>
            <w:tcW w:w="2146"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6E85941C" w14:textId="5182B3F7" w:rsidR="003867F1" w:rsidRPr="003867F1" w:rsidRDefault="003867F1" w:rsidP="00900F8F">
            <w:pPr>
              <w:spacing w:before="50" w:after="50"/>
              <w:jc w:val="right"/>
            </w:pPr>
          </w:p>
        </w:tc>
        <w:tc>
          <w:tcPr>
            <w:tcW w:w="2181"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158FEDFC" w14:textId="1E3EDA9B" w:rsidR="003867F1" w:rsidRPr="003867F1" w:rsidRDefault="003867F1" w:rsidP="00900F8F">
            <w:pPr>
              <w:spacing w:before="50" w:after="50"/>
              <w:jc w:val="right"/>
            </w:pPr>
          </w:p>
        </w:tc>
      </w:tr>
      <w:tr w:rsidR="00010B2E" w14:paraId="57302D9C" w14:textId="77777777" w:rsidTr="00010B2E">
        <w:tc>
          <w:tcPr>
            <w:tcW w:w="467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060D571" w14:textId="7B51A285" w:rsidR="00010B2E" w:rsidRPr="00010B2E" w:rsidRDefault="002B7D8B" w:rsidP="00FB793F">
            <w:pPr>
              <w:spacing w:before="50" w:after="50"/>
              <w:jc w:val="left"/>
              <w:rPr>
                <w:rFonts w:eastAsia="Arial" w:cs="Arial"/>
              </w:rPr>
            </w:pPr>
            <w:r w:rsidRPr="002B7D8B">
              <w:rPr>
                <w:rFonts w:eastAsia="Arial" w:cs="Arial"/>
              </w:rPr>
              <w:t>Prelievo annuo destinato ai Comuni e agli incentivi</w:t>
            </w:r>
          </w:p>
        </w:tc>
        <w:tc>
          <w:tcPr>
            <w:tcW w:w="214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DE92C23" w14:textId="670C83B3" w:rsidR="00010B2E" w:rsidRPr="003867F1" w:rsidRDefault="002B7D8B" w:rsidP="00900F8F">
            <w:pPr>
              <w:spacing w:before="50" w:after="50"/>
              <w:jc w:val="right"/>
              <w:rPr>
                <w:rFonts w:eastAsia="Arial" w:cs="Arial"/>
              </w:rPr>
            </w:pPr>
            <w:r>
              <w:rPr>
                <w:rFonts w:eastAsia="Arial" w:cs="Arial"/>
              </w:rPr>
              <w:t>-</w:t>
            </w:r>
          </w:p>
        </w:tc>
        <w:tc>
          <w:tcPr>
            <w:tcW w:w="21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54F1D9F" w14:textId="6F4CC820" w:rsidR="00010B2E" w:rsidRPr="003867F1" w:rsidRDefault="00520D23" w:rsidP="00900F8F">
            <w:pPr>
              <w:spacing w:before="50" w:after="50"/>
              <w:jc w:val="right"/>
              <w:rPr>
                <w:rFonts w:eastAsia="Arial" w:cs="Arial"/>
              </w:rPr>
            </w:pPr>
            <w:r w:rsidRPr="003867F1">
              <w:rPr>
                <w:rFonts w:eastAsia="Arial" w:cs="Arial"/>
              </w:rPr>
              <w:t>~</w:t>
            </w:r>
            <w:r w:rsidR="006C381C">
              <w:rPr>
                <w:rFonts w:eastAsia="Arial" w:cs="Arial"/>
              </w:rPr>
              <w:t>10-15 Mio CHF</w:t>
            </w:r>
          </w:p>
        </w:tc>
      </w:tr>
      <w:tr w:rsidR="003867F1" w14:paraId="3BB7FD99" w14:textId="77777777" w:rsidTr="0049331D">
        <w:tc>
          <w:tcPr>
            <w:tcW w:w="4673"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7F966A5D" w14:textId="169A39C9" w:rsidR="003867F1" w:rsidRPr="003867F1" w:rsidRDefault="003867F1" w:rsidP="00FB793F">
            <w:pPr>
              <w:spacing w:before="50" w:after="50"/>
              <w:jc w:val="left"/>
            </w:pPr>
            <w:r w:rsidRPr="003867F1">
              <w:rPr>
                <w:rFonts w:eastAsia="Arial" w:cs="Arial"/>
                <w:b/>
                <w:bCs/>
              </w:rPr>
              <w:t>D — Scenari di investimento PECC scheda C.1.1 (non autorizzazioni parlamentari; possibili sovrapposizioni con B)</w:t>
            </w:r>
            <w:r w:rsidR="0089172E">
              <w:rPr>
                <w:rFonts w:eastAsia="Arial" w:cs="Arial"/>
                <w:b/>
                <w:bCs/>
              </w:rPr>
              <w:t xml:space="preserve"> </w:t>
            </w:r>
            <w:r w:rsidR="0089172E" w:rsidRPr="00112FEC">
              <w:rPr>
                <w:rFonts w:eastAsia="Arial" w:cs="Arial"/>
                <w:b/>
                <w:bCs/>
                <w:i/>
                <w:iCs/>
                <w:color w:val="EE0000"/>
              </w:rPr>
              <w:t>/ Stima</w:t>
            </w:r>
          </w:p>
        </w:tc>
        <w:tc>
          <w:tcPr>
            <w:tcW w:w="2146"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487B5EA8" w14:textId="77777777" w:rsidR="003867F1" w:rsidRPr="003867F1" w:rsidRDefault="003867F1" w:rsidP="00900F8F">
            <w:pPr>
              <w:spacing w:before="50" w:after="50"/>
            </w:pPr>
          </w:p>
        </w:tc>
        <w:tc>
          <w:tcPr>
            <w:tcW w:w="2181" w:type="dxa"/>
            <w:tcBorders>
              <w:top w:val="single" w:sz="4" w:space="0" w:color="000000"/>
              <w:left w:val="single" w:sz="4" w:space="0" w:color="000000"/>
              <w:bottom w:val="single" w:sz="4" w:space="0" w:color="000000"/>
              <w:right w:val="single" w:sz="4" w:space="0" w:color="000000"/>
            </w:tcBorders>
            <w:shd w:val="clear" w:color="auto" w:fill="DDDDDD"/>
            <w:tcMar>
              <w:top w:w="60" w:type="dxa"/>
              <w:left w:w="100" w:type="dxa"/>
              <w:bottom w:w="60" w:type="dxa"/>
              <w:right w:w="100" w:type="dxa"/>
            </w:tcMar>
          </w:tcPr>
          <w:p w14:paraId="3FEB2A06" w14:textId="77777777" w:rsidR="003867F1" w:rsidRPr="003867F1" w:rsidRDefault="003867F1" w:rsidP="00900F8F">
            <w:pPr>
              <w:spacing w:before="50" w:after="50"/>
            </w:pPr>
          </w:p>
        </w:tc>
      </w:tr>
      <w:tr w:rsidR="003867F1" w14:paraId="1E6C5503" w14:textId="77777777" w:rsidTr="0049331D">
        <w:tc>
          <w:tcPr>
            <w:tcW w:w="467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C88B31F" w14:textId="58C689BE" w:rsidR="003867F1" w:rsidRPr="003867F1" w:rsidRDefault="003867F1" w:rsidP="00FB793F">
            <w:pPr>
              <w:spacing w:before="50" w:after="50"/>
              <w:jc w:val="left"/>
            </w:pPr>
            <w:r w:rsidRPr="003867F1">
              <w:rPr>
                <w:rFonts w:eastAsia="Arial" w:cs="Arial"/>
              </w:rPr>
              <w:t>Investimenti pubblici (scenario al 2030/2040/2050)</w:t>
            </w:r>
          </w:p>
        </w:tc>
        <w:tc>
          <w:tcPr>
            <w:tcW w:w="214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34C6C40" w14:textId="3FA941D0" w:rsidR="003867F1" w:rsidRPr="003867F1" w:rsidRDefault="002B7D8B" w:rsidP="00900F8F">
            <w:pPr>
              <w:spacing w:before="50" w:after="50"/>
              <w:jc w:val="right"/>
            </w:pPr>
            <w:r>
              <w:rPr>
                <w:rFonts w:eastAsia="Arial" w:cs="Arial"/>
              </w:rPr>
              <w:t>-</w:t>
            </w:r>
          </w:p>
        </w:tc>
        <w:tc>
          <w:tcPr>
            <w:tcW w:w="21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5E1B1BC" w14:textId="77777777" w:rsidR="003867F1" w:rsidRPr="003867F1" w:rsidRDefault="003867F1" w:rsidP="00900F8F">
            <w:pPr>
              <w:spacing w:before="50" w:after="50"/>
              <w:jc w:val="right"/>
            </w:pPr>
            <w:r w:rsidRPr="003867F1">
              <w:rPr>
                <w:rFonts w:eastAsia="Arial" w:cs="Arial"/>
              </w:rPr>
              <w:t>200/400/600 Mio</w:t>
            </w:r>
          </w:p>
        </w:tc>
      </w:tr>
      <w:tr w:rsidR="003867F1" w14:paraId="6FCC4B7F" w14:textId="77777777" w:rsidTr="0049331D">
        <w:tc>
          <w:tcPr>
            <w:tcW w:w="467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D061427" w14:textId="2074B819" w:rsidR="003867F1" w:rsidRPr="003867F1" w:rsidRDefault="003867F1" w:rsidP="00FB793F">
            <w:pPr>
              <w:spacing w:before="50" w:after="50"/>
              <w:jc w:val="left"/>
            </w:pPr>
            <w:r w:rsidRPr="003867F1">
              <w:rPr>
                <w:rFonts w:eastAsia="Arial" w:cs="Arial"/>
              </w:rPr>
              <w:t xml:space="preserve">Investimenti privati stimati </w:t>
            </w:r>
          </w:p>
        </w:tc>
        <w:tc>
          <w:tcPr>
            <w:tcW w:w="214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D40019F" w14:textId="76241433" w:rsidR="003867F1" w:rsidRPr="003867F1" w:rsidRDefault="002B7D8B" w:rsidP="00900F8F">
            <w:pPr>
              <w:spacing w:before="50" w:after="50"/>
              <w:jc w:val="right"/>
            </w:pPr>
            <w:r>
              <w:rPr>
                <w:rFonts w:eastAsia="Arial" w:cs="Arial"/>
              </w:rPr>
              <w:t>-</w:t>
            </w:r>
          </w:p>
        </w:tc>
        <w:tc>
          <w:tcPr>
            <w:tcW w:w="21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B8B085B" w14:textId="5E5F3082" w:rsidR="003867F1" w:rsidRPr="003867F1" w:rsidRDefault="003867F1" w:rsidP="00900F8F">
            <w:pPr>
              <w:spacing w:before="50" w:after="50"/>
              <w:jc w:val="right"/>
            </w:pPr>
            <w:r w:rsidRPr="003867F1">
              <w:rPr>
                <w:rFonts w:eastAsia="Arial" w:cs="Arial"/>
              </w:rPr>
              <w:t>~2,</w:t>
            </w:r>
            <w:r w:rsidR="00B702F5">
              <w:rPr>
                <w:rFonts w:eastAsia="Arial" w:cs="Arial"/>
              </w:rPr>
              <w:t>4</w:t>
            </w:r>
            <w:r w:rsidRPr="003867F1">
              <w:rPr>
                <w:rFonts w:eastAsia="Arial" w:cs="Arial"/>
              </w:rPr>
              <w:t xml:space="preserve"> </w:t>
            </w:r>
            <w:proofErr w:type="spellStart"/>
            <w:r w:rsidRPr="003867F1">
              <w:rPr>
                <w:rFonts w:eastAsia="Arial" w:cs="Arial"/>
              </w:rPr>
              <w:t>Mld</w:t>
            </w:r>
            <w:proofErr w:type="spellEnd"/>
            <w:r w:rsidRPr="003867F1">
              <w:rPr>
                <w:rFonts w:eastAsia="Arial" w:cs="Arial"/>
              </w:rPr>
              <w:t xml:space="preserve"> CHF</w:t>
            </w:r>
          </w:p>
        </w:tc>
      </w:tr>
    </w:tbl>
    <w:p w14:paraId="6EC43E79" w14:textId="77777777" w:rsidR="0036706E" w:rsidRDefault="0036706E" w:rsidP="009865B5">
      <w:pPr>
        <w:rPr>
          <w:sz w:val="24"/>
          <w:szCs w:val="24"/>
        </w:rPr>
      </w:pPr>
    </w:p>
    <w:p w14:paraId="394924CF" w14:textId="5D2BA869" w:rsidR="00730283" w:rsidRDefault="004A09BD" w:rsidP="009865B5">
      <w:pPr>
        <w:rPr>
          <w:sz w:val="24"/>
          <w:szCs w:val="24"/>
        </w:rPr>
      </w:pPr>
      <w:r w:rsidRPr="004A09BD">
        <w:rPr>
          <w:sz w:val="24"/>
          <w:szCs w:val="24"/>
        </w:rPr>
        <w:t xml:space="preserve">La tabella distingue i crediti parlamentari oggetto del voto odierno (A), quelli già approvati che non sono in discussione (B), il prelievo FER che è un flusso annuo distinto dai crediti parlamentari (C) e gli scenari di investimento del PECC che non costituiscono autorizzazioni parlamentari e che sono da riconciliare tra loro (D). A ciò si aggiunge la voce tariffaria: </w:t>
      </w:r>
      <w:r w:rsidR="003B2F05" w:rsidRPr="003B2F05">
        <w:rPr>
          <w:sz w:val="24"/>
          <w:szCs w:val="24"/>
        </w:rPr>
        <w:t>il Consiglio di Stato ha ammesso che i costi unitari dell'elettricità aumenteranno perché la rete dovrà essere estesa e potenziata, senza quantificarli e senza distinguere fra rete di trasmissione e reti di distribuzione, dove ricadrà verosimilmente una parte importante degli adeguamenti</w:t>
      </w:r>
      <w:r w:rsidR="003D2661">
        <w:rPr>
          <w:sz w:val="24"/>
          <w:szCs w:val="24"/>
        </w:rPr>
        <w:t>.</w:t>
      </w:r>
    </w:p>
    <w:p w14:paraId="1449F4D2" w14:textId="4EEFA66B" w:rsidR="001D0A4F" w:rsidRDefault="001D0A4F" w:rsidP="009865B5">
      <w:pPr>
        <w:rPr>
          <w:sz w:val="24"/>
          <w:szCs w:val="24"/>
        </w:rPr>
      </w:pPr>
    </w:p>
    <w:p w14:paraId="5AD02DB6" w14:textId="77777777" w:rsidR="009F68D7" w:rsidRDefault="009F68D7" w:rsidP="009865B5">
      <w:pPr>
        <w:rPr>
          <w:sz w:val="24"/>
          <w:szCs w:val="24"/>
        </w:rPr>
      </w:pPr>
    </w:p>
    <w:p w14:paraId="1BE362D8" w14:textId="77777777" w:rsidR="001D0A4F" w:rsidRDefault="001D0A4F" w:rsidP="009865B5">
      <w:pPr>
        <w:rPr>
          <w:sz w:val="24"/>
          <w:szCs w:val="24"/>
        </w:rPr>
      </w:pPr>
    </w:p>
    <w:p w14:paraId="37210DA1" w14:textId="2D3CCD4D" w:rsidR="00730283" w:rsidRPr="009F68D7" w:rsidRDefault="009F68D7" w:rsidP="009F68D7">
      <w:pPr>
        <w:pStyle w:val="Titolo1"/>
        <w:tabs>
          <w:tab w:val="left" w:pos="567"/>
        </w:tabs>
        <w:spacing w:before="0"/>
        <w:ind w:left="567" w:hanging="567"/>
        <w:jc w:val="both"/>
        <w:rPr>
          <w:rFonts w:eastAsia="Calibri" w:cs="Times New Roman"/>
          <w:caps/>
          <w:szCs w:val="24"/>
          <w:lang w:val="it-IT" w:eastAsia="it-IT"/>
        </w:rPr>
      </w:pPr>
      <w:bookmarkStart w:id="15" w:name="_Toc239766141"/>
      <w:r>
        <w:rPr>
          <w:rFonts w:eastAsia="Calibri" w:cs="Times New Roman"/>
          <w:caps/>
          <w:szCs w:val="24"/>
          <w:lang w:val="it-IT" w:eastAsia="it-IT"/>
        </w:rPr>
        <w:t>7.</w:t>
      </w:r>
      <w:r>
        <w:rPr>
          <w:rFonts w:eastAsia="Calibri" w:cs="Times New Roman"/>
          <w:caps/>
          <w:szCs w:val="24"/>
          <w:lang w:val="it-IT" w:eastAsia="it-IT"/>
        </w:rPr>
        <w:tab/>
      </w:r>
      <w:r w:rsidR="00B010E4" w:rsidRPr="009F68D7">
        <w:rPr>
          <w:rFonts w:eastAsia="Calibri" w:cs="Times New Roman"/>
          <w:caps/>
          <w:szCs w:val="24"/>
          <w:lang w:val="it-IT" w:eastAsia="it-IT"/>
        </w:rPr>
        <w:t>LA CONSULTAZIONE E I LAVORI COMMISSIONALI</w:t>
      </w:r>
      <w:bookmarkEnd w:id="15"/>
    </w:p>
    <w:p w14:paraId="24298F41" w14:textId="77777777" w:rsidR="00DE3F11" w:rsidRPr="00DE3F11" w:rsidRDefault="00DE3F11" w:rsidP="00DE3F11">
      <w:pPr>
        <w:rPr>
          <w:sz w:val="24"/>
          <w:szCs w:val="24"/>
        </w:rPr>
      </w:pPr>
      <w:r w:rsidRPr="00DE3F11">
        <w:rPr>
          <w:sz w:val="24"/>
          <w:szCs w:val="24"/>
        </w:rPr>
        <w:t xml:space="preserve">La consultazione si è chiusa nell'aprile 2023 e i numeri dicono più di quanto la maggioranza ammetta: il 34,8% dei partecipanti ha condiviso l'impostazione con riserva, e sugli obiettivi strategici al 2050 questa quota ha raggiunto il 44,6%. Da allora l'Atto mantello è entrato in vigore, il Parlamento federale ha approvato l'apertura alle nuove centrali nucleari e il </w:t>
      </w:r>
      <w:proofErr w:type="spellStart"/>
      <w:r w:rsidRPr="00DE3F11">
        <w:rPr>
          <w:sz w:val="24"/>
          <w:szCs w:val="24"/>
        </w:rPr>
        <w:t>MoPEC</w:t>
      </w:r>
      <w:proofErr w:type="spellEnd"/>
      <w:r w:rsidRPr="00DE3F11">
        <w:rPr>
          <w:sz w:val="24"/>
          <w:szCs w:val="24"/>
        </w:rPr>
        <w:t xml:space="preserve"> 2025 ha ridefinito il riferimento </w:t>
      </w:r>
      <w:proofErr w:type="spellStart"/>
      <w:r w:rsidRPr="00DE3F11">
        <w:rPr>
          <w:sz w:val="24"/>
          <w:szCs w:val="24"/>
        </w:rPr>
        <w:t>intercantonale</w:t>
      </w:r>
      <w:proofErr w:type="spellEnd"/>
      <w:r w:rsidRPr="00DE3F11">
        <w:rPr>
          <w:sz w:val="24"/>
          <w:szCs w:val="24"/>
        </w:rPr>
        <w:t>. Una consultazione di tre anni fa non può validare pienamente un piano che il contesto federale successivo ha già in parte modificato.</w:t>
      </w:r>
    </w:p>
    <w:p w14:paraId="69697A91" w14:textId="77777777" w:rsidR="00DE3F11" w:rsidRPr="00DE3F11" w:rsidRDefault="00DE3F11" w:rsidP="00DE3F11">
      <w:pPr>
        <w:rPr>
          <w:sz w:val="24"/>
          <w:szCs w:val="24"/>
        </w:rPr>
      </w:pPr>
    </w:p>
    <w:p w14:paraId="1FC0BE43" w14:textId="0E8FF13C" w:rsidR="001D0A4F" w:rsidRDefault="00DE3F11" w:rsidP="00DE3F11">
      <w:pPr>
        <w:rPr>
          <w:sz w:val="24"/>
          <w:szCs w:val="24"/>
        </w:rPr>
      </w:pPr>
      <w:r w:rsidRPr="00DE3F11">
        <w:rPr>
          <w:sz w:val="24"/>
          <w:szCs w:val="24"/>
        </w:rPr>
        <w:lastRenderedPageBreak/>
        <w:t xml:space="preserve">Anche il quadro conoscitivo raccolto in Commissione resta parziale. Le audizioni hanno coinvolto il Direttore del DT e i funzionari autori del piano, </w:t>
      </w:r>
      <w:proofErr w:type="spellStart"/>
      <w:r w:rsidRPr="00DE3F11">
        <w:rPr>
          <w:sz w:val="24"/>
          <w:szCs w:val="24"/>
        </w:rPr>
        <w:t>Enertì</w:t>
      </w:r>
      <w:proofErr w:type="spellEnd"/>
      <w:r w:rsidRPr="00DE3F11">
        <w:rPr>
          <w:sz w:val="24"/>
          <w:szCs w:val="24"/>
        </w:rPr>
        <w:t xml:space="preserve"> in rappresentanza delle aziende di distribuzione e </w:t>
      </w:r>
      <w:proofErr w:type="spellStart"/>
      <w:r w:rsidRPr="00DE3F11">
        <w:rPr>
          <w:sz w:val="24"/>
          <w:szCs w:val="24"/>
        </w:rPr>
        <w:t>TicinoEnergia</w:t>
      </w:r>
      <w:proofErr w:type="spellEnd"/>
      <w:r w:rsidRPr="00DE3F11">
        <w:rPr>
          <w:sz w:val="24"/>
          <w:szCs w:val="24"/>
        </w:rPr>
        <w:t>. Non sono stati sentiti rappresentanti dei proprietari immobiliari, delle PMI energivore, delle organizzazioni dei consumatori o esperti con posizioni critiche rispetto all'impostazione. Su un messaggio che impone obblighi a decine di migliaia di proprietari e imprese, un confronto più ampio sarebbe stato non solo utile ma necessario.</w:t>
      </w:r>
    </w:p>
    <w:p w14:paraId="6CFB03EE" w14:textId="77777777" w:rsidR="00B010E4" w:rsidRDefault="00B010E4" w:rsidP="00DE3F11">
      <w:pPr>
        <w:rPr>
          <w:sz w:val="24"/>
          <w:szCs w:val="24"/>
        </w:rPr>
      </w:pPr>
    </w:p>
    <w:p w14:paraId="5490262D" w14:textId="4FD18CE0" w:rsidR="00B010E4" w:rsidRDefault="00B010E4" w:rsidP="00DE3F11">
      <w:pPr>
        <w:rPr>
          <w:sz w:val="24"/>
          <w:szCs w:val="24"/>
        </w:rPr>
      </w:pPr>
    </w:p>
    <w:p w14:paraId="35164498" w14:textId="77777777" w:rsidR="009F68D7" w:rsidRPr="000F538B" w:rsidRDefault="009F68D7" w:rsidP="00DE3F11">
      <w:pPr>
        <w:rPr>
          <w:sz w:val="24"/>
          <w:szCs w:val="24"/>
        </w:rPr>
      </w:pPr>
    </w:p>
    <w:p w14:paraId="45260945" w14:textId="336F5787" w:rsidR="00230586" w:rsidRPr="009F68D7" w:rsidRDefault="00230586" w:rsidP="009F68D7">
      <w:pPr>
        <w:pStyle w:val="Titolo1"/>
        <w:tabs>
          <w:tab w:val="left" w:pos="567"/>
        </w:tabs>
        <w:spacing w:before="0"/>
        <w:ind w:left="567" w:hanging="567"/>
        <w:jc w:val="both"/>
        <w:rPr>
          <w:rFonts w:eastAsia="Calibri" w:cs="Times New Roman"/>
          <w:caps/>
          <w:szCs w:val="24"/>
          <w:lang w:val="it-IT" w:eastAsia="it-IT"/>
        </w:rPr>
      </w:pPr>
      <w:r w:rsidRPr="009F68D7">
        <w:rPr>
          <w:rFonts w:eastAsia="Calibri" w:cs="Times New Roman"/>
          <w:caps/>
          <w:szCs w:val="24"/>
          <w:lang w:val="it-IT" w:eastAsia="it-IT"/>
        </w:rPr>
        <w:t xml:space="preserve"> </w:t>
      </w:r>
      <w:bookmarkStart w:id="16" w:name="_Toc239766142"/>
      <w:r w:rsidR="009F68D7">
        <w:rPr>
          <w:rFonts w:eastAsia="Calibri" w:cs="Times New Roman"/>
          <w:caps/>
          <w:szCs w:val="24"/>
          <w:lang w:val="it-IT" w:eastAsia="it-IT"/>
        </w:rPr>
        <w:t>8.</w:t>
      </w:r>
      <w:r w:rsidR="009F68D7">
        <w:rPr>
          <w:rFonts w:eastAsia="Calibri" w:cs="Times New Roman"/>
          <w:caps/>
          <w:szCs w:val="24"/>
          <w:lang w:val="it-IT" w:eastAsia="it-IT"/>
        </w:rPr>
        <w:tab/>
      </w:r>
      <w:r w:rsidRPr="009F68D7">
        <w:rPr>
          <w:rFonts w:eastAsia="Calibri" w:cs="Times New Roman"/>
          <w:caps/>
          <w:szCs w:val="24"/>
          <w:lang w:val="it-IT" w:eastAsia="it-IT"/>
        </w:rPr>
        <w:t>LE RAGIONI DEL VOTO CONTRARIO</w:t>
      </w:r>
      <w:bookmarkEnd w:id="16"/>
    </w:p>
    <w:p w14:paraId="7A9323F6" w14:textId="1FC61118" w:rsidR="00E70965" w:rsidRDefault="00E70965" w:rsidP="00E70965">
      <w:pPr>
        <w:rPr>
          <w:sz w:val="24"/>
          <w:szCs w:val="24"/>
        </w:rPr>
      </w:pPr>
      <w:r w:rsidRPr="00E70965">
        <w:rPr>
          <w:sz w:val="24"/>
          <w:szCs w:val="24"/>
        </w:rPr>
        <w:t xml:space="preserve">Il messaggio n. 8467 riunisce due disegni di atto legislativo che nella proposta governativa si completano a vicenda. La minoranza non contesta la necessità di una politica energetica cantonale aggiornata, né gli obiettivi generali di riduzione delle emissioni e sviluppo delle rinnovabili. </w:t>
      </w:r>
      <w:r w:rsidR="00647DA8" w:rsidRPr="00647DA8">
        <w:rPr>
          <w:sz w:val="24"/>
          <w:szCs w:val="24"/>
        </w:rPr>
        <w:t>Riconosce inoltre che la Commissione ha corretto alcuni eccessi della proposta governativa, dallo spostamento al 2045 della scadenza fotovoltaica all'abrogazione dell'obbligo retroattivo sulle caldaie. Sono correzioni reali, che però non toccano il nucleo del problema: il metodo scelto non garantisce robustezza delle premesse, proporzionalità degli obblighi e trasparenza sui costi</w:t>
      </w:r>
      <w:r w:rsidRPr="00E70965">
        <w:rPr>
          <w:sz w:val="24"/>
          <w:szCs w:val="24"/>
        </w:rPr>
        <w:t>.</w:t>
      </w:r>
      <w:r w:rsidR="00796826">
        <w:rPr>
          <w:sz w:val="24"/>
          <w:szCs w:val="24"/>
        </w:rPr>
        <w:t xml:space="preserve"> </w:t>
      </w:r>
      <w:r w:rsidR="00796826" w:rsidRPr="00796826">
        <w:rPr>
          <w:sz w:val="24"/>
          <w:szCs w:val="24"/>
        </w:rPr>
        <w:t xml:space="preserve">Si è intervenuti su qualche scadenza, non sulle premesse del piano né sugli obblighi che il Cantone si assume in più rispetto a quanto Berna e il </w:t>
      </w:r>
      <w:proofErr w:type="spellStart"/>
      <w:r w:rsidR="00796826" w:rsidRPr="00796826">
        <w:rPr>
          <w:sz w:val="24"/>
          <w:szCs w:val="24"/>
        </w:rPr>
        <w:t>MoPEC</w:t>
      </w:r>
      <w:proofErr w:type="spellEnd"/>
      <w:r w:rsidR="00796826" w:rsidRPr="00796826">
        <w:rPr>
          <w:sz w:val="24"/>
          <w:szCs w:val="24"/>
        </w:rPr>
        <w:t xml:space="preserve"> già impongono. Il nucleo del messaggio è rimasto quello licenziato dal Consiglio di Stato nel luglio 2024</w:t>
      </w:r>
      <w:r w:rsidR="00D63FB4">
        <w:rPr>
          <w:sz w:val="24"/>
          <w:szCs w:val="24"/>
        </w:rPr>
        <w:t>.</w:t>
      </w:r>
    </w:p>
    <w:p w14:paraId="5A450279" w14:textId="77777777" w:rsidR="009464FC" w:rsidRPr="00E70965" w:rsidRDefault="009464FC" w:rsidP="00E70965">
      <w:pPr>
        <w:rPr>
          <w:sz w:val="24"/>
          <w:szCs w:val="24"/>
        </w:rPr>
      </w:pPr>
    </w:p>
    <w:p w14:paraId="07500AA2" w14:textId="15D004BA" w:rsidR="009464FC" w:rsidRPr="00E70965" w:rsidRDefault="00E70965" w:rsidP="00E70965">
      <w:pPr>
        <w:rPr>
          <w:sz w:val="24"/>
          <w:szCs w:val="24"/>
        </w:rPr>
      </w:pPr>
      <w:r w:rsidRPr="00E70965">
        <w:rPr>
          <w:sz w:val="24"/>
          <w:szCs w:val="24"/>
        </w:rPr>
        <w:t xml:space="preserve">Le ragioni del voto contrario </w:t>
      </w:r>
      <w:r w:rsidR="00730283">
        <w:rPr>
          <w:sz w:val="24"/>
          <w:szCs w:val="24"/>
        </w:rPr>
        <w:t>convergono quindi su 5 punti:</w:t>
      </w:r>
    </w:p>
    <w:p w14:paraId="7EB8294B" w14:textId="17AEB328" w:rsidR="009464FC" w:rsidRPr="009F68D7" w:rsidRDefault="00E70965" w:rsidP="009F68D7">
      <w:pPr>
        <w:pStyle w:val="Paragrafoelenco"/>
        <w:numPr>
          <w:ilvl w:val="0"/>
          <w:numId w:val="50"/>
        </w:numPr>
        <w:spacing w:before="120"/>
        <w:ind w:left="425" w:hanging="425"/>
        <w:contextualSpacing w:val="0"/>
        <w:rPr>
          <w:sz w:val="24"/>
          <w:szCs w:val="24"/>
        </w:rPr>
      </w:pPr>
      <w:r w:rsidRPr="00B83EA0">
        <w:rPr>
          <w:sz w:val="24"/>
          <w:szCs w:val="24"/>
        </w:rPr>
        <w:t>Il piano si fonda su ipotesi di fabbisogno che non sono state sottoposte a stress test tramite il modello energetico cantonale P.4.4, descritto dalla stessa maggioranza come necessario per decisioni informate. I dati ticinesi del 2024 mostrano che la traiettoria non è acquisita.</w:t>
      </w:r>
    </w:p>
    <w:p w14:paraId="4287558A" w14:textId="466AAFF7" w:rsidR="009464FC" w:rsidRPr="009F68D7" w:rsidRDefault="00E70965" w:rsidP="009F68D7">
      <w:pPr>
        <w:pStyle w:val="Paragrafoelenco"/>
        <w:numPr>
          <w:ilvl w:val="0"/>
          <w:numId w:val="50"/>
        </w:numPr>
        <w:spacing w:before="120"/>
        <w:ind w:left="425" w:hanging="425"/>
        <w:contextualSpacing w:val="0"/>
        <w:rPr>
          <w:sz w:val="24"/>
          <w:szCs w:val="24"/>
        </w:rPr>
      </w:pPr>
      <w:r w:rsidRPr="00095CCF">
        <w:rPr>
          <w:sz w:val="24"/>
          <w:szCs w:val="24"/>
        </w:rPr>
        <w:t>Il divario invernale strutturale al 2050 dipende da misure complementari e da partecipazioni o contratti extra-cantonali la cui concreta disponibilità, durata, costo e affidabilità negli scenari avversi non sono documentati nel messaggio. La maturità di queste misure non è stata dimostrata.</w:t>
      </w:r>
    </w:p>
    <w:p w14:paraId="17224F99" w14:textId="0E5C96CC" w:rsidR="009464FC" w:rsidRPr="009F68D7" w:rsidRDefault="00E70965" w:rsidP="009F68D7">
      <w:pPr>
        <w:pStyle w:val="Paragrafoelenco"/>
        <w:numPr>
          <w:ilvl w:val="0"/>
          <w:numId w:val="50"/>
        </w:numPr>
        <w:spacing w:before="120"/>
        <w:ind w:left="425" w:hanging="425"/>
        <w:contextualSpacing w:val="0"/>
        <w:rPr>
          <w:sz w:val="24"/>
          <w:szCs w:val="24"/>
        </w:rPr>
      </w:pPr>
      <w:r w:rsidRPr="00E70965">
        <w:rPr>
          <w:sz w:val="24"/>
          <w:szCs w:val="24"/>
        </w:rPr>
        <w:t xml:space="preserve">Il piano è stato licenziato prima che l'Atto mantello fosse pienamente operativo, prima dell'adozione del </w:t>
      </w:r>
      <w:proofErr w:type="spellStart"/>
      <w:r w:rsidRPr="00E70965">
        <w:rPr>
          <w:sz w:val="24"/>
          <w:szCs w:val="24"/>
        </w:rPr>
        <w:t>MoPEC</w:t>
      </w:r>
      <w:proofErr w:type="spellEnd"/>
      <w:r w:rsidRPr="00E70965">
        <w:rPr>
          <w:sz w:val="24"/>
          <w:szCs w:val="24"/>
        </w:rPr>
        <w:t xml:space="preserve"> 2025 e </w:t>
      </w:r>
      <w:r w:rsidR="00426007" w:rsidRPr="00426007">
        <w:rPr>
          <w:sz w:val="24"/>
          <w:szCs w:val="24"/>
        </w:rPr>
        <w:t>prima che le Camere riaprissero il dossier della neutralità tecnologica</w:t>
      </w:r>
      <w:r w:rsidRPr="00E70965">
        <w:rPr>
          <w:sz w:val="24"/>
          <w:szCs w:val="24"/>
        </w:rPr>
        <w:t>. Non è direttamente emendabile in questa procedura. Approvarlo oggi significa vincolare la politica energetica cantonale a valutazioni formulate in un contesto già mutato.</w:t>
      </w:r>
    </w:p>
    <w:p w14:paraId="695B33C1" w14:textId="72BEC32E" w:rsidR="00E51A0E" w:rsidRPr="009F68D7" w:rsidRDefault="00E70965" w:rsidP="009F68D7">
      <w:pPr>
        <w:pStyle w:val="Paragrafoelenco"/>
        <w:numPr>
          <w:ilvl w:val="0"/>
          <w:numId w:val="50"/>
        </w:numPr>
        <w:spacing w:before="120"/>
        <w:ind w:left="425" w:hanging="425"/>
        <w:contextualSpacing w:val="0"/>
        <w:rPr>
          <w:sz w:val="24"/>
          <w:szCs w:val="24"/>
        </w:rPr>
      </w:pPr>
      <w:r w:rsidRPr="00E70965">
        <w:rPr>
          <w:sz w:val="24"/>
          <w:szCs w:val="24"/>
        </w:rPr>
        <w:t>I costi complessivi non sono stati presentati al Gran Consiglio in forma aggregata e senza doppioni. L'onere incrementale netto per famiglie, proprietari e PMI dopo incentivi, sostituzioni comunque necessarie e risparmi d'esercizio non è stato calcolato. Il Consiglio di Stato ha ammesso che i costi tariffari aumenteranno senza quantificarli. Il messaggio chiede ai cittadini di sostenere una transizione il cui peso sul loro potere d'acquisto non è stato analizzato.</w:t>
      </w:r>
    </w:p>
    <w:p w14:paraId="483CAE89" w14:textId="6C28E891" w:rsidR="00E51A0E" w:rsidRPr="009F68D7" w:rsidRDefault="00E70965" w:rsidP="00E70965">
      <w:pPr>
        <w:pStyle w:val="Paragrafoelenco"/>
        <w:numPr>
          <w:ilvl w:val="0"/>
          <w:numId w:val="50"/>
        </w:numPr>
        <w:spacing w:before="120"/>
        <w:ind w:left="425" w:hanging="425"/>
        <w:contextualSpacing w:val="0"/>
        <w:rPr>
          <w:sz w:val="24"/>
          <w:szCs w:val="24"/>
        </w:rPr>
      </w:pPr>
      <w:r w:rsidRPr="00E70965">
        <w:rPr>
          <w:sz w:val="24"/>
          <w:szCs w:val="24"/>
        </w:rPr>
        <w:t xml:space="preserve">Il disegno di modifica della </w:t>
      </w:r>
      <w:proofErr w:type="spellStart"/>
      <w:r w:rsidRPr="00E70965">
        <w:rPr>
          <w:sz w:val="24"/>
          <w:szCs w:val="24"/>
        </w:rPr>
        <w:t>LEn</w:t>
      </w:r>
      <w:proofErr w:type="spellEnd"/>
      <w:r w:rsidRPr="00E70965">
        <w:rPr>
          <w:sz w:val="24"/>
          <w:szCs w:val="24"/>
        </w:rPr>
        <w:t xml:space="preserve"> introduce un obbligo fotovoltaico generalizzato entro il 2045 sui tetti idonei sopra 300 m², che va oltre il </w:t>
      </w:r>
      <w:proofErr w:type="spellStart"/>
      <w:r w:rsidRPr="00E70965">
        <w:rPr>
          <w:sz w:val="24"/>
          <w:szCs w:val="24"/>
        </w:rPr>
        <w:t>MoPEC</w:t>
      </w:r>
      <w:proofErr w:type="spellEnd"/>
      <w:r w:rsidRPr="00E70965">
        <w:rPr>
          <w:sz w:val="24"/>
          <w:szCs w:val="24"/>
        </w:rPr>
        <w:t xml:space="preserve"> 2025 senza un'analisi specifica dei costi di questo scostamento, e prima che le analisi tecniche che avrebbero dovuto fondarlo siano disponibili.</w:t>
      </w:r>
    </w:p>
    <w:p w14:paraId="0E00D4DA" w14:textId="7D590D5F" w:rsidR="001D0A4F" w:rsidRDefault="00E70965" w:rsidP="00B83EA0">
      <w:pPr>
        <w:rPr>
          <w:sz w:val="24"/>
          <w:szCs w:val="24"/>
        </w:rPr>
      </w:pPr>
      <w:r w:rsidRPr="00B83EA0">
        <w:rPr>
          <w:sz w:val="24"/>
          <w:szCs w:val="24"/>
        </w:rPr>
        <w:lastRenderedPageBreak/>
        <w:t xml:space="preserve">Se i disegni legislativi non sono approvati, il PEC-2013 resta in vigore, la </w:t>
      </w:r>
      <w:proofErr w:type="spellStart"/>
      <w:r w:rsidRPr="00B83EA0">
        <w:rPr>
          <w:sz w:val="24"/>
          <w:szCs w:val="24"/>
        </w:rPr>
        <w:t>LEn</w:t>
      </w:r>
      <w:proofErr w:type="spellEnd"/>
      <w:r w:rsidRPr="00B83EA0">
        <w:rPr>
          <w:sz w:val="24"/>
          <w:szCs w:val="24"/>
        </w:rPr>
        <w:t xml:space="preserve"> vigente continua ad applicarsi e i crediti già approvati operano. Il diritto federale, quello che fa stato, orienta nel frattempo la politica energetica cantonale. Il Consiglio di Stato sarebbe chiamato a tornare a fare i compit</w:t>
      </w:r>
      <w:r w:rsidR="004041FA">
        <w:rPr>
          <w:sz w:val="24"/>
          <w:szCs w:val="24"/>
        </w:rPr>
        <w:t>i.</w:t>
      </w:r>
    </w:p>
    <w:p w14:paraId="725B2B21" w14:textId="77777777" w:rsidR="00C04AD5" w:rsidRPr="00E70965" w:rsidRDefault="00C04AD5" w:rsidP="00E70965">
      <w:pPr>
        <w:rPr>
          <w:sz w:val="24"/>
          <w:szCs w:val="24"/>
        </w:rPr>
      </w:pPr>
    </w:p>
    <w:p w14:paraId="038E5767" w14:textId="076B9E3F" w:rsidR="00A2684A" w:rsidRPr="00C04AD5" w:rsidRDefault="00E70965" w:rsidP="00E70965">
      <w:pPr>
        <w:rPr>
          <w:b/>
          <w:bCs/>
          <w:sz w:val="24"/>
          <w:szCs w:val="24"/>
        </w:rPr>
      </w:pPr>
      <w:r w:rsidRPr="00C04AD5">
        <w:rPr>
          <w:b/>
          <w:bCs/>
          <w:sz w:val="24"/>
          <w:szCs w:val="24"/>
        </w:rPr>
        <w:t xml:space="preserve">Non approvare questo messaggio non è opporsi alla transizione energetica. È chiedere al Consiglio di Stato di dimostrare che gli obblighi proposti siano robusti, proporzionati, finanziariamente sostenibili e </w:t>
      </w:r>
      <w:r w:rsidR="00932F22" w:rsidRPr="00932F22">
        <w:rPr>
          <w:b/>
          <w:bCs/>
          <w:sz w:val="24"/>
          <w:szCs w:val="24"/>
        </w:rPr>
        <w:t>compatibili con il potere d'acquisto delle famiglie, con la competitività delle imprese ticinesi e con tutti gli scenari invernali</w:t>
      </w:r>
      <w:r w:rsidRPr="00C04AD5">
        <w:rPr>
          <w:b/>
          <w:bCs/>
          <w:sz w:val="24"/>
          <w:szCs w:val="24"/>
        </w:rPr>
        <w:t>, prima di imporli per legge.</w:t>
      </w:r>
    </w:p>
    <w:p w14:paraId="4515B65D" w14:textId="77777777" w:rsidR="00C04AD5" w:rsidRDefault="00C04AD5" w:rsidP="00E70965">
      <w:pPr>
        <w:rPr>
          <w:b/>
          <w:bCs/>
          <w:sz w:val="24"/>
          <w:szCs w:val="24"/>
        </w:rPr>
      </w:pPr>
    </w:p>
    <w:p w14:paraId="1A1A3F09" w14:textId="73BE0EED" w:rsidR="00F9639F" w:rsidRDefault="00272550" w:rsidP="009F68D7">
      <w:pPr>
        <w:rPr>
          <w:sz w:val="24"/>
          <w:szCs w:val="24"/>
        </w:rPr>
      </w:pPr>
      <w:r w:rsidRPr="00272550">
        <w:rPr>
          <w:sz w:val="24"/>
          <w:szCs w:val="24"/>
        </w:rPr>
        <w:t>Per i motivi sopraesposti la minoranza della Commissione ambiente, territorio ed energia invita il Gran Consiglio a</w:t>
      </w:r>
      <w:r w:rsidR="00A2684A" w:rsidRPr="00A2684A">
        <w:rPr>
          <w:sz w:val="24"/>
          <w:szCs w:val="24"/>
        </w:rPr>
        <w:t xml:space="preserve">: </w:t>
      </w:r>
    </w:p>
    <w:p w14:paraId="1CE81DC6" w14:textId="66EC1F4A" w:rsidR="00DD719B" w:rsidRPr="009F68D7" w:rsidRDefault="009F68D7" w:rsidP="009F68D7">
      <w:pPr>
        <w:pStyle w:val="Paragrafoelenco"/>
        <w:numPr>
          <w:ilvl w:val="0"/>
          <w:numId w:val="49"/>
        </w:numPr>
        <w:spacing w:before="120"/>
        <w:ind w:left="426" w:hanging="426"/>
        <w:contextualSpacing w:val="0"/>
        <w:rPr>
          <w:sz w:val="24"/>
          <w:szCs w:val="24"/>
        </w:rPr>
      </w:pPr>
      <w:r>
        <w:rPr>
          <w:sz w:val="24"/>
          <w:szCs w:val="24"/>
        </w:rPr>
        <w:t>N</w:t>
      </w:r>
      <w:r w:rsidR="00F9639F" w:rsidRPr="00403586">
        <w:rPr>
          <w:sz w:val="24"/>
          <w:szCs w:val="24"/>
        </w:rPr>
        <w:t>on approvare il decreto legislativo concernente il Piano energetico e climatico cantonale (PECC) e il credito quadro di 2 milioni di franchi.</w:t>
      </w:r>
    </w:p>
    <w:p w14:paraId="234749AF" w14:textId="093DDE76" w:rsidR="00CC3391" w:rsidRPr="009F68D7" w:rsidRDefault="009F68D7" w:rsidP="009F68D7">
      <w:pPr>
        <w:pStyle w:val="Paragrafoelenco"/>
        <w:numPr>
          <w:ilvl w:val="0"/>
          <w:numId w:val="49"/>
        </w:numPr>
        <w:spacing w:before="120"/>
        <w:ind w:left="426" w:hanging="426"/>
        <w:contextualSpacing w:val="0"/>
        <w:rPr>
          <w:sz w:val="24"/>
          <w:szCs w:val="24"/>
        </w:rPr>
      </w:pPr>
      <w:r>
        <w:rPr>
          <w:sz w:val="24"/>
          <w:szCs w:val="24"/>
        </w:rPr>
        <w:t>R</w:t>
      </w:r>
      <w:r w:rsidR="00F9639F" w:rsidRPr="00DD719B">
        <w:rPr>
          <w:sz w:val="24"/>
          <w:szCs w:val="24"/>
        </w:rPr>
        <w:t>espingere il disegno di modifica della Legge cantonale sull'energia (</w:t>
      </w:r>
      <w:proofErr w:type="spellStart"/>
      <w:r w:rsidR="00F9639F" w:rsidRPr="00DD719B">
        <w:rPr>
          <w:sz w:val="24"/>
          <w:szCs w:val="24"/>
        </w:rPr>
        <w:t>LEn</w:t>
      </w:r>
      <w:proofErr w:type="spellEnd"/>
      <w:r w:rsidR="00F9639F" w:rsidRPr="00DD719B">
        <w:rPr>
          <w:sz w:val="24"/>
          <w:szCs w:val="24"/>
        </w:rPr>
        <w:t>) e della Legge sull'Azienda elettrica ticinese (LAET).</w:t>
      </w:r>
    </w:p>
    <w:p w14:paraId="2EE55EFA" w14:textId="059FDA3A" w:rsidR="00CC3391" w:rsidRPr="009F68D7" w:rsidRDefault="009F68D7" w:rsidP="009F68D7">
      <w:pPr>
        <w:pStyle w:val="Paragrafoelenco"/>
        <w:numPr>
          <w:ilvl w:val="0"/>
          <w:numId w:val="49"/>
        </w:numPr>
        <w:spacing w:before="120"/>
        <w:ind w:left="426" w:hanging="426"/>
        <w:contextualSpacing w:val="0"/>
        <w:rPr>
          <w:sz w:val="24"/>
          <w:szCs w:val="24"/>
        </w:rPr>
      </w:pPr>
      <w:r>
        <w:rPr>
          <w:sz w:val="24"/>
          <w:szCs w:val="24"/>
        </w:rPr>
        <w:t>S</w:t>
      </w:r>
      <w:r w:rsidR="00CC3391" w:rsidRPr="00CC3391">
        <w:rPr>
          <w:sz w:val="24"/>
          <w:szCs w:val="24"/>
        </w:rPr>
        <w:t>corporare e trattare separatamente i seguenti atti:</w:t>
      </w:r>
    </w:p>
    <w:p w14:paraId="62E7CE9D"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CC3391">
        <w:rPr>
          <w:sz w:val="24"/>
          <w:szCs w:val="24"/>
        </w:rPr>
        <w:t>Mozione 1399 del 3 giugno 2019</w:t>
      </w:r>
    </w:p>
    <w:p w14:paraId="44CFCE12"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1400 del 3 giugno 2019</w:t>
      </w:r>
    </w:p>
    <w:p w14:paraId="5D00C661"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1612 del 29 settembre 2021</w:t>
      </w:r>
    </w:p>
    <w:p w14:paraId="565FABA5"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Iniziativa parlamentare generica IG735 del 18 ottobre 2021</w:t>
      </w:r>
    </w:p>
    <w:p w14:paraId="298F4814"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1649 del 21 febbraio 2022</w:t>
      </w:r>
    </w:p>
    <w:p w14:paraId="204071AE"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1653 del 14 marzo 2022</w:t>
      </w:r>
    </w:p>
    <w:p w14:paraId="482446DB"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1654 del 14 marzo 2022</w:t>
      </w:r>
    </w:p>
    <w:p w14:paraId="0EBAA011"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1661 dell'11 aprile 2022</w:t>
      </w:r>
    </w:p>
    <w:p w14:paraId="34BDD72D"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Iniziativa parlamentare elaborata IE680 del 2 maggio 2022</w:t>
      </w:r>
    </w:p>
    <w:p w14:paraId="53584415"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1686 del 19 settembre 2022</w:t>
      </w:r>
    </w:p>
    <w:p w14:paraId="378ADB9D"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1688 del 19 settembre 2022</w:t>
      </w:r>
    </w:p>
    <w:p w14:paraId="45BB01C1" w14:textId="77777777" w:rsid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1702 del 12 dicembre 2022</w:t>
      </w:r>
    </w:p>
    <w:p w14:paraId="0D547472" w14:textId="0FB219C3" w:rsidR="00DD719B" w:rsidRPr="00EA4CBB" w:rsidRDefault="00CC3391" w:rsidP="009F68D7">
      <w:pPr>
        <w:pStyle w:val="Paragrafoelenco"/>
        <w:numPr>
          <w:ilvl w:val="1"/>
          <w:numId w:val="49"/>
        </w:numPr>
        <w:tabs>
          <w:tab w:val="left" w:pos="709"/>
        </w:tabs>
        <w:spacing w:before="80"/>
        <w:ind w:left="425" w:firstLine="0"/>
        <w:contextualSpacing w:val="0"/>
        <w:rPr>
          <w:sz w:val="24"/>
          <w:szCs w:val="24"/>
        </w:rPr>
      </w:pPr>
      <w:r w:rsidRPr="00EA4CBB">
        <w:rPr>
          <w:sz w:val="24"/>
          <w:szCs w:val="24"/>
        </w:rPr>
        <w:t>Mozione 1711 del 23 gennaio 2023</w:t>
      </w:r>
    </w:p>
    <w:p w14:paraId="3BA9CF43" w14:textId="4FB3A857" w:rsidR="00DD719B" w:rsidRPr="00931A94" w:rsidRDefault="00DD719B" w:rsidP="00CC5BAE">
      <w:pPr>
        <w:rPr>
          <w:bCs/>
          <w:sz w:val="24"/>
          <w:szCs w:val="24"/>
        </w:rPr>
      </w:pPr>
    </w:p>
    <w:p w14:paraId="3A4DFA5B" w14:textId="77777777" w:rsidR="00931A94" w:rsidRPr="00931A94" w:rsidRDefault="00931A94" w:rsidP="00CC5BAE">
      <w:pPr>
        <w:rPr>
          <w:bCs/>
          <w:sz w:val="24"/>
          <w:szCs w:val="24"/>
        </w:rPr>
      </w:pPr>
    </w:p>
    <w:p w14:paraId="1D5B3279" w14:textId="7A1C6BF6" w:rsidR="00330EC6" w:rsidRPr="002A1EE6" w:rsidRDefault="00330EC6" w:rsidP="00330EC6">
      <w:pPr>
        <w:widowControl w:val="0"/>
        <w:suppressAutoHyphens/>
        <w:autoSpaceDE w:val="0"/>
        <w:autoSpaceDN w:val="0"/>
        <w:adjustRightInd w:val="0"/>
        <w:spacing w:after="120"/>
        <w:rPr>
          <w:rFonts w:eastAsiaTheme="minorEastAsia" w:cs="Arial"/>
          <w:sz w:val="24"/>
          <w:szCs w:val="24"/>
          <w:lang w:val="it-IT" w:eastAsia="it-IT"/>
        </w:rPr>
      </w:pPr>
      <w:r w:rsidRPr="002A1EE6">
        <w:rPr>
          <w:rFonts w:eastAsiaTheme="minorEastAsia" w:cs="Arial"/>
          <w:sz w:val="24"/>
          <w:szCs w:val="24"/>
          <w:lang w:val="it-IT" w:eastAsia="it-IT"/>
        </w:rPr>
        <w:t xml:space="preserve">Per la </w:t>
      </w:r>
      <w:r w:rsidR="001A5558">
        <w:rPr>
          <w:rFonts w:eastAsiaTheme="minorEastAsia" w:cs="Arial"/>
          <w:sz w:val="24"/>
          <w:szCs w:val="24"/>
          <w:lang w:val="it-IT" w:eastAsia="it-IT"/>
        </w:rPr>
        <w:t xml:space="preserve">minoranza della </w:t>
      </w:r>
      <w:r w:rsidRPr="002A1EE6">
        <w:rPr>
          <w:rFonts w:eastAsiaTheme="minorEastAsia" w:cs="Arial"/>
          <w:sz w:val="24"/>
          <w:szCs w:val="24"/>
          <w:lang w:val="it-IT" w:eastAsia="it-IT"/>
        </w:rPr>
        <w:t>Commissione ambiente, territorio ed energia:</w:t>
      </w:r>
    </w:p>
    <w:p w14:paraId="3A24F7F5" w14:textId="0D1C7C6C" w:rsidR="00330EC6" w:rsidRDefault="009F68D7" w:rsidP="00330EC6">
      <w:pPr>
        <w:ind w:right="4240"/>
        <w:rPr>
          <w:rFonts w:eastAsiaTheme="minorEastAsia" w:cs="Arial"/>
          <w:sz w:val="24"/>
          <w:szCs w:val="24"/>
          <w:lang w:val="it-IT" w:eastAsia="it-IT"/>
        </w:rPr>
      </w:pPr>
      <w:r>
        <w:rPr>
          <w:rFonts w:eastAsiaTheme="minorEastAsia" w:cs="Arial"/>
          <w:sz w:val="24"/>
          <w:szCs w:val="24"/>
          <w:lang w:val="it-IT" w:eastAsia="it-IT"/>
        </w:rPr>
        <w:t xml:space="preserve">Alain </w:t>
      </w:r>
      <w:r w:rsidR="00912D48">
        <w:rPr>
          <w:rFonts w:eastAsiaTheme="minorEastAsia" w:cs="Arial"/>
          <w:sz w:val="24"/>
          <w:szCs w:val="24"/>
          <w:lang w:val="it-IT" w:eastAsia="it-IT"/>
        </w:rPr>
        <w:t>Bühler</w:t>
      </w:r>
      <w:r>
        <w:rPr>
          <w:rFonts w:eastAsiaTheme="minorEastAsia" w:cs="Arial"/>
          <w:sz w:val="24"/>
          <w:szCs w:val="24"/>
          <w:lang w:val="it-IT" w:eastAsia="it-IT"/>
        </w:rPr>
        <w:t>, r</w:t>
      </w:r>
      <w:r w:rsidR="003361E2">
        <w:rPr>
          <w:rFonts w:eastAsiaTheme="minorEastAsia" w:cs="Arial"/>
          <w:sz w:val="24"/>
          <w:szCs w:val="24"/>
          <w:lang w:val="it-IT" w:eastAsia="it-IT"/>
        </w:rPr>
        <w:t>elatore</w:t>
      </w:r>
    </w:p>
    <w:p w14:paraId="46CA1B49" w14:textId="5DB33650" w:rsidR="003361E2" w:rsidRPr="002A1EE6" w:rsidRDefault="003361E2" w:rsidP="00330EC6">
      <w:pPr>
        <w:ind w:right="4240"/>
        <w:rPr>
          <w:rFonts w:eastAsia="Calibri" w:cs="Arial"/>
          <w:sz w:val="24"/>
          <w:szCs w:val="24"/>
        </w:rPr>
      </w:pPr>
      <w:r>
        <w:rPr>
          <w:rFonts w:eastAsiaTheme="minorEastAsia" w:cs="Arial"/>
          <w:sz w:val="24"/>
          <w:szCs w:val="24"/>
          <w:lang w:val="it-IT" w:eastAsia="it-IT"/>
        </w:rPr>
        <w:t>Prada</w:t>
      </w:r>
    </w:p>
    <w:p w14:paraId="0EEFD2F9" w14:textId="77777777" w:rsidR="00D649A8" w:rsidRPr="00330EC6" w:rsidRDefault="00D649A8" w:rsidP="00D33940">
      <w:pPr>
        <w:pStyle w:val="StandardRisoluzionedelConsigliodiStato"/>
        <w:ind w:right="-1"/>
      </w:pPr>
    </w:p>
    <w:sectPr w:rsidR="00D649A8" w:rsidRPr="00330EC6" w:rsidSect="00330EC6">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77943" w14:textId="77777777" w:rsidR="00116476" w:rsidRDefault="00116476" w:rsidP="00F657BF">
      <w:r>
        <w:separator/>
      </w:r>
    </w:p>
  </w:endnote>
  <w:endnote w:type="continuationSeparator" w:id="0">
    <w:p w14:paraId="4864B3CA" w14:textId="77777777" w:rsidR="00116476" w:rsidRDefault="0011647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8C5DD" w14:textId="77777777" w:rsidR="00067316" w:rsidRDefault="0006731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330EC6" w:rsidRPr="003D1008" w14:paraId="181B7B60" w14:textId="77777777" w:rsidTr="00330EC6">
      <w:trPr>
        <w:trHeight w:hRule="exact" w:val="737"/>
      </w:trPr>
      <w:tc>
        <w:tcPr>
          <w:tcW w:w="4695" w:type="dxa"/>
        </w:tcPr>
        <w:p w14:paraId="4BFA23C1" w14:textId="77777777" w:rsidR="00330EC6" w:rsidRPr="003D1008" w:rsidRDefault="00330EC6" w:rsidP="00330EC6">
          <w:pPr>
            <w:tabs>
              <w:tab w:val="center" w:pos="2382"/>
            </w:tabs>
          </w:pPr>
        </w:p>
      </w:tc>
      <w:tc>
        <w:tcPr>
          <w:tcW w:w="721" w:type="dxa"/>
        </w:tcPr>
        <w:p w14:paraId="563A827F" w14:textId="77777777" w:rsidR="00330EC6" w:rsidRPr="003D1008" w:rsidRDefault="00330EC6" w:rsidP="00330EC6">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DAD24BF" w14:textId="77777777" w:rsidR="00330EC6" w:rsidRPr="003D1008" w:rsidRDefault="00330EC6" w:rsidP="00330EC6">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667685D" w14:textId="77777777" w:rsidR="00330EC6" w:rsidRPr="003D1008" w:rsidRDefault="00330EC6" w:rsidP="00330EC6"/>
      </w:tc>
    </w:tr>
  </w:tbl>
  <w:p w14:paraId="7158BF34" w14:textId="77777777" w:rsidR="00330EC6" w:rsidRDefault="00330EC6" w:rsidP="00330EC6">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C3E71" w14:textId="77777777" w:rsidR="00330EC6" w:rsidRDefault="00330EC6">
    <w:pPr>
      <w:pStyle w:val="Pidipagina"/>
      <w:jc w:val="center"/>
    </w:pPr>
  </w:p>
  <w:p w14:paraId="57442AD9" w14:textId="77777777" w:rsidR="00330EC6" w:rsidRPr="008C6C46" w:rsidRDefault="00330EC6" w:rsidP="00330EC6">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F7C97" w14:textId="77777777" w:rsidR="00116476" w:rsidRDefault="00116476" w:rsidP="00F657BF">
      <w:r>
        <w:separator/>
      </w:r>
    </w:p>
  </w:footnote>
  <w:footnote w:type="continuationSeparator" w:id="0">
    <w:p w14:paraId="2EBABA5C" w14:textId="77777777" w:rsidR="00116476" w:rsidRDefault="00116476" w:rsidP="00F657BF">
      <w:r>
        <w:continuationSeparator/>
      </w:r>
    </w:p>
  </w:footnote>
  <w:footnote w:id="1">
    <w:p w14:paraId="38D473F0" w14:textId="1BBD29CD" w:rsidR="00271666" w:rsidRPr="00DF5988" w:rsidRDefault="00271666">
      <w:pPr>
        <w:pStyle w:val="Testonotaapidipagina"/>
        <w:rPr>
          <w:sz w:val="20"/>
          <w:szCs w:val="18"/>
          <w:lang w:val="it-CH"/>
        </w:rPr>
      </w:pPr>
      <w:r w:rsidRPr="00DF5988">
        <w:rPr>
          <w:rStyle w:val="Rimandonotaapidipagina"/>
          <w:sz w:val="20"/>
          <w:szCs w:val="18"/>
        </w:rPr>
        <w:footnoteRef/>
      </w:r>
      <w:r w:rsidRPr="00DF5988">
        <w:rPr>
          <w:sz w:val="20"/>
          <w:szCs w:val="18"/>
          <w:lang w:val="it-CH"/>
        </w:rPr>
        <w:t xml:space="preserve"> </w:t>
      </w:r>
      <w:proofErr w:type="spellStart"/>
      <w:r w:rsidR="00DF5988" w:rsidRPr="00DF5988">
        <w:rPr>
          <w:sz w:val="20"/>
          <w:szCs w:val="18"/>
          <w:lang w:val="it-CH"/>
        </w:rPr>
        <w:t>ElCom</w:t>
      </w:r>
      <w:proofErr w:type="spellEnd"/>
      <w:r w:rsidR="00DF5988" w:rsidRPr="00DF5988">
        <w:rPr>
          <w:sz w:val="20"/>
          <w:szCs w:val="18"/>
          <w:lang w:val="it-CH"/>
        </w:rPr>
        <w:t>, Prezzi dell'elettricità 2023: tariffe in aumento, comunicato stampa del 6 settembre 2022</w:t>
      </w:r>
    </w:p>
  </w:footnote>
  <w:footnote w:id="2">
    <w:p w14:paraId="5E089E2A" w14:textId="75C83B2D" w:rsidR="00DA2381" w:rsidRPr="009F68D7" w:rsidRDefault="00DA2381">
      <w:pPr>
        <w:pStyle w:val="Testonotaapidipagina"/>
        <w:rPr>
          <w:sz w:val="20"/>
          <w:lang w:val="it-CH"/>
        </w:rPr>
      </w:pPr>
      <w:r w:rsidRPr="009F68D7">
        <w:rPr>
          <w:rStyle w:val="Rimandonotaapidipagina"/>
          <w:sz w:val="20"/>
        </w:rPr>
        <w:footnoteRef/>
      </w:r>
      <w:r w:rsidRPr="009F68D7">
        <w:rPr>
          <w:sz w:val="20"/>
          <w:lang w:val="it-CH"/>
        </w:rPr>
        <w:t xml:space="preserve"> </w:t>
      </w:r>
      <w:proofErr w:type="spellStart"/>
      <w:r w:rsidRPr="009F68D7">
        <w:rPr>
          <w:sz w:val="20"/>
          <w:lang w:val="it-CH"/>
        </w:rPr>
        <w:t>Ustat</w:t>
      </w:r>
      <w:proofErr w:type="spellEnd"/>
      <w:r w:rsidRPr="009F68D7">
        <w:rPr>
          <w:sz w:val="20"/>
          <w:lang w:val="it-CH"/>
        </w:rPr>
        <w:t>, Le cifre dell'energia, edizione 2025.</w:t>
      </w:r>
    </w:p>
  </w:footnote>
  <w:footnote w:id="3">
    <w:p w14:paraId="446F9A4C" w14:textId="5985EFE5" w:rsidR="00CC7820" w:rsidRPr="009F68D7" w:rsidRDefault="00CC7820">
      <w:pPr>
        <w:pStyle w:val="Testonotaapidipagina"/>
        <w:rPr>
          <w:sz w:val="20"/>
          <w:lang w:val="en-US"/>
        </w:rPr>
      </w:pPr>
      <w:r w:rsidRPr="009F68D7">
        <w:rPr>
          <w:rStyle w:val="Rimandonotaapidipagina"/>
          <w:sz w:val="20"/>
        </w:rPr>
        <w:footnoteRef/>
      </w:r>
      <w:r w:rsidRPr="009F68D7">
        <w:rPr>
          <w:sz w:val="20"/>
          <w:lang w:val="en-US"/>
        </w:rPr>
        <w:t xml:space="preserve"> UFE, </w:t>
      </w:r>
      <w:proofErr w:type="spellStart"/>
      <w:r w:rsidRPr="009F68D7">
        <w:rPr>
          <w:sz w:val="20"/>
          <w:lang w:val="en-US"/>
        </w:rPr>
        <w:t>Prospettive</w:t>
      </w:r>
      <w:proofErr w:type="spellEnd"/>
      <w:r w:rsidRPr="009F68D7">
        <w:rPr>
          <w:sz w:val="20"/>
          <w:lang w:val="en-US"/>
        </w:rPr>
        <w:t xml:space="preserve"> </w:t>
      </w:r>
      <w:proofErr w:type="spellStart"/>
      <w:r w:rsidRPr="009F68D7">
        <w:rPr>
          <w:sz w:val="20"/>
          <w:lang w:val="en-US"/>
        </w:rPr>
        <w:t>energetiche</w:t>
      </w:r>
      <w:proofErr w:type="spellEnd"/>
      <w:r w:rsidRPr="009F68D7">
        <w:rPr>
          <w:sz w:val="20"/>
          <w:lang w:val="en-US"/>
        </w:rPr>
        <w:t xml:space="preserve"> 2050+</w:t>
      </w:r>
    </w:p>
  </w:footnote>
  <w:footnote w:id="4">
    <w:p w14:paraId="346D6A06" w14:textId="153526AF" w:rsidR="00523C08" w:rsidRPr="009F68D7" w:rsidRDefault="00523C08">
      <w:pPr>
        <w:pStyle w:val="Testonotaapidipagina"/>
        <w:rPr>
          <w:sz w:val="20"/>
          <w:lang w:val="en-US"/>
        </w:rPr>
      </w:pPr>
      <w:r w:rsidRPr="009F68D7">
        <w:rPr>
          <w:rStyle w:val="Rimandonotaapidipagina"/>
          <w:sz w:val="20"/>
        </w:rPr>
        <w:footnoteRef/>
      </w:r>
      <w:r w:rsidRPr="009F68D7">
        <w:rPr>
          <w:sz w:val="20"/>
          <w:lang w:val="en-US"/>
        </w:rPr>
        <w:t xml:space="preserve"> ETH Zurich Energy Science Center, Energy security in a net zero emissions future for Switzerland, White Paper, 2023, DOI 10.3929/ethz-b-000614564</w:t>
      </w:r>
    </w:p>
  </w:footnote>
  <w:footnote w:id="5">
    <w:p w14:paraId="522089CD" w14:textId="20196240" w:rsidR="006C0525" w:rsidRPr="009F68D7" w:rsidRDefault="006C0525">
      <w:pPr>
        <w:pStyle w:val="Testonotaapidipagina"/>
        <w:rPr>
          <w:sz w:val="20"/>
          <w:lang w:val="it-CH"/>
        </w:rPr>
      </w:pPr>
      <w:r w:rsidRPr="009F68D7">
        <w:rPr>
          <w:rStyle w:val="Rimandonotaapidipagina"/>
          <w:sz w:val="20"/>
        </w:rPr>
        <w:footnoteRef/>
      </w:r>
      <w:r w:rsidRPr="009F68D7">
        <w:rPr>
          <w:sz w:val="20"/>
          <w:lang w:val="it-CH"/>
        </w:rPr>
        <w:t xml:space="preserve"> AES, Indice AES dell'approvvigionamento elettrico 2026, gennaio 2026</w:t>
      </w:r>
    </w:p>
  </w:footnote>
  <w:footnote w:id="6">
    <w:p w14:paraId="59CE1C72" w14:textId="2E386858" w:rsidR="00E819A2" w:rsidRPr="00E819A2" w:rsidRDefault="00E819A2">
      <w:pPr>
        <w:pStyle w:val="Testonotaapidipagina"/>
        <w:rPr>
          <w:sz w:val="20"/>
          <w:szCs w:val="18"/>
          <w:lang w:val="it-CH"/>
        </w:rPr>
      </w:pPr>
      <w:r w:rsidRPr="009F68D7">
        <w:rPr>
          <w:rStyle w:val="Rimandonotaapidipagina"/>
          <w:sz w:val="20"/>
        </w:rPr>
        <w:footnoteRef/>
      </w:r>
      <w:r w:rsidRPr="009F68D7">
        <w:rPr>
          <w:sz w:val="20"/>
          <w:lang w:val="it-CH"/>
        </w:rPr>
        <w:t xml:space="preserve"> Agenzia Internazionale dell'Energia, Energy and AI, 2025</w:t>
      </w:r>
    </w:p>
  </w:footnote>
  <w:footnote w:id="7">
    <w:p w14:paraId="4FFFC53E" w14:textId="57E40AE1" w:rsidR="00324328" w:rsidRPr="00324328" w:rsidRDefault="00324328">
      <w:pPr>
        <w:pStyle w:val="Testonotaapidipagina"/>
        <w:rPr>
          <w:sz w:val="20"/>
          <w:szCs w:val="18"/>
          <w:lang w:val="it-CH"/>
        </w:rPr>
      </w:pPr>
      <w:r w:rsidRPr="00324328">
        <w:rPr>
          <w:rStyle w:val="Rimandonotaapidipagina"/>
          <w:sz w:val="20"/>
          <w:szCs w:val="18"/>
        </w:rPr>
        <w:footnoteRef/>
      </w:r>
      <w:r w:rsidRPr="00324328">
        <w:rPr>
          <w:sz w:val="20"/>
          <w:szCs w:val="18"/>
          <w:lang w:val="it-CH"/>
        </w:rPr>
        <w:t xml:space="preserve"> PECC, Strategia e provvedimenti, luglio 2024, Tabella 9, pag. 74</w:t>
      </w:r>
    </w:p>
  </w:footnote>
  <w:footnote w:id="8">
    <w:p w14:paraId="4D919AAD" w14:textId="3A5BBACC" w:rsidR="007766D7" w:rsidRPr="00E22D83" w:rsidRDefault="000E74AE">
      <w:pPr>
        <w:pStyle w:val="Testonotaapidipagina"/>
        <w:rPr>
          <w:sz w:val="20"/>
          <w:szCs w:val="18"/>
          <w:lang w:val="en-US"/>
        </w:rPr>
      </w:pPr>
      <w:r w:rsidRPr="000E74AE">
        <w:rPr>
          <w:rStyle w:val="Rimandonotaapidipagina"/>
          <w:sz w:val="20"/>
          <w:szCs w:val="18"/>
        </w:rPr>
        <w:footnoteRef/>
      </w:r>
      <w:r w:rsidRPr="000E74AE">
        <w:rPr>
          <w:sz w:val="20"/>
          <w:szCs w:val="18"/>
          <w:lang w:val="en-US"/>
        </w:rPr>
        <w:t xml:space="preserve"> </w:t>
      </w:r>
      <w:proofErr w:type="spellStart"/>
      <w:r w:rsidRPr="000E74AE">
        <w:rPr>
          <w:sz w:val="20"/>
          <w:szCs w:val="18"/>
          <w:lang w:val="en-US"/>
        </w:rPr>
        <w:t>Züttel</w:t>
      </w:r>
      <w:proofErr w:type="spellEnd"/>
      <w:r w:rsidRPr="000E74AE">
        <w:rPr>
          <w:sz w:val="20"/>
          <w:szCs w:val="18"/>
          <w:lang w:val="en-US"/>
        </w:rPr>
        <w:t xml:space="preserve"> A., </w:t>
      </w:r>
      <w:proofErr w:type="spellStart"/>
      <w:r w:rsidRPr="000E74AE">
        <w:rPr>
          <w:sz w:val="20"/>
          <w:szCs w:val="18"/>
          <w:lang w:val="en-US"/>
        </w:rPr>
        <w:t>Gallandat</w:t>
      </w:r>
      <w:proofErr w:type="spellEnd"/>
      <w:r w:rsidRPr="000E74AE">
        <w:rPr>
          <w:sz w:val="20"/>
          <w:szCs w:val="18"/>
          <w:lang w:val="en-US"/>
        </w:rPr>
        <w:t xml:space="preserve"> N., Dyson P.J., </w:t>
      </w:r>
      <w:proofErr w:type="spellStart"/>
      <w:r w:rsidRPr="000E74AE">
        <w:rPr>
          <w:sz w:val="20"/>
          <w:szCs w:val="18"/>
          <w:lang w:val="en-US"/>
        </w:rPr>
        <w:t>Schlapbach</w:t>
      </w:r>
      <w:proofErr w:type="spellEnd"/>
      <w:r w:rsidRPr="000E74AE">
        <w:rPr>
          <w:sz w:val="20"/>
          <w:szCs w:val="18"/>
          <w:lang w:val="en-US"/>
        </w:rPr>
        <w:t xml:space="preserve"> L., </w:t>
      </w:r>
      <w:proofErr w:type="spellStart"/>
      <w:r w:rsidRPr="000E74AE">
        <w:rPr>
          <w:sz w:val="20"/>
          <w:szCs w:val="18"/>
          <w:lang w:val="en-US"/>
        </w:rPr>
        <w:t>Gilgen</w:t>
      </w:r>
      <w:proofErr w:type="spellEnd"/>
      <w:r w:rsidRPr="000E74AE">
        <w:rPr>
          <w:sz w:val="20"/>
          <w:szCs w:val="18"/>
          <w:lang w:val="en-US"/>
        </w:rPr>
        <w:t xml:space="preserve"> P.W. e </w:t>
      </w:r>
      <w:proofErr w:type="spellStart"/>
      <w:r w:rsidRPr="000E74AE">
        <w:rPr>
          <w:sz w:val="20"/>
          <w:szCs w:val="18"/>
          <w:lang w:val="en-US"/>
        </w:rPr>
        <w:t>Orimo</w:t>
      </w:r>
      <w:proofErr w:type="spellEnd"/>
      <w:r w:rsidRPr="000E74AE">
        <w:rPr>
          <w:sz w:val="20"/>
          <w:szCs w:val="18"/>
          <w:lang w:val="en-US"/>
        </w:rPr>
        <w:t xml:space="preserve"> S.-I., Future Swiss Energy Economy: The Challenge of Storing Renewable Energy, Frontiers in Energy Research, 2022, DOI 10.3389/fenrg.2021.785908.</w:t>
      </w:r>
      <w:r w:rsidR="00E22D83" w:rsidRPr="00E22D83">
        <w:rPr>
          <w:rFonts w:ascii="Arial" w:hAnsi="Arial"/>
          <w:szCs w:val="22"/>
          <w:lang w:val="en-US"/>
        </w:rPr>
        <w:t xml:space="preserve"> </w:t>
      </w:r>
    </w:p>
  </w:footnote>
  <w:footnote w:id="9">
    <w:p w14:paraId="3F6F6B1C" w14:textId="38E939C1" w:rsidR="00FF6070" w:rsidRPr="00FF6070" w:rsidRDefault="00FF6070">
      <w:pPr>
        <w:pStyle w:val="Testonotaapidipagina"/>
        <w:rPr>
          <w:sz w:val="20"/>
          <w:szCs w:val="18"/>
          <w:lang w:val="it-CH"/>
        </w:rPr>
      </w:pPr>
      <w:r w:rsidRPr="00FF6070">
        <w:rPr>
          <w:rStyle w:val="Rimandonotaapidipagina"/>
          <w:sz w:val="20"/>
          <w:szCs w:val="18"/>
        </w:rPr>
        <w:footnoteRef/>
      </w:r>
      <w:r w:rsidRPr="00FF6070">
        <w:rPr>
          <w:sz w:val="20"/>
          <w:szCs w:val="18"/>
          <w:lang w:val="it-CH"/>
        </w:rPr>
        <w:t xml:space="preserve"> </w:t>
      </w:r>
      <w:r w:rsidR="00B15CB2" w:rsidRPr="00B15CB2">
        <w:rPr>
          <w:sz w:val="20"/>
          <w:szCs w:val="18"/>
          <w:lang w:val="it-CH"/>
        </w:rPr>
        <w:t xml:space="preserve">Consiglio federale, Messaggio concernente il controprogetto indiretto all’iniziativa popolare «Energia elettrica in ogni tempo per tutti (Stop al blackout)», 13 agosto 2025; DATEC, Sicurezza dell’approvvigionamento elettrico, stato al 23 giugno 2026; </w:t>
      </w:r>
      <w:proofErr w:type="spellStart"/>
      <w:r w:rsidR="00B15CB2" w:rsidRPr="00B15CB2">
        <w:rPr>
          <w:sz w:val="20"/>
          <w:szCs w:val="18"/>
          <w:lang w:val="it-CH"/>
        </w:rPr>
        <w:t>Keystone</w:t>
      </w:r>
      <w:proofErr w:type="spellEnd"/>
      <w:r w:rsidR="00B15CB2" w:rsidRPr="00B15CB2">
        <w:rPr>
          <w:sz w:val="20"/>
          <w:szCs w:val="18"/>
          <w:lang w:val="it-CH"/>
        </w:rPr>
        <w:t>-ATS, «Ritirata l’iniziativa “Stop al blackout”», 29 giugno 2026, che indica il 28 febbraio 2027 quale data verosimile della votazione.</w:t>
      </w:r>
    </w:p>
  </w:footnote>
  <w:footnote w:id="10">
    <w:p w14:paraId="013B762A" w14:textId="51DAA3F3" w:rsidR="00A92A8E" w:rsidRPr="00A92A8E" w:rsidRDefault="00A92A8E">
      <w:pPr>
        <w:pStyle w:val="Testonotaapidipagina"/>
        <w:rPr>
          <w:sz w:val="20"/>
          <w:szCs w:val="18"/>
          <w:lang w:val="it-CH"/>
        </w:rPr>
      </w:pPr>
      <w:r w:rsidRPr="00A92A8E">
        <w:rPr>
          <w:rStyle w:val="Rimandonotaapidipagina"/>
          <w:sz w:val="20"/>
          <w:szCs w:val="18"/>
        </w:rPr>
        <w:footnoteRef/>
      </w:r>
      <w:r w:rsidRPr="00A92A8E">
        <w:rPr>
          <w:sz w:val="20"/>
          <w:szCs w:val="18"/>
          <w:lang w:val="it-CH"/>
        </w:rPr>
        <w:t xml:space="preserve"> Città di Lugano, comunicato del 30 luglio 2026</w:t>
      </w:r>
    </w:p>
  </w:footnote>
  <w:footnote w:id="11">
    <w:p w14:paraId="64E5E395" w14:textId="672DAFD4" w:rsidR="00125C64" w:rsidRPr="00125C64" w:rsidRDefault="00125C64">
      <w:pPr>
        <w:pStyle w:val="Testonotaapidipagina"/>
        <w:rPr>
          <w:sz w:val="20"/>
          <w:szCs w:val="18"/>
          <w:lang w:val="it-CH"/>
        </w:rPr>
      </w:pPr>
      <w:r w:rsidRPr="00125C64">
        <w:rPr>
          <w:rStyle w:val="Rimandonotaapidipagina"/>
          <w:sz w:val="20"/>
          <w:szCs w:val="18"/>
        </w:rPr>
        <w:footnoteRef/>
      </w:r>
      <w:r w:rsidRPr="00125C64">
        <w:rPr>
          <w:sz w:val="20"/>
          <w:szCs w:val="18"/>
          <w:lang w:val="it-CH"/>
        </w:rPr>
        <w:t xml:space="preserve"> PECC, Strategia e provvedimenti, luglio 2024, cap. 6.2.3.1 e scheda provvedimento A.1.1.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5B573" w14:textId="77777777" w:rsidR="00067316" w:rsidRDefault="0006731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330EC6" w:rsidRPr="002747E7" w14:paraId="1676EC0E" w14:textId="77777777" w:rsidTr="00330EC6">
      <w:trPr>
        <w:trHeight w:val="562"/>
      </w:trPr>
      <w:tc>
        <w:tcPr>
          <w:tcW w:w="8383" w:type="dxa"/>
          <w:tcBorders>
            <w:left w:val="single" w:sz="4" w:space="0" w:color="auto"/>
            <w:bottom w:val="single" w:sz="4" w:space="0" w:color="auto"/>
          </w:tcBorders>
          <w:tcMar>
            <w:left w:w="142" w:type="dxa"/>
          </w:tcMar>
          <w:vAlign w:val="bottom"/>
        </w:tcPr>
        <w:p w14:paraId="3DFE9A4B" w14:textId="77777777" w:rsidR="00330EC6" w:rsidRDefault="006F084E" w:rsidP="00330EC6">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2D2D8B7-5837-4132-8604-755804CB837B}"/>
              <w:text w:multiLine="1"/>
            </w:sdtPr>
            <w:sdtEndPr/>
            <w:sdtContent>
              <w:r w:rsidR="00330EC6">
                <w:rPr>
                  <w:rFonts w:ascii="Gill Alt One MT Light" w:hAnsi="Gill Alt One MT Light"/>
                  <w:sz w:val="16"/>
                  <w:szCs w:val="16"/>
                </w:rPr>
                <w:t>Repubblica e Cantone Ticino</w:t>
              </w:r>
            </w:sdtContent>
          </w:sdt>
        </w:p>
        <w:p w14:paraId="6B720B41" w14:textId="77777777" w:rsidR="00330EC6" w:rsidRPr="00E8185F" w:rsidRDefault="006F084E" w:rsidP="00330EC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2D2D8B7-5837-4132-8604-755804CB837B}"/>
              <w:text w:multiLine="1"/>
            </w:sdtPr>
            <w:sdtEndPr/>
            <w:sdtContent>
              <w:r w:rsidR="00330EC6">
                <w:rPr>
                  <w:rFonts w:ascii="Gill Alt One MT Light" w:hAnsi="Gill Alt One MT Light"/>
                  <w:sz w:val="16"/>
                  <w:szCs w:val="16"/>
                </w:rPr>
                <w:t>Dipartimento del territorio</w:t>
              </w:r>
              <w:r w:rsidR="00330EC6">
                <w:rPr>
                  <w:rFonts w:ascii="Gill Alt One MT Light" w:hAnsi="Gill Alt One MT Light"/>
                  <w:sz w:val="16"/>
                  <w:szCs w:val="16"/>
                </w:rPr>
                <w:br/>
                <w:t>Dipartimento delle finanze e dell'economia</w:t>
              </w:r>
            </w:sdtContent>
          </w:sdt>
        </w:p>
      </w:tc>
      <w:tc>
        <w:tcPr>
          <w:tcW w:w="1710" w:type="dxa"/>
          <w:tcBorders>
            <w:bottom w:val="single" w:sz="4" w:space="0" w:color="auto"/>
          </w:tcBorders>
          <w:vAlign w:val="bottom"/>
        </w:tcPr>
        <w:p w14:paraId="1126BEEB" w14:textId="4FCF2268" w:rsidR="00330EC6" w:rsidRPr="004204CB" w:rsidRDefault="00330EC6" w:rsidP="00330EC6">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13DCD">
            <w:rPr>
              <w:noProof/>
              <w:sz w:val="24"/>
            </w:rPr>
            <w:t>12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13DCD">
            <w:rPr>
              <w:noProof/>
              <w:sz w:val="24"/>
            </w:rPr>
            <w:t>12</w:t>
          </w:r>
          <w:r w:rsidRPr="004204CB">
            <w:rPr>
              <w:noProof/>
              <w:sz w:val="24"/>
            </w:rPr>
            <w:fldChar w:fldCharType="end"/>
          </w:r>
        </w:p>
      </w:tc>
    </w:tr>
    <w:tr w:rsidR="00330EC6" w:rsidRPr="009E444B" w14:paraId="0E706AF1" w14:textId="77777777" w:rsidTr="00330EC6">
      <w:trPr>
        <w:trHeight w:val="334"/>
      </w:trPr>
      <w:sdt>
        <w:sdtPr>
          <w:rPr>
            <w:rFonts w:ascii="Gill Sans Display MT Pro BdCn" w:hAnsi="Gill Sans Display MT Pro BdCn"/>
            <w:sz w:val="18"/>
            <w:szCs w:val="18"/>
          </w:rPr>
          <w:alias w:val="CustomElements.Fields.Titolo2"/>
          <w:id w:val="48588533"/>
          <w:dataBinding w:xpath="//Text[@id='CustomElements.Fields.Titolo2']" w:storeItemID="{A2D2D8B7-5837-4132-8604-755804CB837B}"/>
          <w:text w:multiLine="1"/>
        </w:sdtPr>
        <w:sdtEndPr/>
        <w:sdtContent>
          <w:tc>
            <w:tcPr>
              <w:tcW w:w="8383" w:type="dxa"/>
              <w:tcBorders>
                <w:left w:val="single" w:sz="4" w:space="0" w:color="auto"/>
              </w:tcBorders>
              <w:tcMar>
                <w:top w:w="0" w:type="dxa"/>
                <w:left w:w="142" w:type="dxa"/>
              </w:tcMar>
            </w:tcPr>
            <w:p w14:paraId="6B4A8EC7" w14:textId="3DE69D11" w:rsidR="00330EC6" w:rsidRPr="00B85068" w:rsidRDefault="009B592C" w:rsidP="00330EC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8467 R2 del 8 settembre 2026</w:t>
              </w:r>
            </w:p>
          </w:tc>
        </w:sdtContent>
      </w:sdt>
      <w:tc>
        <w:tcPr>
          <w:tcW w:w="1710" w:type="dxa"/>
          <w:tcBorders>
            <w:top w:val="single" w:sz="4" w:space="0" w:color="auto"/>
          </w:tcBorders>
        </w:tcPr>
        <w:p w14:paraId="26546341" w14:textId="77777777" w:rsidR="00330EC6" w:rsidRPr="00B85068" w:rsidRDefault="00330EC6" w:rsidP="00330EC6">
          <w:pPr>
            <w:pStyle w:val="InvisibleLine"/>
            <w:rPr>
              <w:lang w:val="it-CH"/>
            </w:rPr>
          </w:pPr>
        </w:p>
      </w:tc>
    </w:tr>
  </w:tbl>
  <w:p w14:paraId="09C3471E" w14:textId="77777777" w:rsidR="00330EC6" w:rsidRPr="00980362" w:rsidRDefault="00330EC6" w:rsidP="00330EC6">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2D2D8B7-5837-4132-8604-755804CB837B}"/>
                            <w:text w:multiLine="1"/>
                          </w:sdtPr>
                          <w:sdtEndPr/>
                          <w:sdtContent>
                            <w:p w14:paraId="1C14B1F6" w14:textId="77777777" w:rsidR="00330EC6" w:rsidRPr="00411371" w:rsidRDefault="00330EC6" w:rsidP="00330EC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A2D2D8B7-5837-4132-8604-755804CB837B}"/>
                      <w:text w:multiLine="1"/>
                    </w:sdtPr>
                    <w:sdtEndPr/>
                    <w:sdtContent>
                      <w:p w14:paraId="1C14B1F6" w14:textId="77777777" w:rsidR="00330EC6" w:rsidRPr="00411371" w:rsidRDefault="00330EC6" w:rsidP="00330EC6">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330EC6" w:rsidRPr="0004624C" w14:paraId="1A517983" w14:textId="77777777" w:rsidTr="00330EC6">
      <w:trPr>
        <w:trHeight w:hRule="exact" w:val="584"/>
      </w:trPr>
      <w:tc>
        <w:tcPr>
          <w:tcW w:w="2440" w:type="pct"/>
          <w:gridSpan w:val="3"/>
          <w:tcBorders>
            <w:top w:val="nil"/>
            <w:left w:val="nil"/>
            <w:bottom w:val="single" w:sz="4" w:space="0" w:color="auto"/>
          </w:tcBorders>
        </w:tcPr>
        <w:p w14:paraId="0BD30782" w14:textId="77777777" w:rsidR="00330EC6" w:rsidRDefault="00330EC6" w:rsidP="00330EC6">
          <w:pPr>
            <w:pStyle w:val="InvisibleLine"/>
            <w:spacing w:line="240" w:lineRule="auto"/>
            <w:ind w:left="15"/>
            <w:rPr>
              <w:rFonts w:ascii="Gill Alt One MT Light" w:hAnsi="Gill Alt One MT Light"/>
              <w:sz w:val="16"/>
              <w:lang w:val="it-CH"/>
            </w:rPr>
          </w:pPr>
        </w:p>
        <w:p w14:paraId="39D3B5CF" w14:textId="77777777" w:rsidR="00330EC6" w:rsidRDefault="00330EC6" w:rsidP="00330EC6">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9F286CB" w14:textId="77777777" w:rsidR="00330EC6" w:rsidRPr="008966E7" w:rsidRDefault="00330EC6" w:rsidP="00330EC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829BCE3" w14:textId="77777777" w:rsidR="00330EC6" w:rsidRPr="003108C0" w:rsidRDefault="00330EC6" w:rsidP="00330EC6">
          <w:pPr>
            <w:pStyle w:val="Level"/>
            <w:ind w:left="150"/>
            <w:rPr>
              <w:sz w:val="16"/>
            </w:rPr>
          </w:pPr>
        </w:p>
      </w:tc>
      <w:tc>
        <w:tcPr>
          <w:tcW w:w="209" w:type="pct"/>
          <w:tcBorders>
            <w:top w:val="nil"/>
            <w:bottom w:val="single" w:sz="4" w:space="0" w:color="auto"/>
          </w:tcBorders>
        </w:tcPr>
        <w:p w14:paraId="34403193" w14:textId="77777777" w:rsidR="00330EC6" w:rsidRDefault="00330EC6" w:rsidP="00330EC6">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62706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DBA9777" w14:textId="33C14409" w:rsidR="00330EC6" w:rsidRPr="004204CB" w:rsidRDefault="00330EC6" w:rsidP="00330EC6">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97B7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97B74">
            <w:rPr>
              <w:rFonts w:asciiTheme="minorHAnsi" w:hAnsiTheme="minorHAnsi" w:cstheme="minorHAnsi"/>
              <w:noProof/>
              <w:sz w:val="24"/>
            </w:rPr>
            <w:t>12</w:t>
          </w:r>
          <w:r w:rsidRPr="004204CB">
            <w:rPr>
              <w:rFonts w:asciiTheme="minorHAnsi" w:hAnsiTheme="minorHAnsi" w:cstheme="minorHAnsi"/>
              <w:noProof/>
              <w:sz w:val="24"/>
            </w:rPr>
            <w:fldChar w:fldCharType="end"/>
          </w:r>
        </w:p>
      </w:tc>
    </w:tr>
    <w:tr w:rsidR="00330EC6" w:rsidRPr="0004624C" w14:paraId="5D6DD52B" w14:textId="77777777" w:rsidTr="00330EC6">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2D2D8B7-5837-4132-8604-755804CB837B}"/>
          <w:text w:multiLine="1"/>
        </w:sdtPr>
        <w:sdtEndPr/>
        <w:sdtContent>
          <w:tc>
            <w:tcPr>
              <w:tcW w:w="5000" w:type="pct"/>
              <w:gridSpan w:val="6"/>
              <w:tcBorders>
                <w:left w:val="nil"/>
                <w:right w:val="nil"/>
              </w:tcBorders>
              <w:noWrap/>
              <w:tcMar>
                <w:top w:w="0" w:type="dxa"/>
              </w:tcMar>
              <w:vAlign w:val="bottom"/>
            </w:tcPr>
            <w:p w14:paraId="42AF62CB" w14:textId="0EF34115" w:rsidR="00330EC6" w:rsidRPr="008C03B5" w:rsidRDefault="00067316" w:rsidP="00330EC6">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330EC6" w:rsidRPr="0004624C" w14:paraId="7B6FEA65" w14:textId="77777777" w:rsidTr="00330EC6">
      <w:trPr>
        <w:trHeight w:hRule="exact" w:val="306"/>
      </w:trPr>
      <w:tc>
        <w:tcPr>
          <w:tcW w:w="670" w:type="pct"/>
          <w:tcBorders>
            <w:left w:val="nil"/>
            <w:bottom w:val="nil"/>
          </w:tcBorders>
          <w:noWrap/>
          <w:tcMar>
            <w:top w:w="57" w:type="dxa"/>
            <w:left w:w="142" w:type="dxa"/>
          </w:tcMar>
        </w:tcPr>
        <w:p w14:paraId="5997C124" w14:textId="77777777" w:rsidR="00330EC6" w:rsidRPr="00C7320A" w:rsidRDefault="00330EC6" w:rsidP="00330EC6">
          <w:pPr>
            <w:pStyle w:val="Level"/>
            <w:spacing w:before="60"/>
            <w:rPr>
              <w:rFonts w:ascii="Gill Alt One MT Light" w:hAnsi="Gill Alt One MT Light"/>
              <w:sz w:val="16"/>
            </w:rPr>
          </w:pPr>
          <w:r w:rsidRPr="00C7320A">
            <w:rPr>
              <w:rFonts w:ascii="Gill Alt One MT Light" w:hAnsi="Gill Alt One MT Light"/>
              <w:sz w:val="16"/>
            </w:rPr>
            <w:t>numero</w:t>
          </w:r>
        </w:p>
        <w:p w14:paraId="2DD958D9" w14:textId="77777777" w:rsidR="00330EC6" w:rsidRPr="00C7320A" w:rsidRDefault="00330EC6" w:rsidP="00330EC6">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6323D59" w14:textId="77777777" w:rsidR="00330EC6" w:rsidRPr="00C7320A" w:rsidRDefault="00330EC6" w:rsidP="00330EC6">
          <w:pPr>
            <w:pStyle w:val="Level"/>
            <w:spacing w:before="60"/>
            <w:rPr>
              <w:rFonts w:ascii="Gill Alt One MT Light" w:hAnsi="Gill Alt One MT Light"/>
              <w:sz w:val="16"/>
            </w:rPr>
          </w:pPr>
          <w:r w:rsidRPr="00C7320A">
            <w:rPr>
              <w:rFonts w:ascii="Gill Alt One MT Light" w:hAnsi="Gill Alt One MT Light"/>
              <w:sz w:val="16"/>
            </w:rPr>
            <w:t>data</w:t>
          </w:r>
        </w:p>
        <w:p w14:paraId="506841DE" w14:textId="77777777" w:rsidR="00330EC6" w:rsidRPr="00C7320A" w:rsidRDefault="00330EC6" w:rsidP="00330EC6">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AB3C6E0" w14:textId="77777777" w:rsidR="00330EC6" w:rsidRPr="00C7320A" w:rsidRDefault="00330EC6" w:rsidP="00330EC6">
          <w:pPr>
            <w:pStyle w:val="Level"/>
            <w:spacing w:before="60"/>
            <w:rPr>
              <w:rFonts w:ascii="Gill Alt One MT Light" w:hAnsi="Gill Alt One MT Light"/>
              <w:sz w:val="16"/>
            </w:rPr>
          </w:pPr>
          <w:r>
            <w:rPr>
              <w:rFonts w:ascii="Gill Alt One MT Light" w:hAnsi="Gill Alt One MT Light"/>
              <w:sz w:val="16"/>
            </w:rPr>
            <w:t>competenza</w:t>
          </w:r>
        </w:p>
        <w:p w14:paraId="6DE1686C" w14:textId="77777777" w:rsidR="00330EC6" w:rsidRPr="008C03B5" w:rsidRDefault="00330EC6" w:rsidP="00330EC6">
          <w:pPr>
            <w:pStyle w:val="Level"/>
            <w:spacing w:before="60" w:line="240" w:lineRule="auto"/>
            <w:rPr>
              <w:rFonts w:ascii="Gill Alt One MT Light" w:hAnsi="Gill Alt One MT Light"/>
              <w:sz w:val="16"/>
            </w:rPr>
          </w:pPr>
        </w:p>
      </w:tc>
    </w:tr>
    <w:tr w:rsidR="00330EC6" w:rsidRPr="0004624C" w14:paraId="098BB907" w14:textId="77777777" w:rsidTr="00330EC6">
      <w:trPr>
        <w:trHeight w:hRule="exact" w:val="699"/>
      </w:trPr>
      <w:tc>
        <w:tcPr>
          <w:tcW w:w="670" w:type="pct"/>
          <w:tcBorders>
            <w:top w:val="nil"/>
            <w:left w:val="nil"/>
            <w:bottom w:val="single" w:sz="4" w:space="0" w:color="auto"/>
            <w:right w:val="nil"/>
          </w:tcBorders>
          <w:noWrap/>
          <w:tcMar>
            <w:top w:w="0" w:type="dxa"/>
          </w:tcMar>
        </w:tcPr>
        <w:p w14:paraId="0F802BF1" w14:textId="547D1D2D" w:rsidR="00330EC6" w:rsidRPr="00BE22A2" w:rsidRDefault="006F084E" w:rsidP="00330EC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2D2D8B7-5837-4132-8604-755804CB837B}"/>
              <w:text w:multiLine="1"/>
            </w:sdtPr>
            <w:sdtEndPr/>
            <w:sdtContent>
              <w:r w:rsidR="00330EC6">
                <w:rPr>
                  <w:rFonts w:cstheme="minorHAnsi"/>
                  <w:b/>
                  <w:sz w:val="24"/>
                  <w:szCs w:val="24"/>
                </w:rPr>
                <w:t>8467 R</w:t>
              </w:r>
              <w:r w:rsidR="00B85068">
                <w:rPr>
                  <w:rFonts w:cstheme="minorHAnsi"/>
                  <w:b/>
                  <w:sz w:val="24"/>
                  <w:szCs w:val="24"/>
                </w:rPr>
                <w:t>2</w:t>
              </w:r>
            </w:sdtContent>
          </w:sdt>
        </w:p>
      </w:tc>
      <w:sdt>
        <w:sdtPr>
          <w:rPr>
            <w:sz w:val="24"/>
          </w:rPr>
          <w:alias w:val="DocParam.Date"/>
          <w:id w:val="-464426178"/>
          <w:dataBinding w:xpath="//DateTime[@id='DocParam.Date']" w:storeItemID="{A2D2D8B7-5837-4132-8604-755804CB837B}"/>
          <w:date w:fullDate="2026-09-08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3226AC8" w14:textId="5DCE7128" w:rsidR="00330EC6" w:rsidRPr="002A0371" w:rsidRDefault="009B592C" w:rsidP="00330EC6">
              <w:pPr>
                <w:pStyle w:val="Data"/>
              </w:pPr>
              <w:r>
                <w:rPr>
                  <w:sz w:val="24"/>
                </w:rPr>
                <w:t>8 settembre 2026</w:t>
              </w:r>
            </w:p>
          </w:tc>
        </w:sdtContent>
      </w:sdt>
      <w:tc>
        <w:tcPr>
          <w:tcW w:w="3218" w:type="pct"/>
          <w:gridSpan w:val="4"/>
          <w:tcBorders>
            <w:top w:val="nil"/>
            <w:left w:val="nil"/>
            <w:bottom w:val="nil"/>
            <w:right w:val="nil"/>
          </w:tcBorders>
        </w:tcPr>
        <w:p w14:paraId="1A675745" w14:textId="77777777" w:rsidR="00330EC6" w:rsidRPr="00BE22A2" w:rsidRDefault="006F084E" w:rsidP="00330EC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2D2D8B7-5837-4132-8604-755804CB837B}"/>
              <w:text w:multiLine="1"/>
            </w:sdtPr>
            <w:sdtEndPr/>
            <w:sdtContent>
              <w:r w:rsidR="00330EC6">
                <w:rPr>
                  <w:smallCaps/>
                  <w:sz w:val="23"/>
                  <w:szCs w:val="23"/>
                </w:rPr>
                <w:t>Dipartimento del territorio</w:t>
              </w:r>
              <w:r w:rsidR="00330EC6">
                <w:rPr>
                  <w:smallCaps/>
                  <w:sz w:val="23"/>
                  <w:szCs w:val="23"/>
                </w:rPr>
                <w:br/>
                <w:t>Dipartimento delle finanze e dell'economia</w:t>
              </w:r>
            </w:sdtContent>
          </w:sdt>
        </w:p>
      </w:tc>
    </w:tr>
    <w:tr w:rsidR="00330EC6" w:rsidRPr="00C63927" w14:paraId="26E9B196" w14:textId="77777777" w:rsidTr="00330EC6">
      <w:trPr>
        <w:trHeight w:hRule="exact" w:val="198"/>
      </w:trPr>
      <w:tc>
        <w:tcPr>
          <w:tcW w:w="5000" w:type="pct"/>
          <w:gridSpan w:val="6"/>
          <w:tcBorders>
            <w:left w:val="nil"/>
            <w:bottom w:val="nil"/>
            <w:right w:val="nil"/>
          </w:tcBorders>
          <w:noWrap/>
          <w:tcMar>
            <w:top w:w="57" w:type="dxa"/>
            <w:left w:w="85" w:type="dxa"/>
            <w:bottom w:w="170" w:type="dxa"/>
          </w:tcMar>
        </w:tcPr>
        <w:p w14:paraId="5045F58B" w14:textId="77777777" w:rsidR="00330EC6" w:rsidRPr="00C7320A" w:rsidRDefault="00330EC6" w:rsidP="00330EC6">
          <w:pPr>
            <w:pStyle w:val="Level"/>
            <w:ind w:left="150"/>
            <w:rPr>
              <w:rFonts w:ascii="Gill Alt One MT Light" w:hAnsi="Gill Alt One MT Light"/>
              <w:sz w:val="16"/>
              <w:szCs w:val="16"/>
            </w:rPr>
          </w:pPr>
        </w:p>
      </w:tc>
    </w:tr>
  </w:tbl>
  <w:p w14:paraId="6E4E8408" w14:textId="77777777" w:rsidR="00330EC6" w:rsidRPr="00DA2879" w:rsidRDefault="00330EC6" w:rsidP="00330EC6">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77340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2D2D8B7-5837-4132-8604-755804CB837B}"/>
                            <w:text w:multiLine="1"/>
                          </w:sdtPr>
                          <w:sdtEndPr/>
                          <w:sdtContent>
                            <w:p w14:paraId="3BE19D77" w14:textId="77777777" w:rsidR="00330EC6" w:rsidRPr="00411371" w:rsidRDefault="00330EC6" w:rsidP="00330EC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A2D2D8B7-5837-4132-8604-755804CB837B}"/>
                      <w:text w:multiLine="1"/>
                    </w:sdtPr>
                    <w:sdtEndPr/>
                    <w:sdtContent>
                      <w:p w14:paraId="3BE19D77" w14:textId="77777777" w:rsidR="00330EC6" w:rsidRPr="00411371" w:rsidRDefault="00330EC6" w:rsidP="00330EC6">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C2B81"/>
    <w:multiLevelType w:val="hybridMultilevel"/>
    <w:tmpl w:val="7CD099F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A8B3406"/>
    <w:multiLevelType w:val="hybridMultilevel"/>
    <w:tmpl w:val="B310190A"/>
    <w:lvl w:ilvl="0" w:tplc="0810000F">
      <w:start w:val="1"/>
      <w:numFmt w:val="decimal"/>
      <w:lvlText w:val="%1."/>
      <w:lvlJc w:val="left"/>
      <w:pPr>
        <w:ind w:left="928"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BB97012"/>
    <w:multiLevelType w:val="hybridMultilevel"/>
    <w:tmpl w:val="7668E54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0D582055"/>
    <w:multiLevelType w:val="multilevel"/>
    <w:tmpl w:val="35DC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1050F56"/>
    <w:multiLevelType w:val="multilevel"/>
    <w:tmpl w:val="31DAC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E446B0"/>
    <w:multiLevelType w:val="hybridMultilevel"/>
    <w:tmpl w:val="E1BC9922"/>
    <w:lvl w:ilvl="0" w:tplc="A2D65E52">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1AC36FC2"/>
    <w:multiLevelType w:val="hybridMultilevel"/>
    <w:tmpl w:val="52FAA14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1E2535EC"/>
    <w:multiLevelType w:val="multilevel"/>
    <w:tmpl w:val="9C1A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3E54B7"/>
    <w:multiLevelType w:val="multilevel"/>
    <w:tmpl w:val="9DEE5C2A"/>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1F4C57B5"/>
    <w:multiLevelType w:val="multilevel"/>
    <w:tmpl w:val="D716F1EC"/>
    <w:lvl w:ilvl="0">
      <w:start w:val="1"/>
      <w:numFmt w:val="bullet"/>
      <w:lvlText w:val=""/>
      <w:lvlJc w:val="left"/>
      <w:pPr>
        <w:ind w:left="363" w:hanging="363"/>
      </w:pPr>
      <w:rPr>
        <w:rFonts w:ascii="Symbol" w:hAnsi="Symbol"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1FAD68B5"/>
    <w:multiLevelType w:val="hybridMultilevel"/>
    <w:tmpl w:val="514AEACA"/>
    <w:lvl w:ilvl="0" w:tplc="08100001">
      <w:start w:val="1"/>
      <w:numFmt w:val="bullet"/>
      <w:lvlText w:val=""/>
      <w:lvlJc w:val="left"/>
      <w:pPr>
        <w:ind w:left="360" w:hanging="360"/>
      </w:pPr>
      <w:rPr>
        <w:rFonts w:ascii="Symbol" w:hAnsi="Symbol" w:hint="default"/>
      </w:rPr>
    </w:lvl>
    <w:lvl w:ilvl="1" w:tplc="FFFFFFFF">
      <w:start w:val="1"/>
      <w:numFmt w:val="lowerLetter"/>
      <w:lvlText w:val="%2."/>
      <w:lvlJc w:val="left"/>
      <w:pPr>
        <w:ind w:left="872" w:hanging="360"/>
      </w:pPr>
    </w:lvl>
    <w:lvl w:ilvl="2" w:tplc="FFFFFFFF">
      <w:start w:val="1"/>
      <w:numFmt w:val="lowerRoman"/>
      <w:lvlText w:val="%3."/>
      <w:lvlJc w:val="right"/>
      <w:pPr>
        <w:ind w:left="1592" w:hanging="180"/>
      </w:pPr>
    </w:lvl>
    <w:lvl w:ilvl="3" w:tplc="FFFFFFFF" w:tentative="1">
      <w:start w:val="1"/>
      <w:numFmt w:val="decimal"/>
      <w:lvlText w:val="%4."/>
      <w:lvlJc w:val="left"/>
      <w:pPr>
        <w:ind w:left="2312" w:hanging="360"/>
      </w:pPr>
    </w:lvl>
    <w:lvl w:ilvl="4" w:tplc="FFFFFFFF" w:tentative="1">
      <w:start w:val="1"/>
      <w:numFmt w:val="lowerLetter"/>
      <w:lvlText w:val="%5."/>
      <w:lvlJc w:val="left"/>
      <w:pPr>
        <w:ind w:left="3032" w:hanging="360"/>
      </w:pPr>
    </w:lvl>
    <w:lvl w:ilvl="5" w:tplc="FFFFFFFF" w:tentative="1">
      <w:start w:val="1"/>
      <w:numFmt w:val="lowerRoman"/>
      <w:lvlText w:val="%6."/>
      <w:lvlJc w:val="right"/>
      <w:pPr>
        <w:ind w:left="3752" w:hanging="180"/>
      </w:pPr>
    </w:lvl>
    <w:lvl w:ilvl="6" w:tplc="FFFFFFFF" w:tentative="1">
      <w:start w:val="1"/>
      <w:numFmt w:val="decimal"/>
      <w:lvlText w:val="%7."/>
      <w:lvlJc w:val="left"/>
      <w:pPr>
        <w:ind w:left="4472" w:hanging="360"/>
      </w:pPr>
    </w:lvl>
    <w:lvl w:ilvl="7" w:tplc="FFFFFFFF" w:tentative="1">
      <w:start w:val="1"/>
      <w:numFmt w:val="lowerLetter"/>
      <w:lvlText w:val="%8."/>
      <w:lvlJc w:val="left"/>
      <w:pPr>
        <w:ind w:left="5192" w:hanging="360"/>
      </w:pPr>
    </w:lvl>
    <w:lvl w:ilvl="8" w:tplc="FFFFFFFF" w:tentative="1">
      <w:start w:val="1"/>
      <w:numFmt w:val="lowerRoman"/>
      <w:lvlText w:val="%9."/>
      <w:lvlJc w:val="right"/>
      <w:pPr>
        <w:ind w:left="5912" w:hanging="180"/>
      </w:pPr>
    </w:lvl>
  </w:abstractNum>
  <w:abstractNum w:abstractNumId="2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234706A7"/>
    <w:multiLevelType w:val="hybridMultilevel"/>
    <w:tmpl w:val="D02A9288"/>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2E022E9D"/>
    <w:multiLevelType w:val="hybridMultilevel"/>
    <w:tmpl w:val="EEC0F19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33F157C5"/>
    <w:multiLevelType w:val="hybridMultilevel"/>
    <w:tmpl w:val="2E40CEF8"/>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37FE5B20"/>
    <w:multiLevelType w:val="hybridMultilevel"/>
    <w:tmpl w:val="B358D85E"/>
    <w:lvl w:ilvl="0" w:tplc="2124B014">
      <w:start w:val="1"/>
      <w:numFmt w:val="decimal"/>
      <w:lvlText w:val="%1)"/>
      <w:lvlJc w:val="left"/>
      <w:pPr>
        <w:ind w:left="1069" w:hanging="360"/>
      </w:pPr>
      <w:rPr>
        <w:rFonts w:hint="default"/>
      </w:rPr>
    </w:lvl>
    <w:lvl w:ilvl="1" w:tplc="08100001">
      <w:start w:val="1"/>
      <w:numFmt w:val="bullet"/>
      <w:lvlText w:val=""/>
      <w:lvlJc w:val="left"/>
      <w:pPr>
        <w:ind w:left="1789" w:hanging="360"/>
      </w:pPr>
      <w:rPr>
        <w:rFonts w:ascii="Symbol" w:hAnsi="Symbol" w:hint="default"/>
      </w:rPr>
    </w:lvl>
    <w:lvl w:ilvl="2" w:tplc="0810001B" w:tentative="1">
      <w:start w:val="1"/>
      <w:numFmt w:val="lowerRoman"/>
      <w:lvlText w:val="%3."/>
      <w:lvlJc w:val="right"/>
      <w:pPr>
        <w:ind w:left="2509" w:hanging="180"/>
      </w:pPr>
    </w:lvl>
    <w:lvl w:ilvl="3" w:tplc="0810000F" w:tentative="1">
      <w:start w:val="1"/>
      <w:numFmt w:val="decimal"/>
      <w:lvlText w:val="%4."/>
      <w:lvlJc w:val="left"/>
      <w:pPr>
        <w:ind w:left="3229" w:hanging="360"/>
      </w:pPr>
    </w:lvl>
    <w:lvl w:ilvl="4" w:tplc="08100019" w:tentative="1">
      <w:start w:val="1"/>
      <w:numFmt w:val="lowerLetter"/>
      <w:lvlText w:val="%5."/>
      <w:lvlJc w:val="left"/>
      <w:pPr>
        <w:ind w:left="3949" w:hanging="360"/>
      </w:pPr>
    </w:lvl>
    <w:lvl w:ilvl="5" w:tplc="0810001B" w:tentative="1">
      <w:start w:val="1"/>
      <w:numFmt w:val="lowerRoman"/>
      <w:lvlText w:val="%6."/>
      <w:lvlJc w:val="right"/>
      <w:pPr>
        <w:ind w:left="4669" w:hanging="180"/>
      </w:pPr>
    </w:lvl>
    <w:lvl w:ilvl="6" w:tplc="0810000F" w:tentative="1">
      <w:start w:val="1"/>
      <w:numFmt w:val="decimal"/>
      <w:lvlText w:val="%7."/>
      <w:lvlJc w:val="left"/>
      <w:pPr>
        <w:ind w:left="5389" w:hanging="360"/>
      </w:pPr>
    </w:lvl>
    <w:lvl w:ilvl="7" w:tplc="08100019" w:tentative="1">
      <w:start w:val="1"/>
      <w:numFmt w:val="lowerLetter"/>
      <w:lvlText w:val="%8."/>
      <w:lvlJc w:val="left"/>
      <w:pPr>
        <w:ind w:left="6109" w:hanging="360"/>
      </w:pPr>
    </w:lvl>
    <w:lvl w:ilvl="8" w:tplc="0810001B" w:tentative="1">
      <w:start w:val="1"/>
      <w:numFmt w:val="lowerRoman"/>
      <w:lvlText w:val="%9."/>
      <w:lvlJc w:val="right"/>
      <w:pPr>
        <w:ind w:left="6829" w:hanging="180"/>
      </w:pPr>
    </w:lvl>
  </w:abstractNum>
  <w:abstractNum w:abstractNumId="29" w15:restartNumberingAfterBreak="0">
    <w:nsid w:val="3855577D"/>
    <w:multiLevelType w:val="multilevel"/>
    <w:tmpl w:val="D716F1EC"/>
    <w:lvl w:ilvl="0">
      <w:start w:val="1"/>
      <w:numFmt w:val="bullet"/>
      <w:lvlText w:val=""/>
      <w:lvlJc w:val="left"/>
      <w:pPr>
        <w:ind w:left="363" w:hanging="363"/>
      </w:pPr>
      <w:rPr>
        <w:rFonts w:ascii="Symbol" w:hAnsi="Symbol"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0" w15:restartNumberingAfterBreak="0">
    <w:nsid w:val="3F613642"/>
    <w:multiLevelType w:val="hybridMultilevel"/>
    <w:tmpl w:val="5D60A14E"/>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2" w15:restartNumberingAfterBreak="0">
    <w:nsid w:val="49D524CC"/>
    <w:multiLevelType w:val="multilevel"/>
    <w:tmpl w:val="9DEE5C2A"/>
    <w:numStyleLink w:val="HeadingList"/>
  </w:abstractNum>
  <w:abstractNum w:abstractNumId="33" w15:restartNumberingAfterBreak="0">
    <w:nsid w:val="49E35053"/>
    <w:multiLevelType w:val="hybridMultilevel"/>
    <w:tmpl w:val="8AA2C99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4AE61579"/>
    <w:multiLevelType w:val="hybridMultilevel"/>
    <w:tmpl w:val="EEC0F198"/>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5" w15:restartNumberingAfterBreak="0">
    <w:nsid w:val="4C1E6228"/>
    <w:multiLevelType w:val="multilevel"/>
    <w:tmpl w:val="C5EC8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E2A7014"/>
    <w:multiLevelType w:val="hybridMultilevel"/>
    <w:tmpl w:val="91FA86E6"/>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61BF2FA4"/>
    <w:multiLevelType w:val="multilevel"/>
    <w:tmpl w:val="B914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C2FA3"/>
    <w:multiLevelType w:val="hybridMultilevel"/>
    <w:tmpl w:val="6C267FDA"/>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688D46FC"/>
    <w:multiLevelType w:val="multilevel"/>
    <w:tmpl w:val="6DBA001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372092"/>
    <w:multiLevelType w:val="hybridMultilevel"/>
    <w:tmpl w:val="089CB2D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15:restartNumberingAfterBreak="0">
    <w:nsid w:val="6DA17804"/>
    <w:multiLevelType w:val="hybridMultilevel"/>
    <w:tmpl w:val="A86CA848"/>
    <w:lvl w:ilvl="0" w:tplc="0FE89478">
      <w:start w:val="1"/>
      <w:numFmt w:val="decimal"/>
      <w:lvlText w:val="%1.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2" w15:restartNumberingAfterBreak="0">
    <w:nsid w:val="70897CC7"/>
    <w:multiLevelType w:val="hybridMultilevel"/>
    <w:tmpl w:val="B676762C"/>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F7728118">
      <w:numFmt w:val="bullet"/>
      <w:lvlText w:val="-"/>
      <w:lvlJc w:val="left"/>
      <w:pPr>
        <w:ind w:left="2160" w:hanging="360"/>
      </w:pPr>
      <w:rPr>
        <w:rFonts w:ascii="Arial" w:eastAsiaTheme="minorHAnsi" w:hAnsi="Arial" w:cs="Aria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15:restartNumberingAfterBreak="0">
    <w:nsid w:val="72BB485F"/>
    <w:multiLevelType w:val="hybridMultilevel"/>
    <w:tmpl w:val="2E40CEF8"/>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4" w15:restartNumberingAfterBreak="0">
    <w:nsid w:val="77D46423"/>
    <w:multiLevelType w:val="hybridMultilevel"/>
    <w:tmpl w:val="71926610"/>
    <w:lvl w:ilvl="0" w:tplc="FFFFFFFF">
      <w:start w:val="1"/>
      <w:numFmt w:val="lowerLetter"/>
      <w:lvlText w:val="%1)"/>
      <w:lvlJc w:val="left"/>
      <w:pPr>
        <w:ind w:left="720" w:hanging="360"/>
      </w:pPr>
    </w:lvl>
    <w:lvl w:ilvl="1" w:tplc="0810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5621FA"/>
    <w:multiLevelType w:val="multilevel"/>
    <w:tmpl w:val="FDBE0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A50D94"/>
    <w:multiLevelType w:val="multilevel"/>
    <w:tmpl w:val="39500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2"/>
    <w:lvlOverride w:ilvl="0">
      <w:lvl w:ilvl="0">
        <w:start w:val="1"/>
        <w:numFmt w:val="decimal"/>
        <w:lvlText w:val="%1."/>
        <w:lvlJc w:val="left"/>
        <w:pPr>
          <w:ind w:left="360" w:hanging="360"/>
        </w:pPr>
        <w:rPr>
          <w:rFonts w:hint="default"/>
        </w:rPr>
      </w:lvl>
    </w:lvlOverride>
    <w:lvlOverride w:ilvl="1">
      <w:lvl w:ilvl="1">
        <w:start w:val="1"/>
        <w:numFmt w:val="lowerLetter"/>
        <w:lvlText w:val="%2."/>
        <w:lvlJc w:val="left"/>
        <w:pPr>
          <w:ind w:left="1080" w:hanging="360"/>
        </w:pPr>
        <w:rPr>
          <w:rFonts w:hint="default"/>
        </w:rPr>
      </w:lvl>
    </w:lvlOverride>
    <w:lvlOverride w:ilvl="2">
      <w:lvl w:ilvl="2">
        <w:start w:val="1"/>
        <w:numFmt w:val="lowerRoman"/>
        <w:pStyle w:val="Titolo3"/>
        <w:lvlText w:val="%3."/>
        <w:lvlJc w:val="right"/>
        <w:pPr>
          <w:ind w:left="1800" w:hanging="180"/>
        </w:pPr>
        <w:rPr>
          <w:rFonts w:hint="default"/>
        </w:rPr>
      </w:lvl>
    </w:lvlOverride>
    <w:lvlOverride w:ilvl="3">
      <w:lvl w:ilvl="3">
        <w:start w:val="1"/>
        <w:numFmt w:val="decimal"/>
        <w:pStyle w:val="Titolo4"/>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3">
    <w:abstractNumId w:val="14"/>
  </w:num>
  <w:num w:numId="4">
    <w:abstractNumId w:val="31"/>
  </w:num>
  <w:num w:numId="5">
    <w:abstractNumId w:val="27"/>
  </w:num>
  <w:num w:numId="6">
    <w:abstractNumId w:val="22"/>
  </w:num>
  <w:num w:numId="7">
    <w:abstractNumId w:val="2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32"/>
    <w:lvlOverride w:ilvl="0">
      <w:lvl w:ilvl="0">
        <w:start w:val="1"/>
        <w:numFmt w:val="decimal"/>
        <w:lvlText w:val="%1"/>
        <w:lvlJc w:val="left"/>
        <w:pPr>
          <w:ind w:left="363" w:hanging="363"/>
        </w:pPr>
        <w:rPr>
          <w:rFonts w:asciiTheme="majorHAnsi" w:hAnsiTheme="majorHAnsi" w:hint="default"/>
        </w:rPr>
      </w:lvl>
    </w:lvlOverride>
    <w:lvlOverride w:ilvl="1">
      <w:lvl w:ilvl="1">
        <w:start w:val="1"/>
        <w:numFmt w:val="decimal"/>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19">
    <w:abstractNumId w:val="11"/>
  </w:num>
  <w:num w:numId="20">
    <w:abstractNumId w:val="30"/>
  </w:num>
  <w:num w:numId="21">
    <w:abstractNumId w:val="33"/>
  </w:num>
  <w:num w:numId="22">
    <w:abstractNumId w:val="42"/>
  </w:num>
  <w:num w:numId="23">
    <w:abstractNumId w:val="17"/>
  </w:num>
  <w:num w:numId="24">
    <w:abstractNumId w:val="25"/>
  </w:num>
  <w:num w:numId="25">
    <w:abstractNumId w:val="16"/>
  </w:num>
  <w:num w:numId="26">
    <w:abstractNumId w:val="46"/>
  </w:num>
  <w:num w:numId="27">
    <w:abstractNumId w:val="40"/>
  </w:num>
  <w:num w:numId="28">
    <w:abstractNumId w:val="26"/>
  </w:num>
  <w:num w:numId="29">
    <w:abstractNumId w:val="43"/>
  </w:num>
  <w:num w:numId="30">
    <w:abstractNumId w:val="34"/>
  </w:num>
  <w:num w:numId="31">
    <w:abstractNumId w:val="23"/>
  </w:num>
  <w:num w:numId="32">
    <w:abstractNumId w:val="15"/>
  </w:num>
  <w:num w:numId="33">
    <w:abstractNumId w:val="35"/>
  </w:num>
  <w:num w:numId="34">
    <w:abstractNumId w:val="39"/>
  </w:num>
  <w:num w:numId="35">
    <w:abstractNumId w:val="44"/>
  </w:num>
  <w:num w:numId="36">
    <w:abstractNumId w:val="13"/>
  </w:num>
  <w:num w:numId="37">
    <w:abstractNumId w:val="37"/>
  </w:num>
  <w:num w:numId="38">
    <w:abstractNumId w:val="18"/>
  </w:num>
  <w:num w:numId="39">
    <w:abstractNumId w:val="38"/>
  </w:num>
  <w:num w:numId="40">
    <w:abstractNumId w:val="12"/>
  </w:num>
  <w:num w:numId="41">
    <w:abstractNumId w:val="10"/>
  </w:num>
  <w:num w:numId="42">
    <w:abstractNumId w:val="45"/>
  </w:num>
  <w:num w:numId="43">
    <w:abstractNumId w:val="21"/>
  </w:num>
  <w:num w:numId="44">
    <w:abstractNumId w:val="41"/>
  </w:num>
  <w:num w:numId="45">
    <w:abstractNumId w:val="32"/>
    <w:lvlOverride w:ilvl="0">
      <w:startOverride w:val="1"/>
      <w:lvl w:ilvl="0">
        <w:start w:val="1"/>
        <w:numFmt w:val="decimal"/>
        <w:lvlText w:val="%1."/>
        <w:lvlJc w:val="left"/>
        <w:pPr>
          <w:ind w:left="360" w:hanging="360"/>
        </w:pPr>
        <w:rPr>
          <w:rFonts w:hint="default"/>
        </w:rPr>
      </w:lvl>
    </w:lvlOverride>
    <w:lvlOverride w:ilvl="1">
      <w:startOverride w:val="1"/>
      <w:lvl w:ilvl="1">
        <w:start w:val="1"/>
        <w:numFmt w:val="lowerLetter"/>
        <w:lvlText w:val="%2."/>
        <w:lvlJc w:val="left"/>
        <w:pPr>
          <w:ind w:left="1080" w:hanging="360"/>
        </w:pPr>
        <w:rPr>
          <w:rFonts w:hint="default"/>
        </w:rPr>
      </w:lvl>
    </w:lvlOverride>
    <w:lvlOverride w:ilvl="2">
      <w:startOverride w:val="1"/>
      <w:lvl w:ilvl="2">
        <w:start w:val="1"/>
        <w:numFmt w:val="lowerRoman"/>
        <w:pStyle w:val="Titolo3"/>
        <w:lvlText w:val="%3."/>
        <w:lvlJc w:val="right"/>
        <w:pPr>
          <w:ind w:left="1800" w:hanging="180"/>
        </w:pPr>
        <w:rPr>
          <w:rFonts w:hint="default"/>
        </w:rPr>
      </w:lvl>
    </w:lvlOverride>
    <w:lvlOverride w:ilvl="3">
      <w:startOverride w:val="1"/>
      <w:lvl w:ilvl="3">
        <w:start w:val="1"/>
        <w:numFmt w:val="decimal"/>
        <w:pStyle w:val="Titolo4"/>
        <w:lvlText w:val="%4."/>
        <w:lvlJc w:val="left"/>
        <w:pPr>
          <w:ind w:left="2520" w:hanging="360"/>
        </w:pPr>
        <w:rPr>
          <w:rFonts w:hint="default"/>
        </w:rPr>
      </w:lvl>
    </w:lvlOverride>
    <w:lvlOverride w:ilvl="4">
      <w:startOverride w:val="1"/>
      <w:lvl w:ilvl="4">
        <w:start w:val="1"/>
        <w:numFmt w:val="lowerLetter"/>
        <w:lvlText w:val="%5."/>
        <w:lvlJc w:val="left"/>
        <w:pPr>
          <w:ind w:left="3240" w:hanging="360"/>
        </w:pPr>
        <w:rPr>
          <w:rFonts w:hint="default"/>
        </w:rPr>
      </w:lvl>
    </w:lvlOverride>
    <w:lvlOverride w:ilvl="5">
      <w:startOverride w:val="1"/>
      <w:lvl w:ilvl="5">
        <w:start w:val="1"/>
        <w:numFmt w:val="lowerRoman"/>
        <w:lvlText w:val="%6."/>
        <w:lvlJc w:val="right"/>
        <w:pPr>
          <w:ind w:left="3960" w:hanging="180"/>
        </w:pPr>
        <w:rPr>
          <w:rFonts w:hint="default"/>
        </w:rPr>
      </w:lvl>
    </w:lvlOverride>
    <w:lvlOverride w:ilvl="6">
      <w:startOverride w:val="1"/>
      <w:lvl w:ilvl="6">
        <w:start w:val="1"/>
        <w:numFmt w:val="decimal"/>
        <w:lvlText w:val="%7."/>
        <w:lvlJc w:val="left"/>
        <w:pPr>
          <w:ind w:left="4680" w:hanging="360"/>
        </w:pPr>
        <w:rPr>
          <w:rFonts w:hint="default"/>
        </w:rPr>
      </w:lvl>
    </w:lvlOverride>
    <w:lvlOverride w:ilvl="7">
      <w:startOverride w:val="1"/>
      <w:lvl w:ilvl="7">
        <w:start w:val="1"/>
        <w:numFmt w:val="lowerLetter"/>
        <w:lvlText w:val="%8."/>
        <w:lvlJc w:val="left"/>
        <w:pPr>
          <w:ind w:left="5400" w:hanging="360"/>
        </w:pPr>
        <w:rPr>
          <w:rFonts w:hint="default"/>
        </w:rPr>
      </w:lvl>
    </w:lvlOverride>
    <w:lvlOverride w:ilvl="8">
      <w:startOverride w:val="1"/>
      <w:lvl w:ilvl="8">
        <w:start w:val="1"/>
        <w:numFmt w:val="lowerRoman"/>
        <w:lvlText w:val="%9."/>
        <w:lvlJc w:val="right"/>
        <w:pPr>
          <w:ind w:left="6120" w:hanging="180"/>
        </w:pPr>
        <w:rPr>
          <w:rFonts w:hint="default"/>
        </w:rPr>
      </w:lvl>
    </w:lvlOverride>
  </w:num>
  <w:num w:numId="46">
    <w:abstractNumId w:val="41"/>
    <w:lvlOverride w:ilvl="0">
      <w:startOverride w:val="1"/>
    </w:lvlOverride>
  </w:num>
  <w:num w:numId="47">
    <w:abstractNumId w:val="20"/>
  </w:num>
  <w:num w:numId="48">
    <w:abstractNumId w:val="29"/>
  </w:num>
  <w:num w:numId="49">
    <w:abstractNumId w:val="28"/>
  </w:num>
  <w:num w:numId="50">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EC6"/>
    <w:rsid w:val="0000022A"/>
    <w:rsid w:val="00000C61"/>
    <w:rsid w:val="00002142"/>
    <w:rsid w:val="00004E98"/>
    <w:rsid w:val="00010563"/>
    <w:rsid w:val="00010B2E"/>
    <w:rsid w:val="00013E5D"/>
    <w:rsid w:val="0002580B"/>
    <w:rsid w:val="000449C2"/>
    <w:rsid w:val="00047224"/>
    <w:rsid w:val="0006156B"/>
    <w:rsid w:val="00067316"/>
    <w:rsid w:val="0009222E"/>
    <w:rsid w:val="00095CCF"/>
    <w:rsid w:val="00097B74"/>
    <w:rsid w:val="000A3A27"/>
    <w:rsid w:val="000A6DEE"/>
    <w:rsid w:val="000B37C3"/>
    <w:rsid w:val="000C3B26"/>
    <w:rsid w:val="000C415B"/>
    <w:rsid w:val="000C594C"/>
    <w:rsid w:val="000D0F52"/>
    <w:rsid w:val="000E2E4A"/>
    <w:rsid w:val="000E74AE"/>
    <w:rsid w:val="000F3FCA"/>
    <w:rsid w:val="000F538B"/>
    <w:rsid w:val="00104E84"/>
    <w:rsid w:val="00112FEC"/>
    <w:rsid w:val="00116476"/>
    <w:rsid w:val="00117785"/>
    <w:rsid w:val="00123842"/>
    <w:rsid w:val="00124198"/>
    <w:rsid w:val="00124F01"/>
    <w:rsid w:val="00125C64"/>
    <w:rsid w:val="00126C41"/>
    <w:rsid w:val="00146425"/>
    <w:rsid w:val="00152ACC"/>
    <w:rsid w:val="001550D0"/>
    <w:rsid w:val="00155F9A"/>
    <w:rsid w:val="00161671"/>
    <w:rsid w:val="001638FD"/>
    <w:rsid w:val="00170B55"/>
    <w:rsid w:val="001807DC"/>
    <w:rsid w:val="001825D8"/>
    <w:rsid w:val="001848B7"/>
    <w:rsid w:val="001A3E70"/>
    <w:rsid w:val="001A5558"/>
    <w:rsid w:val="001B5042"/>
    <w:rsid w:val="001B784A"/>
    <w:rsid w:val="001D0A4F"/>
    <w:rsid w:val="001E70E4"/>
    <w:rsid w:val="001E7E13"/>
    <w:rsid w:val="001F1150"/>
    <w:rsid w:val="001F7E46"/>
    <w:rsid w:val="002004D6"/>
    <w:rsid w:val="00204B86"/>
    <w:rsid w:val="002244F7"/>
    <w:rsid w:val="00230586"/>
    <w:rsid w:val="00235C24"/>
    <w:rsid w:val="0024669C"/>
    <w:rsid w:val="00251E85"/>
    <w:rsid w:val="002601E0"/>
    <w:rsid w:val="00260AF2"/>
    <w:rsid w:val="00261D3A"/>
    <w:rsid w:val="002620C9"/>
    <w:rsid w:val="002704E2"/>
    <w:rsid w:val="00271666"/>
    <w:rsid w:val="00271820"/>
    <w:rsid w:val="00271A24"/>
    <w:rsid w:val="00272550"/>
    <w:rsid w:val="0027334C"/>
    <w:rsid w:val="0027622E"/>
    <w:rsid w:val="00280590"/>
    <w:rsid w:val="002817BF"/>
    <w:rsid w:val="00287C31"/>
    <w:rsid w:val="00293E74"/>
    <w:rsid w:val="002A00F3"/>
    <w:rsid w:val="002A1EE6"/>
    <w:rsid w:val="002A6D1D"/>
    <w:rsid w:val="002B5D9F"/>
    <w:rsid w:val="002B7D8B"/>
    <w:rsid w:val="002C0471"/>
    <w:rsid w:val="002E1DF4"/>
    <w:rsid w:val="002E29E6"/>
    <w:rsid w:val="002E4B31"/>
    <w:rsid w:val="002F768E"/>
    <w:rsid w:val="003044A9"/>
    <w:rsid w:val="0031700C"/>
    <w:rsid w:val="00317C70"/>
    <w:rsid w:val="00321923"/>
    <w:rsid w:val="00324328"/>
    <w:rsid w:val="003250F5"/>
    <w:rsid w:val="00327A96"/>
    <w:rsid w:val="003304A9"/>
    <w:rsid w:val="00330EC6"/>
    <w:rsid w:val="00331F46"/>
    <w:rsid w:val="003361E2"/>
    <w:rsid w:val="00346605"/>
    <w:rsid w:val="0036706E"/>
    <w:rsid w:val="00370E74"/>
    <w:rsid w:val="0037606B"/>
    <w:rsid w:val="0038672A"/>
    <w:rsid w:val="003867F1"/>
    <w:rsid w:val="00390757"/>
    <w:rsid w:val="003A696F"/>
    <w:rsid w:val="003B2F05"/>
    <w:rsid w:val="003B756D"/>
    <w:rsid w:val="003C2648"/>
    <w:rsid w:val="003D2661"/>
    <w:rsid w:val="003D595B"/>
    <w:rsid w:val="003E2CF0"/>
    <w:rsid w:val="003E41CD"/>
    <w:rsid w:val="003F3A6A"/>
    <w:rsid w:val="00403054"/>
    <w:rsid w:val="00403586"/>
    <w:rsid w:val="00403ADB"/>
    <w:rsid w:val="004041FA"/>
    <w:rsid w:val="004119B3"/>
    <w:rsid w:val="00424B13"/>
    <w:rsid w:val="00426007"/>
    <w:rsid w:val="00446D61"/>
    <w:rsid w:val="00447EC6"/>
    <w:rsid w:val="00455061"/>
    <w:rsid w:val="0046314C"/>
    <w:rsid w:val="00466BA2"/>
    <w:rsid w:val="00471B60"/>
    <w:rsid w:val="004752A2"/>
    <w:rsid w:val="00475F2F"/>
    <w:rsid w:val="00476365"/>
    <w:rsid w:val="0049331D"/>
    <w:rsid w:val="00494319"/>
    <w:rsid w:val="004A09BD"/>
    <w:rsid w:val="004B159C"/>
    <w:rsid w:val="004B493E"/>
    <w:rsid w:val="004C39E8"/>
    <w:rsid w:val="004D1CA6"/>
    <w:rsid w:val="004D3809"/>
    <w:rsid w:val="004D6416"/>
    <w:rsid w:val="004E6E15"/>
    <w:rsid w:val="004F3739"/>
    <w:rsid w:val="00505E3E"/>
    <w:rsid w:val="00510FCF"/>
    <w:rsid w:val="00520D23"/>
    <w:rsid w:val="00523C08"/>
    <w:rsid w:val="005272B8"/>
    <w:rsid w:val="0053200E"/>
    <w:rsid w:val="00532689"/>
    <w:rsid w:val="00535208"/>
    <w:rsid w:val="00542EB7"/>
    <w:rsid w:val="00543766"/>
    <w:rsid w:val="005469A9"/>
    <w:rsid w:val="005476D7"/>
    <w:rsid w:val="00572FD3"/>
    <w:rsid w:val="0057675C"/>
    <w:rsid w:val="00586E3F"/>
    <w:rsid w:val="00590B76"/>
    <w:rsid w:val="00595EF0"/>
    <w:rsid w:val="00597177"/>
    <w:rsid w:val="005A0ED2"/>
    <w:rsid w:val="005A4B25"/>
    <w:rsid w:val="005B74EA"/>
    <w:rsid w:val="005C1406"/>
    <w:rsid w:val="005C3A35"/>
    <w:rsid w:val="005C3C5A"/>
    <w:rsid w:val="005D37EC"/>
    <w:rsid w:val="005D7AFF"/>
    <w:rsid w:val="005E0A55"/>
    <w:rsid w:val="005E3478"/>
    <w:rsid w:val="005E61EA"/>
    <w:rsid w:val="005F1B00"/>
    <w:rsid w:val="00613DCD"/>
    <w:rsid w:val="006250E5"/>
    <w:rsid w:val="006254CA"/>
    <w:rsid w:val="00627972"/>
    <w:rsid w:val="00627A95"/>
    <w:rsid w:val="0063770A"/>
    <w:rsid w:val="00644F2A"/>
    <w:rsid w:val="00647DA8"/>
    <w:rsid w:val="00651E58"/>
    <w:rsid w:val="0067348E"/>
    <w:rsid w:val="00674F39"/>
    <w:rsid w:val="006870BD"/>
    <w:rsid w:val="00694339"/>
    <w:rsid w:val="00694F2F"/>
    <w:rsid w:val="00696295"/>
    <w:rsid w:val="006A3AE6"/>
    <w:rsid w:val="006A7276"/>
    <w:rsid w:val="006A7285"/>
    <w:rsid w:val="006B2BF6"/>
    <w:rsid w:val="006B3044"/>
    <w:rsid w:val="006B4448"/>
    <w:rsid w:val="006B713D"/>
    <w:rsid w:val="006C0525"/>
    <w:rsid w:val="006C33B6"/>
    <w:rsid w:val="006C381C"/>
    <w:rsid w:val="006D4C77"/>
    <w:rsid w:val="006D4F16"/>
    <w:rsid w:val="006F05E8"/>
    <w:rsid w:val="006F084E"/>
    <w:rsid w:val="00714455"/>
    <w:rsid w:val="00730062"/>
    <w:rsid w:val="00730283"/>
    <w:rsid w:val="00731B1E"/>
    <w:rsid w:val="00741EBD"/>
    <w:rsid w:val="00766609"/>
    <w:rsid w:val="00767611"/>
    <w:rsid w:val="0077421A"/>
    <w:rsid w:val="007766D7"/>
    <w:rsid w:val="00776BB2"/>
    <w:rsid w:val="007863AD"/>
    <w:rsid w:val="0078655F"/>
    <w:rsid w:val="007958BC"/>
    <w:rsid w:val="00796826"/>
    <w:rsid w:val="007A1A4B"/>
    <w:rsid w:val="007A55AF"/>
    <w:rsid w:val="007B1213"/>
    <w:rsid w:val="007E224C"/>
    <w:rsid w:val="007F1CD9"/>
    <w:rsid w:val="007F1D3E"/>
    <w:rsid w:val="007F352C"/>
    <w:rsid w:val="007F3EC4"/>
    <w:rsid w:val="007F6562"/>
    <w:rsid w:val="008023C6"/>
    <w:rsid w:val="00815BCF"/>
    <w:rsid w:val="00826559"/>
    <w:rsid w:val="00840162"/>
    <w:rsid w:val="00840783"/>
    <w:rsid w:val="00845542"/>
    <w:rsid w:val="008472EF"/>
    <w:rsid w:val="008556D8"/>
    <w:rsid w:val="00857856"/>
    <w:rsid w:val="00866034"/>
    <w:rsid w:val="008720C4"/>
    <w:rsid w:val="00873A99"/>
    <w:rsid w:val="008831A0"/>
    <w:rsid w:val="0089172E"/>
    <w:rsid w:val="008B20AE"/>
    <w:rsid w:val="008B464A"/>
    <w:rsid w:val="008B6B5F"/>
    <w:rsid w:val="008D5C41"/>
    <w:rsid w:val="008D6934"/>
    <w:rsid w:val="008E034F"/>
    <w:rsid w:val="008E7D05"/>
    <w:rsid w:val="008F1585"/>
    <w:rsid w:val="008F3C79"/>
    <w:rsid w:val="008F4D5E"/>
    <w:rsid w:val="008F52AF"/>
    <w:rsid w:val="008F7250"/>
    <w:rsid w:val="00906F62"/>
    <w:rsid w:val="009117FA"/>
    <w:rsid w:val="00911A0D"/>
    <w:rsid w:val="00912D48"/>
    <w:rsid w:val="009251A2"/>
    <w:rsid w:val="00931372"/>
    <w:rsid w:val="00931A94"/>
    <w:rsid w:val="00932F22"/>
    <w:rsid w:val="00940297"/>
    <w:rsid w:val="00941F68"/>
    <w:rsid w:val="009464FC"/>
    <w:rsid w:val="00946D13"/>
    <w:rsid w:val="009865B5"/>
    <w:rsid w:val="00993742"/>
    <w:rsid w:val="009A1F9F"/>
    <w:rsid w:val="009B120B"/>
    <w:rsid w:val="009B4E58"/>
    <w:rsid w:val="009B592C"/>
    <w:rsid w:val="009C5E5A"/>
    <w:rsid w:val="009D7296"/>
    <w:rsid w:val="009D74BC"/>
    <w:rsid w:val="009E152C"/>
    <w:rsid w:val="009E6430"/>
    <w:rsid w:val="009E6B8D"/>
    <w:rsid w:val="009E7068"/>
    <w:rsid w:val="009E73A3"/>
    <w:rsid w:val="009F68D7"/>
    <w:rsid w:val="00A0119C"/>
    <w:rsid w:val="00A02A23"/>
    <w:rsid w:val="00A07B65"/>
    <w:rsid w:val="00A14358"/>
    <w:rsid w:val="00A2684A"/>
    <w:rsid w:val="00A33750"/>
    <w:rsid w:val="00A42CFA"/>
    <w:rsid w:val="00A47C6F"/>
    <w:rsid w:val="00A5175C"/>
    <w:rsid w:val="00A55163"/>
    <w:rsid w:val="00A62480"/>
    <w:rsid w:val="00A73878"/>
    <w:rsid w:val="00A87B35"/>
    <w:rsid w:val="00A92A8E"/>
    <w:rsid w:val="00A959B6"/>
    <w:rsid w:val="00AC2280"/>
    <w:rsid w:val="00AD29A4"/>
    <w:rsid w:val="00AD5B14"/>
    <w:rsid w:val="00AE264A"/>
    <w:rsid w:val="00AE4BD6"/>
    <w:rsid w:val="00AF0268"/>
    <w:rsid w:val="00B010E4"/>
    <w:rsid w:val="00B059D1"/>
    <w:rsid w:val="00B102E5"/>
    <w:rsid w:val="00B1425F"/>
    <w:rsid w:val="00B143C3"/>
    <w:rsid w:val="00B15CB2"/>
    <w:rsid w:val="00B25C30"/>
    <w:rsid w:val="00B25D7F"/>
    <w:rsid w:val="00B30735"/>
    <w:rsid w:val="00B310E0"/>
    <w:rsid w:val="00B34EA5"/>
    <w:rsid w:val="00B3690C"/>
    <w:rsid w:val="00B3767F"/>
    <w:rsid w:val="00B46D85"/>
    <w:rsid w:val="00B474F9"/>
    <w:rsid w:val="00B52AAD"/>
    <w:rsid w:val="00B702F5"/>
    <w:rsid w:val="00B83EA0"/>
    <w:rsid w:val="00B83EF6"/>
    <w:rsid w:val="00B84992"/>
    <w:rsid w:val="00B85068"/>
    <w:rsid w:val="00B859C9"/>
    <w:rsid w:val="00B97B63"/>
    <w:rsid w:val="00BA75B7"/>
    <w:rsid w:val="00BB18DC"/>
    <w:rsid w:val="00BB23AC"/>
    <w:rsid w:val="00BB4C28"/>
    <w:rsid w:val="00BB6415"/>
    <w:rsid w:val="00BB7885"/>
    <w:rsid w:val="00BB7FD7"/>
    <w:rsid w:val="00BC13F0"/>
    <w:rsid w:val="00BC4FEC"/>
    <w:rsid w:val="00BC6321"/>
    <w:rsid w:val="00BC7A50"/>
    <w:rsid w:val="00BE2EF9"/>
    <w:rsid w:val="00BE6890"/>
    <w:rsid w:val="00BF0A1F"/>
    <w:rsid w:val="00C04AD5"/>
    <w:rsid w:val="00C05FC3"/>
    <w:rsid w:val="00C12E63"/>
    <w:rsid w:val="00C13D67"/>
    <w:rsid w:val="00C222A6"/>
    <w:rsid w:val="00C2398A"/>
    <w:rsid w:val="00C306CC"/>
    <w:rsid w:val="00C34570"/>
    <w:rsid w:val="00C46687"/>
    <w:rsid w:val="00C60612"/>
    <w:rsid w:val="00C64AA6"/>
    <w:rsid w:val="00C67B67"/>
    <w:rsid w:val="00C72BF7"/>
    <w:rsid w:val="00C90055"/>
    <w:rsid w:val="00C93D8C"/>
    <w:rsid w:val="00CA7079"/>
    <w:rsid w:val="00CB45CC"/>
    <w:rsid w:val="00CB62EA"/>
    <w:rsid w:val="00CC3355"/>
    <w:rsid w:val="00CC3391"/>
    <w:rsid w:val="00CC5BAE"/>
    <w:rsid w:val="00CC7820"/>
    <w:rsid w:val="00CD1DCF"/>
    <w:rsid w:val="00CD799A"/>
    <w:rsid w:val="00CE0AA0"/>
    <w:rsid w:val="00CE2EC9"/>
    <w:rsid w:val="00D014D6"/>
    <w:rsid w:val="00D07391"/>
    <w:rsid w:val="00D149B6"/>
    <w:rsid w:val="00D229CA"/>
    <w:rsid w:val="00D27DC0"/>
    <w:rsid w:val="00D33940"/>
    <w:rsid w:val="00D527BC"/>
    <w:rsid w:val="00D564A0"/>
    <w:rsid w:val="00D600FD"/>
    <w:rsid w:val="00D627D5"/>
    <w:rsid w:val="00D63FB4"/>
    <w:rsid w:val="00D645FF"/>
    <w:rsid w:val="00D649A8"/>
    <w:rsid w:val="00D71483"/>
    <w:rsid w:val="00D80210"/>
    <w:rsid w:val="00D858AE"/>
    <w:rsid w:val="00D861E7"/>
    <w:rsid w:val="00D93702"/>
    <w:rsid w:val="00DA2381"/>
    <w:rsid w:val="00DA252B"/>
    <w:rsid w:val="00DB0532"/>
    <w:rsid w:val="00DC60E6"/>
    <w:rsid w:val="00DD03C6"/>
    <w:rsid w:val="00DD719B"/>
    <w:rsid w:val="00DE3F11"/>
    <w:rsid w:val="00DF129A"/>
    <w:rsid w:val="00DF373F"/>
    <w:rsid w:val="00DF5988"/>
    <w:rsid w:val="00E01828"/>
    <w:rsid w:val="00E0470C"/>
    <w:rsid w:val="00E079BD"/>
    <w:rsid w:val="00E142FC"/>
    <w:rsid w:val="00E16A91"/>
    <w:rsid w:val="00E217E7"/>
    <w:rsid w:val="00E22D83"/>
    <w:rsid w:val="00E2332A"/>
    <w:rsid w:val="00E2484C"/>
    <w:rsid w:val="00E4010F"/>
    <w:rsid w:val="00E4034D"/>
    <w:rsid w:val="00E43EB8"/>
    <w:rsid w:val="00E461E2"/>
    <w:rsid w:val="00E51A0E"/>
    <w:rsid w:val="00E51CEC"/>
    <w:rsid w:val="00E5659A"/>
    <w:rsid w:val="00E60742"/>
    <w:rsid w:val="00E656B1"/>
    <w:rsid w:val="00E67A6E"/>
    <w:rsid w:val="00E70965"/>
    <w:rsid w:val="00E77E94"/>
    <w:rsid w:val="00E819A2"/>
    <w:rsid w:val="00E85CB7"/>
    <w:rsid w:val="00E937E1"/>
    <w:rsid w:val="00EA3D6D"/>
    <w:rsid w:val="00EA4CBB"/>
    <w:rsid w:val="00EB088A"/>
    <w:rsid w:val="00EB7377"/>
    <w:rsid w:val="00EC0DED"/>
    <w:rsid w:val="00EE4EEB"/>
    <w:rsid w:val="00EF62E3"/>
    <w:rsid w:val="00EF68BD"/>
    <w:rsid w:val="00F07742"/>
    <w:rsid w:val="00F131FC"/>
    <w:rsid w:val="00F31FFB"/>
    <w:rsid w:val="00F32B9A"/>
    <w:rsid w:val="00F33C99"/>
    <w:rsid w:val="00F40551"/>
    <w:rsid w:val="00F56178"/>
    <w:rsid w:val="00F64790"/>
    <w:rsid w:val="00F657BF"/>
    <w:rsid w:val="00F751D4"/>
    <w:rsid w:val="00F869AC"/>
    <w:rsid w:val="00F9162E"/>
    <w:rsid w:val="00F9639F"/>
    <w:rsid w:val="00FA0A5F"/>
    <w:rsid w:val="00FA73FC"/>
    <w:rsid w:val="00FB793F"/>
    <w:rsid w:val="00FC6AC6"/>
    <w:rsid w:val="00FC7900"/>
    <w:rsid w:val="00FD1FF2"/>
    <w:rsid w:val="00FD2892"/>
    <w:rsid w:val="00FF6070"/>
    <w:rsid w:val="00FF760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EE3F4"/>
  <w15:docId w15:val="{B7D546A8-6FF8-4634-89B5-A065F3D8A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9117FA"/>
    <w:pPr>
      <w:keepNext/>
      <w:spacing w:before="240" w:after="120"/>
      <w:jc w:val="left"/>
      <w:outlineLvl w:val="0"/>
    </w:pPr>
    <w:rPr>
      <w:b/>
      <w:sz w:val="24"/>
    </w:rPr>
  </w:style>
  <w:style w:type="paragraph" w:styleId="Titolo2">
    <w:name w:val="heading 2"/>
    <w:basedOn w:val="Titolo1"/>
    <w:next w:val="Normale"/>
    <w:link w:val="Titolo2Carattere"/>
    <w:unhideWhenUsed/>
    <w:qFormat/>
    <w:rsid w:val="00A33750"/>
    <w:p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ind w:left="726" w:hanging="726"/>
      <w:outlineLvl w:val="2"/>
    </w:pPr>
  </w:style>
  <w:style w:type="paragraph" w:styleId="Titolo4">
    <w:name w:val="heading 4"/>
    <w:basedOn w:val="Titolo1"/>
    <w:next w:val="Normale"/>
    <w:link w:val="Titolo4Carattere"/>
    <w:uiPriority w:val="9"/>
    <w:unhideWhenUsed/>
    <w:qFormat/>
    <w:rsid w:val="006F0D42"/>
    <w:pPr>
      <w:numPr>
        <w:ilvl w:val="3"/>
      </w:numPr>
      <w:spacing w:before="120" w:after="60"/>
      <w:ind w:left="907" w:hanging="907"/>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9117FA"/>
    <w:rPr>
      <w:rFonts w:ascii="Arial" w:hAnsi="Arial"/>
      <w:b/>
      <w:sz w:val="24"/>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3D595B"/>
    <w:rPr>
      <w:rFonts w:ascii="Arial" w:hAnsi="Arial"/>
      <w:b/>
      <w:sz w:val="24"/>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1F1150"/>
    <w:pPr>
      <w:tabs>
        <w:tab w:val="right" w:leader="dot" w:pos="9639"/>
      </w:tabs>
      <w:spacing w:before="120" w:after="120"/>
      <w:ind w:left="425" w:hanging="425"/>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qFormat/>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Nessunelenco1">
    <w:name w:val="Nessun elenco1"/>
    <w:next w:val="Nessunelenco"/>
    <w:uiPriority w:val="99"/>
    <w:semiHidden/>
    <w:unhideWhenUsed/>
    <w:rsid w:val="00330EC6"/>
  </w:style>
  <w:style w:type="numbering" w:customStyle="1" w:styleId="ListAlphabeticList1">
    <w:name w:val="ListAlphabeticList1"/>
    <w:uiPriority w:val="99"/>
    <w:rsid w:val="00330EC6"/>
  </w:style>
  <w:style w:type="numbering" w:customStyle="1" w:styleId="ListNumericList1">
    <w:name w:val="ListNumericList1"/>
    <w:uiPriority w:val="99"/>
    <w:rsid w:val="00330EC6"/>
  </w:style>
  <w:style w:type="numbering" w:customStyle="1" w:styleId="ListLineList1">
    <w:name w:val="ListLineList1"/>
    <w:uiPriority w:val="99"/>
    <w:rsid w:val="00330EC6"/>
  </w:style>
  <w:style w:type="numbering" w:customStyle="1" w:styleId="ListBulletList1">
    <w:name w:val="ListBulletList1"/>
    <w:uiPriority w:val="99"/>
    <w:rsid w:val="00330EC6"/>
  </w:style>
  <w:style w:type="numbering" w:customStyle="1" w:styleId="HeadingList1">
    <w:name w:val="HeadingList1"/>
    <w:uiPriority w:val="99"/>
    <w:rsid w:val="00330EC6"/>
  </w:style>
  <w:style w:type="paragraph" w:styleId="Testofumetto">
    <w:name w:val="Balloon Text"/>
    <w:basedOn w:val="Normale"/>
    <w:link w:val="TestofumettoCarattere"/>
    <w:uiPriority w:val="99"/>
    <w:semiHidden/>
    <w:unhideWhenUsed/>
    <w:rsid w:val="00330EC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30EC6"/>
    <w:rPr>
      <w:rFonts w:ascii="Segoe UI" w:hAnsi="Segoe UI" w:cs="Segoe UI"/>
      <w:sz w:val="18"/>
      <w:szCs w:val="18"/>
      <w:lang w:val="it-CH"/>
    </w:rPr>
  </w:style>
  <w:style w:type="paragraph" w:styleId="Corpotesto">
    <w:name w:val="Body Text"/>
    <w:basedOn w:val="Normale"/>
    <w:link w:val="CorpotestoCarattere1"/>
    <w:qFormat/>
    <w:rsid w:val="00330EC6"/>
    <w:pPr>
      <w:spacing w:after="60"/>
      <w:ind w:left="680"/>
    </w:pPr>
    <w:rPr>
      <w:rFonts w:eastAsia="Times New Roman" w:cs="Times New Roman"/>
      <w:szCs w:val="24"/>
      <w:lang w:eastAsia="it-IT"/>
    </w:rPr>
  </w:style>
  <w:style w:type="character" w:customStyle="1" w:styleId="CorpotestoCarattere">
    <w:name w:val="Corpo testo Carattere"/>
    <w:basedOn w:val="Carpredefinitoparagrafo"/>
    <w:uiPriority w:val="99"/>
    <w:semiHidden/>
    <w:rsid w:val="00330EC6"/>
    <w:rPr>
      <w:rFonts w:ascii="Arial" w:hAnsi="Arial"/>
      <w:lang w:val="it-CH"/>
    </w:rPr>
  </w:style>
  <w:style w:type="character" w:customStyle="1" w:styleId="CorpotestoCarattere1">
    <w:name w:val="Corpo testo Carattere1"/>
    <w:link w:val="Corpotesto"/>
    <w:rsid w:val="00330EC6"/>
    <w:rPr>
      <w:rFonts w:ascii="Arial" w:eastAsia="Times New Roman" w:hAnsi="Arial" w:cs="Times New Roman"/>
      <w:szCs w:val="24"/>
      <w:lang w:val="it-CH" w:eastAsia="it-IT"/>
    </w:rPr>
  </w:style>
  <w:style w:type="table" w:styleId="Grigliatabella">
    <w:name w:val="Table Grid"/>
    <w:basedOn w:val="Tabellanormale"/>
    <w:uiPriority w:val="59"/>
    <w:rsid w:val="00330EC6"/>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330EC6"/>
    <w:pPr>
      <w:spacing w:before="100" w:beforeAutospacing="1" w:after="100" w:afterAutospacing="1"/>
      <w:jc w:val="left"/>
    </w:pPr>
    <w:rPr>
      <w:rFonts w:ascii="Times New Roman" w:eastAsia="Times New Roman" w:hAnsi="Times New Roman" w:cs="Times New Roman"/>
      <w:sz w:val="24"/>
      <w:szCs w:val="24"/>
      <w:lang w:eastAsia="it-CH"/>
    </w:rPr>
  </w:style>
  <w:style w:type="character" w:customStyle="1" w:styleId="ParagrafoelencoCarattere">
    <w:name w:val="Paragrafo elenco Carattere"/>
    <w:basedOn w:val="Carpredefinitoparagrafo"/>
    <w:link w:val="Paragrafoelenco"/>
    <w:uiPriority w:val="34"/>
    <w:rsid w:val="00330EC6"/>
    <w:rPr>
      <w:rFonts w:ascii="Arial" w:hAnsi="Arial"/>
      <w:lang w:val="it-CH"/>
    </w:rPr>
  </w:style>
  <w:style w:type="character" w:styleId="Collegamentoipertestuale">
    <w:name w:val="Hyperlink"/>
    <w:basedOn w:val="Carpredefinitoparagrafo"/>
    <w:uiPriority w:val="99"/>
    <w:unhideWhenUsed/>
    <w:rsid w:val="00330EC6"/>
    <w:rPr>
      <w:color w:val="0000FF" w:themeColor="hyperlink"/>
      <w:u w:val="single"/>
    </w:rPr>
  </w:style>
  <w:style w:type="character" w:customStyle="1" w:styleId="Menzionenonrisolta1">
    <w:name w:val="Menzione non risolta1"/>
    <w:basedOn w:val="Carpredefinitoparagrafo"/>
    <w:uiPriority w:val="99"/>
    <w:semiHidden/>
    <w:unhideWhenUsed/>
    <w:rsid w:val="00330EC6"/>
    <w:rPr>
      <w:color w:val="605E5C"/>
      <w:shd w:val="clear" w:color="auto" w:fill="E1DFDD"/>
    </w:rPr>
  </w:style>
  <w:style w:type="character" w:styleId="Collegamentovisitato">
    <w:name w:val="FollowedHyperlink"/>
    <w:basedOn w:val="Carpredefinitoparagrafo"/>
    <w:uiPriority w:val="99"/>
    <w:semiHidden/>
    <w:unhideWhenUsed/>
    <w:rsid w:val="00330EC6"/>
    <w:rPr>
      <w:color w:val="800080" w:themeColor="followedHyperlink"/>
      <w:u w:val="single"/>
    </w:rPr>
  </w:style>
  <w:style w:type="character" w:styleId="Rimandocommento">
    <w:name w:val="annotation reference"/>
    <w:basedOn w:val="Carpredefinitoparagrafo"/>
    <w:uiPriority w:val="99"/>
    <w:semiHidden/>
    <w:unhideWhenUsed/>
    <w:rsid w:val="00330EC6"/>
    <w:rPr>
      <w:sz w:val="16"/>
      <w:szCs w:val="16"/>
    </w:rPr>
  </w:style>
  <w:style w:type="paragraph" w:styleId="Testocommento">
    <w:name w:val="annotation text"/>
    <w:basedOn w:val="Normale"/>
    <w:link w:val="TestocommentoCarattere"/>
    <w:uiPriority w:val="99"/>
    <w:unhideWhenUsed/>
    <w:rsid w:val="00330EC6"/>
    <w:rPr>
      <w:sz w:val="20"/>
      <w:szCs w:val="20"/>
    </w:rPr>
  </w:style>
  <w:style w:type="character" w:customStyle="1" w:styleId="TestocommentoCarattere">
    <w:name w:val="Testo commento Carattere"/>
    <w:basedOn w:val="Carpredefinitoparagrafo"/>
    <w:link w:val="Testocommento"/>
    <w:uiPriority w:val="99"/>
    <w:rsid w:val="00330EC6"/>
    <w:rPr>
      <w:rFonts w:ascii="Arial" w:hAnsi="Arial"/>
      <w:sz w:val="20"/>
      <w:szCs w:val="20"/>
      <w:lang w:val="it-CH"/>
    </w:rPr>
  </w:style>
  <w:style w:type="paragraph" w:styleId="Revisione">
    <w:name w:val="Revision"/>
    <w:hidden/>
    <w:uiPriority w:val="99"/>
    <w:semiHidden/>
    <w:rsid w:val="00330EC6"/>
    <w:pPr>
      <w:jc w:val="left"/>
    </w:pPr>
    <w:rPr>
      <w:rFonts w:ascii="Arial" w:hAnsi="Arial"/>
      <w:lang w:val="it-CH"/>
    </w:rPr>
  </w:style>
  <w:style w:type="paragraph" w:styleId="Soggettocommento">
    <w:name w:val="annotation subject"/>
    <w:basedOn w:val="Testocommento"/>
    <w:next w:val="Testocommento"/>
    <w:link w:val="SoggettocommentoCarattere"/>
    <w:uiPriority w:val="99"/>
    <w:semiHidden/>
    <w:unhideWhenUsed/>
    <w:rsid w:val="00330EC6"/>
    <w:rPr>
      <w:b/>
      <w:bCs/>
    </w:rPr>
  </w:style>
  <w:style w:type="character" w:customStyle="1" w:styleId="SoggettocommentoCarattere">
    <w:name w:val="Soggetto commento Carattere"/>
    <w:basedOn w:val="TestocommentoCarattere"/>
    <w:link w:val="Soggettocommento"/>
    <w:uiPriority w:val="99"/>
    <w:semiHidden/>
    <w:rsid w:val="00330EC6"/>
    <w:rPr>
      <w:rFonts w:ascii="Arial" w:hAnsi="Arial"/>
      <w:b/>
      <w:bCs/>
      <w:sz w:val="20"/>
      <w:szCs w:val="20"/>
      <w:lang w:val="it-CH"/>
    </w:rPr>
  </w:style>
  <w:style w:type="paragraph" w:customStyle="1" w:styleId="p1">
    <w:name w:val="p1"/>
    <w:basedOn w:val="Normale"/>
    <w:rsid w:val="00330EC6"/>
    <w:pPr>
      <w:spacing w:before="100" w:beforeAutospacing="1" w:after="100" w:afterAutospacing="1"/>
      <w:jc w:val="left"/>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1b4d9e96-383c-4009-b17f-802053250cb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1627064696</Id>
      <Width>0</Width>
      <Height>0</Height>
      <XPath>//Image[@id='Profile.Org.WappenSW']</XPath>
      <ImageHash>02f1c0cdac6aeac316213b2e7cb733a0</ImageHash>
    </ImageSizeDefinition>
    <ImageSizeDefinition>
      <Id>1773401785</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477900B1-BBE9-416B-BD0D-C97EF332B29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A2D2D8B7-5837-4132-8604-755804CB837B}">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6D8D501E-0A0F-4E99-A939-F16C3E630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1b4d9e96-383c-4009-b17f-802053250cbd.dotx</Template>
  <TotalTime>14</TotalTime>
  <Pages>12</Pages>
  <Words>5243</Words>
  <Characters>29839</Characters>
  <Application>Microsoft Office Word</Application>
  <DocSecurity>0</DocSecurity>
  <Lines>563</Lines>
  <Paragraphs>155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Alain Bühler</dc:creator>
  <cp:lastModifiedBy>Venturi Luca</cp:lastModifiedBy>
  <cp:revision>27</cp:revision>
  <cp:lastPrinted>2026-09-08T11:25:00Z</cp:lastPrinted>
  <dcterms:created xsi:type="dcterms:W3CDTF">2026-09-08T11:12:00Z</dcterms:created>
  <dcterms:modified xsi:type="dcterms:W3CDTF">2026-09-08T11:27:00Z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