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b/>
          <w:sz w:val="23"/>
          <w:szCs w:val="23"/>
          <w:lang w:val="it-IT"/>
        </w:rPr>
      </w:pPr>
      <w:r w:rsidRPr="00B73F2B">
        <w:rPr>
          <w:rFonts w:ascii="Arial" w:hAnsi="Arial" w:cs="Arial"/>
          <w:b/>
          <w:sz w:val="23"/>
          <w:szCs w:val="23"/>
          <w:lang w:val="it-IT"/>
        </w:rPr>
        <w:t>INTERPELLANZA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b/>
          <w:sz w:val="23"/>
          <w:szCs w:val="23"/>
          <w:u w:val="single"/>
          <w:lang w:val="it-IT"/>
        </w:rPr>
      </w:pPr>
      <w:r w:rsidRPr="00B73F2B">
        <w:rPr>
          <w:rFonts w:ascii="Arial" w:hAnsi="Arial" w:cs="Arial"/>
          <w:b/>
          <w:sz w:val="23"/>
          <w:szCs w:val="23"/>
          <w:u w:val="single"/>
          <w:lang w:val="it-IT"/>
        </w:rPr>
        <w:t xml:space="preserve">Etica e sostenibilità negli affari di </w:t>
      </w:r>
      <w:proofErr w:type="spellStart"/>
      <w:r w:rsidRPr="00B73F2B">
        <w:rPr>
          <w:rFonts w:ascii="Arial" w:hAnsi="Arial" w:cs="Arial"/>
          <w:b/>
          <w:sz w:val="23"/>
          <w:szCs w:val="23"/>
          <w:u w:val="single"/>
          <w:lang w:val="it-IT"/>
        </w:rPr>
        <w:t>BancaStato</w:t>
      </w:r>
      <w:proofErr w:type="spellEnd"/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  <w:lang w:val="it-IT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>del 29 settembre 2019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  <w:lang w:val="it-IT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  <w:lang w:val="it-IT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Qualche mese fa, partecipando a una tavola rotonda sul Commodity trading organizzata dalla rivista Ticino Welcome (Gruppo Mantegazza), il membro di Direzione di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 </w:t>
      </w:r>
      <w:r w:rsidRPr="00B73F2B">
        <w:rPr>
          <w:rFonts w:ascii="Arial" w:hAnsi="Arial" w:cs="Arial"/>
          <w:b/>
          <w:sz w:val="23"/>
          <w:szCs w:val="23"/>
          <w:lang w:val="it-IT"/>
        </w:rPr>
        <w:t>Davide Bignasca</w:t>
      </w:r>
      <w:r w:rsidRPr="00B73F2B">
        <w:rPr>
          <w:rFonts w:ascii="Arial" w:hAnsi="Arial" w:cs="Arial"/>
          <w:sz w:val="23"/>
          <w:szCs w:val="23"/>
          <w:lang w:val="it-IT"/>
        </w:rPr>
        <w:t xml:space="preserve"> spiegava il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“paradosso”</w:t>
      </w:r>
      <w:r w:rsidRPr="00B73F2B">
        <w:rPr>
          <w:rFonts w:ascii="Arial" w:hAnsi="Arial" w:cs="Arial"/>
          <w:sz w:val="23"/>
          <w:szCs w:val="23"/>
          <w:lang w:val="it-IT"/>
        </w:rPr>
        <w:t xml:space="preserve"> per cui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,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“una banca cantonale orientata al territorio ticinese, si occupi di sostenere il commercio di materie prime, che per loro natura si spostano da un capo all’altro del mondo”</w:t>
      </w:r>
      <w:r w:rsidRPr="00B73F2B">
        <w:rPr>
          <w:rFonts w:ascii="Arial" w:hAnsi="Arial" w:cs="Arial"/>
          <w:sz w:val="23"/>
          <w:szCs w:val="23"/>
          <w:lang w:val="it-IT"/>
        </w:rPr>
        <w:t>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Secondo Bignasca la questione è semplice e facilmente risolvibile: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“il paradosso di cui facevo riferimento all’inizio è facilmente spiegato perché non siamo noi a comprare e vendere materie prime in giro per il mondo, ma le società che ci chiedono finanziamenti e che, come detto, costituiscono un’importante presenza in Ticino</w:t>
      </w:r>
      <w:r w:rsidRPr="00B73F2B">
        <w:rPr>
          <w:rFonts w:ascii="Arial" w:hAnsi="Arial" w:cs="Arial"/>
          <w:sz w:val="23"/>
          <w:szCs w:val="23"/>
          <w:lang w:val="it-IT"/>
        </w:rPr>
        <w:t>”.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>Una filosofia che giustificherebbe qualsiasi empio commercio che avviene sulla faccia della terra: basterebbe sostituire l’espressione “</w:t>
      </w:r>
      <w:r w:rsidRPr="00B73F2B">
        <w:rPr>
          <w:rFonts w:ascii="Arial" w:hAnsi="Arial" w:cs="Arial"/>
          <w:i/>
          <w:sz w:val="23"/>
          <w:szCs w:val="23"/>
          <w:lang w:val="it-IT"/>
        </w:rPr>
        <w:t>materie prime</w:t>
      </w:r>
      <w:r w:rsidRPr="00B73F2B">
        <w:rPr>
          <w:rFonts w:ascii="Arial" w:hAnsi="Arial" w:cs="Arial"/>
          <w:sz w:val="23"/>
          <w:szCs w:val="23"/>
          <w:lang w:val="it-IT"/>
        </w:rPr>
        <w:t xml:space="preserve">” con, ad esempio,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“armi”</w:t>
      </w:r>
      <w:r w:rsidRPr="00B73F2B">
        <w:rPr>
          <w:rFonts w:ascii="Arial" w:hAnsi="Arial" w:cs="Arial"/>
          <w:sz w:val="23"/>
          <w:szCs w:val="23"/>
          <w:lang w:val="it-IT"/>
        </w:rPr>
        <w:t xml:space="preserve"> e avremmo la perfetta e totale giustificazione della implicazione di una banca nel commercio mondiale delle armi.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Ma il nostro Bignasca e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 sono evidentemente attenti e prudenti. Dichiara ancora nella stessa tavola rotonda: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“L’approccio prudenziale seguito dall’istituto si riflette ovviamente anche in questo settore. Essendo una banca cantonale dobbiamo prestare particolare attenzione alla sostenibilità dei nostri affari. A prescindere dal rischio finanziario – il più importante – per noi è altrettanto importante il rischio di reputazione</w:t>
      </w:r>
      <w:r w:rsidRPr="00B73F2B">
        <w:rPr>
          <w:rFonts w:ascii="Arial" w:hAnsi="Arial" w:cs="Arial"/>
          <w:sz w:val="23"/>
          <w:szCs w:val="23"/>
          <w:lang w:val="it-IT"/>
        </w:rPr>
        <w:t>”.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Ora, con tutte queste cautele, uno immaginerebbe di trovare, leggendo il pomposo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“Bilancio sociale e ambientale</w:t>
      </w:r>
      <w:r w:rsidRPr="00B73F2B">
        <w:rPr>
          <w:rFonts w:ascii="Arial" w:hAnsi="Arial" w:cs="Arial"/>
          <w:sz w:val="23"/>
          <w:szCs w:val="23"/>
          <w:lang w:val="it-IT"/>
        </w:rPr>
        <w:t xml:space="preserve">” che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 pubblica ogni anno, una trattazione di questo aspetto dell’attività della banca, proprio perché la negoziazione delle materie prime, ormai lo sanno anche i bambini dell’asilo, è qualcosa che, diciamo così, ha molto a che vedere con la questione ambientale.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E invece l’attività di commodity trading viene citata di passata a pag. 35 del rapporto, ma solo per ricordare che la Banca collabora, tra le altre società, anche con l’associazione delle imprese attive </w:t>
      </w:r>
      <w:proofErr w:type="gramStart"/>
      <w:r w:rsidRPr="00B73F2B">
        <w:rPr>
          <w:rFonts w:ascii="Arial" w:hAnsi="Arial" w:cs="Arial"/>
          <w:sz w:val="23"/>
          <w:szCs w:val="23"/>
          <w:lang w:val="it-IT"/>
        </w:rPr>
        <w:t>nel commodity</w:t>
      </w:r>
      <w:proofErr w:type="gramEnd"/>
      <w:r w:rsidRPr="00B73F2B">
        <w:rPr>
          <w:rFonts w:ascii="Arial" w:hAnsi="Arial" w:cs="Arial"/>
          <w:sz w:val="23"/>
          <w:szCs w:val="23"/>
          <w:lang w:val="it-IT"/>
        </w:rPr>
        <w:t xml:space="preserve"> trading (ALCT) che ha sede a Lugano. Nient’altro.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E allora, vista le rivendicazioni ambientaliste di cui si fregiano ormai tutti i partiti presenti in governo e in Parlamento, uno penserebbe che a riflettere sulla sostenibilità degli investimenti di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 ci pensi la commissione del controllo pubblico del Gran Consiglio che ogni anno presenta un rapporto su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 e le sue attività.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Niente da fare: di queste attività nemmeno l’ombra. Anche se di questo, per la verità, non siamo molto sorpresi, poiché il rapporto della commissione è spesso tributario (per usare un eufemismo) del rapporto ambientale e sociale </w:t>
      </w:r>
      <w:proofErr w:type="gramStart"/>
      <w:r w:rsidRPr="00B73F2B">
        <w:rPr>
          <w:rFonts w:ascii="Arial" w:hAnsi="Arial" w:cs="Arial"/>
          <w:sz w:val="23"/>
          <w:szCs w:val="23"/>
          <w:lang w:val="it-IT"/>
        </w:rPr>
        <w:t>delle stessa</w:t>
      </w:r>
      <w:proofErr w:type="gramEnd"/>
      <w:r w:rsidRPr="00B73F2B">
        <w:rPr>
          <w:rFonts w:ascii="Arial" w:hAnsi="Arial" w:cs="Arial"/>
          <w:sz w:val="23"/>
          <w:szCs w:val="23"/>
          <w:lang w:val="it-IT"/>
        </w:rPr>
        <w:t xml:space="preserve"> banca…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>Ora, non vi sono dubbi, che il commercio di materie prime è intimamente legato all’estrazione e alla loro lavorazione, attività che sono tra le maggiori responsabili del degrado ambientale che viviamo in questi decenni; il commercio delle materie prime è l’ultimo anello del processo di saccheggio della natura che comporta poi le drammatiche conseguenze climatiche che viviamo e vivremo se non intervengono radicali cambiamenti del nostro sistema economico e sociale. Altro che attività sostenibili!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  <w:lang w:val="it-IT"/>
        </w:rPr>
        <w:t xml:space="preserve">D’altronde per avere un’idea di quali attività “sostenibili”, in questo ambito, si occupi </w:t>
      </w:r>
      <w:proofErr w:type="spellStart"/>
      <w:r w:rsidRPr="00B73F2B">
        <w:rPr>
          <w:rFonts w:ascii="Arial" w:hAnsi="Arial" w:cs="Arial"/>
          <w:sz w:val="23"/>
          <w:szCs w:val="23"/>
          <w:lang w:val="it-IT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  <w:lang w:val="it-IT"/>
        </w:rPr>
        <w:t xml:space="preserve">, ricorreremo ancora alle parole di Davide Bignasca che, intervistato questa volta dal mensile della Camera di Commercio, alla domanda </w:t>
      </w:r>
      <w:r w:rsidRPr="00B73F2B">
        <w:rPr>
          <w:rFonts w:ascii="Arial" w:hAnsi="Arial" w:cs="Arial"/>
          <w:i/>
          <w:sz w:val="23"/>
          <w:szCs w:val="23"/>
          <w:lang w:val="it-IT"/>
        </w:rPr>
        <w:t>“qual è il posto più lontano dove le è capitato di viaggiare per lavoro</w:t>
      </w:r>
      <w:r w:rsidRPr="00B73F2B">
        <w:rPr>
          <w:rFonts w:ascii="Arial" w:hAnsi="Arial" w:cs="Arial"/>
          <w:sz w:val="23"/>
          <w:szCs w:val="23"/>
          <w:lang w:val="it-IT"/>
        </w:rPr>
        <w:t>”? ha così risposto: “</w:t>
      </w:r>
      <w:r w:rsidRPr="00B73F2B">
        <w:rPr>
          <w:rFonts w:ascii="Arial" w:hAnsi="Arial" w:cs="Arial"/>
          <w:i/>
          <w:sz w:val="23"/>
          <w:szCs w:val="23"/>
        </w:rPr>
        <w:t xml:space="preserve">Sono stato in Siberia a visitare le miniere di carbone a cielo aperto. Ero là con alcuni clienti con sede appunto a Lugano. Perché il carbone? Perché è molto importante per la produzione dell’acciaio e rientra dunque in questo particolare settore del Commodity </w:t>
      </w:r>
      <w:proofErr w:type="spellStart"/>
      <w:r w:rsidRPr="00B73F2B">
        <w:rPr>
          <w:rFonts w:ascii="Arial" w:hAnsi="Arial" w:cs="Arial"/>
          <w:i/>
          <w:sz w:val="23"/>
          <w:szCs w:val="23"/>
        </w:rPr>
        <w:t>Trade</w:t>
      </w:r>
      <w:proofErr w:type="spellEnd"/>
      <w:r w:rsidRPr="00B73F2B">
        <w:rPr>
          <w:rFonts w:ascii="Arial" w:hAnsi="Arial" w:cs="Arial"/>
          <w:i/>
          <w:sz w:val="23"/>
          <w:szCs w:val="23"/>
        </w:rPr>
        <w:t xml:space="preserve"> Finance</w:t>
      </w:r>
      <w:r w:rsidRPr="00B73F2B">
        <w:rPr>
          <w:rFonts w:ascii="Arial" w:hAnsi="Arial" w:cs="Arial"/>
          <w:sz w:val="23"/>
          <w:szCs w:val="23"/>
        </w:rPr>
        <w:t xml:space="preserve">”; aggiungendo relativamente all’impatto di questo tipo di attività per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che “</w:t>
      </w:r>
      <w:r w:rsidRPr="00B73F2B">
        <w:rPr>
          <w:rFonts w:ascii="Arial" w:hAnsi="Arial" w:cs="Arial"/>
          <w:i/>
          <w:sz w:val="23"/>
          <w:szCs w:val="23"/>
        </w:rPr>
        <w:t xml:space="preserve">il bilancio è ottimo e la crescita è stata armoniosa. Intendiamo continuare a svilupparci gradualmente, sempre all’insegna dei valori di </w:t>
      </w:r>
      <w:proofErr w:type="spellStart"/>
      <w:r w:rsidRPr="00B73F2B">
        <w:rPr>
          <w:rFonts w:ascii="Arial" w:hAnsi="Arial" w:cs="Arial"/>
          <w:i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i/>
          <w:sz w:val="23"/>
          <w:szCs w:val="23"/>
        </w:rPr>
        <w:t xml:space="preserve"> che </w:t>
      </w:r>
      <w:r w:rsidRPr="00B73F2B">
        <w:rPr>
          <w:rFonts w:ascii="Arial" w:hAnsi="Arial" w:cs="Arial"/>
          <w:b/>
          <w:i/>
          <w:sz w:val="23"/>
          <w:szCs w:val="23"/>
        </w:rPr>
        <w:t>si basano sulla sostenibilità degli affari</w:t>
      </w:r>
      <w:r w:rsidRPr="00B73F2B">
        <w:rPr>
          <w:rFonts w:ascii="Arial" w:hAnsi="Arial" w:cs="Arial"/>
          <w:i/>
          <w:sz w:val="23"/>
          <w:szCs w:val="23"/>
        </w:rPr>
        <w:t>”</w:t>
      </w:r>
      <w:r w:rsidRPr="00B73F2B">
        <w:rPr>
          <w:rFonts w:ascii="Arial" w:hAnsi="Arial" w:cs="Arial"/>
          <w:sz w:val="23"/>
          <w:szCs w:val="23"/>
        </w:rPr>
        <w:t xml:space="preserve"> (sottolineatura nostra).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Negli scorsi mesi studi importanti hanno messo in evidenza quale ruolo abbiano le grandi banche svizzere nel sostegno ad attività di aziende che hanno un impatto disastroso sull’ambiente e come quindi queste banche abbiano una responsabilità per quel che accade oggi. 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Se influenzare l’operato delle grandi banche appare oggi difficile perché necessiterebbe perlomeno un’incursione nel loro diritto assoluto di proprietà (senza di che ci si limita a prediche, rispettabili, ma prediche), intervenire, in materia di sostenibilità, appare più facile da parte di chi detiene la proprietà di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>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Fatte queste premesse ci permettiamo porre al Consiglio di Stato le seguenti domande</w:t>
      </w:r>
      <w:r>
        <w:rPr>
          <w:rFonts w:ascii="Arial" w:hAnsi="Arial" w:cs="Arial"/>
          <w:sz w:val="23"/>
          <w:szCs w:val="23"/>
        </w:rPr>
        <w:t>.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eastAsia="Arial" w:hAnsi="Arial" w:cs="Arial"/>
          <w:sz w:val="23"/>
          <w:szCs w:val="23"/>
        </w:rPr>
        <w:t>1.</w:t>
      </w:r>
      <w:r w:rsidRPr="00B73F2B">
        <w:rPr>
          <w:rFonts w:ascii="Arial" w:eastAsia="Arial" w:hAnsi="Arial" w:cs="Arial"/>
          <w:sz w:val="23"/>
          <w:szCs w:val="23"/>
        </w:rPr>
        <w:tab/>
      </w:r>
      <w:r w:rsidRPr="00B73F2B">
        <w:rPr>
          <w:rFonts w:ascii="Arial" w:hAnsi="Arial" w:cs="Arial"/>
          <w:sz w:val="23"/>
          <w:szCs w:val="23"/>
        </w:rPr>
        <w:t xml:space="preserve">Il Governo, quale rappresentante della proprietà pubblica di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, è al corrente delle attività di “commodity trading” sviluppate da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>?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eastAsia="Arial" w:hAnsi="Arial" w:cs="Arial"/>
          <w:sz w:val="23"/>
          <w:szCs w:val="23"/>
        </w:rPr>
        <w:t>2.</w:t>
      </w:r>
      <w:r w:rsidRPr="00B73F2B">
        <w:rPr>
          <w:rFonts w:ascii="Arial" w:eastAsia="Arial" w:hAnsi="Arial" w:cs="Arial"/>
          <w:sz w:val="23"/>
          <w:szCs w:val="23"/>
        </w:rPr>
        <w:tab/>
      </w:r>
      <w:r w:rsidRPr="00B73F2B">
        <w:rPr>
          <w:rFonts w:ascii="Arial" w:hAnsi="Arial" w:cs="Arial"/>
          <w:sz w:val="23"/>
          <w:szCs w:val="23"/>
        </w:rPr>
        <w:t xml:space="preserve">Qual è l’estensione di tali attività e il loro influsso complessivo sulle attività di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(cifra di bilancio, utili, occupazione, ecc.)?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eastAsia="Arial" w:hAnsi="Arial" w:cs="Arial"/>
          <w:sz w:val="23"/>
          <w:szCs w:val="23"/>
        </w:rPr>
        <w:t>3.</w:t>
      </w:r>
      <w:r w:rsidRPr="00B73F2B">
        <w:rPr>
          <w:rFonts w:ascii="Arial" w:eastAsia="Arial" w:hAnsi="Arial" w:cs="Arial"/>
          <w:sz w:val="23"/>
          <w:szCs w:val="23"/>
        </w:rPr>
        <w:tab/>
      </w:r>
      <w:r w:rsidRPr="00B73F2B">
        <w:rPr>
          <w:rFonts w:ascii="Arial" w:hAnsi="Arial" w:cs="Arial"/>
          <w:sz w:val="23"/>
          <w:szCs w:val="23"/>
        </w:rPr>
        <w:t xml:space="preserve">Il Governo può garantire che le attività di commodity trading finanziate per il tramite di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non abbiano un impatto sulla natura e sull’ambiente nel suo complesso, siano cioè tutt’altro che sostenibili dal punto di vista ambientale?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12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eastAsia="Arial" w:hAnsi="Arial" w:cs="Arial"/>
          <w:sz w:val="23"/>
          <w:szCs w:val="23"/>
        </w:rPr>
        <w:t>4.</w:t>
      </w:r>
      <w:r w:rsidRPr="00B73F2B">
        <w:rPr>
          <w:rFonts w:ascii="Arial" w:eastAsia="Arial" w:hAnsi="Arial" w:cs="Arial"/>
          <w:sz w:val="23"/>
          <w:szCs w:val="23"/>
        </w:rPr>
        <w:tab/>
      </w:r>
      <w:r w:rsidRPr="00B73F2B">
        <w:rPr>
          <w:rFonts w:ascii="Arial" w:hAnsi="Arial" w:cs="Arial"/>
          <w:sz w:val="23"/>
          <w:szCs w:val="23"/>
        </w:rPr>
        <w:t xml:space="preserve">Non ritiene il governo necessario un incontro con il </w:t>
      </w:r>
      <w:r>
        <w:rPr>
          <w:rFonts w:ascii="Arial" w:hAnsi="Arial" w:cs="Arial"/>
          <w:sz w:val="23"/>
          <w:szCs w:val="23"/>
        </w:rPr>
        <w:t>C</w:t>
      </w:r>
      <w:r w:rsidRPr="00B73F2B">
        <w:rPr>
          <w:rFonts w:ascii="Arial" w:hAnsi="Arial" w:cs="Arial"/>
          <w:sz w:val="23"/>
          <w:szCs w:val="23"/>
        </w:rPr>
        <w:t xml:space="preserve">onsiglio di amministrazione di </w:t>
      </w:r>
      <w:proofErr w:type="spellStart"/>
      <w:r w:rsidRPr="00B73F2B">
        <w:rPr>
          <w:rFonts w:ascii="Arial" w:hAnsi="Arial" w:cs="Arial"/>
          <w:sz w:val="23"/>
          <w:szCs w:val="23"/>
        </w:rPr>
        <w:t>BancaStato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per chiarire questi punti, visto l’enorme sensibilità della popolazione e viste anche le dichiarazioni di “sensibilità” alla questione ambientale rilasciate dal governo stesso nel rispondere alle lettere dei giovani che hanno di recente manifestato?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eastAsia="Arial" w:hAnsi="Arial" w:cs="Arial"/>
          <w:sz w:val="23"/>
          <w:szCs w:val="23"/>
        </w:rPr>
        <w:t>5.</w:t>
      </w:r>
      <w:r w:rsidRPr="00B73F2B">
        <w:rPr>
          <w:rFonts w:ascii="Arial" w:eastAsia="Arial" w:hAnsi="Arial" w:cs="Arial"/>
          <w:sz w:val="23"/>
          <w:szCs w:val="23"/>
        </w:rPr>
        <w:tab/>
      </w:r>
      <w:r w:rsidRPr="00B73F2B">
        <w:rPr>
          <w:rFonts w:ascii="Arial" w:hAnsi="Arial" w:cs="Arial"/>
          <w:sz w:val="23"/>
          <w:szCs w:val="23"/>
        </w:rPr>
        <w:t>Il Governo intende suggerire alla commissione del controllo del mandato pubblico una maggiore attenzione agli aspetti di carattere ambientali in occasione del loro prossimo rapporto?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Per MPS-POP-Indipendenti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Simona Arigoni Zürcher</w:t>
      </w:r>
    </w:p>
    <w:p w:rsidR="000033D6" w:rsidRPr="00B73F2B" w:rsidRDefault="000033D6" w:rsidP="000033D6">
      <w:pPr>
        <w:pStyle w:val="NormaleWeb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b/>
          <w:bCs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Lepori Sergi - Pronzini</w:t>
      </w:r>
      <w:bookmarkStart w:id="0" w:name="_GoBack"/>
      <w:bookmarkEnd w:id="0"/>
    </w:p>
    <w:p w:rsidR="00BB6629" w:rsidRPr="000033D6" w:rsidRDefault="00BB6629" w:rsidP="000033D6"/>
    <w:sectPr w:rsidR="00BB6629" w:rsidRPr="000033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21B2"/>
    <w:multiLevelType w:val="hybridMultilevel"/>
    <w:tmpl w:val="DC28681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AA"/>
    <w:rsid w:val="000033D6"/>
    <w:rsid w:val="008B24AA"/>
    <w:rsid w:val="00BB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46299D1-33BD-4FB3-88B7-B2F5B174C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8B24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24AA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33D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33D6"/>
    <w:rPr>
      <w:rFonts w:ascii="Segoe UI" w:eastAsia="Times New Roman" w:hAnsi="Segoe UI" w:cs="Segoe UI"/>
      <w:sz w:val="18"/>
      <w:szCs w:val="18"/>
      <w:lang w:eastAsia="it-CH"/>
    </w:rPr>
  </w:style>
  <w:style w:type="paragraph" w:styleId="NormaleWeb">
    <w:name w:val="Normal (Web)"/>
    <w:basedOn w:val="Normale"/>
    <w:uiPriority w:val="99"/>
    <w:unhideWhenUsed/>
    <w:rsid w:val="000033D6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2019-10-18T06:22:00Z</cp:lastPrinted>
  <dcterms:created xsi:type="dcterms:W3CDTF">2019-10-18T06:22:00Z</dcterms:created>
  <dcterms:modified xsi:type="dcterms:W3CDTF">2019-10-18T06:22:00Z</dcterms:modified>
</cp:coreProperties>
</file>