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 Id="rId4" Type="http://purl.oclc.org/ooxml/officeDocument/relationships/customProperties" Target="docProps/custom.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ody>
    <w:p w14:paraId="44EE8F27" w14:textId="77777777" w:rsidR="00762BE1" w:rsidRDefault="008B67CB">
      <w:pPr>
        <w:rPr>
          <w:b/>
          <w:bCs/>
          <w:sz w:val="22"/>
        </w:rPr>
      </w:pPr>
      <w:r>
        <w:rPr>
          <w:b/>
          <w:bCs/>
          <w:sz w:val="22"/>
        </w:rPr>
        <w:t>Verordnung KR über die Entlastung des Staatshaushalts</w:t>
      </w:r>
    </w:p>
    <w:p w14:paraId="57118892" w14:textId="77777777" w:rsidR="00FA5F6E" w:rsidRDefault="00FA5F6E">
      <w:pPr>
        <w:rPr>
          <w:b/>
          <w:bCs/>
          <w:sz w:val="22"/>
        </w:rPr>
      </w:pPr>
    </w:p>
    <w:p w14:paraId="27EAAF05" w14:textId="2E9311B4" w:rsidR="00FA5F6E" w:rsidRDefault="00FA5F6E">
      <w:r>
        <w:rPr>
          <w:b/>
          <w:bCs/>
          <w:sz w:val="22"/>
        </w:rPr>
        <w:t>Antwortformular</w:t>
      </w:r>
    </w:p>
    <w:p w14:paraId="0EF6B08D" w14:textId="77777777" w:rsidR="00762BE1" w:rsidRDefault="00762BE1"/>
    <w:p w14:paraId="28DFBB7C" w14:textId="77777777" w:rsidR="00762BE1" w:rsidRDefault="008B67CB">
      <w:pPr>
        <w:pStyle w:val="ZusammenfassungEinleitung"/>
      </w:pPr>
      <w:r>
        <w:t>Von diesem Geschäft tangierte Erlasse (</w:t>
      </w:r>
      <w:proofErr w:type="gramStart"/>
      <w:r>
        <w:t>bGS Nummern</w:t>
      </w:r>
      <w:proofErr w:type="gramEnd"/>
      <w:r>
        <w:t>)</w:t>
      </w:r>
    </w:p>
    <w:p w14:paraId="2A28489C" w14:textId="77777777" w:rsidR="00762BE1" w:rsidRDefault="008B67CB">
      <w:pPr>
        <w:pStyle w:val="ZusammenfassungneueErlasse"/>
      </w:pPr>
      <w:r>
        <w:t>Neu:</w:t>
      </w:r>
      <w:r>
        <w:tab/>
        <w:t>–</w:t>
      </w:r>
    </w:p>
    <w:p w14:paraId="667643DD" w14:textId="77777777" w:rsidR="00762BE1" w:rsidRDefault="008B67CB">
      <w:pPr>
        <w:pStyle w:val="ZusammenfassunggenderteErlasse"/>
      </w:pPr>
      <w:r>
        <w:t>Geändert:</w:t>
      </w:r>
      <w:r>
        <w:tab/>
      </w:r>
      <w:r>
        <w:rPr>
          <w:rStyle w:val="Zusammenfassungnderung"/>
        </w:rPr>
        <w:t>142.211</w:t>
      </w:r>
      <w:r>
        <w:t xml:space="preserve"> | </w:t>
      </w:r>
      <w:r>
        <w:rPr>
          <w:rStyle w:val="Zusammenfassungnderung"/>
        </w:rPr>
        <w:t>731.31</w:t>
      </w:r>
    </w:p>
    <w:p w14:paraId="62166227" w14:textId="77777777" w:rsidR="00762BE1" w:rsidRDefault="008B67CB">
      <w:pPr>
        <w:pStyle w:val="ZusammenfassungaufgehobeneErlasse"/>
        <w:rPr>
          <w:b/>
          <w:sz w:val="22"/>
        </w:rPr>
      </w:pPr>
      <w:r>
        <w:t>Aufgehoben:</w:t>
      </w:r>
      <w:r>
        <w:tab/>
        <w:t>–</w:t>
      </w:r>
    </w:p>
    <w:tbl>
      <w:tblPr>
        <w:tblW w:w="100.0%" w:type="pct"/>
        <w:tblLayout w:type="fixed"/>
        <w:tblCellMar>
          <w:top w:w="5.40pt" w:type="dxa"/>
          <w:bottom w:w="5.40pt" w:type="dxa"/>
        </w:tblCellMar>
        <w:tblLook w:firstRow="0" w:lastRow="0" w:firstColumn="0" w:lastColumn="0" w:noHBand="0" w:noVBand="0"/>
      </w:tblPr>
      <w:tblGrid>
        <w:gridCol w:w="4947"/>
        <w:gridCol w:w="4948"/>
        <w:gridCol w:w="4949"/>
      </w:tblGrid>
      <w:tr w:rsidR="00762BE1" w14:paraId="35F6778C" w14:textId="77777777">
        <w:trPr>
          <w:tblHeader/>
        </w:trPr>
        <w:tc>
          <w:tcPr>
            <w:tcW w:w="247.55pt" w:type="dxa"/>
            <w:tcBorders>
              <w:top w:val="single" w:sz="4" w:space="0" w:color="000000"/>
              <w:start w:val="single" w:sz="4" w:space="0" w:color="000000"/>
              <w:bottom w:val="single" w:sz="4" w:space="0" w:color="000000"/>
            </w:tcBorders>
            <w:shd w:val="clear" w:color="auto" w:fill="E0E0E0"/>
            <w:vAlign w:val="center"/>
          </w:tcPr>
          <w:p w14:paraId="0FC06F74" w14:textId="77777777" w:rsidR="00762BE1" w:rsidRDefault="008B67CB">
            <w:pPr>
              <w:pStyle w:val="TableContents"/>
            </w:pPr>
            <w:r>
              <w:rPr>
                <w:b/>
                <w:sz w:val="22"/>
              </w:rPr>
              <w:t>Geltendes Recht</w:t>
            </w:r>
          </w:p>
        </w:tc>
        <w:tc>
          <w:tcPr>
            <w:tcW w:w="247.55pt" w:type="dxa"/>
            <w:tcBorders>
              <w:top w:val="single" w:sz="4" w:space="0" w:color="000000"/>
              <w:start w:val="single" w:sz="4" w:space="0" w:color="000000"/>
              <w:bottom w:val="single" w:sz="4" w:space="0" w:color="000000"/>
            </w:tcBorders>
            <w:shd w:val="clear" w:color="auto" w:fill="E0E0E0"/>
            <w:vAlign w:val="center"/>
          </w:tcPr>
          <w:p w14:paraId="64805D3A" w14:textId="1E0D409B" w:rsidR="00762BE1" w:rsidRDefault="00FA5F6E">
            <w:pPr>
              <w:pStyle w:val="TableContents"/>
            </w:pPr>
            <w:r w:rsidRPr="00E940F5">
              <w:rPr>
                <w:b/>
                <w:sz w:val="22"/>
              </w:rPr>
              <w:t>Vernehmlassungsentwurf Regierungsrat</w:t>
            </w:r>
            <w:r w:rsidR="008B67CB" w:rsidRPr="00E940F5">
              <w:rPr>
                <w:b/>
                <w:sz w:val="22"/>
              </w:rPr>
              <w:t xml:space="preserve">, </w:t>
            </w:r>
            <w:r w:rsidR="00537C82" w:rsidRPr="00E940F5">
              <w:rPr>
                <w:b/>
                <w:sz w:val="22"/>
              </w:rPr>
              <w:t>25</w:t>
            </w:r>
            <w:r w:rsidR="008B67CB" w:rsidRPr="00E940F5">
              <w:rPr>
                <w:b/>
                <w:sz w:val="22"/>
              </w:rPr>
              <w:t>.</w:t>
            </w:r>
            <w:r w:rsidRPr="00E940F5">
              <w:rPr>
                <w:b/>
                <w:sz w:val="22"/>
              </w:rPr>
              <w:t> </w:t>
            </w:r>
            <w:r w:rsidR="008B67CB" w:rsidRPr="00E940F5">
              <w:rPr>
                <w:b/>
                <w:sz w:val="22"/>
              </w:rPr>
              <w:t>November 2025</w:t>
            </w:r>
          </w:p>
        </w:tc>
        <w:tc>
          <w:tcPr>
            <w:tcW w:w="247.60pt" w:type="dxa"/>
            <w:tcBorders>
              <w:top w:val="single" w:sz="4" w:space="0" w:color="000000"/>
              <w:start w:val="single" w:sz="4" w:space="0" w:color="000000"/>
              <w:bottom w:val="single" w:sz="4" w:space="0" w:color="000000"/>
              <w:end w:val="single" w:sz="4" w:space="0" w:color="000000"/>
            </w:tcBorders>
            <w:shd w:val="clear" w:color="auto" w:fill="E0E0E0"/>
            <w:vAlign w:val="center"/>
          </w:tcPr>
          <w:p w14:paraId="2B855ABB" w14:textId="77E117BE" w:rsidR="00762BE1" w:rsidRDefault="00233372">
            <w:pPr>
              <w:pStyle w:val="TableContents"/>
            </w:pPr>
            <w:r>
              <w:rPr>
                <w:b/>
                <w:sz w:val="22"/>
              </w:rPr>
              <w:t>Vernehmlassungsantworten</w:t>
            </w:r>
          </w:p>
        </w:tc>
      </w:tr>
      <w:tr w:rsidR="00762BE1" w14:paraId="7F218832" w14:textId="77777777">
        <w:tc>
          <w:tcPr>
            <w:tcW w:w="247.55pt" w:type="dxa"/>
            <w:tcBorders>
              <w:top w:val="single" w:sz="4" w:space="0" w:color="000000"/>
              <w:start w:val="single" w:sz="4" w:space="0" w:color="000000"/>
            </w:tcBorders>
            <w:shd w:val="clear" w:color="auto" w:fill="FFFFFF"/>
          </w:tcPr>
          <w:p w14:paraId="4B5517DD" w14:textId="77777777" w:rsidR="00762BE1" w:rsidRDefault="00762BE1"/>
        </w:tc>
        <w:tc>
          <w:tcPr>
            <w:tcW w:w="247.55pt" w:type="dxa"/>
            <w:tcBorders>
              <w:top w:val="single" w:sz="4" w:space="0" w:color="000000"/>
              <w:start w:val="single" w:sz="4" w:space="0" w:color="000000"/>
            </w:tcBorders>
            <w:shd w:val="clear" w:color="auto" w:fill="FFFFFF"/>
          </w:tcPr>
          <w:p w14:paraId="1A81699B" w14:textId="77777777" w:rsidR="00762BE1" w:rsidRDefault="008B67CB">
            <w:pPr>
              <w:pStyle w:val="Abschnittstitel"/>
            </w:pPr>
            <w:r>
              <w:t>I.</w:t>
            </w:r>
          </w:p>
        </w:tc>
        <w:tc>
          <w:tcPr>
            <w:tcW w:w="247.60pt" w:type="dxa"/>
            <w:tcBorders>
              <w:top w:val="single" w:sz="4" w:space="0" w:color="000000"/>
              <w:start w:val="single" w:sz="4" w:space="0" w:color="000000"/>
              <w:end w:val="single" w:sz="4" w:space="0" w:color="000000"/>
            </w:tcBorders>
            <w:shd w:val="clear" w:color="auto" w:fill="FFFFFF"/>
          </w:tcPr>
          <w:p w14:paraId="71BD1D7F" w14:textId="77777777" w:rsidR="00762BE1" w:rsidRDefault="00762BE1"/>
        </w:tc>
      </w:tr>
      <w:tr w:rsidR="00762BE1" w14:paraId="33820ECD" w14:textId="77777777">
        <w:tc>
          <w:tcPr>
            <w:tcW w:w="247.55pt" w:type="dxa"/>
            <w:tcBorders>
              <w:top w:val="single" w:sz="4" w:space="0" w:color="000000"/>
              <w:start w:val="single" w:sz="4" w:space="0" w:color="000000"/>
            </w:tcBorders>
          </w:tcPr>
          <w:p w14:paraId="4472D821" w14:textId="77777777" w:rsidR="00762BE1" w:rsidRDefault="00762BE1">
            <w:pPr>
              <w:pStyle w:val="EmptySectionRemark"/>
            </w:pPr>
          </w:p>
        </w:tc>
        <w:tc>
          <w:tcPr>
            <w:tcW w:w="247.55pt" w:type="dxa"/>
            <w:tcBorders>
              <w:top w:val="single" w:sz="4" w:space="0" w:color="000000"/>
              <w:start w:val="single" w:sz="4" w:space="0" w:color="000000"/>
            </w:tcBorders>
          </w:tcPr>
          <w:p w14:paraId="04DA4E79" w14:textId="77777777" w:rsidR="00762BE1" w:rsidRDefault="008B67CB">
            <w:pPr>
              <w:pStyle w:val="EmptySectionRemark"/>
            </w:pPr>
            <w:r>
              <w:t>Keine Hauptänderung.</w:t>
            </w:r>
          </w:p>
        </w:tc>
        <w:tc>
          <w:tcPr>
            <w:tcW w:w="247.60pt" w:type="dxa"/>
            <w:tcBorders>
              <w:top w:val="single" w:sz="4" w:space="0" w:color="000000"/>
              <w:start w:val="single" w:sz="4" w:space="0" w:color="000000"/>
              <w:end w:val="single" w:sz="4" w:space="0" w:color="000000"/>
            </w:tcBorders>
          </w:tcPr>
          <w:p w14:paraId="46011B53" w14:textId="77777777" w:rsidR="00762BE1" w:rsidRDefault="00762BE1"/>
        </w:tc>
      </w:tr>
      <w:tr w:rsidR="00762BE1" w14:paraId="6EE67DE1" w14:textId="77777777">
        <w:tc>
          <w:tcPr>
            <w:tcW w:w="247.55pt" w:type="dxa"/>
            <w:tcBorders>
              <w:top w:val="single" w:sz="4" w:space="0" w:color="000000"/>
              <w:start w:val="single" w:sz="4" w:space="0" w:color="000000"/>
            </w:tcBorders>
            <w:shd w:val="clear" w:color="auto" w:fill="FFFFFF"/>
          </w:tcPr>
          <w:p w14:paraId="1F7EAB89" w14:textId="77777777" w:rsidR="00762BE1" w:rsidRDefault="00762BE1"/>
        </w:tc>
        <w:tc>
          <w:tcPr>
            <w:tcW w:w="247.55pt" w:type="dxa"/>
            <w:tcBorders>
              <w:top w:val="single" w:sz="4" w:space="0" w:color="000000"/>
              <w:start w:val="single" w:sz="4" w:space="0" w:color="000000"/>
            </w:tcBorders>
            <w:shd w:val="clear" w:color="auto" w:fill="FFFFFF"/>
          </w:tcPr>
          <w:p w14:paraId="5987712C" w14:textId="77777777" w:rsidR="00762BE1" w:rsidRDefault="008B67CB">
            <w:pPr>
              <w:pStyle w:val="Abschnittstitel"/>
            </w:pPr>
            <w:r>
              <w:t>II.</w:t>
            </w:r>
          </w:p>
        </w:tc>
        <w:tc>
          <w:tcPr>
            <w:tcW w:w="247.60pt" w:type="dxa"/>
            <w:tcBorders>
              <w:top w:val="single" w:sz="4" w:space="0" w:color="000000"/>
              <w:start w:val="single" w:sz="4" w:space="0" w:color="000000"/>
              <w:end w:val="single" w:sz="4" w:space="0" w:color="000000"/>
            </w:tcBorders>
            <w:shd w:val="clear" w:color="auto" w:fill="FFFFFF"/>
          </w:tcPr>
          <w:p w14:paraId="3C0D8CFC" w14:textId="77777777" w:rsidR="00762BE1" w:rsidRDefault="00762BE1"/>
        </w:tc>
      </w:tr>
      <w:tr w:rsidR="00762BE1" w14:paraId="6CB95872" w14:textId="77777777">
        <w:tc>
          <w:tcPr>
            <w:tcW w:w="247.55pt" w:type="dxa"/>
            <w:tcBorders>
              <w:top w:val="single" w:sz="4" w:space="0" w:color="000000"/>
              <w:start w:val="single" w:sz="4" w:space="0" w:color="000000"/>
            </w:tcBorders>
            <w:shd w:val="clear" w:color="auto" w:fill="FFFFFF"/>
          </w:tcPr>
          <w:p w14:paraId="1B7814E1" w14:textId="77777777" w:rsidR="00762BE1" w:rsidRDefault="00762BE1"/>
        </w:tc>
        <w:tc>
          <w:tcPr>
            <w:tcW w:w="247.55pt" w:type="dxa"/>
            <w:tcBorders>
              <w:top w:val="single" w:sz="4" w:space="0" w:color="000000"/>
              <w:start w:val="single" w:sz="4" w:space="0" w:color="000000"/>
            </w:tcBorders>
            <w:shd w:val="clear" w:color="auto" w:fill="FFFFFF"/>
          </w:tcPr>
          <w:p w14:paraId="68C5C431" w14:textId="77777777" w:rsidR="00762BE1" w:rsidRDefault="008B67CB">
            <w:pPr>
              <w:keepNext/>
            </w:pPr>
            <w:r>
              <w:rPr>
                <w:b/>
              </w:rPr>
              <w:t>1.</w:t>
            </w:r>
          </w:p>
          <w:p w14:paraId="06047E72" w14:textId="77777777" w:rsidR="00762BE1" w:rsidRDefault="008B67CB">
            <w:pPr>
              <w:pStyle w:val="Nebenzitat"/>
            </w:pPr>
            <w:r>
              <w:t xml:space="preserve">Der Erlass «Besoldungsverordnung (BVO; bGS </w:t>
            </w:r>
            <w:hyperlink r:id="rId6" w:history="1">
              <w:r>
                <w:rPr>
                  <w:rStyle w:val="Hyperlink"/>
                </w:rPr>
                <w:t>142.211</w:t>
              </w:r>
            </w:hyperlink>
            <w:r>
              <w:t>) vom 30. Oktober 2006 (Stand 1. Januar 2026)» wird wie folgt geändert:</w:t>
            </w:r>
          </w:p>
        </w:tc>
        <w:tc>
          <w:tcPr>
            <w:tcW w:w="247.60pt" w:type="dxa"/>
            <w:tcBorders>
              <w:top w:val="single" w:sz="4" w:space="0" w:color="000000"/>
              <w:start w:val="single" w:sz="4" w:space="0" w:color="000000"/>
              <w:end w:val="single" w:sz="4" w:space="0" w:color="000000"/>
            </w:tcBorders>
            <w:shd w:val="clear" w:color="auto" w:fill="FFFFFF"/>
          </w:tcPr>
          <w:p w14:paraId="75738B71" w14:textId="77777777" w:rsidR="00762BE1" w:rsidRDefault="00762BE1"/>
        </w:tc>
      </w:tr>
      <w:tr w:rsidR="00762BE1" w14:paraId="65251246" w14:textId="77777777">
        <w:trPr>
          <w:cantSplit/>
        </w:trPr>
        <w:tc>
          <w:tcPr>
            <w:tcW w:w="247.55pt" w:type="dxa"/>
            <w:tcBorders>
              <w:top w:val="single" w:sz="4" w:space="0" w:color="000000"/>
              <w:start w:val="single" w:sz="4" w:space="0" w:color="000000"/>
            </w:tcBorders>
          </w:tcPr>
          <w:p w14:paraId="1D830AEC" w14:textId="77777777" w:rsidR="00762BE1" w:rsidRDefault="008B67CB">
            <w:pPr>
              <w:pStyle w:val="TableContents"/>
            </w:pPr>
            <w:r>
              <w:rPr>
                <w:b/>
                <w:bCs/>
              </w:rPr>
              <w:t>Art.  11</w:t>
            </w:r>
            <w:r>
              <w:br/>
            </w:r>
            <w:r>
              <w:rPr>
                <w:sz w:val="14"/>
              </w:rPr>
              <w:t>Ausserfamiliäre Kinderbetreuung</w:t>
            </w:r>
          </w:p>
        </w:tc>
        <w:tc>
          <w:tcPr>
            <w:tcW w:w="247.55pt" w:type="dxa"/>
            <w:tcBorders>
              <w:top w:val="single" w:sz="4" w:space="0" w:color="000000"/>
              <w:start w:val="single" w:sz="4" w:space="0" w:color="000000"/>
            </w:tcBorders>
          </w:tcPr>
          <w:p w14:paraId="4746BCCD" w14:textId="77777777" w:rsidR="00762BE1" w:rsidRDefault="00762BE1">
            <w:pPr>
              <w:pStyle w:val="TableContents"/>
            </w:pPr>
          </w:p>
        </w:tc>
        <w:tc>
          <w:tcPr>
            <w:tcW w:w="247.60pt" w:type="dxa"/>
            <w:tcBorders>
              <w:top w:val="single" w:sz="4" w:space="0" w:color="000000"/>
              <w:start w:val="single" w:sz="4" w:space="0" w:color="000000"/>
              <w:end w:val="single" w:sz="4" w:space="0" w:color="000000"/>
            </w:tcBorders>
          </w:tcPr>
          <w:p w14:paraId="7FC5DFBB" w14:textId="77777777" w:rsidR="00762BE1" w:rsidRDefault="00762BE1"/>
        </w:tc>
      </w:tr>
      <w:tr w:rsidR="00762BE1" w14:paraId="4410CC7E" w14:textId="77777777">
        <w:trPr>
          <w:cantSplit/>
        </w:trPr>
        <w:tc>
          <w:tcPr>
            <w:tcW w:w="247.55pt" w:type="dxa"/>
            <w:tcBorders>
              <w:start w:val="single" w:sz="4" w:space="0" w:color="000000"/>
            </w:tcBorders>
          </w:tcPr>
          <w:p w14:paraId="5A3B05AF" w14:textId="77777777" w:rsidR="00762BE1" w:rsidRDefault="008B67CB">
            <w:pPr>
              <w:pStyle w:val="TableContents"/>
            </w:pPr>
            <w:r>
              <w:rPr>
                <w:vertAlign w:val="superscript"/>
              </w:rPr>
              <w:t>1</w:t>
            </w:r>
            <w:r>
              <w:t> Angestellte mit einem oder mehreren Kindern, für die sie die elterliche Sorge nach Art. 296 ff. ZGB tragen oder für die ein bewilligtes Pflegeverhältnis im Hinblick auf eine Adoption besteht, erhalten unter folgenden Voraussetzungen eine Zulage von Fr. 200.-- pro Monat und Kind bis zum 12. Altersjahr für die ausserfamiliäre Kinderbetreuung:</w:t>
            </w:r>
          </w:p>
        </w:tc>
        <w:tc>
          <w:tcPr>
            <w:tcW w:w="247.55pt" w:type="dxa"/>
            <w:tcBorders>
              <w:start w:val="single" w:sz="4" w:space="0" w:color="000000"/>
            </w:tcBorders>
          </w:tcPr>
          <w:p w14:paraId="2555E6E3" w14:textId="77777777" w:rsidR="00762BE1" w:rsidRDefault="008B67CB">
            <w:pPr>
              <w:pStyle w:val="TableContents"/>
            </w:pPr>
            <w:r>
              <w:rPr>
                <w:vertAlign w:val="superscript"/>
              </w:rPr>
              <w:t>1</w:t>
            </w:r>
            <w:r>
              <w:t> Die ausserfamiliäre Kinderbetreuung wird mit Zulagen unterstützt. Anspruchsberechtigt sind Angestellte, die</w:t>
            </w:r>
          </w:p>
        </w:tc>
        <w:tc>
          <w:tcPr>
            <w:tcW w:w="247.60pt" w:type="dxa"/>
            <w:tcBorders>
              <w:start w:val="single" w:sz="4" w:space="0" w:color="000000"/>
              <w:end w:val="single" w:sz="4" w:space="0" w:color="000000"/>
            </w:tcBorders>
          </w:tcPr>
          <w:p w14:paraId="6B8763E9" w14:textId="77777777" w:rsidR="00762BE1" w:rsidRDefault="00762BE1"/>
        </w:tc>
      </w:tr>
      <w:tr w:rsidR="00762BE1" w14:paraId="2223DC1A" w14:textId="77777777">
        <w:trPr>
          <w:cantSplit/>
        </w:trPr>
        <w:tc>
          <w:tcPr>
            <w:tcW w:w="247.55pt" w:type="dxa"/>
            <w:tcBorders>
              <w:start w:val="single" w:sz="4" w:space="0" w:color="000000"/>
            </w:tcBorders>
          </w:tcPr>
          <w:p w14:paraId="5381D883" w14:textId="77777777" w:rsidR="00762BE1" w:rsidRDefault="008B67CB">
            <w:pPr>
              <w:pStyle w:val="TableContents"/>
              <w:ind w:start="7.45pt" w:end="0.15pt" w:hanging="9.45pt"/>
            </w:pPr>
            <w:r>
              <w:t>a) Der Beschäftigungsgrad beträgt mindestens die Hälfte eines vollen Pensums;</w:t>
            </w:r>
          </w:p>
        </w:tc>
        <w:tc>
          <w:tcPr>
            <w:tcW w:w="247.55pt" w:type="dxa"/>
            <w:tcBorders>
              <w:start w:val="single" w:sz="4" w:space="0" w:color="000000"/>
            </w:tcBorders>
          </w:tcPr>
          <w:p w14:paraId="375BF228" w14:textId="77777777" w:rsidR="00762BE1" w:rsidRDefault="008B67CB">
            <w:pPr>
              <w:pStyle w:val="TableContents"/>
              <w:ind w:start="7.45pt" w:end="0.15pt" w:hanging="9.45pt"/>
            </w:pPr>
            <w:r>
              <w:t>a) für ein in ihrer Obhut stehendes Kind ein Betreuungsangebot nach Art. 2 des Kinderbetreuungsgesetzes</w:t>
            </w:r>
            <w:r>
              <w:rPr>
                <w:rStyle w:val="Funotenzeichen"/>
              </w:rPr>
              <w:footnoteReference w:id="1"/>
            </w:r>
            <w:r>
              <w:rPr>
                <w:rStyle w:val="Funotenzeichen"/>
              </w:rPr>
              <w:t>)</w:t>
            </w:r>
            <w:r>
              <w:t xml:space="preserve"> nutzen,</w:t>
            </w:r>
          </w:p>
        </w:tc>
        <w:tc>
          <w:tcPr>
            <w:tcW w:w="247.60pt" w:type="dxa"/>
            <w:tcBorders>
              <w:start w:val="single" w:sz="4" w:space="0" w:color="000000"/>
              <w:end w:val="single" w:sz="4" w:space="0" w:color="000000"/>
            </w:tcBorders>
          </w:tcPr>
          <w:p w14:paraId="5D65B6D4" w14:textId="77777777" w:rsidR="00762BE1" w:rsidRDefault="00762BE1"/>
        </w:tc>
      </w:tr>
      <w:tr w:rsidR="00762BE1" w14:paraId="3D5C6B5D" w14:textId="77777777">
        <w:trPr>
          <w:cantSplit/>
        </w:trPr>
        <w:tc>
          <w:tcPr>
            <w:tcW w:w="247.55pt" w:type="dxa"/>
            <w:tcBorders>
              <w:start w:val="single" w:sz="4" w:space="0" w:color="000000"/>
            </w:tcBorders>
          </w:tcPr>
          <w:p w14:paraId="54BF994D" w14:textId="77777777" w:rsidR="00762BE1" w:rsidRDefault="008B67CB">
            <w:pPr>
              <w:pStyle w:val="TableContents"/>
              <w:ind w:start="7.45pt" w:end="0.15pt" w:hanging="9.45pt"/>
            </w:pPr>
            <w:r>
              <w:lastRenderedPageBreak/>
              <w:t>b) die Betreuung eines Kindes während der Arbeitszeit kann nicht anders sichergestellt werden als durch eine ausserfamiliäre Kinderbetreuung;</w:t>
            </w:r>
          </w:p>
        </w:tc>
        <w:tc>
          <w:tcPr>
            <w:tcW w:w="247.55pt" w:type="dxa"/>
            <w:tcBorders>
              <w:start w:val="single" w:sz="4" w:space="0" w:color="000000"/>
            </w:tcBorders>
          </w:tcPr>
          <w:p w14:paraId="5569003B" w14:textId="77777777" w:rsidR="00762BE1" w:rsidRDefault="008B67CB">
            <w:pPr>
              <w:pStyle w:val="TableContents"/>
              <w:ind w:start="7.45pt" w:end="0.15pt" w:hanging="9.45pt"/>
            </w:pPr>
            <w:r>
              <w:t>b) einen Beschäftigungsgrad von mindestens 50 % aufweisen und</w:t>
            </w:r>
          </w:p>
        </w:tc>
        <w:tc>
          <w:tcPr>
            <w:tcW w:w="247.60pt" w:type="dxa"/>
            <w:tcBorders>
              <w:start w:val="single" w:sz="4" w:space="0" w:color="000000"/>
              <w:end w:val="single" w:sz="4" w:space="0" w:color="000000"/>
            </w:tcBorders>
          </w:tcPr>
          <w:p w14:paraId="383AA86F" w14:textId="77777777" w:rsidR="00762BE1" w:rsidRDefault="00762BE1"/>
        </w:tc>
      </w:tr>
      <w:tr w:rsidR="00762BE1" w14:paraId="6A52A3D9" w14:textId="77777777">
        <w:trPr>
          <w:cantSplit/>
        </w:trPr>
        <w:tc>
          <w:tcPr>
            <w:tcW w:w="247.55pt" w:type="dxa"/>
            <w:tcBorders>
              <w:start w:val="single" w:sz="4" w:space="0" w:color="000000"/>
            </w:tcBorders>
          </w:tcPr>
          <w:p w14:paraId="1D8F9BBD" w14:textId="77777777" w:rsidR="00762BE1" w:rsidRDefault="008B67CB">
            <w:pPr>
              <w:pStyle w:val="TableContents"/>
              <w:ind w:start="7.45pt" w:end="0.15pt" w:hanging="9.45pt"/>
            </w:pPr>
            <w:r>
              <w:t>c) die Betreuung erfolgt durch eine dazu spezialisierte Einrichtung oder Person;</w:t>
            </w:r>
          </w:p>
        </w:tc>
        <w:tc>
          <w:tcPr>
            <w:tcW w:w="247.55pt" w:type="dxa"/>
            <w:tcBorders>
              <w:start w:val="single" w:sz="4" w:space="0" w:color="000000"/>
            </w:tcBorders>
          </w:tcPr>
          <w:p w14:paraId="29566A0B" w14:textId="77777777" w:rsidR="00762BE1" w:rsidRDefault="008B67CB">
            <w:pPr>
              <w:pStyle w:val="TableContents"/>
              <w:ind w:start="7.45pt" w:end="0.15pt" w:hanging="9.45pt"/>
            </w:pPr>
            <w:r>
              <w:t>c) einen Jahreslohn von höchstens 100'000 Franken beziehen.</w:t>
            </w:r>
          </w:p>
        </w:tc>
        <w:tc>
          <w:tcPr>
            <w:tcW w:w="247.60pt" w:type="dxa"/>
            <w:tcBorders>
              <w:start w:val="single" w:sz="4" w:space="0" w:color="000000"/>
              <w:end w:val="single" w:sz="4" w:space="0" w:color="000000"/>
            </w:tcBorders>
          </w:tcPr>
          <w:p w14:paraId="732EED4D" w14:textId="77777777" w:rsidR="00762BE1" w:rsidRDefault="00762BE1"/>
        </w:tc>
      </w:tr>
      <w:tr w:rsidR="00762BE1" w14:paraId="1D3FF380" w14:textId="77777777">
        <w:trPr>
          <w:cantSplit/>
        </w:trPr>
        <w:tc>
          <w:tcPr>
            <w:tcW w:w="247.55pt" w:type="dxa"/>
            <w:tcBorders>
              <w:start w:val="single" w:sz="4" w:space="0" w:color="000000"/>
            </w:tcBorders>
          </w:tcPr>
          <w:p w14:paraId="7F64A5DA" w14:textId="77777777" w:rsidR="00762BE1" w:rsidRDefault="008B67CB">
            <w:pPr>
              <w:pStyle w:val="TableContents"/>
              <w:ind w:start="7.45pt" w:end="0.15pt" w:hanging="9.45pt"/>
            </w:pPr>
            <w:r>
              <w:t>d) der Kanton stellt kein eigenes oder entsprechend vergünstigtes Betreuungsangebot zur Verfügung;</w:t>
            </w:r>
          </w:p>
        </w:tc>
        <w:tc>
          <w:tcPr>
            <w:tcW w:w="247.55pt" w:type="dxa"/>
            <w:tcBorders>
              <w:start w:val="single" w:sz="4" w:space="0" w:color="000000"/>
            </w:tcBorders>
          </w:tcPr>
          <w:p w14:paraId="533B9D39" w14:textId="77777777" w:rsidR="00762BE1" w:rsidRDefault="008B67CB">
            <w:pPr>
              <w:pStyle w:val="TableContents"/>
              <w:ind w:start="7.45pt" w:end="0.15pt" w:hanging="9.45pt"/>
            </w:pPr>
            <w:r>
              <w:t>d) </w:t>
            </w:r>
            <w:r>
              <w:rPr>
                <w:i/>
                <w:iCs/>
              </w:rPr>
              <w:t>Aufgehoben.</w:t>
            </w:r>
          </w:p>
        </w:tc>
        <w:tc>
          <w:tcPr>
            <w:tcW w:w="247.60pt" w:type="dxa"/>
            <w:tcBorders>
              <w:start w:val="single" w:sz="4" w:space="0" w:color="000000"/>
              <w:end w:val="single" w:sz="4" w:space="0" w:color="000000"/>
            </w:tcBorders>
          </w:tcPr>
          <w:p w14:paraId="310B6574" w14:textId="77777777" w:rsidR="00762BE1" w:rsidRDefault="00762BE1"/>
        </w:tc>
      </w:tr>
      <w:tr w:rsidR="00762BE1" w14:paraId="1F66F5B9" w14:textId="77777777">
        <w:trPr>
          <w:cantSplit/>
        </w:trPr>
        <w:tc>
          <w:tcPr>
            <w:tcW w:w="247.55pt" w:type="dxa"/>
            <w:tcBorders>
              <w:start w:val="single" w:sz="4" w:space="0" w:color="000000"/>
            </w:tcBorders>
          </w:tcPr>
          <w:p w14:paraId="396D3F9B" w14:textId="77777777" w:rsidR="00762BE1" w:rsidRDefault="008B67CB">
            <w:pPr>
              <w:pStyle w:val="TableContents"/>
              <w:ind w:start="7.45pt" w:end="0.15pt" w:hanging="9.45pt"/>
            </w:pPr>
            <w:r>
              <w:t>e) es werden anderweitig keine Beiträge ausgerichtet.</w:t>
            </w:r>
          </w:p>
        </w:tc>
        <w:tc>
          <w:tcPr>
            <w:tcW w:w="247.55pt" w:type="dxa"/>
            <w:tcBorders>
              <w:start w:val="single" w:sz="4" w:space="0" w:color="000000"/>
            </w:tcBorders>
          </w:tcPr>
          <w:p w14:paraId="2F2DE970" w14:textId="77777777" w:rsidR="00762BE1" w:rsidRDefault="008B67CB">
            <w:pPr>
              <w:pStyle w:val="TableContents"/>
              <w:ind w:start="7.45pt" w:end="0.15pt" w:hanging="9.45pt"/>
            </w:pPr>
            <w:r>
              <w:t>e) </w:t>
            </w:r>
            <w:r>
              <w:rPr>
                <w:i/>
                <w:iCs/>
              </w:rPr>
              <w:t>Aufgehoben.</w:t>
            </w:r>
          </w:p>
        </w:tc>
        <w:tc>
          <w:tcPr>
            <w:tcW w:w="247.60pt" w:type="dxa"/>
            <w:tcBorders>
              <w:start w:val="single" w:sz="4" w:space="0" w:color="000000"/>
              <w:end w:val="single" w:sz="4" w:space="0" w:color="000000"/>
            </w:tcBorders>
          </w:tcPr>
          <w:p w14:paraId="0F613625" w14:textId="77777777" w:rsidR="00762BE1" w:rsidRDefault="00762BE1"/>
        </w:tc>
      </w:tr>
      <w:tr w:rsidR="00762BE1" w14:paraId="5307AEC4" w14:textId="77777777">
        <w:trPr>
          <w:cantSplit/>
        </w:trPr>
        <w:tc>
          <w:tcPr>
            <w:tcW w:w="247.55pt" w:type="dxa"/>
            <w:tcBorders>
              <w:start w:val="single" w:sz="4" w:space="0" w:color="000000"/>
            </w:tcBorders>
          </w:tcPr>
          <w:p w14:paraId="4BED6A3C" w14:textId="77777777" w:rsidR="00762BE1" w:rsidRDefault="00762BE1">
            <w:pPr>
              <w:pStyle w:val="TableContents"/>
            </w:pPr>
          </w:p>
        </w:tc>
        <w:tc>
          <w:tcPr>
            <w:tcW w:w="247.55pt" w:type="dxa"/>
            <w:tcBorders>
              <w:start w:val="single" w:sz="4" w:space="0" w:color="000000"/>
            </w:tcBorders>
          </w:tcPr>
          <w:p w14:paraId="6E116A31" w14:textId="77777777" w:rsidR="00762BE1" w:rsidRDefault="008B67CB">
            <w:pPr>
              <w:pStyle w:val="TableContents"/>
            </w:pPr>
            <w:r>
              <w:rPr>
                <w:vertAlign w:val="superscript"/>
              </w:rPr>
              <w:t>1a</w:t>
            </w:r>
            <w:r>
              <w:t> Die Zulage beträgt Fr. 200.- pro Kind und Monat, höchstens aber die selbst getragenen Betreuungskosten.</w:t>
            </w:r>
          </w:p>
        </w:tc>
        <w:tc>
          <w:tcPr>
            <w:tcW w:w="247.60pt" w:type="dxa"/>
            <w:tcBorders>
              <w:start w:val="single" w:sz="4" w:space="0" w:color="000000"/>
              <w:end w:val="single" w:sz="4" w:space="0" w:color="000000"/>
            </w:tcBorders>
          </w:tcPr>
          <w:p w14:paraId="2D23D74F" w14:textId="77777777" w:rsidR="00762BE1" w:rsidRDefault="00762BE1"/>
        </w:tc>
      </w:tr>
      <w:tr w:rsidR="00762BE1" w14:paraId="4192F2AB" w14:textId="77777777">
        <w:trPr>
          <w:cantSplit/>
        </w:trPr>
        <w:tc>
          <w:tcPr>
            <w:tcW w:w="247.55pt" w:type="dxa"/>
            <w:tcBorders>
              <w:start w:val="single" w:sz="4" w:space="0" w:color="000000"/>
            </w:tcBorders>
          </w:tcPr>
          <w:p w14:paraId="68C87077" w14:textId="77777777" w:rsidR="00762BE1" w:rsidRDefault="008B67CB">
            <w:pPr>
              <w:pStyle w:val="TableContents"/>
            </w:pPr>
            <w:r>
              <w:rPr>
                <w:vertAlign w:val="superscript"/>
              </w:rPr>
              <w:t>2</w:t>
            </w:r>
            <w:r>
              <w:t> Pro Kind wird nur eine Zulage gewährt. Sie wird halbjährlich gegen Nachweis der Betreuungskosten ausbezahlt. Die Anspruchsberechtigung ist von der oder dem Angestellten nachzuweisen.</w:t>
            </w:r>
          </w:p>
        </w:tc>
        <w:tc>
          <w:tcPr>
            <w:tcW w:w="247.55pt" w:type="dxa"/>
            <w:tcBorders>
              <w:start w:val="single" w:sz="4" w:space="0" w:color="000000"/>
            </w:tcBorders>
          </w:tcPr>
          <w:p w14:paraId="6C8F6835" w14:textId="77777777" w:rsidR="00762BE1" w:rsidRDefault="008B67CB">
            <w:pPr>
              <w:pStyle w:val="TableContents"/>
            </w:pPr>
            <w:r>
              <w:rPr>
                <w:vertAlign w:val="superscript"/>
              </w:rPr>
              <w:t>2</w:t>
            </w:r>
            <w:r>
              <w:t> Die Zulage wird halbjährlich auf Nachweisung der selbst getragenen Betreuungskosten ausbezahlt.</w:t>
            </w:r>
          </w:p>
        </w:tc>
        <w:tc>
          <w:tcPr>
            <w:tcW w:w="247.60pt" w:type="dxa"/>
            <w:tcBorders>
              <w:start w:val="single" w:sz="4" w:space="0" w:color="000000"/>
              <w:end w:val="single" w:sz="4" w:space="0" w:color="000000"/>
            </w:tcBorders>
          </w:tcPr>
          <w:p w14:paraId="549DB76F" w14:textId="77777777" w:rsidR="00762BE1" w:rsidRDefault="00762BE1"/>
        </w:tc>
      </w:tr>
      <w:tr w:rsidR="00762BE1" w14:paraId="3081F081" w14:textId="77777777">
        <w:tc>
          <w:tcPr>
            <w:tcW w:w="247.55pt" w:type="dxa"/>
            <w:tcBorders>
              <w:top w:val="single" w:sz="4" w:space="0" w:color="000000"/>
              <w:start w:val="single" w:sz="4" w:space="0" w:color="000000"/>
            </w:tcBorders>
            <w:shd w:val="clear" w:color="auto" w:fill="FFFFFF"/>
          </w:tcPr>
          <w:p w14:paraId="3D745FB1" w14:textId="77777777" w:rsidR="00762BE1" w:rsidRDefault="00762BE1"/>
        </w:tc>
        <w:tc>
          <w:tcPr>
            <w:tcW w:w="247.55pt" w:type="dxa"/>
            <w:tcBorders>
              <w:top w:val="single" w:sz="4" w:space="0" w:color="000000"/>
              <w:start w:val="single" w:sz="4" w:space="0" w:color="000000"/>
            </w:tcBorders>
            <w:shd w:val="clear" w:color="auto" w:fill="FFFFFF"/>
          </w:tcPr>
          <w:p w14:paraId="3487CD69" w14:textId="77777777" w:rsidR="00762BE1" w:rsidRDefault="008B67CB">
            <w:pPr>
              <w:keepNext/>
            </w:pPr>
            <w:r>
              <w:rPr>
                <w:b/>
              </w:rPr>
              <w:t>2.</w:t>
            </w:r>
          </w:p>
          <w:p w14:paraId="58E01341" w14:textId="77777777" w:rsidR="00762BE1" w:rsidRDefault="008B67CB">
            <w:pPr>
              <w:pStyle w:val="Nebenzitat"/>
            </w:pPr>
            <w:r>
              <w:t xml:space="preserve">Der Erlass «Verordnung über die Einführung des Bundesgesetzes vom 4. Oktober 1985 über Fuss- und Wanderwege (bGS </w:t>
            </w:r>
            <w:hyperlink r:id="rId7" w:history="1">
              <w:r>
                <w:rPr>
                  <w:rStyle w:val="Hyperlink"/>
                </w:rPr>
                <w:t>731.31</w:t>
              </w:r>
            </w:hyperlink>
            <w:r>
              <w:t>) vom 20. November 1989 (Stand 30. September 2016)» wird wie folgt geändert:</w:t>
            </w:r>
          </w:p>
        </w:tc>
        <w:tc>
          <w:tcPr>
            <w:tcW w:w="247.60pt" w:type="dxa"/>
            <w:tcBorders>
              <w:top w:val="single" w:sz="4" w:space="0" w:color="000000"/>
              <w:start w:val="single" w:sz="4" w:space="0" w:color="000000"/>
              <w:end w:val="single" w:sz="4" w:space="0" w:color="000000"/>
            </w:tcBorders>
            <w:shd w:val="clear" w:color="auto" w:fill="FFFFFF"/>
          </w:tcPr>
          <w:p w14:paraId="274F83D9" w14:textId="77777777" w:rsidR="00762BE1" w:rsidRDefault="00762BE1"/>
        </w:tc>
      </w:tr>
      <w:tr w:rsidR="00762BE1" w14:paraId="666C07A8" w14:textId="77777777">
        <w:trPr>
          <w:cantSplit/>
        </w:trPr>
        <w:tc>
          <w:tcPr>
            <w:tcW w:w="247.55pt" w:type="dxa"/>
            <w:tcBorders>
              <w:top w:val="single" w:sz="4" w:space="0" w:color="000000"/>
              <w:start w:val="single" w:sz="4" w:space="0" w:color="000000"/>
            </w:tcBorders>
          </w:tcPr>
          <w:p w14:paraId="03F44215" w14:textId="77777777" w:rsidR="00762BE1" w:rsidRDefault="008B67CB">
            <w:pPr>
              <w:pStyle w:val="TableContents"/>
            </w:pPr>
            <w:r>
              <w:rPr>
                <w:b/>
                <w:bCs/>
              </w:rPr>
              <w:t>Art.  22</w:t>
            </w:r>
            <w:r>
              <w:br/>
            </w:r>
            <w:r>
              <w:rPr>
                <w:sz w:val="14"/>
              </w:rPr>
              <w:t>Private Fachorganisation</w:t>
            </w:r>
          </w:p>
        </w:tc>
        <w:tc>
          <w:tcPr>
            <w:tcW w:w="247.55pt" w:type="dxa"/>
            <w:tcBorders>
              <w:top w:val="single" w:sz="4" w:space="0" w:color="000000"/>
              <w:start w:val="single" w:sz="4" w:space="0" w:color="000000"/>
            </w:tcBorders>
          </w:tcPr>
          <w:p w14:paraId="4C97E277" w14:textId="77777777" w:rsidR="00762BE1" w:rsidRDefault="00762BE1">
            <w:pPr>
              <w:pStyle w:val="TableContents"/>
            </w:pPr>
          </w:p>
        </w:tc>
        <w:tc>
          <w:tcPr>
            <w:tcW w:w="247.60pt" w:type="dxa"/>
            <w:tcBorders>
              <w:top w:val="single" w:sz="4" w:space="0" w:color="000000"/>
              <w:start w:val="single" w:sz="4" w:space="0" w:color="000000"/>
              <w:end w:val="single" w:sz="4" w:space="0" w:color="000000"/>
            </w:tcBorders>
          </w:tcPr>
          <w:p w14:paraId="79D7C9F7" w14:textId="77777777" w:rsidR="00762BE1" w:rsidRDefault="00762BE1"/>
        </w:tc>
      </w:tr>
      <w:tr w:rsidR="00762BE1" w14:paraId="496A15F4" w14:textId="77777777">
        <w:trPr>
          <w:cantSplit/>
        </w:trPr>
        <w:tc>
          <w:tcPr>
            <w:tcW w:w="247.55pt" w:type="dxa"/>
            <w:tcBorders>
              <w:start w:val="single" w:sz="4" w:space="0" w:color="000000"/>
            </w:tcBorders>
          </w:tcPr>
          <w:p w14:paraId="596EACD8" w14:textId="77777777" w:rsidR="00762BE1" w:rsidRDefault="008B67CB">
            <w:pPr>
              <w:pStyle w:val="TableContents"/>
            </w:pPr>
            <w:r>
              <w:rPr>
                <w:vertAlign w:val="superscript"/>
              </w:rPr>
              <w:t>1</w:t>
            </w:r>
            <w:r>
              <w:t> Die Vereinigung für Appenzell A.Rh. Wanderwege gilt als private Fachorganisation im Sinne von Art. 8 FWG.</w:t>
            </w:r>
          </w:p>
        </w:tc>
        <w:tc>
          <w:tcPr>
            <w:tcW w:w="247.55pt" w:type="dxa"/>
            <w:tcBorders>
              <w:start w:val="single" w:sz="4" w:space="0" w:color="000000"/>
            </w:tcBorders>
          </w:tcPr>
          <w:p w14:paraId="05E9BB21" w14:textId="77777777" w:rsidR="00762BE1" w:rsidRDefault="00762BE1">
            <w:pPr>
              <w:pStyle w:val="TableContents"/>
            </w:pPr>
          </w:p>
        </w:tc>
        <w:tc>
          <w:tcPr>
            <w:tcW w:w="247.60pt" w:type="dxa"/>
            <w:tcBorders>
              <w:start w:val="single" w:sz="4" w:space="0" w:color="000000"/>
              <w:end w:val="single" w:sz="4" w:space="0" w:color="000000"/>
            </w:tcBorders>
          </w:tcPr>
          <w:p w14:paraId="72BCA09A" w14:textId="77777777" w:rsidR="00762BE1" w:rsidRDefault="00762BE1"/>
        </w:tc>
      </w:tr>
      <w:tr w:rsidR="00762BE1" w14:paraId="03912218" w14:textId="77777777">
        <w:trPr>
          <w:cantSplit/>
        </w:trPr>
        <w:tc>
          <w:tcPr>
            <w:tcW w:w="247.55pt" w:type="dxa"/>
            <w:tcBorders>
              <w:start w:val="single" w:sz="4" w:space="0" w:color="000000"/>
            </w:tcBorders>
          </w:tcPr>
          <w:p w14:paraId="05D8FB99" w14:textId="77777777" w:rsidR="00762BE1" w:rsidRDefault="008B67CB">
            <w:pPr>
              <w:pStyle w:val="TableContents"/>
            </w:pPr>
            <w:r>
              <w:rPr>
                <w:vertAlign w:val="superscript"/>
              </w:rPr>
              <w:lastRenderedPageBreak/>
              <w:t>2</w:t>
            </w:r>
            <w:r>
              <w:t> Sie unterstützt die Amtsstellen des Kantons und der Gemeinden bei der Planung, Anlage und Erhaltung sowie beim Ersatz des Wanderwegnetzes, namentlich durch fachliche Beratung und Beschaffung von Grundlagen.</w:t>
            </w:r>
          </w:p>
        </w:tc>
        <w:tc>
          <w:tcPr>
            <w:tcW w:w="247.55pt" w:type="dxa"/>
            <w:tcBorders>
              <w:start w:val="single" w:sz="4" w:space="0" w:color="000000"/>
            </w:tcBorders>
          </w:tcPr>
          <w:p w14:paraId="7038DAC5" w14:textId="77777777" w:rsidR="00762BE1" w:rsidRDefault="00762BE1">
            <w:pPr>
              <w:pStyle w:val="TableContents"/>
            </w:pPr>
          </w:p>
        </w:tc>
        <w:tc>
          <w:tcPr>
            <w:tcW w:w="247.60pt" w:type="dxa"/>
            <w:tcBorders>
              <w:start w:val="single" w:sz="4" w:space="0" w:color="000000"/>
              <w:end w:val="single" w:sz="4" w:space="0" w:color="000000"/>
            </w:tcBorders>
          </w:tcPr>
          <w:p w14:paraId="502DAEA0" w14:textId="77777777" w:rsidR="00762BE1" w:rsidRDefault="00762BE1"/>
        </w:tc>
      </w:tr>
      <w:tr w:rsidR="00762BE1" w14:paraId="1D71970A" w14:textId="77777777">
        <w:trPr>
          <w:cantSplit/>
        </w:trPr>
        <w:tc>
          <w:tcPr>
            <w:tcW w:w="247.55pt" w:type="dxa"/>
            <w:tcBorders>
              <w:start w:val="single" w:sz="4" w:space="0" w:color="000000"/>
            </w:tcBorders>
          </w:tcPr>
          <w:p w14:paraId="71D5B0C2" w14:textId="77777777" w:rsidR="00762BE1" w:rsidRDefault="00762BE1">
            <w:pPr>
              <w:pStyle w:val="TableContents"/>
            </w:pPr>
          </w:p>
        </w:tc>
        <w:tc>
          <w:tcPr>
            <w:tcW w:w="247.55pt" w:type="dxa"/>
            <w:tcBorders>
              <w:start w:val="single" w:sz="4" w:space="0" w:color="000000"/>
            </w:tcBorders>
          </w:tcPr>
          <w:p w14:paraId="2DEAEB9A" w14:textId="77777777" w:rsidR="00762BE1" w:rsidRDefault="008B67CB">
            <w:pPr>
              <w:pStyle w:val="TableContents"/>
            </w:pPr>
            <w:r>
              <w:rPr>
                <w:vertAlign w:val="superscript"/>
              </w:rPr>
              <w:t>3</w:t>
            </w:r>
            <w:r>
              <w:t> Das Departement Bau und Volkswirtschaft regelt mit der Vereinigung Appenzell A.Rh. Wanderwege in einer mehrjährigen Vereinbarung die zu erbringenden Leistungen und deren Abgeltung. Die Gemeinden sind dazu anzuhören.</w:t>
            </w:r>
          </w:p>
        </w:tc>
        <w:tc>
          <w:tcPr>
            <w:tcW w:w="247.60pt" w:type="dxa"/>
            <w:tcBorders>
              <w:start w:val="single" w:sz="4" w:space="0" w:color="000000"/>
              <w:end w:val="single" w:sz="4" w:space="0" w:color="000000"/>
            </w:tcBorders>
          </w:tcPr>
          <w:p w14:paraId="285D46CB" w14:textId="77777777" w:rsidR="00762BE1" w:rsidRDefault="00762BE1"/>
        </w:tc>
      </w:tr>
      <w:tr w:rsidR="00762BE1" w14:paraId="59C8BE92" w14:textId="77777777">
        <w:trPr>
          <w:cantSplit/>
        </w:trPr>
        <w:tc>
          <w:tcPr>
            <w:tcW w:w="247.55pt" w:type="dxa"/>
            <w:tcBorders>
              <w:start w:val="single" w:sz="4" w:space="0" w:color="000000"/>
            </w:tcBorders>
          </w:tcPr>
          <w:p w14:paraId="29BC2470" w14:textId="77777777" w:rsidR="00762BE1" w:rsidRDefault="00762BE1">
            <w:pPr>
              <w:pStyle w:val="TableContents"/>
            </w:pPr>
          </w:p>
        </w:tc>
        <w:tc>
          <w:tcPr>
            <w:tcW w:w="247.55pt" w:type="dxa"/>
            <w:tcBorders>
              <w:start w:val="single" w:sz="4" w:space="0" w:color="000000"/>
            </w:tcBorders>
          </w:tcPr>
          <w:p w14:paraId="31CEB34E" w14:textId="77777777" w:rsidR="00762BE1" w:rsidRDefault="008B67CB">
            <w:pPr>
              <w:pStyle w:val="TableContents"/>
            </w:pPr>
            <w:r>
              <w:rPr>
                <w:vertAlign w:val="superscript"/>
              </w:rPr>
              <w:t>4</w:t>
            </w:r>
            <w:r>
              <w:t> Der Kanton trägt 20 Prozent der Gesamtkosten. Die restlichen Kosten werden nach Massgabe der Leistungsvereinbarung auf die Gemeinden verteilt.</w:t>
            </w:r>
          </w:p>
        </w:tc>
        <w:tc>
          <w:tcPr>
            <w:tcW w:w="247.60pt" w:type="dxa"/>
            <w:tcBorders>
              <w:start w:val="single" w:sz="4" w:space="0" w:color="000000"/>
              <w:end w:val="single" w:sz="4" w:space="0" w:color="000000"/>
            </w:tcBorders>
          </w:tcPr>
          <w:p w14:paraId="61C19046" w14:textId="77777777" w:rsidR="00762BE1" w:rsidRDefault="00762BE1"/>
        </w:tc>
      </w:tr>
      <w:tr w:rsidR="00762BE1" w14:paraId="38F744CA" w14:textId="77777777">
        <w:tc>
          <w:tcPr>
            <w:tcW w:w="247.55pt" w:type="dxa"/>
            <w:tcBorders>
              <w:top w:val="single" w:sz="4" w:space="0" w:color="000000"/>
              <w:start w:val="single" w:sz="4" w:space="0" w:color="000000"/>
            </w:tcBorders>
          </w:tcPr>
          <w:p w14:paraId="0543CB86" w14:textId="77777777" w:rsidR="00762BE1" w:rsidRDefault="008B67CB">
            <w:pPr>
              <w:pStyle w:val="TableContents"/>
            </w:pPr>
            <w:r>
              <w:rPr>
                <w:b/>
                <w:bCs/>
                <w:sz w:val="22"/>
              </w:rPr>
              <w:t>5. Finanzierung </w:t>
            </w:r>
            <w:r>
              <w:rPr>
                <w:b/>
                <w:bCs/>
                <w:color w:val="777777"/>
                <w:sz w:val="14"/>
              </w:rPr>
              <w:t>(5.)</w:t>
            </w:r>
          </w:p>
        </w:tc>
        <w:tc>
          <w:tcPr>
            <w:tcW w:w="247.55pt" w:type="dxa"/>
            <w:tcBorders>
              <w:top w:val="single" w:sz="4" w:space="0" w:color="000000"/>
              <w:start w:val="single" w:sz="4" w:space="0" w:color="000000"/>
            </w:tcBorders>
          </w:tcPr>
          <w:p w14:paraId="14E3770C" w14:textId="77777777" w:rsidR="00762BE1" w:rsidRDefault="008B67CB">
            <w:pPr>
              <w:pStyle w:val="TableContents"/>
            </w:pPr>
            <w:r>
              <w:rPr>
                <w:b/>
                <w:bCs/>
                <w:i/>
                <w:iCs/>
                <w:sz w:val="22"/>
              </w:rPr>
              <w:t>Aufgehoben.</w:t>
            </w:r>
            <w:r>
              <w:rPr>
                <w:b/>
                <w:bCs/>
                <w:sz w:val="22"/>
              </w:rPr>
              <w:t> </w:t>
            </w:r>
            <w:r>
              <w:rPr>
                <w:b/>
                <w:bCs/>
                <w:color w:val="777777"/>
                <w:sz w:val="14"/>
              </w:rPr>
              <w:t>(5.)</w:t>
            </w:r>
          </w:p>
        </w:tc>
        <w:tc>
          <w:tcPr>
            <w:tcW w:w="247.60pt" w:type="dxa"/>
            <w:tcBorders>
              <w:top w:val="single" w:sz="4" w:space="0" w:color="000000"/>
              <w:start w:val="single" w:sz="4" w:space="0" w:color="000000"/>
              <w:end w:val="single" w:sz="4" w:space="0" w:color="000000"/>
            </w:tcBorders>
          </w:tcPr>
          <w:p w14:paraId="755AD701" w14:textId="77777777" w:rsidR="00762BE1" w:rsidRDefault="00762BE1"/>
        </w:tc>
      </w:tr>
      <w:tr w:rsidR="00762BE1" w14:paraId="53CF05D0" w14:textId="77777777">
        <w:trPr>
          <w:cantSplit/>
        </w:trPr>
        <w:tc>
          <w:tcPr>
            <w:tcW w:w="247.55pt" w:type="dxa"/>
            <w:tcBorders>
              <w:top w:val="single" w:sz="4" w:space="0" w:color="000000"/>
              <w:start w:val="single" w:sz="4" w:space="0" w:color="000000"/>
            </w:tcBorders>
          </w:tcPr>
          <w:p w14:paraId="0116C3F1" w14:textId="77777777" w:rsidR="00762BE1" w:rsidRDefault="008B67CB">
            <w:pPr>
              <w:pStyle w:val="TableContents"/>
            </w:pPr>
            <w:r>
              <w:rPr>
                <w:b/>
                <w:bCs/>
              </w:rPr>
              <w:t>Art.  23</w:t>
            </w:r>
            <w:r>
              <w:br/>
            </w:r>
            <w:r>
              <w:rPr>
                <w:sz w:val="14"/>
              </w:rPr>
              <w:t>Kantonsbeiträge</w:t>
            </w:r>
          </w:p>
        </w:tc>
        <w:tc>
          <w:tcPr>
            <w:tcW w:w="247.55pt" w:type="dxa"/>
            <w:tcBorders>
              <w:top w:val="single" w:sz="4" w:space="0" w:color="000000"/>
              <w:start w:val="single" w:sz="4" w:space="0" w:color="000000"/>
            </w:tcBorders>
          </w:tcPr>
          <w:p w14:paraId="61679DC2" w14:textId="77777777" w:rsidR="00762BE1" w:rsidRDefault="008B67CB">
            <w:pPr>
              <w:pStyle w:val="TableContents"/>
            </w:pPr>
            <w:r>
              <w:rPr>
                <w:b/>
                <w:bCs/>
              </w:rPr>
              <w:t>Art.  23</w:t>
            </w:r>
            <w:r>
              <w:t> </w:t>
            </w:r>
            <w:r>
              <w:rPr>
                <w:i/>
                <w:iCs/>
              </w:rPr>
              <w:t>Aufgehoben.</w:t>
            </w:r>
          </w:p>
        </w:tc>
        <w:tc>
          <w:tcPr>
            <w:tcW w:w="247.60pt" w:type="dxa"/>
            <w:tcBorders>
              <w:top w:val="single" w:sz="4" w:space="0" w:color="000000"/>
              <w:start w:val="single" w:sz="4" w:space="0" w:color="000000"/>
              <w:end w:val="single" w:sz="4" w:space="0" w:color="000000"/>
            </w:tcBorders>
          </w:tcPr>
          <w:p w14:paraId="5F1C17EF" w14:textId="77777777" w:rsidR="00762BE1" w:rsidRDefault="00762BE1"/>
        </w:tc>
      </w:tr>
      <w:tr w:rsidR="00762BE1" w14:paraId="5F210339" w14:textId="77777777">
        <w:trPr>
          <w:cantSplit/>
        </w:trPr>
        <w:tc>
          <w:tcPr>
            <w:tcW w:w="247.55pt" w:type="dxa"/>
            <w:tcBorders>
              <w:start w:val="single" w:sz="4" w:space="0" w:color="000000"/>
            </w:tcBorders>
          </w:tcPr>
          <w:p w14:paraId="481EDC2C" w14:textId="77777777" w:rsidR="00762BE1" w:rsidRDefault="008B67CB">
            <w:pPr>
              <w:pStyle w:val="TableContents"/>
            </w:pPr>
            <w:r>
              <w:rPr>
                <w:vertAlign w:val="superscript"/>
              </w:rPr>
              <w:t>1</w:t>
            </w:r>
            <w:r>
              <w:t> …</w:t>
            </w:r>
          </w:p>
        </w:tc>
        <w:tc>
          <w:tcPr>
            <w:tcW w:w="247.55pt" w:type="dxa"/>
            <w:tcBorders>
              <w:start w:val="single" w:sz="4" w:space="0" w:color="000000"/>
            </w:tcBorders>
          </w:tcPr>
          <w:p w14:paraId="62F15521" w14:textId="77777777" w:rsidR="00762BE1" w:rsidRDefault="00762BE1">
            <w:pPr>
              <w:pStyle w:val="TableContents"/>
            </w:pPr>
          </w:p>
        </w:tc>
        <w:tc>
          <w:tcPr>
            <w:tcW w:w="247.60pt" w:type="dxa"/>
            <w:tcBorders>
              <w:start w:val="single" w:sz="4" w:space="0" w:color="000000"/>
              <w:end w:val="single" w:sz="4" w:space="0" w:color="000000"/>
            </w:tcBorders>
          </w:tcPr>
          <w:p w14:paraId="5F5BC853" w14:textId="77777777" w:rsidR="00762BE1" w:rsidRDefault="00762BE1"/>
        </w:tc>
      </w:tr>
      <w:tr w:rsidR="00762BE1" w14:paraId="0ED89016" w14:textId="77777777">
        <w:trPr>
          <w:cantSplit/>
        </w:trPr>
        <w:tc>
          <w:tcPr>
            <w:tcW w:w="247.55pt" w:type="dxa"/>
            <w:tcBorders>
              <w:start w:val="single" w:sz="4" w:space="0" w:color="000000"/>
            </w:tcBorders>
          </w:tcPr>
          <w:p w14:paraId="10859134" w14:textId="77777777" w:rsidR="00762BE1" w:rsidRDefault="008B67CB">
            <w:pPr>
              <w:pStyle w:val="TableContents"/>
            </w:pPr>
            <w:r>
              <w:rPr>
                <w:vertAlign w:val="superscript"/>
              </w:rPr>
              <w:t>2</w:t>
            </w:r>
            <w:r>
              <w:t> …</w:t>
            </w:r>
          </w:p>
        </w:tc>
        <w:tc>
          <w:tcPr>
            <w:tcW w:w="247.55pt" w:type="dxa"/>
            <w:tcBorders>
              <w:start w:val="single" w:sz="4" w:space="0" w:color="000000"/>
            </w:tcBorders>
          </w:tcPr>
          <w:p w14:paraId="6F203627" w14:textId="77777777" w:rsidR="00762BE1" w:rsidRDefault="00762BE1">
            <w:pPr>
              <w:pStyle w:val="TableContents"/>
            </w:pPr>
          </w:p>
        </w:tc>
        <w:tc>
          <w:tcPr>
            <w:tcW w:w="247.60pt" w:type="dxa"/>
            <w:tcBorders>
              <w:start w:val="single" w:sz="4" w:space="0" w:color="000000"/>
              <w:end w:val="single" w:sz="4" w:space="0" w:color="000000"/>
            </w:tcBorders>
          </w:tcPr>
          <w:p w14:paraId="41CA7433" w14:textId="77777777" w:rsidR="00762BE1" w:rsidRDefault="00762BE1"/>
        </w:tc>
      </w:tr>
      <w:tr w:rsidR="00762BE1" w14:paraId="61F76967" w14:textId="77777777">
        <w:trPr>
          <w:cantSplit/>
        </w:trPr>
        <w:tc>
          <w:tcPr>
            <w:tcW w:w="247.55pt" w:type="dxa"/>
            <w:tcBorders>
              <w:start w:val="single" w:sz="4" w:space="0" w:color="000000"/>
            </w:tcBorders>
          </w:tcPr>
          <w:p w14:paraId="251C6161" w14:textId="77777777" w:rsidR="00762BE1" w:rsidRDefault="008B67CB">
            <w:pPr>
              <w:pStyle w:val="TableContents"/>
            </w:pPr>
            <w:r>
              <w:rPr>
                <w:vertAlign w:val="superscript"/>
              </w:rPr>
              <w:t>3</w:t>
            </w:r>
            <w:r>
              <w:t> Die Vereinigung für Appenzell A.Rh. Wanderwege erhält nach Massgabe ihrer Leistungen für das Wanderwegnetz einen jährlichen Pauschalbeitrag.</w:t>
            </w:r>
          </w:p>
        </w:tc>
        <w:tc>
          <w:tcPr>
            <w:tcW w:w="247.55pt" w:type="dxa"/>
            <w:tcBorders>
              <w:start w:val="single" w:sz="4" w:space="0" w:color="000000"/>
            </w:tcBorders>
          </w:tcPr>
          <w:p w14:paraId="4CD0815B" w14:textId="77777777" w:rsidR="00762BE1" w:rsidRDefault="00762BE1">
            <w:pPr>
              <w:pStyle w:val="TableContents"/>
            </w:pPr>
          </w:p>
        </w:tc>
        <w:tc>
          <w:tcPr>
            <w:tcW w:w="247.60pt" w:type="dxa"/>
            <w:tcBorders>
              <w:start w:val="single" w:sz="4" w:space="0" w:color="000000"/>
              <w:end w:val="single" w:sz="4" w:space="0" w:color="000000"/>
            </w:tcBorders>
          </w:tcPr>
          <w:p w14:paraId="75FF65F5" w14:textId="77777777" w:rsidR="00762BE1" w:rsidRDefault="00762BE1"/>
        </w:tc>
      </w:tr>
      <w:tr w:rsidR="00762BE1" w14:paraId="2CBD3AD1" w14:textId="77777777">
        <w:tc>
          <w:tcPr>
            <w:tcW w:w="247.55pt" w:type="dxa"/>
            <w:tcBorders>
              <w:top w:val="single" w:sz="4" w:space="0" w:color="000000"/>
              <w:start w:val="single" w:sz="4" w:space="0" w:color="000000"/>
            </w:tcBorders>
            <w:shd w:val="clear" w:color="auto" w:fill="FFFFFF"/>
          </w:tcPr>
          <w:p w14:paraId="6B9388EE" w14:textId="77777777" w:rsidR="00762BE1" w:rsidRDefault="00762BE1"/>
        </w:tc>
        <w:tc>
          <w:tcPr>
            <w:tcW w:w="247.55pt" w:type="dxa"/>
            <w:tcBorders>
              <w:top w:val="single" w:sz="4" w:space="0" w:color="000000"/>
              <w:start w:val="single" w:sz="4" w:space="0" w:color="000000"/>
            </w:tcBorders>
            <w:shd w:val="clear" w:color="auto" w:fill="FFFFFF"/>
          </w:tcPr>
          <w:p w14:paraId="15F8FD9C" w14:textId="77777777" w:rsidR="00762BE1" w:rsidRDefault="008B67CB">
            <w:pPr>
              <w:pStyle w:val="Abschnittstitel"/>
            </w:pPr>
            <w:r>
              <w:t>III.</w:t>
            </w:r>
          </w:p>
        </w:tc>
        <w:tc>
          <w:tcPr>
            <w:tcW w:w="247.60pt" w:type="dxa"/>
            <w:tcBorders>
              <w:top w:val="single" w:sz="4" w:space="0" w:color="000000"/>
              <w:start w:val="single" w:sz="4" w:space="0" w:color="000000"/>
              <w:end w:val="single" w:sz="4" w:space="0" w:color="000000"/>
            </w:tcBorders>
            <w:shd w:val="clear" w:color="auto" w:fill="FFFFFF"/>
          </w:tcPr>
          <w:p w14:paraId="0C2619EC" w14:textId="77777777" w:rsidR="00762BE1" w:rsidRDefault="00762BE1"/>
        </w:tc>
      </w:tr>
      <w:tr w:rsidR="00762BE1" w14:paraId="51A79542" w14:textId="77777777">
        <w:tc>
          <w:tcPr>
            <w:tcW w:w="247.55pt" w:type="dxa"/>
            <w:tcBorders>
              <w:top w:val="single" w:sz="4" w:space="0" w:color="000000"/>
              <w:start w:val="single" w:sz="4" w:space="0" w:color="000000"/>
            </w:tcBorders>
          </w:tcPr>
          <w:p w14:paraId="728633B9" w14:textId="77777777" w:rsidR="00762BE1" w:rsidRDefault="00762BE1">
            <w:pPr>
              <w:pStyle w:val="EmptySectionRemark"/>
            </w:pPr>
          </w:p>
        </w:tc>
        <w:tc>
          <w:tcPr>
            <w:tcW w:w="247.55pt" w:type="dxa"/>
            <w:tcBorders>
              <w:top w:val="single" w:sz="4" w:space="0" w:color="000000"/>
              <w:start w:val="single" w:sz="4" w:space="0" w:color="000000"/>
            </w:tcBorders>
          </w:tcPr>
          <w:p w14:paraId="217B2B35" w14:textId="77777777" w:rsidR="00762BE1" w:rsidRDefault="008B67CB">
            <w:pPr>
              <w:pStyle w:val="EmptySectionRemark"/>
            </w:pPr>
            <w:r>
              <w:t>Keine Fremdaufhebungen.</w:t>
            </w:r>
          </w:p>
        </w:tc>
        <w:tc>
          <w:tcPr>
            <w:tcW w:w="247.60pt" w:type="dxa"/>
            <w:tcBorders>
              <w:top w:val="single" w:sz="4" w:space="0" w:color="000000"/>
              <w:start w:val="single" w:sz="4" w:space="0" w:color="000000"/>
              <w:end w:val="single" w:sz="4" w:space="0" w:color="000000"/>
            </w:tcBorders>
          </w:tcPr>
          <w:p w14:paraId="0D35526B" w14:textId="77777777" w:rsidR="00762BE1" w:rsidRDefault="00762BE1"/>
        </w:tc>
      </w:tr>
      <w:tr w:rsidR="00762BE1" w14:paraId="27CE36CA" w14:textId="77777777">
        <w:tc>
          <w:tcPr>
            <w:tcW w:w="247.55pt" w:type="dxa"/>
            <w:tcBorders>
              <w:top w:val="single" w:sz="4" w:space="0" w:color="000000"/>
              <w:start w:val="single" w:sz="4" w:space="0" w:color="000000"/>
            </w:tcBorders>
            <w:shd w:val="clear" w:color="auto" w:fill="FFFFFF"/>
          </w:tcPr>
          <w:p w14:paraId="2515DC45" w14:textId="77777777" w:rsidR="00762BE1" w:rsidRDefault="00762BE1"/>
        </w:tc>
        <w:tc>
          <w:tcPr>
            <w:tcW w:w="247.55pt" w:type="dxa"/>
            <w:tcBorders>
              <w:top w:val="single" w:sz="4" w:space="0" w:color="000000"/>
              <w:start w:val="single" w:sz="4" w:space="0" w:color="000000"/>
            </w:tcBorders>
            <w:shd w:val="clear" w:color="auto" w:fill="FFFFFF"/>
          </w:tcPr>
          <w:p w14:paraId="52B00DFE" w14:textId="77777777" w:rsidR="00762BE1" w:rsidRDefault="008B67CB">
            <w:pPr>
              <w:pStyle w:val="Abschnittstitel"/>
            </w:pPr>
            <w:r>
              <w:t>IV.</w:t>
            </w:r>
          </w:p>
        </w:tc>
        <w:tc>
          <w:tcPr>
            <w:tcW w:w="247.60pt" w:type="dxa"/>
            <w:tcBorders>
              <w:top w:val="single" w:sz="4" w:space="0" w:color="000000"/>
              <w:start w:val="single" w:sz="4" w:space="0" w:color="000000"/>
              <w:end w:val="single" w:sz="4" w:space="0" w:color="000000"/>
            </w:tcBorders>
            <w:shd w:val="clear" w:color="auto" w:fill="FFFFFF"/>
          </w:tcPr>
          <w:p w14:paraId="4715BBB0" w14:textId="77777777" w:rsidR="00762BE1" w:rsidRDefault="00762BE1"/>
        </w:tc>
      </w:tr>
      <w:tr w:rsidR="00762BE1" w14:paraId="0DE8FC2B" w14:textId="77777777">
        <w:tc>
          <w:tcPr>
            <w:tcW w:w="247.55pt" w:type="dxa"/>
            <w:tcBorders>
              <w:start w:val="single" w:sz="4" w:space="0" w:color="000000"/>
              <w:bottom w:val="single" w:sz="4" w:space="0" w:color="000000"/>
            </w:tcBorders>
          </w:tcPr>
          <w:p w14:paraId="2D18B3C8" w14:textId="77777777" w:rsidR="00762BE1" w:rsidRDefault="00762BE1"/>
        </w:tc>
        <w:tc>
          <w:tcPr>
            <w:tcW w:w="247.55pt" w:type="dxa"/>
            <w:tcBorders>
              <w:start w:val="single" w:sz="4" w:space="0" w:color="000000"/>
              <w:bottom w:val="single" w:sz="4" w:space="0" w:color="000000"/>
            </w:tcBorders>
          </w:tcPr>
          <w:p w14:paraId="27B5D5AD" w14:textId="77777777" w:rsidR="00762BE1" w:rsidRDefault="008B67CB">
            <w:pPr>
              <w:pStyle w:val="TableContents"/>
            </w:pPr>
            <w:r>
              <w:t>Der Regierungsrat bestimmt das Inkrafttreten.</w:t>
            </w:r>
          </w:p>
        </w:tc>
        <w:tc>
          <w:tcPr>
            <w:tcW w:w="247.60pt" w:type="dxa"/>
            <w:tcBorders>
              <w:start w:val="single" w:sz="4" w:space="0" w:color="000000"/>
              <w:bottom w:val="single" w:sz="4" w:space="0" w:color="000000"/>
              <w:end w:val="single" w:sz="4" w:space="0" w:color="000000"/>
            </w:tcBorders>
          </w:tcPr>
          <w:p w14:paraId="05D31568" w14:textId="77777777" w:rsidR="00762BE1" w:rsidRDefault="00762BE1"/>
        </w:tc>
      </w:tr>
    </w:tbl>
    <w:p w14:paraId="3E1EB8BD" w14:textId="77777777" w:rsidR="00762BE1" w:rsidRDefault="00762BE1"/>
    <w:sectPr w:rsidR="00762BE1">
      <w:headerReference w:type="even" r:id="rId8"/>
      <w:headerReference w:type="default" r:id="rId9"/>
      <w:footerReference w:type="even" r:id="rId10"/>
      <w:footerReference w:type="default" r:id="rId11"/>
      <w:headerReference w:type="first" r:id="rId12"/>
      <w:footerReference w:type="first" r:id="rId13"/>
      <w:pgSz w:w="841.90pt" w:h="595.30pt" w:orient="landscape"/>
      <w:pgMar w:top="56.65pt" w:right="42.50pt" w:bottom="42.50pt" w:left="56.70pt" w:header="42.50pt" w:footer="28.35pt" w:gutter="0pt"/>
      <w:cols w:space="36pt"/>
      <w:titlePg/>
      <w:docGrid w:linePitch="245" w:charSpace="9215"/>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endnote w:type="separator" w:id="-1">
    <w:p w14:paraId="6C9F60A0" w14:textId="77777777" w:rsidR="00502AD6" w:rsidRDefault="00502AD6">
      <w:r>
        <w:separator/>
      </w:r>
    </w:p>
  </w:endnote>
  <w:endnote w:type="continuationSeparator" w:id="0">
    <w:p w14:paraId="078CBB81" w14:textId="77777777" w:rsidR="00502AD6" w:rsidRDefault="00502AD6">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characterSet="iso-8859-1"/>
    <w:family w:val="roman"/>
    <w:pitch w:val="variable"/>
    <w:sig w:usb0="E0002EFF" w:usb1="C000785B" w:usb2="00000009" w:usb3="00000000" w:csb0="000001FF" w:csb1="00000000"/>
  </w:font>
  <w:font w:name="Arial">
    <w:panose1 w:val="020B0604020202020204"/>
    <w:charset w:characterSet="iso-8859-1"/>
    <w:family w:val="swiss"/>
    <w:pitch w:val="variable"/>
    <w:sig w:usb0="E0002EFF" w:usb1="C000785B" w:usb2="00000009" w:usb3="00000000" w:csb0="000001FF" w:csb1="00000000"/>
  </w:font>
  <w:font w:name="Mangal">
    <w:panose1 w:val="00000400000000000000"/>
    <w:charset w:characterSet="iso-8859-1"/>
    <w:family w:val="roman"/>
    <w:pitch w:val="variable"/>
    <w:sig w:usb0="00008003" w:usb1="00000000" w:usb2="00000000" w:usb3="00000000" w:csb0="00000001" w:csb1="00000000"/>
  </w:font>
  <w:font w:name="Cambria">
    <w:panose1 w:val="02040503050406030204"/>
    <w:charset w:characterSet="iso-8859-1"/>
    <w:family w:val="roman"/>
    <w:pitch w:val="variable"/>
    <w:sig w:usb0="E00006FF" w:usb1="420024FF" w:usb2="02000000" w:usb3="00000000" w:csb0="0000019F" w:csb1="00000000"/>
  </w:font>
  <w:font w:name="Calibri">
    <w:panose1 w:val="020F0502020204030204"/>
    <w:charset w:characterSet="iso-8859-1"/>
    <w:family w:val="swiss"/>
    <w:pitch w:val="variable"/>
    <w:sig w:usb0="E4002EFF" w:usb1="C200247B" w:usb2="00000009" w:usb3="00000000" w:csb0="000001F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4DCE48E2" w14:textId="77777777" w:rsidR="00762BE1" w:rsidRDefault="00762BE1">
    <w:pPr>
      <w:pStyle w:val="Fuzeile"/>
    </w:pPr>
  </w:p>
</w:ftr>
</file>

<file path=word/footer2.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02E823F2" w14:textId="77777777" w:rsidR="00762BE1" w:rsidRDefault="00762BE1">
    <w:pPr>
      <w:pStyle w:val="Fuzeile"/>
    </w:pPr>
  </w:p>
</w:ftr>
</file>

<file path=word/footer3.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71293D6F" w14:textId="77777777" w:rsidR="00762BE1" w:rsidRDefault="00762BE1">
    <w:pPr>
      <w:pStyle w:val="Fuzeile"/>
    </w:pP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footnote w:type="separator" w:id="-1">
    <w:p w14:paraId="1B519EB2" w14:textId="77777777" w:rsidR="00502AD6" w:rsidRDefault="00502AD6">
      <w:r>
        <w:separator/>
      </w:r>
    </w:p>
  </w:footnote>
  <w:footnote w:type="continuationSeparator" w:id="0">
    <w:p w14:paraId="6C20CDC9" w14:textId="77777777" w:rsidR="00502AD6" w:rsidRDefault="00502AD6">
      <w:r>
        <w:continuationSeparator/>
      </w:r>
    </w:p>
  </w:footnote>
  <w:footnote w:id="1">
    <w:p w14:paraId="0B97574C" w14:textId="77777777" w:rsidR="00762BE1" w:rsidRDefault="008B67CB">
      <w:pPr>
        <w:pStyle w:val="Funotentext"/>
      </w:pPr>
      <w:r>
        <w:rPr>
          <w:rStyle w:val="FootnoteCharacters"/>
        </w:rPr>
        <w:footnoteRef/>
      </w:r>
      <w:r>
        <w:rPr>
          <w:vertAlign w:val="superscript"/>
        </w:rPr>
        <w:t>)</w:t>
      </w:r>
      <w:r>
        <w:tab/>
      </w:r>
      <w:proofErr w:type="spellStart"/>
      <w:r>
        <w:t>KibeG</w:t>
      </w:r>
      <w:proofErr w:type="spellEnd"/>
      <w:r>
        <w:t xml:space="preserve"> (</w:t>
      </w:r>
      <w:proofErr w:type="spellStart"/>
      <w:r>
        <w:t>bGS</w:t>
      </w:r>
      <w:proofErr w:type="spellEnd"/>
      <w:r>
        <w:t xml:space="preserve"> </w:t>
      </w:r>
      <w:hyperlink r:id="rId1" w:history="1">
        <w:r>
          <w:rPr>
            <w:rStyle w:val="Hyperlink"/>
          </w:rPr>
          <w:t>415.31</w:t>
        </w:r>
      </w:hyperlink>
      <w:r>
        <w:t>)</w:t>
      </w:r>
    </w:p>
  </w:footnote>
</w:footnotes>
</file>

<file path=word/header1.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6608629F" w14:textId="77777777" w:rsidR="00762BE1" w:rsidRDefault="008B67CB">
    <w:pPr>
      <w:pStyle w:val="Kopfzeile"/>
      <w:spacing w:line="12pt" w:lineRule="exact"/>
      <w:jc w:val="center"/>
      <w:rPr>
        <w:sz w:val="22"/>
      </w:rPr>
    </w:pPr>
    <w:r>
      <w:rPr>
        <w:sz w:val="16"/>
      </w:rPr>
      <w:t xml:space="preserve">- </w:t>
    </w:r>
    <w:r>
      <w:rPr>
        <w:sz w:val="16"/>
      </w:rPr>
      <w:fldChar w:fldCharType="begin"/>
    </w:r>
    <w:r>
      <w:rPr>
        <w:sz w:val="16"/>
      </w:rPr>
      <w:instrText xml:space="preserve"> PAGE </w:instrText>
    </w:r>
    <w:r>
      <w:rPr>
        <w:sz w:val="16"/>
      </w:rPr>
      <w:fldChar w:fldCharType="separate"/>
    </w:r>
    <w:r>
      <w:rPr>
        <w:sz w:val="16"/>
      </w:rPr>
      <w:t>2</w:t>
    </w:r>
    <w:r>
      <w:rPr>
        <w:sz w:val="16"/>
      </w:rPr>
      <w:fldChar w:fldCharType="end"/>
    </w:r>
    <w:r>
      <w:rPr>
        <w:sz w:val="16"/>
      </w:rPr>
      <w:t xml:space="preserve"> -</w:t>
    </w:r>
  </w:p>
  <w:p w14:paraId="6ABC5D7A" w14:textId="77777777" w:rsidR="00762BE1" w:rsidRDefault="00762BE1">
    <w:pPr>
      <w:pStyle w:val="Kopfzeile"/>
      <w:spacing w:line="12pt" w:lineRule="exact"/>
      <w:jc w:val="center"/>
      <w:rPr>
        <w:sz w:val="22"/>
      </w:rPr>
    </w:pPr>
  </w:p>
  <w:p w14:paraId="575B0ADA" w14:textId="77777777" w:rsidR="00762BE1" w:rsidRDefault="00762BE1">
    <w:pPr>
      <w:pStyle w:val="Kopfzeile"/>
      <w:spacing w:line="12pt" w:lineRule="exact"/>
      <w:jc w:val="center"/>
      <w:rPr>
        <w:sz w:val="22"/>
      </w:rPr>
    </w:pPr>
  </w:p>
</w:hdr>
</file>

<file path=word/header2.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02C46CD2" w14:textId="77777777" w:rsidR="00762BE1" w:rsidRDefault="008B67CB">
    <w:pPr>
      <w:pStyle w:val="Kopfzeile"/>
      <w:spacing w:line="12pt" w:lineRule="exact"/>
      <w:jc w:val="center"/>
      <w:rPr>
        <w:sz w:val="22"/>
      </w:rPr>
    </w:pPr>
    <w:r>
      <w:rPr>
        <w:sz w:val="16"/>
      </w:rPr>
      <w:t xml:space="preserve">- </w:t>
    </w:r>
    <w:r>
      <w:rPr>
        <w:sz w:val="16"/>
      </w:rPr>
      <w:fldChar w:fldCharType="begin"/>
    </w:r>
    <w:r>
      <w:rPr>
        <w:sz w:val="16"/>
      </w:rPr>
      <w:instrText xml:space="preserve"> PAGE </w:instrText>
    </w:r>
    <w:r>
      <w:rPr>
        <w:sz w:val="16"/>
      </w:rPr>
      <w:fldChar w:fldCharType="separate"/>
    </w:r>
    <w:r>
      <w:rPr>
        <w:sz w:val="16"/>
      </w:rPr>
      <w:t>3</w:t>
    </w:r>
    <w:r>
      <w:rPr>
        <w:sz w:val="16"/>
      </w:rPr>
      <w:fldChar w:fldCharType="end"/>
    </w:r>
    <w:r>
      <w:rPr>
        <w:sz w:val="16"/>
      </w:rPr>
      <w:t xml:space="preserve"> -</w:t>
    </w:r>
  </w:p>
  <w:p w14:paraId="448F612C" w14:textId="77777777" w:rsidR="00762BE1" w:rsidRDefault="00762BE1">
    <w:pPr>
      <w:pStyle w:val="Kopfzeile"/>
      <w:spacing w:line="12pt" w:lineRule="exact"/>
      <w:jc w:val="center"/>
      <w:rPr>
        <w:sz w:val="22"/>
      </w:rPr>
    </w:pPr>
  </w:p>
  <w:p w14:paraId="4B8FA742" w14:textId="77777777" w:rsidR="00762BE1" w:rsidRDefault="00762BE1">
    <w:pPr>
      <w:pStyle w:val="Kopfzeile"/>
      <w:spacing w:line="12pt" w:lineRule="exact"/>
      <w:jc w:val="center"/>
      <w:rPr>
        <w:sz w:val="22"/>
      </w:rPr>
    </w:pPr>
  </w:p>
</w:hdr>
</file>

<file path=word/header3.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05FAD768" w14:textId="77777777" w:rsidR="00762BE1" w:rsidRDefault="00762BE1">
    <w:pPr>
      <w:pStyle w:val="Kopfzeile"/>
      <w:spacing w:line="12pt" w:lineRule="exact"/>
      <w:jc w:val="center"/>
      <w:rPr>
        <w:sz w:val="16"/>
      </w:rPr>
    </w:pPr>
  </w:p>
</w:hdr>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embedSystemFonts/>
  <w:proofState w:spelling="clean" w:grammar="clean"/>
  <w:stylePaneFormatFilter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35.45pt"/>
  <w:autoHyphenation/>
  <w:hyphenationZone w:val="21.25pt"/>
  <w:defaultTableStyle w:val="Standard"/>
  <w:evenAndOddHeaders/>
  <w:drawingGridHorizontalSpacing w:val="0pt"/>
  <w:drawingGridVerticalSpacing w:val="0pt"/>
  <w:displayHorizontalDrawingGridEvery w:val="0"/>
  <w:displayVerticalDrawingGridEvery w:val="0"/>
  <w:doNotUseMarginsForDrawingGridOrigin/>
  <w:drawingGridHorizontalOrigin w:val="0pt"/>
  <w:drawingGridVerticalOrigin w:val="0pt"/>
  <w:noPunctuationKerning/>
  <w:characterSpacingControl w:val="doNotCompres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2BE1"/>
    <w:rsid w:val="00233372"/>
    <w:rsid w:val="00263E20"/>
    <w:rsid w:val="003D0F0B"/>
    <w:rsid w:val="00502AD6"/>
    <w:rsid w:val="00537C82"/>
    <w:rsid w:val="006A2FF1"/>
    <w:rsid w:val="00762BE1"/>
    <w:rsid w:val="0079622C"/>
    <w:rsid w:val="008B67CB"/>
    <w:rsid w:val="00AC6B1D"/>
    <w:rsid w:val="00E940F5"/>
    <w:rsid w:val="00F01BA1"/>
    <w:rsid w:val="00FA5F6E"/>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doNotEmbedSmartTags/>
  <w:decimalSymbol w:val="."/>
  <w:listSeparator w:val=";"/>
  <w14:docId w14:val="452B893C"/>
  <w15:docId w15:val="{595C4A12-FCDD-4049-8779-1BDE6FDF9D7B}"/>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keepLines/>
      <w:widowControl w:val="0"/>
      <w:tabs>
        <w:tab w:val="end" w:pos="742.70pt"/>
      </w:tabs>
    </w:pPr>
    <w:rPr>
      <w:rFonts w:ascii="Arial" w:hAnsi="Arial"/>
      <w:lang w:val="de-CH" w:eastAsia="zh-CN"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pt" w:type="dxa"/>
      <w:tblCellMar>
        <w:top w:w="0pt" w:type="dxa"/>
        <w:start w:w="5.40pt" w:type="dxa"/>
        <w:bottom w:w="0pt" w:type="dxa"/>
        <w:end w:w="5.40pt" w:type="dxa"/>
      </w:tblCellMar>
    </w:tblPr>
  </w:style>
  <w:style w:type="numbering" w:default="1" w:styleId="KeineListe">
    <w:name w:val="No List"/>
    <w:uiPriority w:val="99"/>
    <w:semiHidden/>
    <w:unhideWhenUsed/>
  </w:style>
  <w:style w:type="character" w:customStyle="1" w:styleId="ZusammenfassungHauptnderung">
    <w:name w:val="Zusammenfassung Hauptänderung"/>
    <w:rPr>
      <w:b/>
    </w:rPr>
  </w:style>
  <w:style w:type="character" w:customStyle="1" w:styleId="Zusammenfassungnderung">
    <w:name w:val="Zusammenfassung Änderung"/>
  </w:style>
  <w:style w:type="character" w:customStyle="1" w:styleId="Absatz-Standardschriftart1">
    <w:name w:val="Absatz-Standardschriftart1"/>
  </w:style>
  <w:style w:type="character" w:styleId="Funotenzeichen">
    <w:name w:val="footnote reference"/>
    <w:rPr>
      <w:b w:val="0"/>
      <w:shd w:val="clear" w:color="auto" w:fill="auto"/>
      <w:vertAlign w:val="superscript"/>
    </w:rPr>
  </w:style>
  <w:style w:type="character" w:customStyle="1" w:styleId="FootnoteCharacters">
    <w:name w:val="Footnote Characters"/>
    <w:rPr>
      <w:rFonts w:ascii="Arial" w:hAnsi="Arial"/>
      <w:vertAlign w:val="superscript"/>
    </w:rPr>
  </w:style>
  <w:style w:type="character" w:styleId="Hyperlink">
    <w:name w:val="Hyperlink"/>
    <w:rPr>
      <w:color w:val="000080"/>
      <w:u w:val="single"/>
    </w:rPr>
  </w:style>
  <w:style w:type="character" w:styleId="Endnotenzeichen">
    <w:name w:val="endnote reference"/>
    <w:rPr>
      <w:vertAlign w:val="superscript"/>
    </w:rPr>
  </w:style>
  <w:style w:type="character" w:customStyle="1" w:styleId="EndnoteCharacters">
    <w:name w:val="Endnote Characters"/>
  </w:style>
  <w:style w:type="paragraph" w:customStyle="1" w:styleId="ZusammenfassungEinleitung">
    <w:name w:val="Zusammenfassung Einleitung"/>
    <w:basedOn w:val="Standard"/>
    <w:pPr>
      <w:keepNext/>
      <w:pBdr>
        <w:top w:val="single" w:sz="4" w:space="7" w:color="000000"/>
        <w:left w:val="none" w:sz="0" w:space="0" w:color="000000"/>
        <w:bottom w:val="none" w:sz="0" w:space="0" w:color="000000"/>
        <w:right w:val="none" w:sz="0" w:space="0" w:color="000000"/>
      </w:pBdr>
      <w:spacing w:after="4.25pt"/>
      <w:ind w:start="62.95pt" w:hanging="62.95pt"/>
    </w:pPr>
    <w:rPr>
      <w:position w:val="2"/>
    </w:rPr>
  </w:style>
  <w:style w:type="paragraph" w:customStyle="1" w:styleId="ZusammenfassungneueErlasse">
    <w:name w:val="Zusammenfassung neue Erlasse"/>
    <w:basedOn w:val="Standard"/>
    <w:pPr>
      <w:keepNext/>
      <w:tabs>
        <w:tab w:val="clear" w:pos="742.70pt"/>
        <w:tab w:val="start" w:pos="125.90pt"/>
      </w:tabs>
      <w:spacing w:line="11.60pt" w:lineRule="exact"/>
      <w:ind w:start="62.95pt" w:hanging="62.95pt"/>
    </w:pPr>
    <w:rPr>
      <w:position w:val="2"/>
    </w:rPr>
  </w:style>
  <w:style w:type="paragraph" w:customStyle="1" w:styleId="ZusammenfassunggenderteErlasse">
    <w:name w:val="Zusammenfassung geänderte Erlasse"/>
    <w:basedOn w:val="ZusammenfassungneueErlasse"/>
  </w:style>
  <w:style w:type="paragraph" w:customStyle="1" w:styleId="ZusammenfassungaufgehobeneErlasse">
    <w:name w:val="Zusammenfassung aufgehobene Erlasse"/>
    <w:basedOn w:val="ZusammenfassungneueErlasse"/>
    <w:pPr>
      <w:pBdr>
        <w:top w:val="none" w:sz="0" w:space="0" w:color="000000"/>
        <w:left w:val="none" w:sz="0" w:space="0" w:color="000000"/>
        <w:bottom w:val="single" w:sz="4" w:space="7" w:color="000000"/>
        <w:right w:val="none" w:sz="0" w:space="0" w:color="000000"/>
      </w:pBdr>
      <w:spacing w:after="6.50pt"/>
    </w:pPr>
  </w:style>
  <w:style w:type="paragraph" w:customStyle="1" w:styleId="Autor">
    <w:name w:val="Autor"/>
    <w:basedOn w:val="Standard"/>
    <w:rPr>
      <w:i/>
      <w:iCs/>
    </w:rPr>
  </w:style>
  <w:style w:type="paragraph" w:customStyle="1" w:styleId="Aktion">
    <w:name w:val="Aktion"/>
    <w:basedOn w:val="Standard"/>
    <w:rPr>
      <w:i/>
      <w:iCs/>
    </w:rPr>
  </w:style>
  <w:style w:type="paragraph" w:customStyle="1" w:styleId="EmptySectionRemark">
    <w:name w:val="Empty_Section_Remark"/>
    <w:basedOn w:val="Standard"/>
    <w:rPr>
      <w:i/>
      <w:iCs/>
    </w:rPr>
  </w:style>
  <w:style w:type="paragraph" w:customStyle="1" w:styleId="StandardvorAufzhlung">
    <w:name w:val="Standard vor Aufzählung"/>
    <w:basedOn w:val="Standard"/>
  </w:style>
  <w:style w:type="paragraph" w:customStyle="1" w:styleId="StandardvorTabelle">
    <w:name w:val="Standard vor Tabelle"/>
    <w:basedOn w:val="Standard"/>
  </w:style>
  <w:style w:type="paragraph" w:customStyle="1" w:styleId="StandardvorBild">
    <w:name w:val="Standard vor Bild"/>
    <w:basedOn w:val="Standard"/>
  </w:style>
  <w:style w:type="paragraph" w:customStyle="1" w:styleId="StandardBild">
    <w:name w:val="Standard Bild"/>
    <w:basedOn w:val="Standard"/>
    <w:pPr>
      <w:jc w:val="center"/>
    </w:pPr>
  </w:style>
  <w:style w:type="paragraph" w:customStyle="1" w:styleId="HeaderandFooter">
    <w:name w:val="Header and Footer"/>
    <w:basedOn w:val="Standard"/>
    <w:pPr>
      <w:suppressLineNumbers/>
      <w:tabs>
        <w:tab w:val="clear" w:pos="742.70pt"/>
        <w:tab w:val="center" w:pos="249.30pt"/>
        <w:tab w:val="end" w:pos="498.60pt"/>
      </w:tabs>
    </w:pPr>
  </w:style>
  <w:style w:type="paragraph" w:styleId="Kopfzeile">
    <w:name w:val="header"/>
    <w:pPr>
      <w:widowControl w:val="0"/>
      <w:tabs>
        <w:tab w:val="end" w:pos="742.70pt"/>
      </w:tabs>
      <w:suppressAutoHyphens/>
    </w:pPr>
    <w:rPr>
      <w:rFonts w:ascii="Arial" w:hAnsi="Arial"/>
      <w:sz w:val="18"/>
      <w:lang w:val="de-CH" w:eastAsia="zh-CN" w:bidi="hi-IN"/>
    </w:rPr>
  </w:style>
  <w:style w:type="paragraph" w:styleId="Fuzeile">
    <w:name w:val="footer"/>
    <w:basedOn w:val="Kopfzeile"/>
  </w:style>
  <w:style w:type="paragraph" w:customStyle="1" w:styleId="Erlasstitel">
    <w:name w:val="Erlasstitel"/>
    <w:basedOn w:val="Standard"/>
    <w:next w:val="Datum1"/>
    <w:pPr>
      <w:keepNext/>
      <w:suppressAutoHyphens/>
      <w:spacing w:before="12pt" w:after="12pt"/>
    </w:pPr>
    <w:rPr>
      <w:b/>
      <w:sz w:val="24"/>
    </w:rPr>
  </w:style>
  <w:style w:type="paragraph" w:customStyle="1" w:styleId="Datum1">
    <w:name w:val="Datum1"/>
    <w:basedOn w:val="Standard"/>
    <w:next w:val="Autor"/>
    <w:pPr>
      <w:keepNext/>
      <w:pBdr>
        <w:top w:val="none" w:sz="0" w:space="0" w:color="000000"/>
        <w:left w:val="none" w:sz="0" w:space="0" w:color="000000"/>
        <w:bottom w:val="single" w:sz="4" w:space="10" w:color="000000"/>
        <w:right w:val="none" w:sz="0" w:space="0" w:color="000000"/>
      </w:pBdr>
      <w:spacing w:after="12pt"/>
      <w:ind w:start="1.40pt" w:end="1.40pt"/>
    </w:pPr>
    <w:rPr>
      <w:position w:val="2"/>
    </w:rPr>
  </w:style>
  <w:style w:type="paragraph" w:customStyle="1" w:styleId="Grundlage">
    <w:name w:val="Grundlage"/>
    <w:basedOn w:val="Standard"/>
    <w:next w:val="Aktion"/>
    <w:pPr>
      <w:spacing w:before="12pt" w:after="2pt"/>
    </w:pPr>
  </w:style>
  <w:style w:type="paragraph" w:customStyle="1" w:styleId="Schluss">
    <w:name w:val="Schluss"/>
    <w:basedOn w:val="Standard"/>
    <w:pPr>
      <w:tabs>
        <w:tab w:val="clear" w:pos="742.70pt"/>
        <w:tab w:val="start" w:pos="306.20pt"/>
      </w:tabs>
      <w:spacing w:before="24pt" w:after="2pt"/>
      <w:ind w:start="153.10pt" w:hanging="153.10pt"/>
    </w:pPr>
  </w:style>
  <w:style w:type="paragraph" w:customStyle="1" w:styleId="Nebenzitat">
    <w:name w:val="Nebenzitat"/>
    <w:basedOn w:val="Standard"/>
  </w:style>
  <w:style w:type="paragraph" w:customStyle="1" w:styleId="Abschnittstitel">
    <w:name w:val="Abschnittstitel"/>
    <w:basedOn w:val="Standard"/>
    <w:pPr>
      <w:keepNext/>
      <w:suppressAutoHyphens/>
    </w:pPr>
    <w:rPr>
      <w:b/>
      <w:sz w:val="22"/>
    </w:rPr>
  </w:style>
  <w:style w:type="paragraph" w:customStyle="1" w:styleId="TitelStufe1">
    <w:name w:val="Titel Stufe 1"/>
    <w:basedOn w:val="Standard"/>
    <w:next w:val="Artikel"/>
    <w:pPr>
      <w:keepNext/>
      <w:suppressAutoHyphens/>
      <w:spacing w:before="18pt"/>
    </w:pPr>
    <w:rPr>
      <w:b/>
      <w:sz w:val="22"/>
    </w:rPr>
  </w:style>
  <w:style w:type="paragraph" w:customStyle="1" w:styleId="TitelStufe2">
    <w:name w:val="Titel Stufe 2"/>
    <w:basedOn w:val="TitelStufe1"/>
    <w:next w:val="Artikel"/>
    <w:rPr>
      <w:b w:val="0"/>
      <w:i/>
    </w:rPr>
  </w:style>
  <w:style w:type="paragraph" w:customStyle="1" w:styleId="TitelStufe3">
    <w:name w:val="Titel Stufe 3"/>
    <w:basedOn w:val="TitelStufe2"/>
    <w:next w:val="Artikel"/>
  </w:style>
  <w:style w:type="paragraph" w:customStyle="1" w:styleId="TitelStufe4">
    <w:name w:val="Titel Stufe 4"/>
    <w:basedOn w:val="TitelStufe2"/>
    <w:next w:val="Artikel"/>
  </w:style>
  <w:style w:type="paragraph" w:customStyle="1" w:styleId="TitelStufe5">
    <w:name w:val="Titel Stufe 5"/>
    <w:basedOn w:val="TitelStufe2"/>
    <w:next w:val="Artikel"/>
  </w:style>
  <w:style w:type="paragraph" w:customStyle="1" w:styleId="TitelStufe1nachTitel">
    <w:name w:val="Titel Stufe 1 nach Titel"/>
    <w:basedOn w:val="TitelStufe1"/>
    <w:next w:val="Artikel"/>
  </w:style>
  <w:style w:type="paragraph" w:customStyle="1" w:styleId="TitelStufe2nachTitel">
    <w:name w:val="Titel Stufe 2 nach Titel"/>
    <w:basedOn w:val="TitelStufe2"/>
    <w:next w:val="Artikel"/>
  </w:style>
  <w:style w:type="paragraph" w:customStyle="1" w:styleId="TitelStufe3nachTitel">
    <w:name w:val="Titel Stufe 3 nach Titel"/>
    <w:basedOn w:val="TitelStufe3"/>
    <w:next w:val="Artikel"/>
  </w:style>
  <w:style w:type="paragraph" w:customStyle="1" w:styleId="TitelStufe4nachTitel">
    <w:name w:val="Titel Stufe 4 nach Titel"/>
    <w:basedOn w:val="TitelStufe4"/>
    <w:next w:val="Artikel"/>
  </w:style>
  <w:style w:type="paragraph" w:customStyle="1" w:styleId="TitelStufe5nachTitel">
    <w:name w:val="Titel Stufe 5 nach Titel"/>
    <w:basedOn w:val="TitelStufe5"/>
    <w:next w:val="Artikel"/>
  </w:style>
  <w:style w:type="paragraph" w:styleId="Textkrper">
    <w:name w:val="Body Text"/>
    <w:basedOn w:val="Standard"/>
    <w:pPr>
      <w:spacing w:after="7pt" w:line="13.80pt" w:lineRule="auto"/>
    </w:pPr>
  </w:style>
  <w:style w:type="paragraph" w:styleId="Kommentartext">
    <w:name w:val="annotation text"/>
    <w:basedOn w:val="Standard"/>
    <w:pPr>
      <w:keepNext/>
      <w:spacing w:line="7.20pt" w:lineRule="exact"/>
    </w:pPr>
    <w:rPr>
      <w:sz w:val="14"/>
    </w:rPr>
  </w:style>
  <w:style w:type="paragraph" w:customStyle="1" w:styleId="Artikel">
    <w:name w:val="Artikel"/>
    <w:basedOn w:val="Standard"/>
    <w:next w:val="Standard"/>
    <w:pPr>
      <w:keepNext/>
      <w:tabs>
        <w:tab w:val="clear" w:pos="742.70pt"/>
        <w:tab w:val="start" w:pos="68pt"/>
      </w:tabs>
      <w:spacing w:before="12pt" w:after="3pt"/>
      <w:ind w:start="34pt" w:hanging="34pt"/>
    </w:pPr>
  </w:style>
  <w:style w:type="paragraph" w:customStyle="1" w:styleId="Artikelaufgehoben">
    <w:name w:val="Artikel (aufgehoben)"/>
    <w:basedOn w:val="Artikel"/>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Liste1">
    <w:name w:val="Liste 1"/>
    <w:basedOn w:val="Standard"/>
    <w:pPr>
      <w:ind w:start="17pt" w:hanging="17pt"/>
    </w:pPr>
  </w:style>
  <w:style w:type="paragraph" w:customStyle="1" w:styleId="Liste1mitUnterelementen">
    <w:name w:val="Liste 1 mit Unterelementen"/>
    <w:basedOn w:val="Liste1"/>
  </w:style>
  <w:style w:type="paragraph" w:customStyle="1" w:styleId="Liste1mitaufeinanderfolgendenAufhebungen">
    <w:name w:val="Liste 1 mit aufeinanderfolgenden Aufhebungen"/>
    <w:basedOn w:val="Liste1"/>
  </w:style>
  <w:style w:type="paragraph" w:customStyle="1" w:styleId="Liste21">
    <w:name w:val="Liste 21"/>
    <w:basedOn w:val="Liste1"/>
    <w:pPr>
      <w:ind w:start="34pt"/>
    </w:pPr>
  </w:style>
  <w:style w:type="paragraph" w:customStyle="1" w:styleId="Liste2mitaufeinanderfolgendenAufhebungen">
    <w:name w:val="Liste 2 mit aufeinanderfolgenden Aufhebungen"/>
    <w:basedOn w:val="Liste21"/>
  </w:style>
  <w:style w:type="paragraph" w:customStyle="1" w:styleId="Liste31">
    <w:name w:val="Liste 31"/>
    <w:basedOn w:val="Liste21"/>
    <w:pPr>
      <w:ind w:start="51.05pt"/>
    </w:pPr>
  </w:style>
  <w:style w:type="paragraph" w:styleId="Funotentext">
    <w:name w:val="footnote text"/>
    <w:basedOn w:val="Standard"/>
    <w:pPr>
      <w:spacing w:line="9.40pt" w:lineRule="exact"/>
      <w:ind w:start="10.50pt" w:hanging="10.50pt"/>
    </w:pPr>
    <w:rPr>
      <w:sz w:val="16"/>
    </w:rPr>
  </w:style>
  <w:style w:type="paragraph" w:styleId="berarbeitung">
    <w:name w:val="Revision"/>
    <w:hidden/>
    <w:uiPriority w:val="99"/>
    <w:semiHidden/>
    <w:rsid w:val="00FA5F6E"/>
    <w:rPr>
      <w:rFonts w:ascii="Arial" w:hAnsi="Arial" w:cs="Mangal"/>
      <w:szCs w:val="18"/>
      <w:lang w:val="de-CH" w:eastAsia="zh-CN" w:bidi="hi-IN"/>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purl.oclc.org/ooxml/officeDocument/relationships/header" Target="header1.xml"/><Relationship Id="rId13" Type="http://purl.oclc.org/ooxml/officeDocument/relationships/footer" Target="footer3.xml"/><Relationship Id="rId3" Type="http://purl.oclc.org/ooxml/officeDocument/relationships/webSettings" Target="webSettings.xml"/><Relationship Id="rId7" Type="http://purl.oclc.org/ooxml/officeDocument/relationships/hyperlink" Target="https://ar.clex.ch/data/731.31/de" TargetMode="External"/><Relationship Id="rId12" Type="http://purl.oclc.org/ooxml/officeDocument/relationships/header" Target="header3.xml"/><Relationship Id="rId2" Type="http://purl.oclc.org/ooxml/officeDocument/relationships/settings" Target="settings.xml"/><Relationship Id="rId1" Type="http://purl.oclc.org/ooxml/officeDocument/relationships/styles" Target="styles.xml"/><Relationship Id="rId6" Type="http://purl.oclc.org/ooxml/officeDocument/relationships/hyperlink" Target="https://ar.clex.ch/data/142.211/de" TargetMode="External"/><Relationship Id="rId11" Type="http://purl.oclc.org/ooxml/officeDocument/relationships/footer" Target="footer2.xml"/><Relationship Id="rId5" Type="http://purl.oclc.org/ooxml/officeDocument/relationships/endnotes" Target="endnotes.xml"/><Relationship Id="rId15" Type="http://purl.oclc.org/ooxml/officeDocument/relationships/theme" Target="theme/theme1.xml"/><Relationship Id="rId10" Type="http://purl.oclc.org/ooxml/officeDocument/relationships/footer" Target="footer1.xml"/><Relationship Id="rId4" Type="http://purl.oclc.org/ooxml/officeDocument/relationships/footnotes" Target="footnotes.xml"/><Relationship Id="rId9" Type="http://purl.oclc.org/ooxml/officeDocument/relationships/header" Target="header2.xml"/><Relationship Id="rId14" Type="http://purl.oclc.org/ooxml/officeDocument/relationships/fontTable" Target="fontTable.xml"/></Relationships>
</file>

<file path=word/_rels/footnotes.xml.rels><?xml version="1.0" encoding="UTF-8" standalone="yes"?>
<Relationships xmlns="http://schemas.openxmlformats.org/package/2006/relationships"><Relationship Id="rId1" Type="http://purl.oclc.org/ooxml/officeDocument/relationships/hyperlink" Target="https://ar.clex.ch/data/415.31/de" TargetMode="External"/></Relationships>
</file>

<file path=word/theme/theme1.xml><?xml version="1.0" encoding="utf-8"?>
<a:theme xmlns:a="http://purl.oclc.org/ooxml/drawingml/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Tibt" typeface="Microsoft Himalaya"/>
        <a:font script="Khmr" typeface="MoolBoran"/>
        <a:font script="Beng" typeface="Vrinda"/>
        <a:font script="Taml" typeface="Latha"/>
        <a:font script="Hebr" typeface="Times New Roman"/>
        <a:font script="Syrc" typeface="Estrangelo Edessa"/>
        <a:font script="Laoo" typeface="DokChampa"/>
        <a:font script="Cher" typeface="Plantagenet Cherokee"/>
        <a:font script="Thaa" typeface="MV Boli"/>
        <a:font script="Sinh" typeface="Iskoola Pota"/>
        <a:font script="Thai" typeface="Angsana New"/>
        <a:font script="Cans" typeface="Euphemia"/>
        <a:font script="Mong" typeface="Mongolian Baiti"/>
        <a:font script="Knda" typeface="Tunga"/>
        <a:font script="Viet" typeface="Times New Roman"/>
        <a:font script="Deva" typeface="Mangal"/>
        <a:font script="Arab" typeface="Times New Roman"/>
        <a:font script="Orya" typeface="Kalinga"/>
        <a:font script="Jpan" typeface="ＭＳ ゴシック"/>
        <a:font script="Hang" typeface="맑은 고딕"/>
        <a:font script="Ethi" typeface="Nyala"/>
        <a:font script="Guru" typeface="Raavi"/>
        <a:font script="Gujr" typeface="Shruti"/>
        <a:font script="Mlym" typeface="Kartika"/>
        <a:font script="Yiii" typeface="Microsoft Yi Baiti"/>
        <a:font script="Hans" typeface="宋体"/>
        <a:font script="Hant" typeface="新細明體"/>
        <a:font script="Telu" typeface="Gautami"/>
        <a:font script="Uigh" typeface="Microsoft Uighur"/>
      </a:majorFont>
      <a:minorFont>
        <a:latin typeface="Calibri"/>
        <a:ea typeface=""/>
        <a:cs typeface=""/>
        <a:font script="Tibt" typeface="Microsoft Himalaya"/>
        <a:font script="Khmr" typeface="DaunPenh"/>
        <a:font script="Beng" typeface="Vrinda"/>
        <a:font script="Taml" typeface="Latha"/>
        <a:font script="Hebr" typeface="Arial"/>
        <a:font script="Syrc" typeface="Estrangelo Edessa"/>
        <a:font script="Laoo" typeface="DokChampa"/>
        <a:font script="Cher" typeface="Plantagenet Cherokee"/>
        <a:font script="Thaa" typeface="MV Boli"/>
        <a:font script="Sinh" typeface="Iskoola Pota"/>
        <a:font script="Thai" typeface="Cordia New"/>
        <a:font script="Cans" typeface="Euphemia"/>
        <a:font script="Mong" typeface="Mongolian Baiti"/>
        <a:font script="Knda" typeface="Tunga"/>
        <a:font script="Viet" typeface="Arial"/>
        <a:font script="Deva" typeface="Mangal"/>
        <a:font script="Arab" typeface="Arial"/>
        <a:font script="Orya" typeface="Kalinga"/>
        <a:font script="Jpan" typeface="ＭＳ 明朝"/>
        <a:font script="Hang" typeface="맑은 고딕"/>
        <a:font script="Ethi" typeface="Nyala"/>
        <a:font script="Guru" typeface="Raavi"/>
        <a:font script="Gujr" typeface="Shruti"/>
        <a:font script="Mlym" typeface="Kartika"/>
        <a:font script="Yiii" typeface="Microsoft Yi Baiti"/>
        <a:font script="Hans" typeface="宋体"/>
        <a:font script="Hant" typeface="新細明體"/>
        <a:font script="Telu" typeface="Gautami"/>
        <a:font script="Uigh" typeface="Microsoft Uighur"/>
      </a:minorFont>
    </a:fontScheme>
    <a:fmtScheme name="Office">
      <a:fillStyleLst>
        <a:solidFill>
          <a:schemeClr val="phClr"/>
        </a:solidFill>
        <a:gradFill rotWithShape="1">
          <a:gsLst>
            <a:gs pos="0%">
              <a:schemeClr val="phClr">
                <a:tint val="50%"/>
                <a:satMod val="300%"/>
              </a:schemeClr>
            </a:gs>
            <a:gs pos="35%">
              <a:schemeClr val="phClr">
                <a:tint val="37%"/>
                <a:satMod val="300%"/>
              </a:schemeClr>
            </a:gs>
            <a:gs pos="100%">
              <a:schemeClr val="phClr">
                <a:tint val="15%"/>
                <a:satMod val="350%"/>
              </a:schemeClr>
            </a:gs>
          </a:gsLst>
          <a:lin ang="16200000" scaled="1"/>
        </a:gradFill>
        <a:gradFill rotWithShape="1">
          <a:gsLst>
            <a:gs pos="0%">
              <a:schemeClr val="phClr">
                <a:shade val="51%"/>
                <a:satMod val="130%"/>
              </a:schemeClr>
            </a:gs>
            <a:gs pos="80%">
              <a:schemeClr val="phClr">
                <a:shade val="93%"/>
                <a:satMod val="130%"/>
              </a:schemeClr>
            </a:gs>
            <a:gs pos="100%">
              <a:schemeClr val="phClr">
                <a:shade val="94%"/>
                <a:satMod val="135%"/>
              </a:schemeClr>
            </a:gs>
          </a:gsLst>
          <a:lin ang="16200000" scaled="0"/>
        </a:gradFill>
      </a:fillStyleLst>
      <a:lnStyleLst>
        <a:ln w="9525">
          <a:solidFill>
            <a:schemeClr val="phClr">
              <a:shade val="95%"/>
              <a:satMod val="105%"/>
            </a:schemeClr>
          </a:solidFill>
          <a:prstDash val="solid"/>
        </a:ln>
        <a:ln w="25400">
          <a:solidFill>
            <a:schemeClr val="phClr"/>
          </a:solidFill>
          <a:prstDash val="solid"/>
        </a:ln>
        <a:ln w="38100">
          <a:solidFill>
            <a:schemeClr val="phClr"/>
          </a:solidFill>
          <a:prstDash val="solid"/>
        </a:ln>
      </a:lnStyleLst>
      <a:effectStyleLst>
        <a:effectStyle>
          <a:effectLst>
            <a:outerShdw blurRad="40000" dist="20000" dir="5400000" rotWithShape="0">
              <a:srgbClr val="000000">
                <a:alpha val="38%"/>
              </a:srgbClr>
            </a:outerShdw>
          </a:effectLst>
        </a:effectStyle>
        <a:effectStyle>
          <a:effectLst>
            <a:outerShdw blurRad="40000" dist="23000" dir="5400000" rotWithShape="0">
              <a:srgbClr val="000000">
                <a:alpha val="35%"/>
              </a:srgbClr>
            </a:outerShdw>
          </a:effectLst>
        </a:effectStyle>
        <a:effectStyle>
          <a:effectLst>
            <a:outerShdw blurRad="40000" dist="23000" dir="5400000" rotWithShape="0">
              <a:srgbClr val="000000">
                <a:alpha val="35%"/>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
                <a:satMod val="350%"/>
              </a:schemeClr>
            </a:gs>
            <a:gs pos="40%">
              <a:schemeClr val="phClr">
                <a:tint val="45%"/>
                <a:shade val="99%"/>
                <a:satMod val="350%"/>
              </a:schemeClr>
            </a:gs>
            <a:gs pos="100%">
              <a:schemeClr val="phClr">
                <a:shade val="20%"/>
                <a:satMod val="255%"/>
              </a:schemeClr>
            </a:gs>
          </a:gsLst>
          <a:path path="circle">
            <a:fillToRect l="50%" t="-80%" r="50%" b="180%"/>
          </a:path>
        </a:gradFill>
        <a:gradFill rotWithShape="1">
          <a:gsLst>
            <a:gs pos="0%">
              <a:schemeClr val="phClr">
                <a:tint val="80%"/>
                <a:satMod val="300%"/>
              </a:schemeClr>
            </a:gs>
            <a:gs pos="100%">
              <a:schemeClr val="phClr">
                <a:shade val="30%"/>
                <a:satMod val="200%"/>
              </a:schemeClr>
            </a:gs>
          </a:gsLst>
          <a:path path="circle">
            <a:fillToRect l="50%" t="50%" r="50%" b="50%"/>
          </a:path>
        </a:gradFill>
      </a:bgFillStyleLst>
    </a:fmtScheme>
  </a:themeElements>
  <a:objectDefaults/>
  <a:extraClrSchemeLst/>
</a:theme>
</file>

<file path=docProps/app.xml><?xml version="1.0" encoding="utf-8"?>
<Properties xmlns="http://purl.oclc.org/ooxml/officeDocument/extendedProperties" xmlns:vt="http://purl.oclc.org/ooxml/officeDocument/docPropsVTypes">
  <Template>Normal.dotm</Template>
  <TotalTime>0</TotalTime>
  <Pages>3</Pages>
  <Words>470</Words>
  <Characters>2961</Characters>
  <Application>Microsoft Office Word</Application>
  <DocSecurity>0</DocSecurity>
  <Lines>24</Lines>
  <Paragraphs>6</Paragraphs>
  <ScaleCrop>false</ScaleCrop>
  <Company/>
  <LinksUpToDate>false</LinksUpToDate>
  <CharactersWithSpaces>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Frei Debora</cp:lastModifiedBy>
  <cp:revision>4</cp:revision>
  <dcterms:created xsi:type="dcterms:W3CDTF">2025-11-12T16:07:00Z</dcterms:created>
  <dcterms:modified xsi:type="dcterms:W3CDTF">2025-11-20T09:36:00Z</dcterms:modified>
</cp:coreProperties>
</file>

<file path=docProps/custom.xml><?xml version="1.0" encoding="utf-8"?>
<Properties xmlns="http://purl.oclc.org/ooxml/officeDocument/customProperties" xmlns:vt="http://purl.oclc.org/ooxml/officeDocument/docPropsVTypes">
  <property fmtid="{D5CDD505-2E9C-101B-9397-08002B2CF9AE}" pid="2" name="DocumentType">
    <vt:lpwstr>Synopse</vt:lpwstr>
  </property>
</Properties>
</file>