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534332CB" w14:textId="77777777" w:rsidR="00EE660B" w:rsidRDefault="00EE660B">
      <w:pPr>
        <w:rPr>
          <w:vanish/>
          <w:sz w:val="6"/>
        </w:rPr>
      </w:pPr>
    </w:p>
    <w:p w14:paraId="54008217" w14:textId="6332DEFF" w:rsidR="00EE660B" w:rsidRDefault="00486794">
      <w:r w:rsidRPr="00486794">
        <w:rPr>
          <w:b/>
          <w:bCs/>
          <w:sz w:val="22"/>
        </w:rPr>
        <w:t>Antwortformular</w:t>
      </w:r>
    </w:p>
    <w:p w14:paraId="328B9F39" w14:textId="77777777" w:rsidR="00EE660B" w:rsidRDefault="00EE660B"/>
    <w:p w14:paraId="316812A4" w14:textId="77777777" w:rsidR="00EE660B" w:rsidRDefault="007A417D">
      <w:r>
        <w:rPr>
          <w:b/>
          <w:bCs/>
          <w:sz w:val="22"/>
        </w:rPr>
        <w:t>Kantonsratsgesetz; Teilrevision</w:t>
      </w:r>
    </w:p>
    <w:p w14:paraId="009FFB9E" w14:textId="77777777" w:rsidR="00EE660B" w:rsidRDefault="00EE660B"/>
    <w:p w14:paraId="14848E4E" w14:textId="77777777" w:rsidR="00EE660B" w:rsidRDefault="007A417D">
      <w:pPr>
        <w:pStyle w:val="ZusammenfassungEinleitung"/>
      </w:pPr>
      <w:r>
        <w:t>Von diesem Geschäft tangierte Erlasse (</w:t>
      </w:r>
      <w:proofErr w:type="spellStart"/>
      <w:proofErr w:type="gramStart"/>
      <w:r>
        <w:t>bGS</w:t>
      </w:r>
      <w:proofErr w:type="spellEnd"/>
      <w:r>
        <w:t xml:space="preserve"> Nummern</w:t>
      </w:r>
      <w:proofErr w:type="gramEnd"/>
      <w:r>
        <w:t>)</w:t>
      </w:r>
    </w:p>
    <w:p w14:paraId="3C53F8C4" w14:textId="77777777" w:rsidR="00EE660B" w:rsidRDefault="007A417D">
      <w:pPr>
        <w:pStyle w:val="ZusammenfassungneueErlasse"/>
      </w:pPr>
      <w:r>
        <w:t>Neu:</w:t>
      </w:r>
      <w:r>
        <w:tab/>
        <w:t>–</w:t>
      </w:r>
    </w:p>
    <w:p w14:paraId="7C7B3F8B" w14:textId="77777777" w:rsidR="00EE660B" w:rsidRDefault="007A417D">
      <w:pPr>
        <w:pStyle w:val="ZusammenfassunggenderteErlasse"/>
      </w:pPr>
      <w:r>
        <w:t>Geändert:</w:t>
      </w:r>
      <w:r>
        <w:tab/>
      </w:r>
      <w:r>
        <w:rPr>
          <w:rStyle w:val="ZusammenfassungHauptnderung"/>
        </w:rPr>
        <w:t>141.1</w:t>
      </w:r>
      <w:r>
        <w:t xml:space="preserve"> | </w:t>
      </w:r>
      <w:r>
        <w:rPr>
          <w:rStyle w:val="Zusammenfassungnderung"/>
        </w:rPr>
        <w:t>145.31</w:t>
      </w:r>
    </w:p>
    <w:p w14:paraId="1F41B2D5" w14:textId="77777777" w:rsidR="00EE660B" w:rsidRDefault="007A417D">
      <w:pPr>
        <w:pStyle w:val="ZusammenfassungaufgehobeneErlasse"/>
        <w:rPr>
          <w:b/>
          <w:sz w:val="22"/>
        </w:rPr>
      </w:pPr>
      <w:r>
        <w:t>Aufgehoben:</w:t>
      </w:r>
      <w:r>
        <w:tab/>
        <w:t>–</w:t>
      </w:r>
    </w:p>
    <w:tbl>
      <w:tblPr>
        <w:tblW w:w="100.0%" w:type="pct"/>
        <w:tblLayout w:type="fixed"/>
        <w:tblCellMar>
          <w:top w:w="5.40pt" w:type="dxa"/>
          <w:bottom w:w="5.40pt" w:type="dxa"/>
        </w:tblCellMar>
        <w:tblLook w:firstRow="0" w:lastRow="0" w:firstColumn="0" w:lastColumn="0" w:noHBand="0" w:noVBand="0"/>
      </w:tblPr>
      <w:tblGrid>
        <w:gridCol w:w="4947"/>
        <w:gridCol w:w="4948"/>
        <w:gridCol w:w="4949"/>
      </w:tblGrid>
      <w:tr w:rsidR="00EE660B" w14:paraId="05863E56" w14:textId="77777777">
        <w:trPr>
          <w:tblHeader/>
        </w:trPr>
        <w:tc>
          <w:tcPr>
            <w:tcW w:w="247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14:paraId="36764842" w14:textId="77777777" w:rsidR="00EE660B" w:rsidRDefault="007A417D">
            <w:pPr>
              <w:pStyle w:val="TableContents"/>
            </w:pPr>
            <w:r>
              <w:rPr>
                <w:b/>
                <w:sz w:val="22"/>
              </w:rPr>
              <w:t>Geltendes Recht</w:t>
            </w:r>
          </w:p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14:paraId="72BECC43" w14:textId="5A6BCC96" w:rsidR="00EE660B" w:rsidRDefault="00486794">
            <w:pPr>
              <w:pStyle w:val="TableContents"/>
            </w:pPr>
            <w:proofErr w:type="spellStart"/>
            <w:r>
              <w:rPr>
                <w:b/>
                <w:sz w:val="22"/>
              </w:rPr>
              <w:t>Vernehmlassungsentwurf</w:t>
            </w:r>
            <w:proofErr w:type="spellEnd"/>
            <w:r w:rsidR="007A417D">
              <w:rPr>
                <w:b/>
                <w:sz w:val="22"/>
              </w:rPr>
              <w:t xml:space="preserve"> </w:t>
            </w:r>
            <w:r w:rsidRPr="00486794">
              <w:rPr>
                <w:b/>
                <w:sz w:val="22"/>
              </w:rPr>
              <w:t xml:space="preserve">Büro </w:t>
            </w:r>
            <w:r>
              <w:rPr>
                <w:b/>
                <w:sz w:val="22"/>
              </w:rPr>
              <w:t xml:space="preserve">des </w:t>
            </w:r>
            <w:r w:rsidRPr="00486794">
              <w:rPr>
                <w:b/>
                <w:sz w:val="22"/>
              </w:rPr>
              <w:t>Kantonsrat</w:t>
            </w:r>
            <w:r>
              <w:rPr>
                <w:b/>
                <w:sz w:val="22"/>
              </w:rPr>
              <w:t>es,</w:t>
            </w:r>
            <w:r w:rsidRPr="00486794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09</w:t>
            </w:r>
            <w:r w:rsidR="007A417D">
              <w:rPr>
                <w:b/>
                <w:sz w:val="22"/>
              </w:rPr>
              <w:t>.</w:t>
            </w:r>
            <w:r>
              <w:rPr>
                <w:b/>
                <w:sz w:val="22"/>
              </w:rPr>
              <w:t>02</w:t>
            </w:r>
            <w:r w:rsidR="007A417D">
              <w:rPr>
                <w:b/>
                <w:sz w:val="22"/>
              </w:rPr>
              <w:t>.2</w:t>
            </w:r>
            <w:r>
              <w:rPr>
                <w:b/>
                <w:sz w:val="22"/>
              </w:rPr>
              <w:t>6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E0E0E0"/>
            <w:vAlign w:val="center"/>
          </w:tcPr>
          <w:p w14:paraId="1CAF20B3" w14:textId="2C56CFC9" w:rsidR="00EE660B" w:rsidRDefault="00486794">
            <w:pPr>
              <w:pStyle w:val="TableContents"/>
            </w:pPr>
            <w:proofErr w:type="spellStart"/>
            <w:r w:rsidRPr="00486794">
              <w:rPr>
                <w:b/>
                <w:sz w:val="22"/>
              </w:rPr>
              <w:t>Vernehmlassungsantworten</w:t>
            </w:r>
            <w:proofErr w:type="spellEnd"/>
          </w:p>
        </w:tc>
      </w:tr>
      <w:tr w:rsidR="00EE660B" w14:paraId="00C32C82" w14:textId="77777777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0A120B6A" w14:textId="77777777" w:rsidR="00EE660B" w:rsidRDefault="00EE660B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714C8E63" w14:textId="77777777" w:rsidR="00EE660B" w:rsidRDefault="007A417D">
            <w:pPr>
              <w:pStyle w:val="Abschnittstitel"/>
            </w:pPr>
            <w:r>
              <w:t>I.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20FF649A" w14:textId="77777777" w:rsidR="00EE660B" w:rsidRDefault="00EE660B"/>
        </w:tc>
      </w:tr>
      <w:tr w:rsidR="00EE660B" w14:paraId="6C1DC236" w14:textId="77777777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5A8F326B" w14:textId="77777777" w:rsidR="00EE660B" w:rsidRDefault="00EE660B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428E1FBE" w14:textId="77777777" w:rsidR="00EE660B" w:rsidRDefault="007A417D">
            <w:pPr>
              <w:pStyle w:val="Nebenzitat"/>
            </w:pPr>
            <w:r>
              <w:t xml:space="preserve">Der Erlass «Kantonsratsgesetz (KRG; </w:t>
            </w:r>
            <w:proofErr w:type="spellStart"/>
            <w:r>
              <w:t>bGS</w:t>
            </w:r>
            <w:proofErr w:type="spellEnd"/>
            <w:r>
              <w:t xml:space="preserve"> </w:t>
            </w:r>
            <w:hyperlink r:id="rId6" w:history="1">
              <w:r>
                <w:rPr>
                  <w:rStyle w:val="Hyperlink"/>
                </w:rPr>
                <w:t>141.1</w:t>
              </w:r>
            </w:hyperlink>
            <w:r>
              <w:t>) vom 24. September 2018 (Stand 1. Juni 2019)» wird wie folgt geändert: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61649E67" w14:textId="77777777" w:rsidR="00EE660B" w:rsidRDefault="00EE660B"/>
        </w:tc>
      </w:tr>
      <w:tr w:rsidR="00EE660B" w14:paraId="0A8F33D5" w14:textId="77777777">
        <w:trPr>
          <w:cantSplit/>
        </w:trPr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</w:tcPr>
          <w:p w14:paraId="4CB087EE" w14:textId="77777777" w:rsidR="00EE660B" w:rsidRDefault="007A417D">
            <w:pPr>
              <w:pStyle w:val="TableContents"/>
            </w:pPr>
            <w:r>
              <w:rPr>
                <w:b/>
                <w:bCs/>
              </w:rPr>
              <w:t>Art.  7</w:t>
            </w:r>
            <w:r>
              <w:br/>
            </w:r>
            <w:r>
              <w:rPr>
                <w:sz w:val="14"/>
              </w:rPr>
              <w:t>Wahl und Amtsdauer</w:t>
            </w:r>
          </w:p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</w:tcPr>
          <w:p w14:paraId="2B5B881C" w14:textId="77777777" w:rsidR="00EE660B" w:rsidRDefault="00EE660B">
            <w:pPr>
              <w:pStyle w:val="TableContents"/>
            </w:pP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71815B0F" w14:textId="77777777" w:rsidR="00EE660B" w:rsidRDefault="00EE660B"/>
        </w:tc>
      </w:tr>
      <w:tr w:rsidR="00EE660B" w14:paraId="76B7D823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32C41CB7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Der Kantonsrat wählt die Mitglieder des Büros sowie die Stellvertreterinnen und Stellvertreter der Fraktionsvertretungen auf eine Amtsdauer von einem Jahr.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288E6403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Der Kantonsrat wählt das Präsidium und das Vizepräsidium des Büros. Die Fraktionsvertretungen sowie deren Stellvertretung werden von der jeweiligen Fraktion bestimmt.</w:t>
            </w: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799F7E29" w14:textId="77777777" w:rsidR="00EE660B" w:rsidRDefault="00EE660B"/>
        </w:tc>
      </w:tr>
      <w:tr w:rsidR="00EE660B" w14:paraId="3B9C7F0D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05EBB0A1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Die Fraktionen haben für ihre Vertretungen sowie für deren Stellvertreterinnen und oder Stellvertreter das Vorschlagsrecht.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3DE3B1FB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Die Amtsdauer beträgt ein Jahr.</w:t>
            </w: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632FCB70" w14:textId="77777777" w:rsidR="00EE660B" w:rsidRDefault="00EE660B"/>
        </w:tc>
      </w:tr>
      <w:tr w:rsidR="00EE660B" w14:paraId="062B962C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7DC2D6C2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3</w:t>
            </w:r>
            <w:r>
              <w:t> Die Mitglieder des Büros bleiben bis zum Beginn der ersten Sitzung des Kantonsrates im neuen Amtsjahr im Amt.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36B5C3CB" w14:textId="77777777" w:rsidR="00EE660B" w:rsidRDefault="00EE660B">
            <w:pPr>
              <w:pStyle w:val="TableContents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76250B33" w14:textId="77777777" w:rsidR="00EE660B" w:rsidRDefault="00EE660B"/>
        </w:tc>
      </w:tr>
      <w:tr w:rsidR="00EE660B" w14:paraId="6C9591FB" w14:textId="77777777">
        <w:trPr>
          <w:cantSplit/>
        </w:trPr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</w:tcPr>
          <w:p w14:paraId="512CC62A" w14:textId="77777777" w:rsidR="00EE660B" w:rsidRDefault="00EE660B">
            <w:pPr>
              <w:pStyle w:val="TableContents"/>
            </w:pPr>
          </w:p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</w:tcPr>
          <w:p w14:paraId="3DBB0B3B" w14:textId="77777777" w:rsidR="00EE660B" w:rsidRDefault="007A417D">
            <w:pPr>
              <w:pStyle w:val="TableContents"/>
            </w:pPr>
            <w:r>
              <w:rPr>
                <w:b/>
                <w:bCs/>
              </w:rPr>
              <w:t>Art.  26a</w:t>
            </w:r>
            <w:r>
              <w:br/>
            </w:r>
            <w:r>
              <w:rPr>
                <w:sz w:val="14"/>
              </w:rPr>
              <w:t>c) Ausserordentliche Lagen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4BAAA555" w14:textId="77777777" w:rsidR="00EE660B" w:rsidRDefault="00EE660B"/>
        </w:tc>
      </w:tr>
      <w:tr w:rsidR="00EE660B" w14:paraId="7D5CCF5B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410E3DCC" w14:textId="77777777" w:rsidR="00EE660B" w:rsidRDefault="00EE660B">
            <w:pPr>
              <w:pStyle w:val="TableContents"/>
            </w:pP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5A659F70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Kann eine Sitzung aufgrund einer ausserordentlichen Lage nicht vor Ort stattfinden, kann sie elektronisch durchgeführt werden; einzelne Beschlüsse können auf dem Zirkularweg gefasst werden. Die Geschäftsordnung regelt die Einzelheiten.</w:t>
            </w: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07A26DD9" w14:textId="77777777" w:rsidR="00EE660B" w:rsidRDefault="00EE660B"/>
        </w:tc>
      </w:tr>
      <w:tr w:rsidR="00EE660B" w14:paraId="5E5EF978" w14:textId="77777777">
        <w:trPr>
          <w:cantSplit/>
        </w:trPr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</w:tcPr>
          <w:p w14:paraId="6C8BD8BB" w14:textId="77777777" w:rsidR="00EE660B" w:rsidRDefault="007A417D">
            <w:pPr>
              <w:pStyle w:val="TableContents"/>
            </w:pPr>
            <w:r>
              <w:rPr>
                <w:b/>
                <w:bCs/>
              </w:rPr>
              <w:t>Art.  30</w:t>
            </w:r>
            <w:r>
              <w:br/>
            </w:r>
          </w:p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</w:tcPr>
          <w:p w14:paraId="4C0675BE" w14:textId="77777777" w:rsidR="00EE660B" w:rsidRDefault="00EE660B">
            <w:pPr>
              <w:pStyle w:val="TableContents"/>
            </w:pP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2EDFE4F3" w14:textId="77777777" w:rsidR="00EE660B" w:rsidRDefault="00EE660B"/>
        </w:tc>
      </w:tr>
      <w:tr w:rsidR="00EE660B" w14:paraId="3A72FB45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7C955D76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Über die Verhandlungen des Kantonsrates und seiner Organe wird schriftlich Protokoll geführt. Das Protokoll des Kantonsrates ist öffentlich.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092F7527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Über die Verhandlungen des Kantonsrates und seiner Organe wird Protokoll geführt. Das Protokoll des Kantonsrates ist öffentlich.</w:t>
            </w: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7CAE0140" w14:textId="77777777" w:rsidR="00EE660B" w:rsidRDefault="00EE660B"/>
        </w:tc>
      </w:tr>
      <w:tr w:rsidR="00EE660B" w14:paraId="22CDBC76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681E6C31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Als Protokollhilfe können Ton- und Bildaufnahmen erstellt werden. Sie werden weder veröffentlicht noch über den Zeitpunkt der Protokollgenehmigung hinaus aufbewahrt, soweit Gesetz oder Geschäftsordnung nicht etwas anderes bestimmen.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722983BE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> </w:t>
            </w:r>
            <w:r>
              <w:rPr>
                <w:i/>
                <w:iCs/>
              </w:rPr>
              <w:t>Aufgehoben.</w:t>
            </w: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3DAFF819" w14:textId="77777777" w:rsidR="00EE660B" w:rsidRDefault="00EE660B"/>
        </w:tc>
      </w:tr>
      <w:tr w:rsidR="00EE660B" w14:paraId="7CB24257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49C3CB7D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3</w:t>
            </w:r>
            <w:r>
              <w:t> Die Geschäftsordnung regelt die Einzelheiten.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77626554" w14:textId="77777777" w:rsidR="00EE660B" w:rsidRDefault="00EE660B">
            <w:pPr>
              <w:pStyle w:val="TableContents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14D64F70" w14:textId="77777777" w:rsidR="00EE660B" w:rsidRDefault="00EE660B"/>
        </w:tc>
      </w:tr>
      <w:tr w:rsidR="00EE660B" w14:paraId="066AE83C" w14:textId="77777777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5DA80ED2" w14:textId="77777777" w:rsidR="00EE660B" w:rsidRDefault="00EE660B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134D7B03" w14:textId="77777777" w:rsidR="00EE660B" w:rsidRDefault="007A417D">
            <w:pPr>
              <w:pStyle w:val="Abschnittstitel"/>
            </w:pPr>
            <w:r>
              <w:t>II.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1E74EB13" w14:textId="77777777" w:rsidR="00EE660B" w:rsidRDefault="00EE660B"/>
        </w:tc>
      </w:tr>
      <w:tr w:rsidR="00EE660B" w14:paraId="008F2A65" w14:textId="77777777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4E5BFF57" w14:textId="77777777" w:rsidR="00EE660B" w:rsidRDefault="00EE660B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3A5F99A0" w14:textId="77777777" w:rsidR="00EE660B" w:rsidRDefault="007A417D">
            <w:pPr>
              <w:pStyle w:val="Nebenzitat"/>
            </w:pPr>
            <w:r>
              <w:t>Der Erlass «Justizgesetz (</w:t>
            </w:r>
            <w:proofErr w:type="spellStart"/>
            <w:r>
              <w:t>bGS</w:t>
            </w:r>
            <w:proofErr w:type="spellEnd"/>
            <w:r>
              <w:t xml:space="preserve"> </w:t>
            </w:r>
            <w:hyperlink r:id="rId7" w:history="1">
              <w:r>
                <w:rPr>
                  <w:rStyle w:val="Hyperlink"/>
                </w:rPr>
                <w:t>145.31</w:t>
              </w:r>
            </w:hyperlink>
            <w:r>
              <w:t>) vom 13. September 2010 (Stand 1. Juni 2019)» wird wie folgt geändert: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009573FC" w14:textId="77777777" w:rsidR="00EE660B" w:rsidRDefault="00EE660B"/>
        </w:tc>
      </w:tr>
      <w:tr w:rsidR="00EE660B" w14:paraId="5E23F6D6" w14:textId="77777777">
        <w:trPr>
          <w:cantSplit/>
        </w:trPr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</w:tcPr>
          <w:p w14:paraId="0F5A1FBD" w14:textId="77777777" w:rsidR="00EE660B" w:rsidRDefault="007A417D">
            <w:pPr>
              <w:pStyle w:val="TableContents"/>
            </w:pPr>
            <w:r>
              <w:rPr>
                <w:b/>
                <w:bCs/>
              </w:rPr>
              <w:t>Art.  47</w:t>
            </w:r>
            <w:r>
              <w:br/>
            </w:r>
            <w:r>
              <w:rPr>
                <w:sz w:val="14"/>
              </w:rPr>
              <w:t>Ausstand</w:t>
            </w:r>
          </w:p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</w:tcPr>
          <w:p w14:paraId="0F8059BC" w14:textId="77777777" w:rsidR="00EE660B" w:rsidRDefault="00EE660B">
            <w:pPr>
              <w:pStyle w:val="TableContents"/>
            </w:pP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49FF31BD" w14:textId="77777777" w:rsidR="00EE660B" w:rsidRDefault="00EE660B"/>
        </w:tc>
      </w:tr>
      <w:tr w:rsidR="00EE660B" w14:paraId="38217A7F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24C169BA" w14:textId="77777777" w:rsidR="00EE660B" w:rsidRDefault="007A417D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 xml:space="preserve"> Ist ein </w:t>
            </w:r>
            <w:proofErr w:type="spellStart"/>
            <w:r>
              <w:t>Ausstandsgrund</w:t>
            </w:r>
            <w:proofErr w:type="spellEnd"/>
            <w:r>
              <w:rPr>
                <w:rStyle w:val="Funotenzeichen"/>
              </w:rPr>
              <w:footnoteReference w:id="1"/>
            </w:r>
            <w:r>
              <w:rPr>
                <w:rStyle w:val="Funotenzeichen"/>
              </w:rPr>
              <w:t>)</w:t>
            </w:r>
            <w:r>
              <w:t xml:space="preserve"> streitig, so entscheidet: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2B01D352" w14:textId="77777777" w:rsidR="00EE660B" w:rsidRDefault="00EE660B">
            <w:pPr>
              <w:pStyle w:val="TableContents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0014C6F6" w14:textId="77777777" w:rsidR="00EE660B" w:rsidRDefault="00EE660B"/>
        </w:tc>
      </w:tr>
      <w:tr w:rsidR="00EE660B" w14:paraId="5A57219D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77653DA4" w14:textId="77777777" w:rsidR="00EE660B" w:rsidRDefault="007A417D">
            <w:pPr>
              <w:pStyle w:val="TableContents"/>
              <w:ind w:start="7.45pt" w:end="0.15pt" w:hanging="9.45pt"/>
            </w:pPr>
            <w:r>
              <w:lastRenderedPageBreak/>
              <w:t>a) gegenüber einem Vermittler oder einer Vermittlerin und einem Einzelrichter oder einer Einzelrichterin des Kantonsgerichtes der Präsident oder die Präsidentin des Obergerichtes;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01FAAC73" w14:textId="77777777" w:rsidR="00EE660B" w:rsidRDefault="00EE660B">
            <w:pPr>
              <w:pStyle w:val="TableContents"/>
              <w:ind w:start="7.45pt" w:end="0.15pt" w:hanging="9.45pt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08B6729A" w14:textId="77777777" w:rsidR="00EE660B" w:rsidRDefault="00EE660B"/>
        </w:tc>
      </w:tr>
      <w:tr w:rsidR="00EE660B" w14:paraId="7E14D586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5BB16030" w14:textId="77777777" w:rsidR="00EE660B" w:rsidRDefault="007A417D">
            <w:pPr>
              <w:pStyle w:val="TableContents"/>
              <w:ind w:start="7.45pt" w:end="0.15pt" w:hanging="9.45pt"/>
            </w:pPr>
            <w:r>
              <w:t>b) gegenüber einem Mitglied einer Schlichtungsstelle die Schlichtungsstelle unter Beizug eines Ersatzmitgliedes;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3EC3EC07" w14:textId="77777777" w:rsidR="00EE660B" w:rsidRDefault="00EE660B">
            <w:pPr>
              <w:pStyle w:val="TableContents"/>
              <w:ind w:start="7.45pt" w:end="0.15pt" w:hanging="9.45pt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7D42932B" w14:textId="77777777" w:rsidR="00EE660B" w:rsidRDefault="00EE660B"/>
        </w:tc>
      </w:tr>
      <w:tr w:rsidR="00EE660B" w14:paraId="0C63FC35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00506E18" w14:textId="77777777" w:rsidR="00EE660B" w:rsidRDefault="007A417D">
            <w:pPr>
              <w:pStyle w:val="TableContents"/>
              <w:ind w:start="7.45pt" w:end="0.15pt" w:hanging="9.45pt"/>
            </w:pPr>
            <w:r>
              <w:t>c) gegenüber Mitgliedern und Gerichtsschreibern oder Gerichtsschreiberinnen des Kantons- und Obergerichtes die betreffende Abteilung unter Beizug eines Ersatzmitgliedes;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289C3E4D" w14:textId="77777777" w:rsidR="00EE660B" w:rsidRDefault="00EE660B">
            <w:pPr>
              <w:pStyle w:val="TableContents"/>
              <w:ind w:start="7.45pt" w:end="0.15pt" w:hanging="9.45pt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0D0ED091" w14:textId="77777777" w:rsidR="00EE660B" w:rsidRDefault="00EE660B"/>
        </w:tc>
      </w:tr>
      <w:tr w:rsidR="00EE660B" w14:paraId="4D457DD0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72CF3333" w14:textId="77777777" w:rsidR="00EE660B" w:rsidRDefault="007A417D">
            <w:pPr>
              <w:pStyle w:val="TableContents"/>
              <w:ind w:start="7.45pt" w:end="0.15pt" w:hanging="9.45pt"/>
            </w:pPr>
            <w:r>
              <w:t>d) bei Beschlussunfähigkeit der Schlichtungsstellen und des Kantonsgerichtes das Obergericht;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11EC2357" w14:textId="77777777" w:rsidR="00EE660B" w:rsidRDefault="00EE660B">
            <w:pPr>
              <w:pStyle w:val="TableContents"/>
              <w:ind w:start="7.45pt" w:end="0.15pt" w:hanging="9.45pt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2B14852B" w14:textId="77777777" w:rsidR="00EE660B" w:rsidRDefault="00EE660B"/>
        </w:tc>
      </w:tr>
      <w:tr w:rsidR="00EE660B" w14:paraId="7AE46F1C" w14:textId="77777777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</w:tcPr>
          <w:p w14:paraId="7DF8816E" w14:textId="77777777" w:rsidR="00EE660B" w:rsidRDefault="007A417D">
            <w:pPr>
              <w:pStyle w:val="TableContents"/>
              <w:ind w:start="7.45pt" w:end="0.15pt" w:hanging="9.45pt"/>
            </w:pPr>
            <w:r>
              <w:t>e) bei Beschlussunfähigkeit des Obergerichtes die von der Justizkommission des Kantonsrates zu wählende Anzahl ausserordentlicher Oberrichterinnen und Oberrichter.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</w:tcPr>
          <w:p w14:paraId="418A563E" w14:textId="77777777" w:rsidR="00EE660B" w:rsidRDefault="007A417D">
            <w:pPr>
              <w:pStyle w:val="TableContents"/>
              <w:ind w:start="7.45pt" w:end="0.15pt" w:hanging="9.45pt"/>
            </w:pPr>
            <w:r>
              <w:t>e) bei Beschlussunfähigkeit des Obergerichtes die vom zuständigen Organ des Kantonsrates zu wählende Anzahl ausserordentlicher Oberrichterinnen und Oberrichter.</w:t>
            </w: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</w:tcPr>
          <w:p w14:paraId="731B56F8" w14:textId="77777777" w:rsidR="00EE660B" w:rsidRDefault="00EE660B"/>
        </w:tc>
      </w:tr>
      <w:tr w:rsidR="00EE660B" w14:paraId="7A4FA1C4" w14:textId="77777777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288791AA" w14:textId="77777777" w:rsidR="00EE660B" w:rsidRDefault="00EE660B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73EBF069" w14:textId="77777777" w:rsidR="00EE660B" w:rsidRDefault="007A417D">
            <w:pPr>
              <w:pStyle w:val="Abschnittstitel"/>
            </w:pPr>
            <w:r>
              <w:t>III.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3D72DB30" w14:textId="77777777" w:rsidR="00EE660B" w:rsidRDefault="00EE660B"/>
        </w:tc>
      </w:tr>
      <w:tr w:rsidR="00EE660B" w14:paraId="0A24C859" w14:textId="77777777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</w:tcPr>
          <w:p w14:paraId="5BFDDA88" w14:textId="77777777" w:rsidR="00EE660B" w:rsidRDefault="00EE660B">
            <w:pPr>
              <w:pStyle w:val="EmptySectionRemark"/>
            </w:pPr>
          </w:p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</w:tcPr>
          <w:p w14:paraId="34B576D6" w14:textId="77777777" w:rsidR="00EE660B" w:rsidRDefault="007A417D">
            <w:pPr>
              <w:pStyle w:val="EmptySectionRemark"/>
            </w:pPr>
            <w:r>
              <w:t>Keine Fremdaufhebungen.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 w14:paraId="309CCB02" w14:textId="77777777" w:rsidR="00EE660B" w:rsidRDefault="00EE660B"/>
        </w:tc>
      </w:tr>
      <w:tr w:rsidR="00EE660B" w14:paraId="3A68F72B" w14:textId="77777777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4026AFC9" w14:textId="77777777" w:rsidR="00EE660B" w:rsidRDefault="00EE660B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14:paraId="2732875D" w14:textId="77777777" w:rsidR="00EE660B" w:rsidRDefault="007A417D">
            <w:pPr>
              <w:pStyle w:val="Abschnittstitel"/>
            </w:pPr>
            <w:r>
              <w:t>IV.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14:paraId="587FD05A" w14:textId="77777777" w:rsidR="00EE660B" w:rsidRDefault="00EE660B"/>
        </w:tc>
      </w:tr>
      <w:tr w:rsidR="00EE660B" w14:paraId="31D4679D" w14:textId="77777777">
        <w:tc>
          <w:tcPr>
            <w:tcW w:w="247.55pt" w:type="dxa"/>
            <w:tcBorders>
              <w:start w:val="single" w:sz="4" w:space="0" w:color="000000"/>
              <w:bottom w:val="single" w:sz="4" w:space="0" w:color="000000"/>
            </w:tcBorders>
          </w:tcPr>
          <w:p w14:paraId="67DF0ABB" w14:textId="77777777" w:rsidR="00EE660B" w:rsidRDefault="00EE660B"/>
        </w:tc>
        <w:tc>
          <w:tcPr>
            <w:tcW w:w="247.55pt" w:type="dxa"/>
            <w:tcBorders>
              <w:start w:val="single" w:sz="4" w:space="0" w:color="000000"/>
              <w:bottom w:val="single" w:sz="4" w:space="0" w:color="000000"/>
            </w:tcBorders>
          </w:tcPr>
          <w:p w14:paraId="72AB872A" w14:textId="77777777" w:rsidR="00EE660B" w:rsidRDefault="007A417D">
            <w:pPr>
              <w:pStyle w:val="TableContents"/>
            </w:pPr>
            <w:r>
              <w:t>Diese Änderung untersteht dem fakultativen Referendum.</w:t>
            </w:r>
            <w:r>
              <w:br/>
              <w:t>Sie tritt am ... in Kraft.</w:t>
            </w:r>
          </w:p>
        </w:tc>
        <w:tc>
          <w:tcPr>
            <w:tcW w:w="247.60pt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96D514A" w14:textId="77777777" w:rsidR="00EE660B" w:rsidRDefault="00EE660B"/>
        </w:tc>
      </w:tr>
    </w:tbl>
    <w:p w14:paraId="3C97C2CF" w14:textId="77777777" w:rsidR="00EE660B" w:rsidRDefault="00EE660B"/>
    <w:sectPr w:rsidR="00EE66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841.90pt" w:h="595.30pt" w:orient="landscape"/>
      <w:pgMar w:top="56.65pt" w:right="42.50pt" w:bottom="42.50pt" w:left="56.70pt" w:header="42.50pt" w:footer="28.35pt" w:gutter="0pt"/>
      <w:cols w:space="36pt"/>
      <w:titlePg/>
      <w:docGrid w:linePitch="245" w:charSpace="9215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767CBDB0" w14:textId="77777777" w:rsidR="007A417D" w:rsidRDefault="007A417D">
      <w:r>
        <w:separator/>
      </w:r>
    </w:p>
  </w:endnote>
  <w:endnote w:type="continuationSeparator" w:id="0">
    <w:p w14:paraId="73169C07" w14:textId="77777777" w:rsidR="007A417D" w:rsidRDefault="007A4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7CFA2EE1" w14:textId="77777777" w:rsidR="00EE660B" w:rsidRDefault="00EE660B">
    <w:pPr>
      <w:pStyle w:val="Fuzeile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0D844D3C" w14:textId="77777777" w:rsidR="00EE660B" w:rsidRDefault="00EE660B">
    <w:pPr>
      <w:pStyle w:val="Fuzeile"/>
    </w:pPr>
  </w:p>
</w:ftr>
</file>

<file path=word/footer3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60B6EB85" w14:textId="77777777" w:rsidR="00EE660B" w:rsidRDefault="00EE660B">
    <w:pPr>
      <w:pStyle w:val="Fuzeile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1032CDCC" w14:textId="77777777" w:rsidR="007A417D" w:rsidRDefault="007A417D">
      <w:r>
        <w:separator/>
      </w:r>
    </w:p>
  </w:footnote>
  <w:footnote w:type="continuationSeparator" w:id="0">
    <w:p w14:paraId="149CD7EA" w14:textId="77777777" w:rsidR="007A417D" w:rsidRDefault="007A417D">
      <w:r>
        <w:continuationSeparator/>
      </w:r>
    </w:p>
  </w:footnote>
  <w:footnote w:id="1">
    <w:p w14:paraId="19073EC1" w14:textId="77777777" w:rsidR="00EE660B" w:rsidRDefault="007A417D">
      <w:pPr>
        <w:pStyle w:val="Funotentext"/>
      </w:pPr>
      <w:r>
        <w:rPr>
          <w:rStyle w:val="FootnoteCharacters"/>
        </w:rPr>
        <w:footnoteRef/>
      </w:r>
      <w:r>
        <w:rPr>
          <w:vertAlign w:val="superscript"/>
        </w:rPr>
        <w:t>)</w:t>
      </w:r>
      <w:r>
        <w:tab/>
        <w:t>vgl. Art. 45 ff. ZPO, Art. 56 ff. StPO, Art. 3 </w:t>
      </w:r>
      <w:proofErr w:type="spellStart"/>
      <w:r>
        <w:t>JStPO</w:t>
      </w:r>
      <w:proofErr w:type="spellEnd"/>
      <w:r>
        <w:t xml:space="preserve">, Art. 8 G über die Verwaltungsrechtspflege (VRPG; </w:t>
      </w:r>
      <w:proofErr w:type="spellStart"/>
      <w:r>
        <w:t>bGS</w:t>
      </w:r>
      <w:proofErr w:type="spellEnd"/>
      <w:r>
        <w:t xml:space="preserve"> </w:t>
      </w:r>
      <w:hyperlink r:id="rId1" w:history="1">
        <w:r>
          <w:rPr>
            <w:rStyle w:val="Hyperlink"/>
          </w:rPr>
          <w:t>143.1</w:t>
        </w:r>
      </w:hyperlink>
      <w:r>
        <w:t>)</w:t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79CA2F34" w14:textId="77777777" w:rsidR="00EE660B" w:rsidRDefault="007A417D">
    <w:pPr>
      <w:pStyle w:val="Kopfzeile"/>
      <w:spacing w:line="12pt" w:lineRule="exact"/>
      <w:jc w:val="center"/>
      <w:rPr>
        <w:sz w:val="22"/>
      </w:rPr>
    </w:pPr>
    <w:r>
      <w:rPr>
        <w:sz w:val="16"/>
      </w:rPr>
      <w:t xml:space="preserve">-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2</w:t>
    </w:r>
    <w:r>
      <w:rPr>
        <w:sz w:val="16"/>
      </w:rPr>
      <w:fldChar w:fldCharType="end"/>
    </w:r>
    <w:r>
      <w:rPr>
        <w:sz w:val="16"/>
      </w:rPr>
      <w:t xml:space="preserve"> -</w:t>
    </w:r>
  </w:p>
  <w:p w14:paraId="5C81E822" w14:textId="77777777" w:rsidR="00EE660B" w:rsidRDefault="00EE660B">
    <w:pPr>
      <w:pStyle w:val="Kopfzeile"/>
      <w:spacing w:line="12pt" w:lineRule="exact"/>
      <w:jc w:val="center"/>
      <w:rPr>
        <w:sz w:val="22"/>
      </w:rPr>
    </w:pPr>
  </w:p>
  <w:p w14:paraId="7EB34D85" w14:textId="77777777" w:rsidR="00EE660B" w:rsidRDefault="00EE660B">
    <w:pPr>
      <w:pStyle w:val="Kopfzeile"/>
      <w:spacing w:line="12pt" w:lineRule="exact"/>
      <w:jc w:val="center"/>
      <w:rPr>
        <w:sz w:val="22"/>
      </w:rPr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25092224" w14:textId="77777777" w:rsidR="00EE660B" w:rsidRDefault="007A417D">
    <w:pPr>
      <w:pStyle w:val="Kopfzeile"/>
      <w:spacing w:line="12pt" w:lineRule="exact"/>
      <w:jc w:val="center"/>
      <w:rPr>
        <w:sz w:val="22"/>
      </w:rPr>
    </w:pPr>
    <w:r>
      <w:rPr>
        <w:sz w:val="16"/>
      </w:rPr>
      <w:t xml:space="preserve">-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3</w:t>
    </w:r>
    <w:r>
      <w:rPr>
        <w:sz w:val="16"/>
      </w:rPr>
      <w:fldChar w:fldCharType="end"/>
    </w:r>
    <w:r>
      <w:rPr>
        <w:sz w:val="16"/>
      </w:rPr>
      <w:t xml:space="preserve"> -</w:t>
    </w:r>
  </w:p>
  <w:p w14:paraId="6A6F7ADE" w14:textId="77777777" w:rsidR="00EE660B" w:rsidRDefault="00EE660B">
    <w:pPr>
      <w:pStyle w:val="Kopfzeile"/>
      <w:spacing w:line="12pt" w:lineRule="exact"/>
      <w:jc w:val="center"/>
      <w:rPr>
        <w:sz w:val="22"/>
      </w:rPr>
    </w:pPr>
  </w:p>
  <w:p w14:paraId="51C994E7" w14:textId="77777777" w:rsidR="00EE660B" w:rsidRDefault="00EE660B">
    <w:pPr>
      <w:pStyle w:val="Kopfzeile"/>
      <w:spacing w:line="12pt" w:lineRule="exact"/>
      <w:jc w:val="center"/>
      <w:rPr>
        <w:sz w:val="22"/>
      </w:rPr>
    </w:pPr>
  </w:p>
</w:hdr>
</file>

<file path=word/header3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66C7334C" w14:textId="77777777" w:rsidR="00EE660B" w:rsidRDefault="00EE660B">
    <w:pPr>
      <w:pStyle w:val="Kopfzeile"/>
      <w:spacing w:line="12pt" w:lineRule="exact"/>
      <w:jc w:val="center"/>
      <w:rPr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%"/>
  <w:embedSystemFonts/>
  <w:proofState w:spelling="clean"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.45pt"/>
  <w:autoHyphenation/>
  <w:hyphenationZone w:val="21.25pt"/>
  <w:defaultTableStyle w:val="Standard"/>
  <w:evenAndOddHeaders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60B"/>
    <w:rsid w:val="00486794"/>
    <w:rsid w:val="006B1CEE"/>
    <w:rsid w:val="007A417D"/>
    <w:rsid w:val="00EE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:decimalSymbol w:val="."/>
  <w:listSeparator w:val=";"/>
  <w14:docId w14:val="5B1DBB0E"/>
  <w15:docId w15:val="{077EEE93-0F75-497A-90ED-FCCF44DDD02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keepLines/>
      <w:widowControl w:val="0"/>
      <w:tabs>
        <w:tab w:val="end" w:pos="742.70pt"/>
      </w:tabs>
    </w:pPr>
    <w:rPr>
      <w:rFonts w:ascii="Arial" w:hAnsi="Arial"/>
      <w:lang w:val="de-CH" w:eastAsia="zh-C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customStyle="1" w:styleId="ZusammenfassungHauptnderung">
    <w:name w:val="Zusammenfassung Hauptänderung"/>
    <w:rPr>
      <w:b/>
    </w:rPr>
  </w:style>
  <w:style w:type="character" w:customStyle="1" w:styleId="Zusammenfassungnderung">
    <w:name w:val="Zusammenfassung Änderung"/>
  </w:style>
  <w:style w:type="character" w:customStyle="1" w:styleId="Absatz-Standardschriftart1">
    <w:name w:val="Absatz-Standardschriftart1"/>
  </w:style>
  <w:style w:type="character" w:styleId="Funotenzeichen">
    <w:name w:val="footnote reference"/>
    <w:rPr>
      <w:b w:val="0"/>
      <w:shd w:val="clear" w:color="auto" w:fill="auto"/>
      <w:vertAlign w:val="superscript"/>
    </w:rPr>
  </w:style>
  <w:style w:type="character" w:customStyle="1" w:styleId="FootnoteCharacters">
    <w:name w:val="Footnote Characters"/>
    <w:rPr>
      <w:rFonts w:ascii="Arial" w:hAnsi="Arial"/>
      <w:vertAlign w:val="superscript"/>
    </w:rPr>
  </w:style>
  <w:style w:type="character" w:styleId="Hyperlink">
    <w:name w:val="Hyperlink"/>
    <w:rPr>
      <w:color w:val="000080"/>
      <w:u w:val="single"/>
    </w:rPr>
  </w:style>
  <w:style w:type="character" w:styleId="Endnotenzeichen">
    <w:name w:val="endnote reference"/>
    <w:rPr>
      <w:vertAlign w:val="superscript"/>
    </w:rPr>
  </w:style>
  <w:style w:type="character" w:customStyle="1" w:styleId="EndnoteCharacters">
    <w:name w:val="Endnote Characters"/>
  </w:style>
  <w:style w:type="paragraph" w:customStyle="1" w:styleId="ZusammenfassungEinleitung">
    <w:name w:val="Zusammenfassung Einleitung"/>
    <w:basedOn w:val="Standard"/>
    <w:pPr>
      <w:keepNext/>
      <w:pBdr>
        <w:top w:val="single" w:sz="4" w:space="7" w:color="000000"/>
        <w:left w:val="none" w:sz="0" w:space="0" w:color="000000"/>
        <w:bottom w:val="none" w:sz="0" w:space="0" w:color="000000"/>
        <w:right w:val="none" w:sz="0" w:space="0" w:color="000000"/>
      </w:pBdr>
      <w:spacing w:after="4.25pt"/>
      <w:ind w:start="62.95pt" w:hanging="62.95pt"/>
    </w:pPr>
    <w:rPr>
      <w:position w:val="2"/>
    </w:rPr>
  </w:style>
  <w:style w:type="paragraph" w:customStyle="1" w:styleId="ZusammenfassungneueErlasse">
    <w:name w:val="Zusammenfassung neue Erlasse"/>
    <w:basedOn w:val="Standard"/>
    <w:pPr>
      <w:keepNext/>
      <w:tabs>
        <w:tab w:val="clear" w:pos="742.70pt"/>
        <w:tab w:val="start" w:pos="125.90pt"/>
      </w:tabs>
      <w:spacing w:line="11.60pt" w:lineRule="exact"/>
      <w:ind w:start="62.95pt" w:hanging="62.95pt"/>
    </w:pPr>
    <w:rPr>
      <w:position w:val="2"/>
    </w:rPr>
  </w:style>
  <w:style w:type="paragraph" w:customStyle="1" w:styleId="ZusammenfassunggenderteErlasse">
    <w:name w:val="Zusammenfassung geänderte Erlasse"/>
    <w:basedOn w:val="ZusammenfassungneueErlasse"/>
  </w:style>
  <w:style w:type="paragraph" w:customStyle="1" w:styleId="ZusammenfassungaufgehobeneErlasse">
    <w:name w:val="Zusammenfassung aufgehobene Erlasse"/>
    <w:basedOn w:val="ZusammenfassungneueErlasse"/>
    <w:pPr>
      <w:pBdr>
        <w:top w:val="none" w:sz="0" w:space="0" w:color="000000"/>
        <w:left w:val="none" w:sz="0" w:space="0" w:color="000000"/>
        <w:bottom w:val="single" w:sz="4" w:space="7" w:color="000000"/>
        <w:right w:val="none" w:sz="0" w:space="0" w:color="000000"/>
      </w:pBdr>
      <w:spacing w:after="6.50pt"/>
    </w:pPr>
  </w:style>
  <w:style w:type="paragraph" w:customStyle="1" w:styleId="Autor">
    <w:name w:val="Autor"/>
    <w:basedOn w:val="Standard"/>
    <w:rPr>
      <w:i/>
      <w:iCs/>
    </w:rPr>
  </w:style>
  <w:style w:type="paragraph" w:customStyle="1" w:styleId="Aktion">
    <w:name w:val="Aktion"/>
    <w:basedOn w:val="Standard"/>
    <w:rPr>
      <w:i/>
      <w:iCs/>
    </w:rPr>
  </w:style>
  <w:style w:type="paragraph" w:customStyle="1" w:styleId="EmptySectionRemark">
    <w:name w:val="Empty_Section_Remark"/>
    <w:basedOn w:val="Standard"/>
    <w:rPr>
      <w:i/>
      <w:iCs/>
    </w:rPr>
  </w:style>
  <w:style w:type="paragraph" w:customStyle="1" w:styleId="StandardvorAufzhlung">
    <w:name w:val="Standard vor Aufzählung"/>
    <w:basedOn w:val="Standard"/>
  </w:style>
  <w:style w:type="paragraph" w:customStyle="1" w:styleId="StandardvorTabelle">
    <w:name w:val="Standard vor Tabelle"/>
    <w:basedOn w:val="Standard"/>
  </w:style>
  <w:style w:type="paragraph" w:customStyle="1" w:styleId="StandardvorBild">
    <w:name w:val="Standard vor Bild"/>
    <w:basedOn w:val="Standard"/>
  </w:style>
  <w:style w:type="paragraph" w:customStyle="1" w:styleId="StandardBild">
    <w:name w:val="Standard Bild"/>
    <w:basedOn w:val="Standard"/>
    <w:pPr>
      <w:jc w:val="center"/>
    </w:pPr>
  </w:style>
  <w:style w:type="paragraph" w:customStyle="1" w:styleId="HeaderandFooter">
    <w:name w:val="Header and Footer"/>
    <w:basedOn w:val="Standard"/>
    <w:pPr>
      <w:suppressLineNumbers/>
      <w:tabs>
        <w:tab w:val="clear" w:pos="742.70pt"/>
        <w:tab w:val="center" w:pos="249.30pt"/>
        <w:tab w:val="end" w:pos="498.60pt"/>
      </w:tabs>
    </w:pPr>
  </w:style>
  <w:style w:type="paragraph" w:styleId="Kopfzeile">
    <w:name w:val="header"/>
    <w:pPr>
      <w:widowControl w:val="0"/>
      <w:tabs>
        <w:tab w:val="end" w:pos="742.70pt"/>
      </w:tabs>
      <w:suppressAutoHyphens/>
    </w:pPr>
    <w:rPr>
      <w:rFonts w:ascii="Arial" w:hAnsi="Arial"/>
      <w:sz w:val="18"/>
      <w:lang w:val="de-CH" w:eastAsia="zh-CN" w:bidi="hi-IN"/>
    </w:rPr>
  </w:style>
  <w:style w:type="paragraph" w:styleId="Fuzeile">
    <w:name w:val="footer"/>
    <w:basedOn w:val="Kopfzeile"/>
  </w:style>
  <w:style w:type="paragraph" w:customStyle="1" w:styleId="Erlasstitel">
    <w:name w:val="Erlasstitel"/>
    <w:basedOn w:val="Standard"/>
    <w:next w:val="Datum1"/>
    <w:pPr>
      <w:keepNext/>
      <w:suppressAutoHyphens/>
      <w:spacing w:before="12pt" w:after="12pt"/>
    </w:pPr>
    <w:rPr>
      <w:b/>
      <w:sz w:val="24"/>
    </w:rPr>
  </w:style>
  <w:style w:type="paragraph" w:customStyle="1" w:styleId="Datum1">
    <w:name w:val="Datum1"/>
    <w:basedOn w:val="Standard"/>
    <w:next w:val="Autor"/>
    <w:pPr>
      <w:keepNext/>
      <w:pBdr>
        <w:top w:val="none" w:sz="0" w:space="0" w:color="000000"/>
        <w:left w:val="none" w:sz="0" w:space="0" w:color="000000"/>
        <w:bottom w:val="single" w:sz="4" w:space="10" w:color="000000"/>
        <w:right w:val="none" w:sz="0" w:space="0" w:color="000000"/>
      </w:pBdr>
      <w:spacing w:after="12pt"/>
      <w:ind w:start="1.40pt" w:end="1.40pt"/>
    </w:pPr>
    <w:rPr>
      <w:position w:val="2"/>
    </w:rPr>
  </w:style>
  <w:style w:type="paragraph" w:customStyle="1" w:styleId="Grundlage">
    <w:name w:val="Grundlage"/>
    <w:basedOn w:val="Standard"/>
    <w:next w:val="Aktion"/>
    <w:pPr>
      <w:spacing w:before="12pt" w:after="2pt"/>
    </w:pPr>
  </w:style>
  <w:style w:type="paragraph" w:customStyle="1" w:styleId="Schluss">
    <w:name w:val="Schluss"/>
    <w:basedOn w:val="Standard"/>
    <w:pPr>
      <w:tabs>
        <w:tab w:val="clear" w:pos="742.70pt"/>
        <w:tab w:val="start" w:pos="306.20pt"/>
      </w:tabs>
      <w:spacing w:before="24pt" w:after="2pt"/>
      <w:ind w:start="153.10pt" w:hanging="153.10pt"/>
    </w:pPr>
  </w:style>
  <w:style w:type="paragraph" w:customStyle="1" w:styleId="Nebenzitat">
    <w:name w:val="Nebenzitat"/>
    <w:basedOn w:val="Standard"/>
  </w:style>
  <w:style w:type="paragraph" w:customStyle="1" w:styleId="Abschnittstitel">
    <w:name w:val="Abschnittstitel"/>
    <w:basedOn w:val="Standard"/>
    <w:pPr>
      <w:keepNext/>
      <w:suppressAutoHyphens/>
    </w:pPr>
    <w:rPr>
      <w:b/>
      <w:sz w:val="22"/>
    </w:rPr>
  </w:style>
  <w:style w:type="paragraph" w:customStyle="1" w:styleId="TitelStufe1">
    <w:name w:val="Titel Stufe 1"/>
    <w:basedOn w:val="Standard"/>
    <w:next w:val="Artikel"/>
    <w:pPr>
      <w:keepNext/>
      <w:suppressAutoHyphens/>
      <w:spacing w:before="18pt"/>
    </w:pPr>
    <w:rPr>
      <w:b/>
      <w:sz w:val="22"/>
    </w:rPr>
  </w:style>
  <w:style w:type="paragraph" w:customStyle="1" w:styleId="TitelStufe2">
    <w:name w:val="Titel Stufe 2"/>
    <w:basedOn w:val="TitelStufe1"/>
    <w:next w:val="Artikel"/>
    <w:rPr>
      <w:b w:val="0"/>
      <w:i/>
    </w:rPr>
  </w:style>
  <w:style w:type="paragraph" w:customStyle="1" w:styleId="TitelStufe3">
    <w:name w:val="Titel Stufe 3"/>
    <w:basedOn w:val="TitelStufe2"/>
    <w:next w:val="Artikel"/>
  </w:style>
  <w:style w:type="paragraph" w:customStyle="1" w:styleId="TitelStufe4">
    <w:name w:val="Titel Stufe 4"/>
    <w:basedOn w:val="TitelStufe2"/>
    <w:next w:val="Artikel"/>
  </w:style>
  <w:style w:type="paragraph" w:customStyle="1" w:styleId="TitelStufe5">
    <w:name w:val="Titel Stufe 5"/>
    <w:basedOn w:val="TitelStufe2"/>
    <w:next w:val="Artikel"/>
  </w:style>
  <w:style w:type="paragraph" w:customStyle="1" w:styleId="TitelStufe1nachTitel">
    <w:name w:val="Titel Stufe 1 nach Titel"/>
    <w:basedOn w:val="TitelStufe1"/>
    <w:next w:val="Artikel"/>
  </w:style>
  <w:style w:type="paragraph" w:customStyle="1" w:styleId="TitelStufe2nachTitel">
    <w:name w:val="Titel Stufe 2 nach Titel"/>
    <w:basedOn w:val="TitelStufe2"/>
    <w:next w:val="Artikel"/>
  </w:style>
  <w:style w:type="paragraph" w:customStyle="1" w:styleId="TitelStufe3nachTitel">
    <w:name w:val="Titel Stufe 3 nach Titel"/>
    <w:basedOn w:val="TitelStufe3"/>
    <w:next w:val="Artikel"/>
  </w:style>
  <w:style w:type="paragraph" w:customStyle="1" w:styleId="TitelStufe4nachTitel">
    <w:name w:val="Titel Stufe 4 nach Titel"/>
    <w:basedOn w:val="TitelStufe4"/>
    <w:next w:val="Artikel"/>
  </w:style>
  <w:style w:type="paragraph" w:customStyle="1" w:styleId="TitelStufe5nachTitel">
    <w:name w:val="Titel Stufe 5 nach Titel"/>
    <w:basedOn w:val="TitelStufe5"/>
    <w:next w:val="Artikel"/>
  </w:style>
  <w:style w:type="paragraph" w:styleId="Textkrper">
    <w:name w:val="Body Text"/>
    <w:basedOn w:val="Standard"/>
    <w:pPr>
      <w:spacing w:after="7pt" w:line="13.80pt" w:lineRule="auto"/>
    </w:pPr>
  </w:style>
  <w:style w:type="paragraph" w:styleId="Kommentartext">
    <w:name w:val="annotation text"/>
    <w:basedOn w:val="Standard"/>
    <w:pPr>
      <w:keepNext/>
      <w:spacing w:line="7.20pt" w:lineRule="exact"/>
    </w:pPr>
    <w:rPr>
      <w:sz w:val="14"/>
    </w:rPr>
  </w:style>
  <w:style w:type="paragraph" w:customStyle="1" w:styleId="Artikel">
    <w:name w:val="Artikel"/>
    <w:basedOn w:val="Standard"/>
    <w:next w:val="Standard"/>
    <w:pPr>
      <w:keepNext/>
      <w:tabs>
        <w:tab w:val="clear" w:pos="742.70pt"/>
        <w:tab w:val="start" w:pos="68pt"/>
      </w:tabs>
      <w:spacing w:before="12pt" w:after="3pt"/>
      <w:ind w:start="34pt" w:hanging="34pt"/>
    </w:pPr>
  </w:style>
  <w:style w:type="paragraph" w:customStyle="1" w:styleId="Artikelaufgehoben">
    <w:name w:val="Artikel (aufgehoben)"/>
    <w:basedOn w:val="Artikel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Liste1">
    <w:name w:val="Liste 1"/>
    <w:basedOn w:val="Standard"/>
    <w:pPr>
      <w:ind w:start="17pt" w:hanging="17pt"/>
    </w:pPr>
  </w:style>
  <w:style w:type="paragraph" w:customStyle="1" w:styleId="Liste1mitUnterelementen">
    <w:name w:val="Liste 1 mit Unterelementen"/>
    <w:basedOn w:val="Liste1"/>
  </w:style>
  <w:style w:type="paragraph" w:customStyle="1" w:styleId="Liste1mitaufeinanderfolgendenAufhebungen">
    <w:name w:val="Liste 1 mit aufeinanderfolgenden Aufhebungen"/>
    <w:basedOn w:val="Liste1"/>
  </w:style>
  <w:style w:type="paragraph" w:customStyle="1" w:styleId="Liste21">
    <w:name w:val="Liste 21"/>
    <w:basedOn w:val="Liste1"/>
    <w:pPr>
      <w:ind w:start="34pt"/>
    </w:pPr>
  </w:style>
  <w:style w:type="paragraph" w:customStyle="1" w:styleId="Liste2mitaufeinanderfolgendenAufhebungen">
    <w:name w:val="Liste 2 mit aufeinanderfolgenden Aufhebungen"/>
    <w:basedOn w:val="Liste21"/>
  </w:style>
  <w:style w:type="paragraph" w:customStyle="1" w:styleId="Liste31">
    <w:name w:val="Liste 31"/>
    <w:basedOn w:val="Liste21"/>
    <w:pPr>
      <w:ind w:start="51.05pt"/>
    </w:pPr>
  </w:style>
  <w:style w:type="paragraph" w:styleId="Funotentext">
    <w:name w:val="footnote text"/>
    <w:basedOn w:val="Standard"/>
    <w:pPr>
      <w:spacing w:line="9.40pt" w:lineRule="exact"/>
      <w:ind w:start="10.50pt" w:hanging="10.50pt"/>
    </w:pPr>
    <w:rPr>
      <w:sz w:val="16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13" Type="http://purl.oclc.org/ooxml/officeDocument/relationships/footer" Target="footer3.xml"/><Relationship Id="rId3" Type="http://purl.oclc.org/ooxml/officeDocument/relationships/webSettings" Target="webSettings.xml"/><Relationship Id="rId7" Type="http://purl.oclc.org/ooxml/officeDocument/relationships/hyperlink" Target="https://ar.clex.ch/data/145.31/de" TargetMode="External"/><Relationship Id="rId12" Type="http://purl.oclc.org/ooxml/officeDocument/relationships/header" Target="header3.xml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hyperlink" Target="https://ar.clex.ch/data/141.1/de" TargetMode="External"/><Relationship Id="rId11" Type="http://purl.oclc.org/ooxml/officeDocument/relationships/footer" Target="footer2.xml"/><Relationship Id="rId5" Type="http://purl.oclc.org/ooxml/officeDocument/relationships/endnotes" Target="endnotes.xml"/><Relationship Id="rId15" Type="http://purl.oclc.org/ooxml/officeDocument/relationships/theme" Target="theme/theme1.xml"/><Relationship Id="rId10" Type="http://purl.oclc.org/ooxml/officeDocument/relationships/footer" Target="footer1.xml"/><Relationship Id="rId4" Type="http://purl.oclc.org/ooxml/officeDocument/relationships/footnotes" Target="footnotes.xml"/><Relationship Id="rId9" Type="http://purl.oclc.org/ooxml/officeDocument/relationships/header" Target="header2.xml"/><Relationship Id="rId14" Type="http://purl.oclc.org/ooxml/officeDocument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purl.oclc.org/ooxml/officeDocument/relationships/hyperlink" Target="https://ar.clex.ch/data/143.1/de" TargetMode="Externa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Tibt" typeface="Microsoft Himalaya"/>
        <a:font script="Khmr" typeface="MoolBoran"/>
        <a:font script="Beng" typeface="Vrinda"/>
        <a:font script="Taml" typeface="Latha"/>
        <a:font script="Hebr" typeface="Times New Roman"/>
        <a:font script="Syrc" typeface="Estrangelo Edessa"/>
        <a:font script="Laoo" typeface="DokChampa"/>
        <a:font script="Cher" typeface="Plantagenet Cherokee"/>
        <a:font script="Thaa" typeface="MV Boli"/>
        <a:font script="Sinh" typeface="Iskoola Pota"/>
        <a:font script="Thai" typeface="Angsana New"/>
        <a:font script="Cans" typeface="Euphemia"/>
        <a:font script="Mong" typeface="Mongolian Baiti"/>
        <a:font script="Knda" typeface="Tunga"/>
        <a:font script="Viet" typeface="Times New Roman"/>
        <a:font script="Deva" typeface="Mangal"/>
        <a:font script="Arab" typeface="Times New Roman"/>
        <a:font script="Orya" typeface="Kalinga"/>
        <a:font script="Jpan" typeface="ＭＳ ゴシック"/>
        <a:font script="Hang" typeface="맑은 고딕"/>
        <a:font script="Ethi" typeface="Nyala"/>
        <a:font script="Guru" typeface="Raavi"/>
        <a:font script="Gujr" typeface="Shruti"/>
        <a:font script="Mlym" typeface="Kartika"/>
        <a:font script="Yiii" typeface="Microsoft Yi Baiti"/>
        <a:font script="Hans" typeface="宋体"/>
        <a:font script="Hant" typeface="新細明體"/>
        <a:font script="Telu" typeface="Gautami"/>
        <a:font script="Uigh" typeface="Microsoft Uighur"/>
      </a:majorFont>
      <a:minorFont>
        <a:latin typeface="Calibri"/>
        <a:ea typeface=""/>
        <a:cs typeface=""/>
        <a:font script="Tibt" typeface="Microsoft Himalaya"/>
        <a:font script="Khmr" typeface="DaunPenh"/>
        <a:font script="Beng" typeface="Vrinda"/>
        <a:font script="Taml" typeface="Latha"/>
        <a:font script="Hebr" typeface="Arial"/>
        <a:font script="Syrc" typeface="Estrangelo Edessa"/>
        <a:font script="Laoo" typeface="DokChampa"/>
        <a:font script="Cher" typeface="Plantagenet Cherokee"/>
        <a:font script="Thaa" typeface="MV Boli"/>
        <a:font script="Sinh" typeface="Iskoola Pota"/>
        <a:font script="Thai" typeface="Cordia New"/>
        <a:font script="Cans" typeface="Euphemia"/>
        <a:font script="Mong" typeface="Mongolian Baiti"/>
        <a:font script="Knda" typeface="Tunga"/>
        <a:font script="Viet" typeface="Arial"/>
        <a:font script="Deva" typeface="Mangal"/>
        <a:font script="Arab" typeface="Arial"/>
        <a:font script="Orya" typeface="Kalinga"/>
        <a:font script="Jpan" typeface="ＭＳ 明朝"/>
        <a:font script="Hang" typeface="맑은 고딕"/>
        <a:font script="Ethi" typeface="Nyala"/>
        <a:font script="Guru" typeface="Raavi"/>
        <a:font script="Gujr" typeface="Shruti"/>
        <a:font script="Mlym" typeface="Kartika"/>
        <a:font script="Yiii" typeface="Microsoft Yi Baiti"/>
        <a:font script="Hans" typeface="宋体"/>
        <a:font script="Hant" typeface="新細明體"/>
        <a:font script="Telu" typeface="Gautami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3</Pages>
  <Words>437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Keller Sylvia</dc:creator>
  <cp:lastModifiedBy>Keller Sylvia</cp:lastModifiedBy>
  <cp:revision>2</cp:revision>
  <dcterms:created xsi:type="dcterms:W3CDTF">2026-02-02T11:34:00Z</dcterms:created>
  <dcterms:modified xsi:type="dcterms:W3CDTF">2026-02-02T11:34:00Z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DocumentType">
    <vt:lpwstr>Synopse</vt:lpwstr>
  </property>
</Properties>
</file>