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53EB932F" w14:textId="77777777" w:rsidR="00265E7F" w:rsidRDefault="00265E7F">
      <w:pPr>
        <w:rPr>
          <w:vanish/>
          <w:sz w:val="6"/>
        </w:rPr>
      </w:pPr>
    </w:p>
    <w:p w14:paraId="0F7A60E5" w14:textId="7B8E7B7F" w:rsidR="00265E7F" w:rsidRDefault="00CB394B">
      <w:r>
        <w:rPr>
          <w:b/>
          <w:bCs/>
          <w:sz w:val="22"/>
        </w:rPr>
        <w:t>Antwortformular</w:t>
      </w:r>
    </w:p>
    <w:p w14:paraId="64E3FD77" w14:textId="77777777" w:rsidR="00265E7F" w:rsidRDefault="00265E7F"/>
    <w:p w14:paraId="197FBAFD" w14:textId="77777777" w:rsidR="00265E7F" w:rsidRDefault="002809BD">
      <w:r>
        <w:rPr>
          <w:b/>
          <w:bCs/>
          <w:sz w:val="22"/>
        </w:rPr>
        <w:t>Justizgesetz, Teilrevision</w:t>
      </w:r>
    </w:p>
    <w:p w14:paraId="54353FF2" w14:textId="77777777" w:rsidR="00265E7F" w:rsidRDefault="00265E7F"/>
    <w:p w14:paraId="19E2FE0F" w14:textId="77777777" w:rsidR="00265E7F" w:rsidRDefault="002809BD">
      <w:pPr>
        <w:pStyle w:val="ZusammenfassungEinleitung"/>
      </w:pPr>
      <w:r>
        <w:t>Von diesem Geschäft tangierte Erlasse (</w:t>
      </w:r>
      <w:proofErr w:type="spellStart"/>
      <w:proofErr w:type="gramStart"/>
      <w:r>
        <w:t>bGS</w:t>
      </w:r>
      <w:proofErr w:type="spellEnd"/>
      <w:r>
        <w:t xml:space="preserve"> Nummern</w:t>
      </w:r>
      <w:proofErr w:type="gramEnd"/>
      <w:r>
        <w:t>)</w:t>
      </w:r>
    </w:p>
    <w:p w14:paraId="34394271" w14:textId="77777777" w:rsidR="00265E7F" w:rsidRDefault="002809BD">
      <w:pPr>
        <w:pStyle w:val="ZusammenfassungneueErlasse"/>
      </w:pPr>
      <w:r>
        <w:t>Neu:</w:t>
      </w:r>
      <w:r>
        <w:tab/>
        <w:t>–</w:t>
      </w:r>
    </w:p>
    <w:p w14:paraId="13B6BD59" w14:textId="77777777" w:rsidR="00265E7F" w:rsidRDefault="002809BD">
      <w:pPr>
        <w:pStyle w:val="ZusammenfassunggenderteErlasse"/>
      </w:pPr>
      <w:r>
        <w:t>Geändert:</w:t>
      </w:r>
      <w:r>
        <w:tab/>
      </w:r>
      <w:r>
        <w:rPr>
          <w:rStyle w:val="Zusammenfassungnderung"/>
        </w:rPr>
        <w:t>131.12</w:t>
      </w:r>
      <w:r>
        <w:t xml:space="preserve"> | </w:t>
      </w:r>
      <w:r>
        <w:rPr>
          <w:rStyle w:val="Zusammenfassungnderung"/>
        </w:rPr>
        <w:t>143.1</w:t>
      </w:r>
      <w:r>
        <w:t xml:space="preserve"> | </w:t>
      </w:r>
      <w:r>
        <w:rPr>
          <w:rStyle w:val="ZusammenfassungHauptnderung"/>
        </w:rPr>
        <w:t>145.31</w:t>
      </w:r>
      <w:r>
        <w:t xml:space="preserve"> | </w:t>
      </w:r>
      <w:r>
        <w:rPr>
          <w:rStyle w:val="Zusammenfassungnderung"/>
        </w:rPr>
        <w:t>145.52</w:t>
      </w:r>
      <w:r>
        <w:t xml:space="preserve"> | </w:t>
      </w:r>
      <w:r>
        <w:rPr>
          <w:rStyle w:val="Zusammenfassungnderung"/>
        </w:rPr>
        <w:t>213.113</w:t>
      </w:r>
      <w:r>
        <w:t xml:space="preserve"> | </w:t>
      </w:r>
      <w:r>
        <w:rPr>
          <w:rStyle w:val="Zusammenfassungnderung"/>
        </w:rPr>
        <w:t>311</w:t>
      </w:r>
      <w:r>
        <w:t xml:space="preserve"> | </w:t>
      </w:r>
      <w:r>
        <w:rPr>
          <w:rStyle w:val="Zusammenfassungnderung"/>
        </w:rPr>
        <w:t>341.1</w:t>
      </w:r>
      <w:r>
        <w:t xml:space="preserve"> | </w:t>
      </w:r>
      <w:r>
        <w:rPr>
          <w:rStyle w:val="Zusammenfassungnderung"/>
        </w:rPr>
        <w:t>921.3</w:t>
      </w:r>
    </w:p>
    <w:p w14:paraId="648AC011" w14:textId="77777777" w:rsidR="00265E7F" w:rsidRDefault="002809BD">
      <w:pPr>
        <w:pStyle w:val="ZusammenfassungaufgehobeneErlasse"/>
        <w:rPr>
          <w:b/>
          <w:sz w:val="22"/>
        </w:rPr>
      </w:pPr>
      <w:r>
        <w:t>Aufgehoben:</w:t>
      </w:r>
      <w:r>
        <w:tab/>
      </w:r>
      <w:r>
        <w:rPr>
          <w:rStyle w:val="Zusammenfassungnderung"/>
        </w:rPr>
        <w:t>145.311</w:t>
      </w:r>
      <w:r>
        <w:t xml:space="preserve"> | </w:t>
      </w:r>
      <w:r>
        <w:rPr>
          <w:rStyle w:val="Zusammenfassungnderung"/>
        </w:rPr>
        <w:t>145.312</w:t>
      </w:r>
      <w:r>
        <w:t xml:space="preserve"> | </w:t>
      </w:r>
      <w:r>
        <w:rPr>
          <w:rStyle w:val="Zusammenfassungnderung"/>
        </w:rPr>
        <w:t>222.11</w:t>
      </w:r>
    </w:p>
    <w:tbl>
      <w:tblPr>
        <w:tblW w:w="100.0%" w:type="pct"/>
        <w:tblLayout w:type="fixed"/>
        <w:tblCellMar>
          <w:top w:w="5.40pt" w:type="dxa"/>
          <w:bottom w:w="5.40pt" w:type="dxa"/>
        </w:tblCellMar>
        <w:tblLook w:firstRow="0" w:lastRow="0" w:firstColumn="0" w:lastColumn="0" w:noHBand="0" w:noVBand="0"/>
      </w:tblPr>
      <w:tblGrid>
        <w:gridCol w:w="4947"/>
        <w:gridCol w:w="4948"/>
        <w:gridCol w:w="4949"/>
      </w:tblGrid>
      <w:tr w:rsidR="00265E7F" w14:paraId="42167B02" w14:textId="77777777">
        <w:trPr>
          <w:tblHeader/>
        </w:trPr>
        <w:tc>
          <w:tcPr>
            <w:tcW w:w="247.55pt" w:type="dxa"/>
            <w:tcBorders>
              <w:top w:val="single" w:sz="4" w:space="0" w:color="000000"/>
              <w:start w:val="single" w:sz="4" w:space="0" w:color="000000"/>
              <w:bottom w:val="single" w:sz="4" w:space="0" w:color="000000"/>
            </w:tcBorders>
            <w:shd w:val="clear" w:color="auto" w:fill="E0E0E0"/>
            <w:vAlign w:val="center"/>
          </w:tcPr>
          <w:p w14:paraId="39F749FB" w14:textId="77777777" w:rsidR="00265E7F" w:rsidRDefault="002809BD">
            <w:pPr>
              <w:pStyle w:val="TableContents"/>
            </w:pPr>
            <w:r>
              <w:rPr>
                <w:b/>
                <w:sz w:val="22"/>
              </w:rPr>
              <w:t>Geltendes Recht</w:t>
            </w:r>
          </w:p>
        </w:tc>
        <w:tc>
          <w:tcPr>
            <w:tcW w:w="247.55pt" w:type="dxa"/>
            <w:tcBorders>
              <w:top w:val="single" w:sz="4" w:space="0" w:color="000000"/>
              <w:start w:val="single" w:sz="4" w:space="0" w:color="000000"/>
              <w:bottom w:val="single" w:sz="4" w:space="0" w:color="000000"/>
            </w:tcBorders>
            <w:shd w:val="clear" w:color="auto" w:fill="E0E0E0"/>
            <w:vAlign w:val="center"/>
          </w:tcPr>
          <w:p w14:paraId="5EDDFB0C" w14:textId="7FAA092D" w:rsidR="00265E7F" w:rsidRDefault="002809BD">
            <w:pPr>
              <w:pStyle w:val="TableContents"/>
            </w:pPr>
            <w:proofErr w:type="spellStart"/>
            <w:r>
              <w:rPr>
                <w:b/>
                <w:sz w:val="22"/>
              </w:rPr>
              <w:t>Vernehmlassungsentwurf</w:t>
            </w:r>
            <w:proofErr w:type="spellEnd"/>
            <w:r>
              <w:rPr>
                <w:b/>
                <w:sz w:val="22"/>
              </w:rPr>
              <w:t xml:space="preserve"> Regierungsrat,</w:t>
            </w:r>
            <w:r w:rsidR="009B566A">
              <w:rPr>
                <w:b/>
                <w:sz w:val="22"/>
              </w:rPr>
              <w:br/>
            </w:r>
            <w:r>
              <w:rPr>
                <w:b/>
                <w:sz w:val="22"/>
              </w:rPr>
              <w:t>8. September 2026</w:t>
            </w:r>
          </w:p>
        </w:tc>
        <w:tc>
          <w:tcPr>
            <w:tcW w:w="247.60pt" w:type="dxa"/>
            <w:tcBorders>
              <w:top w:val="single" w:sz="4" w:space="0" w:color="000000"/>
              <w:start w:val="single" w:sz="4" w:space="0" w:color="000000"/>
              <w:bottom w:val="single" w:sz="4" w:space="0" w:color="000000"/>
              <w:end w:val="single" w:sz="4" w:space="0" w:color="000000"/>
            </w:tcBorders>
            <w:shd w:val="clear" w:color="auto" w:fill="E0E0E0"/>
            <w:vAlign w:val="center"/>
          </w:tcPr>
          <w:p w14:paraId="04F4E589" w14:textId="1342797D" w:rsidR="00265E7F" w:rsidRDefault="000152CA">
            <w:pPr>
              <w:pStyle w:val="TableContents"/>
            </w:pPr>
            <w:proofErr w:type="spellStart"/>
            <w:r>
              <w:rPr>
                <w:b/>
                <w:sz w:val="22"/>
              </w:rPr>
              <w:t>Vernehmlassungsantworten</w:t>
            </w:r>
            <w:proofErr w:type="spellEnd"/>
            <w:r>
              <w:rPr>
                <w:b/>
                <w:sz w:val="22"/>
              </w:rPr>
              <w:t>     </w:t>
            </w:r>
          </w:p>
        </w:tc>
      </w:tr>
      <w:tr w:rsidR="00265E7F" w14:paraId="435B8291" w14:textId="77777777">
        <w:tc>
          <w:tcPr>
            <w:tcW w:w="247.55pt" w:type="dxa"/>
            <w:tcBorders>
              <w:top w:val="single" w:sz="4" w:space="0" w:color="000000"/>
              <w:start w:val="single" w:sz="4" w:space="0" w:color="000000"/>
            </w:tcBorders>
            <w:shd w:val="clear" w:color="auto" w:fill="FFFFFF"/>
          </w:tcPr>
          <w:p w14:paraId="7379C514" w14:textId="77777777" w:rsidR="00265E7F" w:rsidRDefault="00265E7F"/>
        </w:tc>
        <w:tc>
          <w:tcPr>
            <w:tcW w:w="247.55pt" w:type="dxa"/>
            <w:tcBorders>
              <w:top w:val="single" w:sz="4" w:space="0" w:color="000000"/>
              <w:start w:val="single" w:sz="4" w:space="0" w:color="000000"/>
            </w:tcBorders>
            <w:shd w:val="clear" w:color="auto" w:fill="FFFFFF"/>
          </w:tcPr>
          <w:p w14:paraId="218A89CD" w14:textId="77777777" w:rsidR="00265E7F" w:rsidRDefault="002809BD">
            <w:pPr>
              <w:pStyle w:val="Abschnittstitel"/>
            </w:pPr>
            <w:r>
              <w:t>I.</w:t>
            </w:r>
          </w:p>
        </w:tc>
        <w:tc>
          <w:tcPr>
            <w:tcW w:w="247.60pt" w:type="dxa"/>
            <w:tcBorders>
              <w:top w:val="single" w:sz="4" w:space="0" w:color="000000"/>
              <w:start w:val="single" w:sz="4" w:space="0" w:color="000000"/>
              <w:end w:val="single" w:sz="4" w:space="0" w:color="000000"/>
            </w:tcBorders>
            <w:shd w:val="clear" w:color="auto" w:fill="FFFFFF"/>
          </w:tcPr>
          <w:p w14:paraId="5AD548ED" w14:textId="77777777" w:rsidR="00265E7F" w:rsidRDefault="00265E7F"/>
        </w:tc>
      </w:tr>
      <w:tr w:rsidR="00265E7F" w14:paraId="7CAA5C07" w14:textId="77777777">
        <w:tc>
          <w:tcPr>
            <w:tcW w:w="247.55pt" w:type="dxa"/>
            <w:tcBorders>
              <w:top w:val="single" w:sz="4" w:space="0" w:color="000000"/>
              <w:start w:val="single" w:sz="4" w:space="0" w:color="000000"/>
            </w:tcBorders>
            <w:shd w:val="clear" w:color="auto" w:fill="FFFFFF"/>
          </w:tcPr>
          <w:p w14:paraId="28ACBFAE" w14:textId="77777777" w:rsidR="00265E7F" w:rsidRDefault="00265E7F"/>
        </w:tc>
        <w:tc>
          <w:tcPr>
            <w:tcW w:w="247.55pt" w:type="dxa"/>
            <w:tcBorders>
              <w:top w:val="single" w:sz="4" w:space="0" w:color="000000"/>
              <w:start w:val="single" w:sz="4" w:space="0" w:color="000000"/>
            </w:tcBorders>
            <w:shd w:val="clear" w:color="auto" w:fill="FFFFFF"/>
          </w:tcPr>
          <w:p w14:paraId="0642493C" w14:textId="77777777" w:rsidR="00265E7F" w:rsidRDefault="002809BD">
            <w:pPr>
              <w:pStyle w:val="Nebenzitat"/>
            </w:pPr>
            <w:r>
              <w:t>Der Erlass «Justizgesetz (</w:t>
            </w:r>
            <w:proofErr w:type="spellStart"/>
            <w:r>
              <w:t>bGS</w:t>
            </w:r>
            <w:proofErr w:type="spellEnd"/>
            <w:r>
              <w:t xml:space="preserve"> </w:t>
            </w:r>
            <w:hyperlink r:id="rId6" w:history="1">
              <w:r w:rsidR="00265E7F">
                <w:rPr>
                  <w:rStyle w:val="Hyperlink"/>
                </w:rPr>
                <w:t>145.31</w:t>
              </w:r>
            </w:hyperlink>
            <w:r>
              <w:t>) vom 13. September 2010 (Stand 1. Juni 2019)» wird wie folgt geändert:</w:t>
            </w:r>
          </w:p>
        </w:tc>
        <w:tc>
          <w:tcPr>
            <w:tcW w:w="247.60pt" w:type="dxa"/>
            <w:tcBorders>
              <w:top w:val="single" w:sz="4" w:space="0" w:color="000000"/>
              <w:start w:val="single" w:sz="4" w:space="0" w:color="000000"/>
              <w:end w:val="single" w:sz="4" w:space="0" w:color="000000"/>
            </w:tcBorders>
            <w:shd w:val="clear" w:color="auto" w:fill="FFFFFF"/>
          </w:tcPr>
          <w:p w14:paraId="3800402A" w14:textId="77777777" w:rsidR="00265E7F" w:rsidRDefault="00265E7F"/>
        </w:tc>
      </w:tr>
      <w:tr w:rsidR="00265E7F" w14:paraId="49FE855A" w14:textId="77777777">
        <w:tc>
          <w:tcPr>
            <w:tcW w:w="247.55pt" w:type="dxa"/>
            <w:tcBorders>
              <w:top w:val="single" w:sz="4" w:space="0" w:color="000000"/>
              <w:start w:val="single" w:sz="4" w:space="0" w:color="000000"/>
            </w:tcBorders>
          </w:tcPr>
          <w:p w14:paraId="2E997167" w14:textId="77777777" w:rsidR="00265E7F" w:rsidRDefault="002809BD">
            <w:pPr>
              <w:pStyle w:val="TableContents"/>
            </w:pPr>
            <w:r>
              <w:rPr>
                <w:b/>
                <w:bCs/>
                <w:sz w:val="22"/>
              </w:rPr>
              <w:t>Justizgesetz</w:t>
            </w:r>
          </w:p>
        </w:tc>
        <w:tc>
          <w:tcPr>
            <w:tcW w:w="247.55pt" w:type="dxa"/>
            <w:tcBorders>
              <w:top w:val="single" w:sz="4" w:space="0" w:color="000000"/>
              <w:start w:val="single" w:sz="4" w:space="0" w:color="000000"/>
            </w:tcBorders>
          </w:tcPr>
          <w:p w14:paraId="4FA055CF" w14:textId="77777777" w:rsidR="00265E7F" w:rsidRDefault="002809BD">
            <w:pPr>
              <w:pStyle w:val="TableContents"/>
            </w:pPr>
            <w:r>
              <w:rPr>
                <w:b/>
                <w:bCs/>
                <w:sz w:val="22"/>
              </w:rPr>
              <w:t>Justizgesetz (JG)</w:t>
            </w:r>
          </w:p>
        </w:tc>
        <w:tc>
          <w:tcPr>
            <w:tcW w:w="247.60pt" w:type="dxa"/>
            <w:tcBorders>
              <w:top w:val="single" w:sz="4" w:space="0" w:color="000000"/>
              <w:start w:val="single" w:sz="4" w:space="0" w:color="000000"/>
              <w:end w:val="single" w:sz="4" w:space="0" w:color="000000"/>
            </w:tcBorders>
          </w:tcPr>
          <w:p w14:paraId="5508B46C" w14:textId="77777777" w:rsidR="00265E7F" w:rsidRDefault="00265E7F"/>
        </w:tc>
      </w:tr>
      <w:tr w:rsidR="00265E7F" w14:paraId="3E5E93C4" w14:textId="77777777">
        <w:tc>
          <w:tcPr>
            <w:tcW w:w="247.55pt" w:type="dxa"/>
            <w:tcBorders>
              <w:top w:val="single" w:sz="4" w:space="0" w:color="000000"/>
              <w:start w:val="single" w:sz="4" w:space="0" w:color="000000"/>
            </w:tcBorders>
          </w:tcPr>
          <w:p w14:paraId="444E99AC" w14:textId="77777777" w:rsidR="00265E7F" w:rsidRDefault="002809BD">
            <w:pPr>
              <w:pStyle w:val="TableContents"/>
            </w:pPr>
            <w:r>
              <w:t>vom 13. September 2010</w:t>
            </w:r>
          </w:p>
        </w:tc>
        <w:tc>
          <w:tcPr>
            <w:tcW w:w="247.55pt" w:type="dxa"/>
            <w:tcBorders>
              <w:top w:val="single" w:sz="4" w:space="0" w:color="000000"/>
              <w:start w:val="single" w:sz="4" w:space="0" w:color="000000"/>
            </w:tcBorders>
          </w:tcPr>
          <w:p w14:paraId="166A3C5F"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049AB6AC" w14:textId="77777777" w:rsidR="00265E7F" w:rsidRDefault="00265E7F"/>
        </w:tc>
      </w:tr>
      <w:tr w:rsidR="00265E7F" w14:paraId="31433BDF" w14:textId="77777777">
        <w:tc>
          <w:tcPr>
            <w:tcW w:w="247.55pt" w:type="dxa"/>
            <w:tcBorders>
              <w:top w:val="single" w:sz="4" w:space="0" w:color="000000"/>
              <w:start w:val="single" w:sz="4" w:space="0" w:color="000000"/>
            </w:tcBorders>
          </w:tcPr>
          <w:p w14:paraId="4D579148" w14:textId="77777777" w:rsidR="00265E7F" w:rsidRDefault="002809BD">
            <w:pPr>
              <w:pStyle w:val="Autor"/>
            </w:pPr>
            <w:r>
              <w:t>Der Kantonsrat von Appenzell Ausserrhoden,</w:t>
            </w:r>
          </w:p>
        </w:tc>
        <w:tc>
          <w:tcPr>
            <w:tcW w:w="247.55pt" w:type="dxa"/>
            <w:tcBorders>
              <w:top w:val="single" w:sz="4" w:space="0" w:color="000000"/>
              <w:start w:val="single" w:sz="4" w:space="0" w:color="000000"/>
            </w:tcBorders>
          </w:tcPr>
          <w:p w14:paraId="336D5125" w14:textId="77777777" w:rsidR="00265E7F" w:rsidRDefault="00265E7F">
            <w:pPr>
              <w:pStyle w:val="Autor"/>
            </w:pPr>
          </w:p>
        </w:tc>
        <w:tc>
          <w:tcPr>
            <w:tcW w:w="247.60pt" w:type="dxa"/>
            <w:tcBorders>
              <w:top w:val="single" w:sz="4" w:space="0" w:color="000000"/>
              <w:start w:val="single" w:sz="4" w:space="0" w:color="000000"/>
              <w:end w:val="single" w:sz="4" w:space="0" w:color="000000"/>
            </w:tcBorders>
          </w:tcPr>
          <w:p w14:paraId="03CED80E" w14:textId="77777777" w:rsidR="00265E7F" w:rsidRDefault="00265E7F"/>
        </w:tc>
      </w:tr>
      <w:tr w:rsidR="00265E7F" w14:paraId="41F68154" w14:textId="77777777">
        <w:tc>
          <w:tcPr>
            <w:tcW w:w="247.55pt" w:type="dxa"/>
            <w:tcBorders>
              <w:top w:val="single" w:sz="4" w:space="0" w:color="000000"/>
              <w:start w:val="single" w:sz="4" w:space="0" w:color="000000"/>
            </w:tcBorders>
          </w:tcPr>
          <w:p w14:paraId="7B5CA8FC" w14:textId="77777777" w:rsidR="00265E7F" w:rsidRDefault="002809BD">
            <w:pPr>
              <w:pStyle w:val="TableContents"/>
            </w:pPr>
            <w:r>
              <w:t xml:space="preserve">gestützt auf die </w:t>
            </w:r>
            <w:proofErr w:type="gramStart"/>
            <w:r>
              <w:t>Schweizerische</w:t>
            </w:r>
            <w:proofErr w:type="gramEnd"/>
            <w:r>
              <w:t xml:space="preserve"> Zivilprozessordnung vom 19. Dezember 2008</w:t>
            </w:r>
            <w:r>
              <w:rPr>
                <w:rStyle w:val="Funotenzeichen"/>
              </w:rPr>
              <w:footnoteReference w:id="1"/>
            </w:r>
            <w:r>
              <w:rPr>
                <w:rStyle w:val="Funotenzeichen"/>
              </w:rPr>
              <w:t>)</w:t>
            </w:r>
            <w:r>
              <w:t xml:space="preserve">, die </w:t>
            </w:r>
            <w:proofErr w:type="gramStart"/>
            <w:r>
              <w:t>Schweizerische</w:t>
            </w:r>
            <w:proofErr w:type="gramEnd"/>
            <w:r>
              <w:t xml:space="preserve"> Strafprozessordnung vom 5. Oktober 2007</w:t>
            </w:r>
            <w:r>
              <w:rPr>
                <w:rStyle w:val="Funotenzeichen"/>
              </w:rPr>
              <w:footnoteReference w:id="2"/>
            </w:r>
            <w:r>
              <w:rPr>
                <w:rStyle w:val="Funotenzeichen"/>
              </w:rPr>
              <w:t>)</w:t>
            </w:r>
            <w:r>
              <w:t xml:space="preserve">, die </w:t>
            </w:r>
            <w:proofErr w:type="gramStart"/>
            <w:r>
              <w:t>Schweizerische</w:t>
            </w:r>
            <w:proofErr w:type="gramEnd"/>
            <w:r>
              <w:t xml:space="preserve"> Jugendstrafprozessordnung vom 20. März 2009</w:t>
            </w:r>
            <w:r>
              <w:rPr>
                <w:rStyle w:val="Funotenzeichen"/>
              </w:rPr>
              <w:footnoteReference w:id="3"/>
            </w:r>
            <w:r>
              <w:rPr>
                <w:rStyle w:val="Funotenzeichen"/>
              </w:rPr>
              <w:t>)</w:t>
            </w:r>
            <w:r>
              <w:t xml:space="preserve"> und Art. 94 Abs. 2 der Verfassung des Kantons Appenzell A.Rh. vom 30. April 1995</w:t>
            </w:r>
            <w:r>
              <w:rPr>
                <w:rStyle w:val="Funotenzeichen"/>
              </w:rPr>
              <w:footnoteReference w:id="4"/>
            </w:r>
            <w:r>
              <w:rPr>
                <w:rStyle w:val="Funotenzeichen"/>
              </w:rPr>
              <w:t>)</w:t>
            </w:r>
            <w:r>
              <w:t>,</w:t>
            </w:r>
          </w:p>
        </w:tc>
        <w:tc>
          <w:tcPr>
            <w:tcW w:w="247.55pt" w:type="dxa"/>
            <w:tcBorders>
              <w:top w:val="single" w:sz="4" w:space="0" w:color="000000"/>
              <w:start w:val="single" w:sz="4" w:space="0" w:color="000000"/>
            </w:tcBorders>
          </w:tcPr>
          <w:p w14:paraId="2CCBB69F"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E29BAF8" w14:textId="77777777" w:rsidR="00265E7F" w:rsidRDefault="00265E7F"/>
        </w:tc>
      </w:tr>
      <w:tr w:rsidR="00265E7F" w14:paraId="2F908559" w14:textId="77777777">
        <w:tc>
          <w:tcPr>
            <w:tcW w:w="247.55pt" w:type="dxa"/>
            <w:tcBorders>
              <w:top w:val="single" w:sz="4" w:space="0" w:color="000000"/>
              <w:start w:val="single" w:sz="4" w:space="0" w:color="000000"/>
            </w:tcBorders>
          </w:tcPr>
          <w:p w14:paraId="28CC4710" w14:textId="77777777" w:rsidR="00265E7F" w:rsidRDefault="002809BD">
            <w:pPr>
              <w:pStyle w:val="Aktion"/>
            </w:pPr>
            <w:r>
              <w:t>beschliesst:</w:t>
            </w:r>
          </w:p>
        </w:tc>
        <w:tc>
          <w:tcPr>
            <w:tcW w:w="247.55pt" w:type="dxa"/>
            <w:tcBorders>
              <w:top w:val="single" w:sz="4" w:space="0" w:color="000000"/>
              <w:start w:val="single" w:sz="4" w:space="0" w:color="000000"/>
            </w:tcBorders>
          </w:tcPr>
          <w:p w14:paraId="3FCEF898" w14:textId="77777777" w:rsidR="00265E7F" w:rsidRDefault="00265E7F">
            <w:pPr>
              <w:pStyle w:val="Aktion"/>
            </w:pPr>
          </w:p>
        </w:tc>
        <w:tc>
          <w:tcPr>
            <w:tcW w:w="247.60pt" w:type="dxa"/>
            <w:tcBorders>
              <w:top w:val="single" w:sz="4" w:space="0" w:color="000000"/>
              <w:start w:val="single" w:sz="4" w:space="0" w:color="000000"/>
              <w:end w:val="single" w:sz="4" w:space="0" w:color="000000"/>
            </w:tcBorders>
          </w:tcPr>
          <w:p w14:paraId="0223B983" w14:textId="77777777" w:rsidR="00265E7F" w:rsidRDefault="00265E7F"/>
        </w:tc>
      </w:tr>
      <w:tr w:rsidR="00265E7F" w14:paraId="1C5DD9C4" w14:textId="77777777">
        <w:trPr>
          <w:cantSplit/>
        </w:trPr>
        <w:tc>
          <w:tcPr>
            <w:tcW w:w="247.55pt" w:type="dxa"/>
            <w:tcBorders>
              <w:top w:val="single" w:sz="4" w:space="0" w:color="000000"/>
              <w:start w:val="single" w:sz="4" w:space="0" w:color="000000"/>
            </w:tcBorders>
          </w:tcPr>
          <w:p w14:paraId="565867FF" w14:textId="77777777" w:rsidR="00265E7F" w:rsidRDefault="002809BD">
            <w:pPr>
              <w:pStyle w:val="TableContents"/>
            </w:pPr>
            <w:r>
              <w:rPr>
                <w:b/>
                <w:bCs/>
              </w:rPr>
              <w:t>Art.  6</w:t>
            </w:r>
            <w:r>
              <w:br/>
            </w:r>
            <w:r>
              <w:rPr>
                <w:sz w:val="14"/>
              </w:rPr>
              <w:t>Aufgaben</w:t>
            </w:r>
          </w:p>
        </w:tc>
        <w:tc>
          <w:tcPr>
            <w:tcW w:w="247.55pt" w:type="dxa"/>
            <w:tcBorders>
              <w:top w:val="single" w:sz="4" w:space="0" w:color="000000"/>
              <w:start w:val="single" w:sz="4" w:space="0" w:color="000000"/>
            </w:tcBorders>
          </w:tcPr>
          <w:p w14:paraId="189A891E"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B8AF174" w14:textId="77777777" w:rsidR="00265E7F" w:rsidRDefault="00265E7F"/>
        </w:tc>
      </w:tr>
      <w:tr w:rsidR="00265E7F" w14:paraId="79AB2378" w14:textId="77777777">
        <w:trPr>
          <w:cantSplit/>
        </w:trPr>
        <w:tc>
          <w:tcPr>
            <w:tcW w:w="247.55pt" w:type="dxa"/>
            <w:tcBorders>
              <w:start w:val="single" w:sz="4" w:space="0" w:color="000000"/>
            </w:tcBorders>
          </w:tcPr>
          <w:p w14:paraId="5777F9F6" w14:textId="77777777" w:rsidR="00265E7F" w:rsidRDefault="002809BD">
            <w:pPr>
              <w:pStyle w:val="TableContents"/>
            </w:pPr>
            <w:r>
              <w:rPr>
                <w:vertAlign w:val="superscript"/>
              </w:rPr>
              <w:lastRenderedPageBreak/>
              <w:t>1</w:t>
            </w:r>
            <w:r>
              <w:t> Die Schlichtungsstellen erfüllen die ihnen vom Bundesrecht zugewiesenen Aufgaben.</w:t>
            </w:r>
            <w:r>
              <w:rPr>
                <w:rStyle w:val="Funotenzeichen"/>
              </w:rPr>
              <w:footnoteReference w:id="5"/>
            </w:r>
            <w:r>
              <w:rPr>
                <w:rStyle w:val="Funotenzeichen"/>
              </w:rPr>
              <w:t>)</w:t>
            </w:r>
          </w:p>
        </w:tc>
        <w:tc>
          <w:tcPr>
            <w:tcW w:w="247.55pt" w:type="dxa"/>
            <w:tcBorders>
              <w:start w:val="single" w:sz="4" w:space="0" w:color="000000"/>
            </w:tcBorders>
          </w:tcPr>
          <w:p w14:paraId="30BD3054" w14:textId="77777777" w:rsidR="00265E7F" w:rsidRDefault="00265E7F">
            <w:pPr>
              <w:pStyle w:val="TableContents"/>
            </w:pPr>
          </w:p>
        </w:tc>
        <w:tc>
          <w:tcPr>
            <w:tcW w:w="247.60pt" w:type="dxa"/>
            <w:tcBorders>
              <w:start w:val="single" w:sz="4" w:space="0" w:color="000000"/>
              <w:end w:val="single" w:sz="4" w:space="0" w:color="000000"/>
            </w:tcBorders>
          </w:tcPr>
          <w:p w14:paraId="64F3D7D0" w14:textId="77777777" w:rsidR="00265E7F" w:rsidRDefault="00265E7F"/>
        </w:tc>
      </w:tr>
      <w:tr w:rsidR="00265E7F" w14:paraId="357C1BCF" w14:textId="77777777">
        <w:trPr>
          <w:cantSplit/>
        </w:trPr>
        <w:tc>
          <w:tcPr>
            <w:tcW w:w="247.55pt" w:type="dxa"/>
            <w:tcBorders>
              <w:start w:val="single" w:sz="4" w:space="0" w:color="000000"/>
            </w:tcBorders>
          </w:tcPr>
          <w:p w14:paraId="357CBBCA" w14:textId="77777777" w:rsidR="00265E7F" w:rsidRDefault="002809BD">
            <w:pPr>
              <w:pStyle w:val="TableContents"/>
            </w:pPr>
            <w:r>
              <w:rPr>
                <w:vertAlign w:val="superscript"/>
              </w:rPr>
              <w:t>2</w:t>
            </w:r>
            <w:r>
              <w:t> Sie sind auch Rechtsberatungsstellen.</w:t>
            </w:r>
            <w:r>
              <w:rPr>
                <w:rStyle w:val="Funotenzeichen"/>
              </w:rPr>
              <w:footnoteReference w:id="6"/>
            </w:r>
            <w:r>
              <w:rPr>
                <w:rStyle w:val="Funotenzeichen"/>
              </w:rPr>
              <w:t>)</w:t>
            </w:r>
          </w:p>
        </w:tc>
        <w:tc>
          <w:tcPr>
            <w:tcW w:w="247.55pt" w:type="dxa"/>
            <w:tcBorders>
              <w:start w:val="single" w:sz="4" w:space="0" w:color="000000"/>
            </w:tcBorders>
          </w:tcPr>
          <w:p w14:paraId="0D3CFE57" w14:textId="77777777" w:rsidR="00265E7F" w:rsidRDefault="00265E7F">
            <w:pPr>
              <w:pStyle w:val="TableContents"/>
            </w:pPr>
          </w:p>
        </w:tc>
        <w:tc>
          <w:tcPr>
            <w:tcW w:w="247.60pt" w:type="dxa"/>
            <w:tcBorders>
              <w:start w:val="single" w:sz="4" w:space="0" w:color="000000"/>
              <w:end w:val="single" w:sz="4" w:space="0" w:color="000000"/>
            </w:tcBorders>
          </w:tcPr>
          <w:p w14:paraId="77F60DCB" w14:textId="77777777" w:rsidR="00265E7F" w:rsidRDefault="00265E7F"/>
        </w:tc>
      </w:tr>
      <w:tr w:rsidR="00265E7F" w14:paraId="7811EB44" w14:textId="77777777">
        <w:trPr>
          <w:cantSplit/>
        </w:trPr>
        <w:tc>
          <w:tcPr>
            <w:tcW w:w="247.55pt" w:type="dxa"/>
            <w:tcBorders>
              <w:start w:val="single" w:sz="4" w:space="0" w:color="000000"/>
            </w:tcBorders>
          </w:tcPr>
          <w:p w14:paraId="75439FCD" w14:textId="77777777" w:rsidR="00265E7F" w:rsidRDefault="00265E7F">
            <w:pPr>
              <w:pStyle w:val="TableContents"/>
            </w:pPr>
          </w:p>
        </w:tc>
        <w:tc>
          <w:tcPr>
            <w:tcW w:w="247.55pt" w:type="dxa"/>
            <w:tcBorders>
              <w:start w:val="single" w:sz="4" w:space="0" w:color="000000"/>
            </w:tcBorders>
          </w:tcPr>
          <w:p w14:paraId="3E565FE1" w14:textId="77777777" w:rsidR="00265E7F" w:rsidRDefault="002809BD">
            <w:pPr>
              <w:pStyle w:val="TableContents"/>
            </w:pPr>
            <w:r>
              <w:rPr>
                <w:vertAlign w:val="superscript"/>
              </w:rPr>
              <w:t>3</w:t>
            </w:r>
            <w:r>
              <w:t> Die Schlichtungsstelle für Miete und nichtlandwirtschaftliche Pacht ist Hinterlegungsstelle gemäss Art. 259</w:t>
            </w:r>
            <w:r>
              <w:rPr>
                <w:i/>
                <w:iCs/>
              </w:rPr>
              <w:t>g</w:t>
            </w:r>
            <w:r>
              <w:t xml:space="preserve"> Abs. 1 OR. Sie genehmigt die Formulare zur Mitteilung von Kündigungen und Mietzinserhöhungen gemäss Art. 266</w:t>
            </w:r>
            <w:r>
              <w:rPr>
                <w:i/>
                <w:iCs/>
              </w:rPr>
              <w:t>l</w:t>
            </w:r>
            <w:r>
              <w:t xml:space="preserve"> Abs. 2 und Art.  269</w:t>
            </w:r>
            <w:r>
              <w:rPr>
                <w:i/>
                <w:iCs/>
              </w:rPr>
              <w:t>d</w:t>
            </w:r>
            <w:r>
              <w:t xml:space="preserve"> Abs. 1 OR.</w:t>
            </w:r>
          </w:p>
        </w:tc>
        <w:tc>
          <w:tcPr>
            <w:tcW w:w="247.60pt" w:type="dxa"/>
            <w:tcBorders>
              <w:start w:val="single" w:sz="4" w:space="0" w:color="000000"/>
              <w:end w:val="single" w:sz="4" w:space="0" w:color="000000"/>
            </w:tcBorders>
          </w:tcPr>
          <w:p w14:paraId="12A8FD81" w14:textId="77777777" w:rsidR="00265E7F" w:rsidRDefault="00265E7F"/>
        </w:tc>
      </w:tr>
      <w:tr w:rsidR="00265E7F" w14:paraId="32D69CBA" w14:textId="77777777">
        <w:trPr>
          <w:cantSplit/>
        </w:trPr>
        <w:tc>
          <w:tcPr>
            <w:tcW w:w="247.55pt" w:type="dxa"/>
            <w:tcBorders>
              <w:top w:val="single" w:sz="4" w:space="0" w:color="000000"/>
              <w:start w:val="single" w:sz="4" w:space="0" w:color="000000"/>
            </w:tcBorders>
          </w:tcPr>
          <w:p w14:paraId="627B92C0" w14:textId="77777777" w:rsidR="00265E7F" w:rsidRDefault="002809BD">
            <w:pPr>
              <w:pStyle w:val="TableContents"/>
            </w:pPr>
            <w:r>
              <w:rPr>
                <w:b/>
                <w:bCs/>
              </w:rPr>
              <w:t>Art.  9</w:t>
            </w:r>
            <w:r>
              <w:br/>
            </w:r>
            <w:r>
              <w:rPr>
                <w:sz w:val="14"/>
              </w:rPr>
              <w:t>Organisation</w:t>
            </w:r>
            <w:r>
              <w:rPr>
                <w:sz w:val="14"/>
              </w:rPr>
              <w:br/>
              <w:t>a) Bestand, Konstituierung</w:t>
            </w:r>
          </w:p>
        </w:tc>
        <w:tc>
          <w:tcPr>
            <w:tcW w:w="247.55pt" w:type="dxa"/>
            <w:tcBorders>
              <w:top w:val="single" w:sz="4" w:space="0" w:color="000000"/>
              <w:start w:val="single" w:sz="4" w:space="0" w:color="000000"/>
            </w:tcBorders>
          </w:tcPr>
          <w:p w14:paraId="39B9C41D"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26A569BF" w14:textId="77777777" w:rsidR="00265E7F" w:rsidRDefault="00265E7F"/>
        </w:tc>
      </w:tr>
      <w:tr w:rsidR="00265E7F" w14:paraId="4AE6DE8A" w14:textId="77777777">
        <w:trPr>
          <w:cantSplit/>
        </w:trPr>
        <w:tc>
          <w:tcPr>
            <w:tcW w:w="247.55pt" w:type="dxa"/>
            <w:tcBorders>
              <w:start w:val="single" w:sz="4" w:space="0" w:color="000000"/>
            </w:tcBorders>
          </w:tcPr>
          <w:p w14:paraId="6E476B53" w14:textId="77777777" w:rsidR="00265E7F" w:rsidRDefault="002809BD">
            <w:pPr>
              <w:pStyle w:val="TableContents"/>
            </w:pPr>
            <w:r>
              <w:rPr>
                <w:vertAlign w:val="superscript"/>
              </w:rPr>
              <w:t>1</w:t>
            </w:r>
            <w:r>
              <w:t> Das Kantonsgericht besteht aus dem Präsidenten oder der Präsidentin, zwei Vizepräsidenten oder Vizepräsidentinnen und mindestens sechs weiteren Mitgliedern. Der Kantonsrat kann die Zahl der Vizepräsidenten oder Vizepräsidentinnen und der weiteren Mitglieder erhöhen.</w:t>
            </w:r>
          </w:p>
        </w:tc>
        <w:tc>
          <w:tcPr>
            <w:tcW w:w="247.55pt" w:type="dxa"/>
            <w:tcBorders>
              <w:start w:val="single" w:sz="4" w:space="0" w:color="000000"/>
            </w:tcBorders>
          </w:tcPr>
          <w:p w14:paraId="44ED549A" w14:textId="77777777" w:rsidR="00265E7F" w:rsidRDefault="002809BD">
            <w:pPr>
              <w:pStyle w:val="TableContents"/>
            </w:pPr>
            <w:r>
              <w:rPr>
                <w:vertAlign w:val="superscript"/>
              </w:rPr>
              <w:t>1</w:t>
            </w:r>
            <w:r>
              <w:t> Das Kantonsgericht besteht aus dem Präsidenten oder der Präsidentin, mindestens zwei Vizepräsidenten oder Vizepräsidentinnen und mindestens sechs weiteren Mitgliedern.</w:t>
            </w:r>
          </w:p>
        </w:tc>
        <w:tc>
          <w:tcPr>
            <w:tcW w:w="247.60pt" w:type="dxa"/>
            <w:tcBorders>
              <w:start w:val="single" w:sz="4" w:space="0" w:color="000000"/>
              <w:end w:val="single" w:sz="4" w:space="0" w:color="000000"/>
            </w:tcBorders>
          </w:tcPr>
          <w:p w14:paraId="5FD35EC0" w14:textId="77777777" w:rsidR="00265E7F" w:rsidRDefault="00265E7F"/>
        </w:tc>
      </w:tr>
      <w:tr w:rsidR="00265E7F" w14:paraId="65D385D9" w14:textId="77777777">
        <w:trPr>
          <w:cantSplit/>
        </w:trPr>
        <w:tc>
          <w:tcPr>
            <w:tcW w:w="247.55pt" w:type="dxa"/>
            <w:tcBorders>
              <w:start w:val="single" w:sz="4" w:space="0" w:color="000000"/>
            </w:tcBorders>
          </w:tcPr>
          <w:p w14:paraId="15F43877" w14:textId="77777777" w:rsidR="00265E7F" w:rsidRDefault="002809BD">
            <w:pPr>
              <w:pStyle w:val="TableContents"/>
            </w:pPr>
            <w:r>
              <w:rPr>
                <w:vertAlign w:val="superscript"/>
              </w:rPr>
              <w:t>2</w:t>
            </w:r>
            <w:r>
              <w:t> Das Kantonsgericht führt zu Beginn einer neuen Amtsdauer eine konstituierende Sitzung durch und nimmt Wahlen vor. Es bestellt aus seiner Mitte:</w:t>
            </w:r>
          </w:p>
        </w:tc>
        <w:tc>
          <w:tcPr>
            <w:tcW w:w="247.55pt" w:type="dxa"/>
            <w:tcBorders>
              <w:start w:val="single" w:sz="4" w:space="0" w:color="000000"/>
            </w:tcBorders>
          </w:tcPr>
          <w:p w14:paraId="5526E906" w14:textId="77777777" w:rsidR="00265E7F" w:rsidRDefault="00265E7F">
            <w:pPr>
              <w:pStyle w:val="TableContents"/>
            </w:pPr>
          </w:p>
        </w:tc>
        <w:tc>
          <w:tcPr>
            <w:tcW w:w="247.60pt" w:type="dxa"/>
            <w:tcBorders>
              <w:start w:val="single" w:sz="4" w:space="0" w:color="000000"/>
              <w:end w:val="single" w:sz="4" w:space="0" w:color="000000"/>
            </w:tcBorders>
          </w:tcPr>
          <w:p w14:paraId="50C66312" w14:textId="77777777" w:rsidR="00265E7F" w:rsidRDefault="00265E7F"/>
        </w:tc>
      </w:tr>
      <w:tr w:rsidR="00265E7F" w14:paraId="6B401ACE" w14:textId="77777777">
        <w:trPr>
          <w:cantSplit/>
        </w:trPr>
        <w:tc>
          <w:tcPr>
            <w:tcW w:w="247.55pt" w:type="dxa"/>
            <w:tcBorders>
              <w:start w:val="single" w:sz="4" w:space="0" w:color="000000"/>
            </w:tcBorders>
          </w:tcPr>
          <w:p w14:paraId="7EC2CDA4" w14:textId="77777777" w:rsidR="00265E7F" w:rsidRDefault="002809BD">
            <w:pPr>
              <w:pStyle w:val="TableContents"/>
              <w:ind w:start="7.45pt" w:end="0.15pt" w:hanging="9.45pt"/>
            </w:pPr>
            <w:r>
              <w:t>a) einen Vizepräsidenten als Stellvertreter oder eine Vizepräsidentin als Stellvertreterin des Präsidenten oder der Präsidentin des Gesamtgerichtes;</w:t>
            </w:r>
          </w:p>
        </w:tc>
        <w:tc>
          <w:tcPr>
            <w:tcW w:w="247.55pt" w:type="dxa"/>
            <w:tcBorders>
              <w:start w:val="single" w:sz="4" w:space="0" w:color="000000"/>
            </w:tcBorders>
          </w:tcPr>
          <w:p w14:paraId="1257F76E"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3BBEB56" w14:textId="77777777" w:rsidR="00265E7F" w:rsidRDefault="00265E7F"/>
        </w:tc>
      </w:tr>
      <w:tr w:rsidR="00265E7F" w14:paraId="7DAFCB75" w14:textId="77777777">
        <w:trPr>
          <w:cantSplit/>
        </w:trPr>
        <w:tc>
          <w:tcPr>
            <w:tcW w:w="247.55pt" w:type="dxa"/>
            <w:tcBorders>
              <w:start w:val="single" w:sz="4" w:space="0" w:color="000000"/>
            </w:tcBorders>
          </w:tcPr>
          <w:p w14:paraId="15514581" w14:textId="77777777" w:rsidR="00265E7F" w:rsidRDefault="002809BD">
            <w:pPr>
              <w:pStyle w:val="TableContents"/>
              <w:ind w:start="7.45pt" w:end="0.15pt" w:hanging="9.45pt"/>
            </w:pPr>
            <w:r>
              <w:t>b) die Abteilungen, bestehend aus dem Präsidenten oder der Präsidentin oder einem Vizepräsidenten oder einer Vizepräsidentin als Vorsitzendem oder Vorsitzender und vier weiteren Richtern und Richterinnen;</w:t>
            </w:r>
          </w:p>
        </w:tc>
        <w:tc>
          <w:tcPr>
            <w:tcW w:w="247.55pt" w:type="dxa"/>
            <w:tcBorders>
              <w:start w:val="single" w:sz="4" w:space="0" w:color="000000"/>
            </w:tcBorders>
          </w:tcPr>
          <w:p w14:paraId="69E4124B" w14:textId="77777777" w:rsidR="00265E7F" w:rsidRDefault="002809BD">
            <w:pPr>
              <w:pStyle w:val="TableContents"/>
              <w:ind w:start="7.45pt" w:end="0.15pt" w:hanging="9.45pt"/>
            </w:pPr>
            <w:r>
              <w:t>b) die Abteilungen, bestehend aus dem Präsidenten oder der Präsidentin oder einem Vizepräsidenten oder einer Vizepräsidentin als Vorsitzendem oder Vorsitzender und zwei weiteren Richtern und Richterinnen;</w:t>
            </w:r>
          </w:p>
        </w:tc>
        <w:tc>
          <w:tcPr>
            <w:tcW w:w="247.60pt" w:type="dxa"/>
            <w:tcBorders>
              <w:start w:val="single" w:sz="4" w:space="0" w:color="000000"/>
              <w:end w:val="single" w:sz="4" w:space="0" w:color="000000"/>
            </w:tcBorders>
          </w:tcPr>
          <w:p w14:paraId="6D9EBC6E" w14:textId="77777777" w:rsidR="00265E7F" w:rsidRDefault="00265E7F"/>
        </w:tc>
      </w:tr>
      <w:tr w:rsidR="00265E7F" w14:paraId="15D75D52" w14:textId="77777777">
        <w:trPr>
          <w:cantSplit/>
        </w:trPr>
        <w:tc>
          <w:tcPr>
            <w:tcW w:w="247.55pt" w:type="dxa"/>
            <w:tcBorders>
              <w:start w:val="single" w:sz="4" w:space="0" w:color="000000"/>
            </w:tcBorders>
          </w:tcPr>
          <w:p w14:paraId="5C1D3F50" w14:textId="77777777" w:rsidR="00265E7F" w:rsidRDefault="002809BD">
            <w:pPr>
              <w:pStyle w:val="TableContents"/>
              <w:ind w:start="7.45pt" w:end="0.15pt" w:hanging="9.45pt"/>
            </w:pPr>
            <w:r>
              <w:lastRenderedPageBreak/>
              <w:t>c) die Stellvertreter oder Stellvertreterinnen der Vorsitzenden der einzelnen Abteilungen;</w:t>
            </w:r>
          </w:p>
        </w:tc>
        <w:tc>
          <w:tcPr>
            <w:tcW w:w="247.55pt" w:type="dxa"/>
            <w:tcBorders>
              <w:start w:val="single" w:sz="4" w:space="0" w:color="000000"/>
            </w:tcBorders>
          </w:tcPr>
          <w:p w14:paraId="6912CAFC"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1102071B" w14:textId="77777777" w:rsidR="00265E7F" w:rsidRDefault="00265E7F"/>
        </w:tc>
      </w:tr>
      <w:tr w:rsidR="00265E7F" w14:paraId="6D311A05" w14:textId="77777777">
        <w:trPr>
          <w:cantSplit/>
        </w:trPr>
        <w:tc>
          <w:tcPr>
            <w:tcW w:w="247.55pt" w:type="dxa"/>
            <w:tcBorders>
              <w:start w:val="single" w:sz="4" w:space="0" w:color="000000"/>
            </w:tcBorders>
          </w:tcPr>
          <w:p w14:paraId="0223C359" w14:textId="77777777" w:rsidR="00265E7F" w:rsidRDefault="002809BD">
            <w:pPr>
              <w:pStyle w:val="TableContents"/>
              <w:ind w:start="7.45pt" w:end="0.15pt" w:hanging="9.45pt"/>
            </w:pPr>
            <w:r>
              <w:t>d) die Ersatzmitglieder der einzelnen Abteilungen;</w:t>
            </w:r>
          </w:p>
        </w:tc>
        <w:tc>
          <w:tcPr>
            <w:tcW w:w="247.55pt" w:type="dxa"/>
            <w:tcBorders>
              <w:start w:val="single" w:sz="4" w:space="0" w:color="000000"/>
            </w:tcBorders>
          </w:tcPr>
          <w:p w14:paraId="3109D56B"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614D4A87" w14:textId="77777777" w:rsidR="00265E7F" w:rsidRDefault="00265E7F"/>
        </w:tc>
      </w:tr>
      <w:tr w:rsidR="00265E7F" w14:paraId="08D3C529" w14:textId="77777777">
        <w:trPr>
          <w:cantSplit/>
        </w:trPr>
        <w:tc>
          <w:tcPr>
            <w:tcW w:w="247.55pt" w:type="dxa"/>
            <w:tcBorders>
              <w:start w:val="single" w:sz="4" w:space="0" w:color="000000"/>
            </w:tcBorders>
          </w:tcPr>
          <w:p w14:paraId="0FC0311F" w14:textId="77777777" w:rsidR="00265E7F" w:rsidRDefault="002809BD">
            <w:pPr>
              <w:pStyle w:val="TableContents"/>
              <w:ind w:start="7.45pt" w:end="0.15pt" w:hanging="9.45pt"/>
            </w:pPr>
            <w:r>
              <w:t>e) die Einzelrichter und Einzelrichterinnen und deren Stellvertreter und Stellvertreterinnen.</w:t>
            </w:r>
          </w:p>
        </w:tc>
        <w:tc>
          <w:tcPr>
            <w:tcW w:w="247.55pt" w:type="dxa"/>
            <w:tcBorders>
              <w:start w:val="single" w:sz="4" w:space="0" w:color="000000"/>
            </w:tcBorders>
          </w:tcPr>
          <w:p w14:paraId="5B293D1D"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81A6CFB" w14:textId="77777777" w:rsidR="00265E7F" w:rsidRDefault="00265E7F"/>
        </w:tc>
      </w:tr>
      <w:tr w:rsidR="00265E7F" w14:paraId="39FC780B" w14:textId="77777777">
        <w:trPr>
          <w:cantSplit/>
        </w:trPr>
        <w:tc>
          <w:tcPr>
            <w:tcW w:w="247.55pt" w:type="dxa"/>
            <w:tcBorders>
              <w:start w:val="single" w:sz="4" w:space="0" w:color="000000"/>
            </w:tcBorders>
          </w:tcPr>
          <w:p w14:paraId="3F3F5F8E" w14:textId="77777777" w:rsidR="00265E7F" w:rsidRDefault="002809BD">
            <w:pPr>
              <w:pStyle w:val="TableContents"/>
            </w:pPr>
            <w:r>
              <w:rPr>
                <w:vertAlign w:val="superscript"/>
              </w:rPr>
              <w:t>3</w:t>
            </w:r>
            <w:r>
              <w:t> Das Kantonsgericht bestimmt den Zuständigkeitsbereich der einzelnen Abteilungen und der Einzelrichter und Einzelrichterinnen. Die Wahlen und die Zuständigkeitsordnung sind zu veröffentlichen.</w:t>
            </w:r>
          </w:p>
        </w:tc>
        <w:tc>
          <w:tcPr>
            <w:tcW w:w="247.55pt" w:type="dxa"/>
            <w:tcBorders>
              <w:start w:val="single" w:sz="4" w:space="0" w:color="000000"/>
            </w:tcBorders>
          </w:tcPr>
          <w:p w14:paraId="7D41A41F" w14:textId="77777777" w:rsidR="00265E7F" w:rsidRDefault="00265E7F">
            <w:pPr>
              <w:pStyle w:val="TableContents"/>
            </w:pPr>
          </w:p>
        </w:tc>
        <w:tc>
          <w:tcPr>
            <w:tcW w:w="247.60pt" w:type="dxa"/>
            <w:tcBorders>
              <w:start w:val="single" w:sz="4" w:space="0" w:color="000000"/>
              <w:end w:val="single" w:sz="4" w:space="0" w:color="000000"/>
            </w:tcBorders>
          </w:tcPr>
          <w:p w14:paraId="5A423BC9" w14:textId="77777777" w:rsidR="00265E7F" w:rsidRDefault="00265E7F"/>
        </w:tc>
      </w:tr>
      <w:tr w:rsidR="00265E7F" w14:paraId="26645503" w14:textId="77777777">
        <w:trPr>
          <w:cantSplit/>
        </w:trPr>
        <w:tc>
          <w:tcPr>
            <w:tcW w:w="247.55pt" w:type="dxa"/>
            <w:tcBorders>
              <w:top w:val="single" w:sz="4" w:space="0" w:color="000000"/>
              <w:start w:val="single" w:sz="4" w:space="0" w:color="000000"/>
            </w:tcBorders>
          </w:tcPr>
          <w:p w14:paraId="259618A9" w14:textId="77777777" w:rsidR="00265E7F" w:rsidRDefault="002809BD">
            <w:pPr>
              <w:pStyle w:val="TableContents"/>
            </w:pPr>
            <w:r>
              <w:rPr>
                <w:b/>
                <w:bCs/>
              </w:rPr>
              <w:t>Art.  10</w:t>
            </w:r>
            <w:r>
              <w:br/>
            </w:r>
            <w:r>
              <w:rPr>
                <w:sz w:val="14"/>
              </w:rPr>
              <w:t>b) Besetzung</w:t>
            </w:r>
          </w:p>
        </w:tc>
        <w:tc>
          <w:tcPr>
            <w:tcW w:w="247.55pt" w:type="dxa"/>
            <w:tcBorders>
              <w:top w:val="single" w:sz="4" w:space="0" w:color="000000"/>
              <w:start w:val="single" w:sz="4" w:space="0" w:color="000000"/>
            </w:tcBorders>
          </w:tcPr>
          <w:p w14:paraId="0A3CDCFF"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5BF6CEB1" w14:textId="77777777" w:rsidR="00265E7F" w:rsidRDefault="00265E7F"/>
        </w:tc>
      </w:tr>
      <w:tr w:rsidR="00265E7F" w14:paraId="2B4A79FD" w14:textId="77777777">
        <w:trPr>
          <w:cantSplit/>
        </w:trPr>
        <w:tc>
          <w:tcPr>
            <w:tcW w:w="247.55pt" w:type="dxa"/>
            <w:tcBorders>
              <w:start w:val="single" w:sz="4" w:space="0" w:color="000000"/>
            </w:tcBorders>
          </w:tcPr>
          <w:p w14:paraId="721E1F77" w14:textId="77777777" w:rsidR="00265E7F" w:rsidRDefault="002809BD">
            <w:pPr>
              <w:pStyle w:val="TableContents"/>
            </w:pPr>
            <w:r>
              <w:rPr>
                <w:vertAlign w:val="superscript"/>
              </w:rPr>
              <w:t>1</w:t>
            </w:r>
            <w:r>
              <w:t> Das Kantonsgericht entscheidet in Fünferbesetzung.</w:t>
            </w:r>
          </w:p>
        </w:tc>
        <w:tc>
          <w:tcPr>
            <w:tcW w:w="247.55pt" w:type="dxa"/>
            <w:tcBorders>
              <w:start w:val="single" w:sz="4" w:space="0" w:color="000000"/>
            </w:tcBorders>
          </w:tcPr>
          <w:p w14:paraId="08AA0E19" w14:textId="77777777" w:rsidR="00265E7F" w:rsidRDefault="002809BD">
            <w:pPr>
              <w:pStyle w:val="TableContents"/>
            </w:pPr>
            <w:r>
              <w:rPr>
                <w:vertAlign w:val="superscript"/>
              </w:rPr>
              <w:t>1</w:t>
            </w:r>
            <w:r>
              <w:t> Das Kantonsgericht entscheidet in Dreierbesetzung.</w:t>
            </w:r>
          </w:p>
        </w:tc>
        <w:tc>
          <w:tcPr>
            <w:tcW w:w="247.60pt" w:type="dxa"/>
            <w:tcBorders>
              <w:start w:val="single" w:sz="4" w:space="0" w:color="000000"/>
              <w:end w:val="single" w:sz="4" w:space="0" w:color="000000"/>
            </w:tcBorders>
          </w:tcPr>
          <w:p w14:paraId="7EEB7DEA" w14:textId="77777777" w:rsidR="00265E7F" w:rsidRDefault="00265E7F"/>
        </w:tc>
      </w:tr>
      <w:tr w:rsidR="00265E7F" w14:paraId="4D2B48AD" w14:textId="77777777">
        <w:trPr>
          <w:cantSplit/>
        </w:trPr>
        <w:tc>
          <w:tcPr>
            <w:tcW w:w="247.55pt" w:type="dxa"/>
            <w:tcBorders>
              <w:top w:val="single" w:sz="4" w:space="0" w:color="000000"/>
              <w:start w:val="single" w:sz="4" w:space="0" w:color="000000"/>
            </w:tcBorders>
          </w:tcPr>
          <w:p w14:paraId="63369BAD" w14:textId="77777777" w:rsidR="00265E7F" w:rsidRDefault="002809BD">
            <w:pPr>
              <w:pStyle w:val="TableContents"/>
            </w:pPr>
            <w:r>
              <w:rPr>
                <w:b/>
                <w:bCs/>
              </w:rPr>
              <w:t>Art.  14</w:t>
            </w:r>
            <w:r>
              <w:br/>
            </w:r>
            <w:r>
              <w:rPr>
                <w:sz w:val="14"/>
              </w:rPr>
              <w:t>b) Einzelrichter, Einzelrichterin</w:t>
            </w:r>
          </w:p>
        </w:tc>
        <w:tc>
          <w:tcPr>
            <w:tcW w:w="247.55pt" w:type="dxa"/>
            <w:tcBorders>
              <w:top w:val="single" w:sz="4" w:space="0" w:color="000000"/>
              <w:start w:val="single" w:sz="4" w:space="0" w:color="000000"/>
            </w:tcBorders>
          </w:tcPr>
          <w:p w14:paraId="40FF219A"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6B8DE0D" w14:textId="77777777" w:rsidR="00265E7F" w:rsidRDefault="00265E7F"/>
        </w:tc>
      </w:tr>
      <w:tr w:rsidR="00265E7F" w14:paraId="3CAE7F11" w14:textId="77777777">
        <w:trPr>
          <w:cantSplit/>
        </w:trPr>
        <w:tc>
          <w:tcPr>
            <w:tcW w:w="247.55pt" w:type="dxa"/>
            <w:tcBorders>
              <w:start w:val="single" w:sz="4" w:space="0" w:color="000000"/>
            </w:tcBorders>
          </w:tcPr>
          <w:p w14:paraId="108FF848" w14:textId="77777777" w:rsidR="00265E7F" w:rsidRDefault="002809BD">
            <w:pPr>
              <w:pStyle w:val="TableContents"/>
            </w:pPr>
            <w:r>
              <w:rPr>
                <w:vertAlign w:val="superscript"/>
              </w:rPr>
              <w:t>1</w:t>
            </w:r>
            <w:r>
              <w:t> Der Einzelrichter oder die Einzelrichterin entscheidet:</w:t>
            </w:r>
          </w:p>
        </w:tc>
        <w:tc>
          <w:tcPr>
            <w:tcW w:w="247.55pt" w:type="dxa"/>
            <w:tcBorders>
              <w:start w:val="single" w:sz="4" w:space="0" w:color="000000"/>
            </w:tcBorders>
          </w:tcPr>
          <w:p w14:paraId="7E34970D" w14:textId="77777777" w:rsidR="00265E7F" w:rsidRDefault="00265E7F">
            <w:pPr>
              <w:pStyle w:val="TableContents"/>
            </w:pPr>
          </w:p>
        </w:tc>
        <w:tc>
          <w:tcPr>
            <w:tcW w:w="247.60pt" w:type="dxa"/>
            <w:tcBorders>
              <w:start w:val="single" w:sz="4" w:space="0" w:color="000000"/>
              <w:end w:val="single" w:sz="4" w:space="0" w:color="000000"/>
            </w:tcBorders>
          </w:tcPr>
          <w:p w14:paraId="4293D711" w14:textId="77777777" w:rsidR="00265E7F" w:rsidRDefault="00265E7F"/>
        </w:tc>
      </w:tr>
      <w:tr w:rsidR="00265E7F" w14:paraId="36DE5F85" w14:textId="77777777">
        <w:trPr>
          <w:cantSplit/>
        </w:trPr>
        <w:tc>
          <w:tcPr>
            <w:tcW w:w="247.55pt" w:type="dxa"/>
            <w:tcBorders>
              <w:start w:val="single" w:sz="4" w:space="0" w:color="000000"/>
            </w:tcBorders>
          </w:tcPr>
          <w:p w14:paraId="0D4D8B7E" w14:textId="77777777" w:rsidR="00265E7F" w:rsidRDefault="002809BD">
            <w:pPr>
              <w:pStyle w:val="TableContents"/>
              <w:ind w:start="7.45pt" w:end="0.15pt" w:hanging="9.45pt"/>
            </w:pPr>
            <w:r>
              <w:t>a) alle nach der ZPO im vereinfachten Verfahren zu erledigenden Streitigkeiten;</w:t>
            </w:r>
            <w:r>
              <w:rPr>
                <w:rStyle w:val="Funotenzeichen"/>
              </w:rPr>
              <w:footnoteReference w:id="7"/>
            </w:r>
            <w:r>
              <w:rPr>
                <w:rStyle w:val="Funotenzeichen"/>
              </w:rPr>
              <w:t>)</w:t>
            </w:r>
          </w:p>
        </w:tc>
        <w:tc>
          <w:tcPr>
            <w:tcW w:w="247.55pt" w:type="dxa"/>
            <w:tcBorders>
              <w:start w:val="single" w:sz="4" w:space="0" w:color="000000"/>
            </w:tcBorders>
          </w:tcPr>
          <w:p w14:paraId="72ED0BDB"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0AECBB69" w14:textId="77777777" w:rsidR="00265E7F" w:rsidRDefault="00265E7F"/>
        </w:tc>
      </w:tr>
      <w:tr w:rsidR="00265E7F" w14:paraId="3EDB9FEF" w14:textId="77777777">
        <w:trPr>
          <w:cantSplit/>
        </w:trPr>
        <w:tc>
          <w:tcPr>
            <w:tcW w:w="247.55pt" w:type="dxa"/>
            <w:tcBorders>
              <w:start w:val="single" w:sz="4" w:space="0" w:color="000000"/>
            </w:tcBorders>
          </w:tcPr>
          <w:p w14:paraId="0C0349E3" w14:textId="77777777" w:rsidR="00265E7F" w:rsidRDefault="002809BD">
            <w:pPr>
              <w:pStyle w:val="TableContents"/>
              <w:ind w:start="7.45pt" w:end="0.15pt" w:hanging="9.45pt"/>
            </w:pPr>
            <w:r>
              <w:t>b) Ehetrennungen, Ehescheidungen, Abänderungsverfahren samt umfassender Einigung beim nachehelichen Unterhalt oder bei Kinderbelangen sowie Auflösung eingetragener Partnerschaften auf gemeinsames Begehren bei umfassender Einigung;</w:t>
            </w:r>
            <w:r>
              <w:rPr>
                <w:rStyle w:val="Funotenzeichen"/>
              </w:rPr>
              <w:footnoteReference w:id="8"/>
            </w:r>
            <w:r>
              <w:rPr>
                <w:rStyle w:val="Funotenzeichen"/>
              </w:rPr>
              <w:t>)</w:t>
            </w:r>
          </w:p>
        </w:tc>
        <w:tc>
          <w:tcPr>
            <w:tcW w:w="247.55pt" w:type="dxa"/>
            <w:tcBorders>
              <w:start w:val="single" w:sz="4" w:space="0" w:color="000000"/>
            </w:tcBorders>
          </w:tcPr>
          <w:p w14:paraId="75363166" w14:textId="77777777" w:rsidR="00265E7F" w:rsidRDefault="002809BD">
            <w:pPr>
              <w:pStyle w:val="TableContents"/>
              <w:ind w:start="7.45pt" w:end="0.15pt" w:hanging="9.45pt"/>
            </w:pPr>
            <w:r>
              <w:t>b) </w:t>
            </w:r>
            <w:r>
              <w:rPr>
                <w:i/>
                <w:iCs/>
              </w:rPr>
              <w:t>Aufgehoben.</w:t>
            </w:r>
          </w:p>
        </w:tc>
        <w:tc>
          <w:tcPr>
            <w:tcW w:w="247.60pt" w:type="dxa"/>
            <w:tcBorders>
              <w:start w:val="single" w:sz="4" w:space="0" w:color="000000"/>
              <w:end w:val="single" w:sz="4" w:space="0" w:color="000000"/>
            </w:tcBorders>
          </w:tcPr>
          <w:p w14:paraId="3B120F24" w14:textId="77777777" w:rsidR="00265E7F" w:rsidRDefault="00265E7F"/>
        </w:tc>
      </w:tr>
      <w:tr w:rsidR="00265E7F" w14:paraId="5A5C33FE" w14:textId="77777777">
        <w:trPr>
          <w:cantSplit/>
        </w:trPr>
        <w:tc>
          <w:tcPr>
            <w:tcW w:w="247.55pt" w:type="dxa"/>
            <w:tcBorders>
              <w:start w:val="single" w:sz="4" w:space="0" w:color="000000"/>
            </w:tcBorders>
          </w:tcPr>
          <w:p w14:paraId="0A937516" w14:textId="77777777" w:rsidR="00265E7F" w:rsidRDefault="002809BD">
            <w:pPr>
              <w:pStyle w:val="TableContents"/>
              <w:ind w:start="7.45pt" w:end="0.15pt" w:hanging="9.45pt"/>
            </w:pPr>
            <w:r>
              <w:lastRenderedPageBreak/>
              <w:t>c) alle nach der ZPO im summarischen Verfahren zu erledigenden Streitigkeiten;</w:t>
            </w:r>
            <w:r>
              <w:rPr>
                <w:rStyle w:val="Funotenzeichen"/>
              </w:rPr>
              <w:footnoteReference w:id="9"/>
            </w:r>
            <w:r>
              <w:rPr>
                <w:rStyle w:val="Funotenzeichen"/>
              </w:rPr>
              <w:t>)</w:t>
            </w:r>
          </w:p>
        </w:tc>
        <w:tc>
          <w:tcPr>
            <w:tcW w:w="247.55pt" w:type="dxa"/>
            <w:tcBorders>
              <w:start w:val="single" w:sz="4" w:space="0" w:color="000000"/>
            </w:tcBorders>
          </w:tcPr>
          <w:p w14:paraId="55FF77A0"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49D1C87" w14:textId="77777777" w:rsidR="00265E7F" w:rsidRDefault="00265E7F"/>
        </w:tc>
      </w:tr>
      <w:tr w:rsidR="00265E7F" w14:paraId="4CEF81BD" w14:textId="77777777">
        <w:trPr>
          <w:cantSplit/>
        </w:trPr>
        <w:tc>
          <w:tcPr>
            <w:tcW w:w="247.55pt" w:type="dxa"/>
            <w:tcBorders>
              <w:start w:val="single" w:sz="4" w:space="0" w:color="000000"/>
            </w:tcBorders>
          </w:tcPr>
          <w:p w14:paraId="1E438605" w14:textId="77777777" w:rsidR="00265E7F" w:rsidRDefault="002809BD">
            <w:pPr>
              <w:pStyle w:val="TableContents"/>
              <w:ind w:start="7.45pt" w:end="0.15pt" w:hanging="9.45pt"/>
            </w:pPr>
            <w:r>
              <w:t>d) die Vollstreckungssachen.</w:t>
            </w:r>
            <w:r>
              <w:rPr>
                <w:rStyle w:val="Funotenzeichen"/>
              </w:rPr>
              <w:footnoteReference w:id="10"/>
            </w:r>
            <w:r>
              <w:rPr>
                <w:rStyle w:val="Funotenzeichen"/>
              </w:rPr>
              <w:t>)</w:t>
            </w:r>
          </w:p>
        </w:tc>
        <w:tc>
          <w:tcPr>
            <w:tcW w:w="247.55pt" w:type="dxa"/>
            <w:tcBorders>
              <w:start w:val="single" w:sz="4" w:space="0" w:color="000000"/>
            </w:tcBorders>
          </w:tcPr>
          <w:p w14:paraId="1F793321"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07AB2D24" w14:textId="77777777" w:rsidR="00265E7F" w:rsidRDefault="00265E7F"/>
        </w:tc>
      </w:tr>
      <w:tr w:rsidR="00265E7F" w14:paraId="26F5DD55" w14:textId="77777777">
        <w:trPr>
          <w:cantSplit/>
        </w:trPr>
        <w:tc>
          <w:tcPr>
            <w:tcW w:w="247.55pt" w:type="dxa"/>
            <w:tcBorders>
              <w:start w:val="single" w:sz="4" w:space="0" w:color="000000"/>
            </w:tcBorders>
          </w:tcPr>
          <w:p w14:paraId="1B510A53" w14:textId="77777777" w:rsidR="00265E7F" w:rsidRDefault="002809BD">
            <w:pPr>
              <w:pStyle w:val="TableContents"/>
            </w:pPr>
            <w:r>
              <w:rPr>
                <w:vertAlign w:val="superscript"/>
              </w:rPr>
              <w:t>2</w:t>
            </w:r>
            <w:r>
              <w:t> Der Einzelrichter oder die Einzelrichterin entscheidet zusätzlich über folgende Begehren:</w:t>
            </w:r>
          </w:p>
        </w:tc>
        <w:tc>
          <w:tcPr>
            <w:tcW w:w="247.55pt" w:type="dxa"/>
            <w:tcBorders>
              <w:start w:val="single" w:sz="4" w:space="0" w:color="000000"/>
            </w:tcBorders>
          </w:tcPr>
          <w:p w14:paraId="0F05E3C1" w14:textId="77777777" w:rsidR="00265E7F" w:rsidRDefault="00265E7F">
            <w:pPr>
              <w:pStyle w:val="TableContents"/>
            </w:pPr>
          </w:p>
        </w:tc>
        <w:tc>
          <w:tcPr>
            <w:tcW w:w="247.60pt" w:type="dxa"/>
            <w:tcBorders>
              <w:start w:val="single" w:sz="4" w:space="0" w:color="000000"/>
              <w:end w:val="single" w:sz="4" w:space="0" w:color="000000"/>
            </w:tcBorders>
          </w:tcPr>
          <w:p w14:paraId="6FFF0F2B" w14:textId="77777777" w:rsidR="00265E7F" w:rsidRDefault="00265E7F"/>
        </w:tc>
      </w:tr>
      <w:tr w:rsidR="00265E7F" w14:paraId="167D3344" w14:textId="77777777">
        <w:trPr>
          <w:cantSplit/>
        </w:trPr>
        <w:tc>
          <w:tcPr>
            <w:tcW w:w="247.55pt" w:type="dxa"/>
            <w:tcBorders>
              <w:start w:val="single" w:sz="4" w:space="0" w:color="000000"/>
            </w:tcBorders>
          </w:tcPr>
          <w:p w14:paraId="4138D155" w14:textId="77777777" w:rsidR="00265E7F" w:rsidRDefault="002809BD">
            <w:pPr>
              <w:pStyle w:val="TableContents"/>
              <w:ind w:start="7.45pt" w:end="0.15pt" w:hanging="9.45pt"/>
            </w:pPr>
            <w:r>
              <w:t>a) Art. 348 Abs. 2 ZGB: Einweisung in die Wirtschaft bei Ertragsgemeinschaft;</w:t>
            </w:r>
          </w:p>
        </w:tc>
        <w:tc>
          <w:tcPr>
            <w:tcW w:w="247.55pt" w:type="dxa"/>
            <w:tcBorders>
              <w:start w:val="single" w:sz="4" w:space="0" w:color="000000"/>
            </w:tcBorders>
          </w:tcPr>
          <w:p w14:paraId="3BC38059"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61FA156" w14:textId="77777777" w:rsidR="00265E7F" w:rsidRDefault="00265E7F"/>
        </w:tc>
      </w:tr>
      <w:tr w:rsidR="00265E7F" w14:paraId="48E29E57" w14:textId="77777777">
        <w:trPr>
          <w:cantSplit/>
        </w:trPr>
        <w:tc>
          <w:tcPr>
            <w:tcW w:w="247.55pt" w:type="dxa"/>
            <w:tcBorders>
              <w:start w:val="single" w:sz="4" w:space="0" w:color="000000"/>
            </w:tcBorders>
          </w:tcPr>
          <w:p w14:paraId="5C247511" w14:textId="77777777" w:rsidR="00265E7F" w:rsidRDefault="002809BD">
            <w:pPr>
              <w:pStyle w:val="TableContents"/>
              <w:ind w:start="7.45pt" w:end="0.15pt" w:hanging="9.45pt"/>
            </w:pPr>
            <w:r>
              <w:t>b) Art. 651 Abs. 2 und Art. 651a Abs.1 ZGB: Anordnung über die Art der Aufhebung des Miteigentums;</w:t>
            </w:r>
          </w:p>
        </w:tc>
        <w:tc>
          <w:tcPr>
            <w:tcW w:w="247.55pt" w:type="dxa"/>
            <w:tcBorders>
              <w:start w:val="single" w:sz="4" w:space="0" w:color="000000"/>
            </w:tcBorders>
          </w:tcPr>
          <w:p w14:paraId="7DAC044F"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B2E438F" w14:textId="77777777" w:rsidR="00265E7F" w:rsidRDefault="00265E7F"/>
        </w:tc>
      </w:tr>
      <w:tr w:rsidR="00265E7F" w14:paraId="55B62B66" w14:textId="77777777">
        <w:trPr>
          <w:cantSplit/>
        </w:trPr>
        <w:tc>
          <w:tcPr>
            <w:tcW w:w="247.55pt" w:type="dxa"/>
            <w:tcBorders>
              <w:start w:val="single" w:sz="4" w:space="0" w:color="000000"/>
            </w:tcBorders>
          </w:tcPr>
          <w:p w14:paraId="38E13DD5" w14:textId="77777777" w:rsidR="00265E7F" w:rsidRDefault="002809BD">
            <w:pPr>
              <w:pStyle w:val="TableContents"/>
              <w:ind w:start="7.45pt" w:end="0.15pt" w:hanging="9.45pt"/>
            </w:pPr>
            <w:r>
              <w:t>c) Art. 202 Abs. 1 OR: Vorverfahren bei Gewährleistung im Viehhandel;</w:t>
            </w:r>
          </w:p>
        </w:tc>
        <w:tc>
          <w:tcPr>
            <w:tcW w:w="247.55pt" w:type="dxa"/>
            <w:tcBorders>
              <w:start w:val="single" w:sz="4" w:space="0" w:color="000000"/>
            </w:tcBorders>
          </w:tcPr>
          <w:p w14:paraId="340DE022"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135C4455" w14:textId="77777777" w:rsidR="00265E7F" w:rsidRDefault="00265E7F"/>
        </w:tc>
      </w:tr>
      <w:tr w:rsidR="00265E7F" w14:paraId="1297AED4" w14:textId="77777777">
        <w:trPr>
          <w:cantSplit/>
        </w:trPr>
        <w:tc>
          <w:tcPr>
            <w:tcW w:w="247.55pt" w:type="dxa"/>
            <w:tcBorders>
              <w:start w:val="single" w:sz="4" w:space="0" w:color="000000"/>
            </w:tcBorders>
          </w:tcPr>
          <w:p w14:paraId="48ABBC93" w14:textId="77777777" w:rsidR="00265E7F" w:rsidRDefault="002809BD">
            <w:pPr>
              <w:pStyle w:val="TableContents"/>
              <w:ind w:start="7.45pt" w:end="0.15pt" w:hanging="9.45pt"/>
            </w:pPr>
            <w:r>
              <w:t>d) Art. 204 Abs. 2 und 3 OR: Feststellung des Tatbestands und Mitwirkung beim Verkauf übersandter Sachen;</w:t>
            </w:r>
          </w:p>
        </w:tc>
        <w:tc>
          <w:tcPr>
            <w:tcW w:w="247.55pt" w:type="dxa"/>
            <w:tcBorders>
              <w:start w:val="single" w:sz="4" w:space="0" w:color="000000"/>
            </w:tcBorders>
          </w:tcPr>
          <w:p w14:paraId="7F6E290B"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0297C70" w14:textId="77777777" w:rsidR="00265E7F" w:rsidRDefault="00265E7F"/>
        </w:tc>
      </w:tr>
      <w:tr w:rsidR="00265E7F" w14:paraId="2C457964" w14:textId="77777777">
        <w:trPr>
          <w:cantSplit/>
        </w:trPr>
        <w:tc>
          <w:tcPr>
            <w:tcW w:w="247.55pt" w:type="dxa"/>
            <w:tcBorders>
              <w:start w:val="single" w:sz="4" w:space="0" w:color="000000"/>
            </w:tcBorders>
          </w:tcPr>
          <w:p w14:paraId="601AC232" w14:textId="77777777" w:rsidR="00265E7F" w:rsidRDefault="002809BD">
            <w:pPr>
              <w:pStyle w:val="TableContents"/>
              <w:ind w:start="7.45pt" w:end="0.15pt" w:hanging="9.45pt"/>
            </w:pPr>
            <w:r>
              <w:t>e) Art. 427 Abs. 1 und 3 OR: Feststellung des Zustands und Mitwirkung beim Verkauf übersandter Kommissionsgüter;</w:t>
            </w:r>
          </w:p>
        </w:tc>
        <w:tc>
          <w:tcPr>
            <w:tcW w:w="247.55pt" w:type="dxa"/>
            <w:tcBorders>
              <w:start w:val="single" w:sz="4" w:space="0" w:color="000000"/>
            </w:tcBorders>
          </w:tcPr>
          <w:p w14:paraId="7D98E76E"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6DF35D0C" w14:textId="77777777" w:rsidR="00265E7F" w:rsidRDefault="00265E7F"/>
        </w:tc>
      </w:tr>
      <w:tr w:rsidR="00265E7F" w14:paraId="0560651C" w14:textId="77777777">
        <w:trPr>
          <w:cantSplit/>
        </w:trPr>
        <w:tc>
          <w:tcPr>
            <w:tcW w:w="247.55pt" w:type="dxa"/>
            <w:tcBorders>
              <w:start w:val="single" w:sz="4" w:space="0" w:color="000000"/>
            </w:tcBorders>
          </w:tcPr>
          <w:p w14:paraId="004EB7B1" w14:textId="77777777" w:rsidR="00265E7F" w:rsidRDefault="002809BD">
            <w:pPr>
              <w:pStyle w:val="TableContents"/>
              <w:ind w:start="7.45pt" w:end="0.15pt" w:hanging="9.45pt"/>
            </w:pPr>
            <w:r>
              <w:t>f) Art. 435 Abs. 1 OR: Anordnung der Versteigerung von Kommissionsgütern;</w:t>
            </w:r>
          </w:p>
        </w:tc>
        <w:tc>
          <w:tcPr>
            <w:tcW w:w="247.55pt" w:type="dxa"/>
            <w:tcBorders>
              <w:start w:val="single" w:sz="4" w:space="0" w:color="000000"/>
            </w:tcBorders>
          </w:tcPr>
          <w:p w14:paraId="66E9A3EA"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2C424511" w14:textId="77777777" w:rsidR="00265E7F" w:rsidRDefault="00265E7F"/>
        </w:tc>
      </w:tr>
      <w:tr w:rsidR="00265E7F" w14:paraId="664F03C5" w14:textId="77777777">
        <w:trPr>
          <w:cantSplit/>
        </w:trPr>
        <w:tc>
          <w:tcPr>
            <w:tcW w:w="247.55pt" w:type="dxa"/>
            <w:tcBorders>
              <w:start w:val="single" w:sz="4" w:space="0" w:color="000000"/>
            </w:tcBorders>
          </w:tcPr>
          <w:p w14:paraId="5E13A508" w14:textId="77777777" w:rsidR="00265E7F" w:rsidRDefault="002809BD">
            <w:pPr>
              <w:pStyle w:val="TableContents"/>
              <w:ind w:start="7.45pt" w:end="0.15pt" w:hanging="9.45pt"/>
            </w:pPr>
            <w:r>
              <w:t>g) Art. 444 Abs. 2 und Art. 445 Abs 1 OR: Feststellung des Zustands und Mitwirkung beim Verkauf von Frachtgut;</w:t>
            </w:r>
          </w:p>
        </w:tc>
        <w:tc>
          <w:tcPr>
            <w:tcW w:w="247.55pt" w:type="dxa"/>
            <w:tcBorders>
              <w:start w:val="single" w:sz="4" w:space="0" w:color="000000"/>
            </w:tcBorders>
          </w:tcPr>
          <w:p w14:paraId="32AF1726"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0217CE39" w14:textId="77777777" w:rsidR="00265E7F" w:rsidRDefault="00265E7F"/>
        </w:tc>
      </w:tr>
      <w:tr w:rsidR="00265E7F" w14:paraId="103B7F15" w14:textId="77777777">
        <w:trPr>
          <w:cantSplit/>
        </w:trPr>
        <w:tc>
          <w:tcPr>
            <w:tcW w:w="247.55pt" w:type="dxa"/>
            <w:tcBorders>
              <w:start w:val="single" w:sz="4" w:space="0" w:color="000000"/>
            </w:tcBorders>
          </w:tcPr>
          <w:p w14:paraId="00509D13" w14:textId="77777777" w:rsidR="00265E7F" w:rsidRDefault="002809BD">
            <w:pPr>
              <w:pStyle w:val="TableContents"/>
              <w:ind w:start="7.45pt" w:end="0.15pt" w:hanging="9.45pt"/>
            </w:pPr>
            <w:r>
              <w:lastRenderedPageBreak/>
              <w:t>h) Art. 167 Abs. 1 des Bundesgesetzes über das internationale Privatrecht</w:t>
            </w:r>
            <w:r>
              <w:rPr>
                <w:rStyle w:val="Funotenzeichen"/>
              </w:rPr>
              <w:footnoteReference w:id="11"/>
            </w:r>
            <w:r>
              <w:rPr>
                <w:rStyle w:val="Funotenzeichen"/>
              </w:rPr>
              <w:t>)</w:t>
            </w:r>
            <w:r>
              <w:t>: Begehren um Anerkennung eines ausländischen Konkursdekrets.</w:t>
            </w:r>
          </w:p>
        </w:tc>
        <w:tc>
          <w:tcPr>
            <w:tcW w:w="247.55pt" w:type="dxa"/>
            <w:tcBorders>
              <w:start w:val="single" w:sz="4" w:space="0" w:color="000000"/>
            </w:tcBorders>
          </w:tcPr>
          <w:p w14:paraId="2FA699BA" w14:textId="77777777" w:rsidR="00265E7F" w:rsidRDefault="002809BD">
            <w:pPr>
              <w:pStyle w:val="TableContents"/>
              <w:ind w:start="7.45pt" w:end="0.15pt" w:hanging="9.45pt"/>
            </w:pPr>
            <w:r>
              <w:t>h) Art. 167 Abs. 1 des Bundesgesetzes über das internationale Privatrecht</w:t>
            </w:r>
            <w:r>
              <w:rPr>
                <w:rStyle w:val="Funotenzeichen"/>
              </w:rPr>
              <w:footnoteReference w:id="12"/>
            </w:r>
            <w:r>
              <w:rPr>
                <w:rStyle w:val="Funotenzeichen"/>
              </w:rPr>
              <w:t>)</w:t>
            </w:r>
            <w:r>
              <w:t>: Begehren um Anerkennung eines ausländischen Konkursdekrets;</w:t>
            </w:r>
          </w:p>
        </w:tc>
        <w:tc>
          <w:tcPr>
            <w:tcW w:w="247.60pt" w:type="dxa"/>
            <w:tcBorders>
              <w:start w:val="single" w:sz="4" w:space="0" w:color="000000"/>
              <w:end w:val="single" w:sz="4" w:space="0" w:color="000000"/>
            </w:tcBorders>
          </w:tcPr>
          <w:p w14:paraId="2564346A" w14:textId="77777777" w:rsidR="00265E7F" w:rsidRDefault="00265E7F"/>
        </w:tc>
      </w:tr>
      <w:tr w:rsidR="00265E7F" w14:paraId="6F307E85" w14:textId="77777777">
        <w:trPr>
          <w:cantSplit/>
        </w:trPr>
        <w:tc>
          <w:tcPr>
            <w:tcW w:w="247.55pt" w:type="dxa"/>
            <w:tcBorders>
              <w:start w:val="single" w:sz="4" w:space="0" w:color="000000"/>
            </w:tcBorders>
          </w:tcPr>
          <w:p w14:paraId="5587016C" w14:textId="77777777" w:rsidR="00265E7F" w:rsidRDefault="00265E7F">
            <w:pPr>
              <w:pStyle w:val="TableContents"/>
              <w:ind w:start="7.45pt" w:end="0.15pt" w:hanging="9.45pt"/>
            </w:pPr>
          </w:p>
        </w:tc>
        <w:tc>
          <w:tcPr>
            <w:tcW w:w="247.55pt" w:type="dxa"/>
            <w:tcBorders>
              <w:start w:val="single" w:sz="4" w:space="0" w:color="000000"/>
            </w:tcBorders>
          </w:tcPr>
          <w:p w14:paraId="374E804D" w14:textId="77777777" w:rsidR="00265E7F" w:rsidRDefault="002809BD">
            <w:pPr>
              <w:pStyle w:val="TableContents"/>
              <w:ind w:start="7.45pt" w:end="0.15pt" w:hanging="9.45pt"/>
            </w:pPr>
            <w:r>
              <w:t>i) Art. 40 Abs. 2 des Bundesgesetzes über das bäuerliche Bodenrecht</w:t>
            </w:r>
            <w:r>
              <w:rPr>
                <w:rStyle w:val="Funotenzeichen"/>
              </w:rPr>
              <w:footnoteReference w:id="13"/>
            </w:r>
            <w:r>
              <w:rPr>
                <w:rStyle w:val="Funotenzeichen"/>
              </w:rPr>
              <w:t>)</w:t>
            </w:r>
            <w:r>
              <w:t>: Ermächtigung zur Veräusserung eines landwirtschaftlichen Gewerbes oder eines Miteigentumsanteils daran.</w:t>
            </w:r>
          </w:p>
        </w:tc>
        <w:tc>
          <w:tcPr>
            <w:tcW w:w="247.60pt" w:type="dxa"/>
            <w:tcBorders>
              <w:start w:val="single" w:sz="4" w:space="0" w:color="000000"/>
              <w:end w:val="single" w:sz="4" w:space="0" w:color="000000"/>
            </w:tcBorders>
          </w:tcPr>
          <w:p w14:paraId="599CCB4F" w14:textId="77777777" w:rsidR="00265E7F" w:rsidRDefault="00265E7F"/>
        </w:tc>
      </w:tr>
      <w:tr w:rsidR="00265E7F" w14:paraId="1434FA18" w14:textId="77777777">
        <w:trPr>
          <w:cantSplit/>
        </w:trPr>
        <w:tc>
          <w:tcPr>
            <w:tcW w:w="247.55pt" w:type="dxa"/>
            <w:tcBorders>
              <w:start w:val="single" w:sz="4" w:space="0" w:color="000000"/>
            </w:tcBorders>
          </w:tcPr>
          <w:p w14:paraId="3272B8F1" w14:textId="77777777" w:rsidR="00265E7F" w:rsidRDefault="002809BD">
            <w:pPr>
              <w:pStyle w:val="TableContents"/>
            </w:pPr>
            <w:r>
              <w:rPr>
                <w:vertAlign w:val="superscript"/>
              </w:rPr>
              <w:t>3</w:t>
            </w:r>
            <w:r>
              <w:t> Der Einzelrichter oder die Einzelrichterin ist in Schiedsgerichtssachen zuständiges Gericht im Sinne von Art. 356 Abs. 2 ZPO.</w:t>
            </w:r>
          </w:p>
        </w:tc>
        <w:tc>
          <w:tcPr>
            <w:tcW w:w="247.55pt" w:type="dxa"/>
            <w:tcBorders>
              <w:start w:val="single" w:sz="4" w:space="0" w:color="000000"/>
            </w:tcBorders>
          </w:tcPr>
          <w:p w14:paraId="762DBC81" w14:textId="77777777" w:rsidR="00265E7F" w:rsidRDefault="00265E7F">
            <w:pPr>
              <w:pStyle w:val="TableContents"/>
            </w:pPr>
          </w:p>
        </w:tc>
        <w:tc>
          <w:tcPr>
            <w:tcW w:w="247.60pt" w:type="dxa"/>
            <w:tcBorders>
              <w:start w:val="single" w:sz="4" w:space="0" w:color="000000"/>
              <w:end w:val="single" w:sz="4" w:space="0" w:color="000000"/>
            </w:tcBorders>
          </w:tcPr>
          <w:p w14:paraId="53A5A197" w14:textId="77777777" w:rsidR="00265E7F" w:rsidRDefault="00265E7F"/>
        </w:tc>
      </w:tr>
      <w:tr w:rsidR="00265E7F" w14:paraId="429610D3" w14:textId="77777777">
        <w:trPr>
          <w:cantSplit/>
        </w:trPr>
        <w:tc>
          <w:tcPr>
            <w:tcW w:w="247.55pt" w:type="dxa"/>
            <w:tcBorders>
              <w:top w:val="single" w:sz="4" w:space="0" w:color="000000"/>
              <w:start w:val="single" w:sz="4" w:space="0" w:color="000000"/>
            </w:tcBorders>
          </w:tcPr>
          <w:p w14:paraId="4F6B3532" w14:textId="77777777" w:rsidR="00265E7F" w:rsidRDefault="002809BD">
            <w:pPr>
              <w:pStyle w:val="TableContents"/>
            </w:pPr>
            <w:r>
              <w:rPr>
                <w:b/>
                <w:bCs/>
              </w:rPr>
              <w:t>Art.  17</w:t>
            </w:r>
            <w:r>
              <w:br/>
            </w:r>
            <w:r>
              <w:rPr>
                <w:sz w:val="14"/>
              </w:rPr>
              <w:t>c) Einzelrichter, Einzelrichterin</w:t>
            </w:r>
          </w:p>
        </w:tc>
        <w:tc>
          <w:tcPr>
            <w:tcW w:w="247.55pt" w:type="dxa"/>
            <w:tcBorders>
              <w:top w:val="single" w:sz="4" w:space="0" w:color="000000"/>
              <w:start w:val="single" w:sz="4" w:space="0" w:color="000000"/>
            </w:tcBorders>
          </w:tcPr>
          <w:p w14:paraId="5EE4AE22"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05F92892" w14:textId="77777777" w:rsidR="00265E7F" w:rsidRDefault="00265E7F"/>
        </w:tc>
      </w:tr>
      <w:tr w:rsidR="00265E7F" w14:paraId="0AD774E7" w14:textId="77777777">
        <w:trPr>
          <w:cantSplit/>
        </w:trPr>
        <w:tc>
          <w:tcPr>
            <w:tcW w:w="247.55pt" w:type="dxa"/>
            <w:tcBorders>
              <w:start w:val="single" w:sz="4" w:space="0" w:color="000000"/>
            </w:tcBorders>
          </w:tcPr>
          <w:p w14:paraId="121059CE" w14:textId="77777777" w:rsidR="00265E7F" w:rsidRDefault="002809BD">
            <w:pPr>
              <w:pStyle w:val="TableContents"/>
            </w:pPr>
            <w:r>
              <w:rPr>
                <w:vertAlign w:val="superscript"/>
              </w:rPr>
              <w:t>1</w:t>
            </w:r>
            <w:r>
              <w:t> Der Einzelrichter oder die Einzelrichterin:</w:t>
            </w:r>
          </w:p>
        </w:tc>
        <w:tc>
          <w:tcPr>
            <w:tcW w:w="247.55pt" w:type="dxa"/>
            <w:tcBorders>
              <w:start w:val="single" w:sz="4" w:space="0" w:color="000000"/>
            </w:tcBorders>
          </w:tcPr>
          <w:p w14:paraId="1851DD93" w14:textId="77777777" w:rsidR="00265E7F" w:rsidRDefault="00265E7F">
            <w:pPr>
              <w:pStyle w:val="TableContents"/>
            </w:pPr>
          </w:p>
        </w:tc>
        <w:tc>
          <w:tcPr>
            <w:tcW w:w="247.60pt" w:type="dxa"/>
            <w:tcBorders>
              <w:start w:val="single" w:sz="4" w:space="0" w:color="000000"/>
              <w:end w:val="single" w:sz="4" w:space="0" w:color="000000"/>
            </w:tcBorders>
          </w:tcPr>
          <w:p w14:paraId="17AE0A8D" w14:textId="77777777" w:rsidR="00265E7F" w:rsidRDefault="00265E7F"/>
        </w:tc>
      </w:tr>
      <w:tr w:rsidR="00265E7F" w14:paraId="03CA0AFC" w14:textId="77777777">
        <w:trPr>
          <w:cantSplit/>
        </w:trPr>
        <w:tc>
          <w:tcPr>
            <w:tcW w:w="247.55pt" w:type="dxa"/>
            <w:tcBorders>
              <w:start w:val="single" w:sz="4" w:space="0" w:color="000000"/>
            </w:tcBorders>
          </w:tcPr>
          <w:p w14:paraId="06AC85CF" w14:textId="77777777" w:rsidR="00265E7F" w:rsidRDefault="002809BD">
            <w:pPr>
              <w:pStyle w:val="TableContents"/>
              <w:ind w:start="7.45pt" w:end="0.15pt" w:hanging="9.45pt"/>
            </w:pPr>
            <w:r>
              <w:t>a) übt die Funktion des Zwangsmassnahmengerichtes in Erwachsenen- und Jugendstrafsachen aus;</w:t>
            </w:r>
          </w:p>
        </w:tc>
        <w:tc>
          <w:tcPr>
            <w:tcW w:w="247.55pt" w:type="dxa"/>
            <w:tcBorders>
              <w:start w:val="single" w:sz="4" w:space="0" w:color="000000"/>
            </w:tcBorders>
          </w:tcPr>
          <w:p w14:paraId="2395F90B"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B7FE03B" w14:textId="77777777" w:rsidR="00265E7F" w:rsidRDefault="00265E7F"/>
        </w:tc>
      </w:tr>
      <w:tr w:rsidR="00265E7F" w14:paraId="343BC7B9" w14:textId="77777777">
        <w:trPr>
          <w:cantSplit/>
        </w:trPr>
        <w:tc>
          <w:tcPr>
            <w:tcW w:w="247.55pt" w:type="dxa"/>
            <w:tcBorders>
              <w:start w:val="single" w:sz="4" w:space="0" w:color="000000"/>
            </w:tcBorders>
          </w:tcPr>
          <w:p w14:paraId="791406F6" w14:textId="77777777" w:rsidR="00265E7F" w:rsidRDefault="002809BD">
            <w:pPr>
              <w:pStyle w:val="TableContents"/>
              <w:ind w:start="7.45pt" w:end="0.15pt" w:hanging="9.45pt"/>
            </w:pPr>
            <w:r>
              <w:t>b) beurteilt Übertretungen sowie Verbrechen und Vergehen, mit Ausnahme derer, für welche die Staatsanwaltschaft eine Freiheitsstrafe von mehr als einem Jahr</w:t>
            </w:r>
            <w:r>
              <w:rPr>
                <w:rStyle w:val="Funotenzeichen"/>
              </w:rPr>
              <w:footnoteReference w:id="14"/>
            </w:r>
            <w:r>
              <w:rPr>
                <w:rStyle w:val="Funotenzeichen"/>
              </w:rPr>
              <w:t>)</w:t>
            </w:r>
            <w:r>
              <w:t>, eine Verwahrung nach Art. 64 StGB</w:t>
            </w:r>
            <w:r>
              <w:rPr>
                <w:rStyle w:val="Funotenzeichen"/>
              </w:rPr>
              <w:footnoteReference w:id="15"/>
            </w:r>
            <w:r>
              <w:rPr>
                <w:rStyle w:val="Funotenzeichen"/>
              </w:rPr>
              <w:t>)</w:t>
            </w:r>
            <w:r>
              <w:t>, eine Behandlung nach Art. 59 Abs. 3 StGB oder, bei gleichzeitig zu widerrufenden bedingten Sanktionen, einen Freiheitsentzug von mehr als einem Jahr beantragt;</w:t>
            </w:r>
          </w:p>
        </w:tc>
        <w:tc>
          <w:tcPr>
            <w:tcW w:w="247.55pt" w:type="dxa"/>
            <w:tcBorders>
              <w:start w:val="single" w:sz="4" w:space="0" w:color="000000"/>
            </w:tcBorders>
          </w:tcPr>
          <w:p w14:paraId="105C0C06" w14:textId="77777777" w:rsidR="00265E7F" w:rsidRDefault="002809BD">
            <w:pPr>
              <w:pStyle w:val="TableContents"/>
              <w:ind w:start="7.45pt" w:end="0.15pt" w:hanging="9.45pt"/>
            </w:pPr>
            <w:r>
              <w:t>b) beurteilt Übertretungen sowie Verbrechen und Vergehen, mit Ausnahme derer, für welche die Staatsanwaltschaft eine Freiheitsstrafe von mehr als einem Jahr</w:t>
            </w:r>
            <w:r>
              <w:rPr>
                <w:rStyle w:val="Funotenzeichen"/>
              </w:rPr>
              <w:footnoteReference w:id="16"/>
            </w:r>
            <w:r>
              <w:rPr>
                <w:rStyle w:val="Funotenzeichen"/>
              </w:rPr>
              <w:t>)</w:t>
            </w:r>
            <w:r>
              <w:t>, eine Verwahrung nach Art. 64 StGB</w:t>
            </w:r>
            <w:r>
              <w:rPr>
                <w:rStyle w:val="Funotenzeichen"/>
              </w:rPr>
              <w:footnoteReference w:id="17"/>
            </w:r>
            <w:r>
              <w:rPr>
                <w:rStyle w:val="Funotenzeichen"/>
              </w:rPr>
              <w:t>)</w:t>
            </w:r>
            <w:r>
              <w:t>, eine Behandlung nach Art. 59 StGB oder, bei gleichzeitig zu widerrufenden bedingten Sanktionen, einen Freiheitsentzug von mehr als einem Jahr beantragt;</w:t>
            </w:r>
          </w:p>
        </w:tc>
        <w:tc>
          <w:tcPr>
            <w:tcW w:w="247.60pt" w:type="dxa"/>
            <w:tcBorders>
              <w:start w:val="single" w:sz="4" w:space="0" w:color="000000"/>
              <w:end w:val="single" w:sz="4" w:space="0" w:color="000000"/>
            </w:tcBorders>
          </w:tcPr>
          <w:p w14:paraId="3645F103" w14:textId="77777777" w:rsidR="00265E7F" w:rsidRDefault="00265E7F"/>
        </w:tc>
      </w:tr>
      <w:tr w:rsidR="00265E7F" w14:paraId="13F94D15" w14:textId="77777777">
        <w:trPr>
          <w:cantSplit/>
        </w:trPr>
        <w:tc>
          <w:tcPr>
            <w:tcW w:w="247.55pt" w:type="dxa"/>
            <w:tcBorders>
              <w:start w:val="single" w:sz="4" w:space="0" w:color="000000"/>
            </w:tcBorders>
          </w:tcPr>
          <w:p w14:paraId="7469D08E" w14:textId="77777777" w:rsidR="00265E7F" w:rsidRDefault="002809BD">
            <w:pPr>
              <w:pStyle w:val="TableContents"/>
              <w:ind w:start="7.45pt" w:end="0.15pt" w:hanging="9.45pt"/>
            </w:pPr>
            <w:r>
              <w:lastRenderedPageBreak/>
              <w:t>c) leitet die Aussonderung von Informationen im Sinne von Art. 271 Abs. 1 StPO.</w:t>
            </w:r>
          </w:p>
        </w:tc>
        <w:tc>
          <w:tcPr>
            <w:tcW w:w="247.55pt" w:type="dxa"/>
            <w:tcBorders>
              <w:start w:val="single" w:sz="4" w:space="0" w:color="000000"/>
            </w:tcBorders>
          </w:tcPr>
          <w:p w14:paraId="1A72DB50"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3544C20" w14:textId="77777777" w:rsidR="00265E7F" w:rsidRDefault="00265E7F"/>
        </w:tc>
      </w:tr>
      <w:tr w:rsidR="00265E7F" w14:paraId="4DEC081E" w14:textId="77777777">
        <w:trPr>
          <w:cantSplit/>
        </w:trPr>
        <w:tc>
          <w:tcPr>
            <w:tcW w:w="247.55pt" w:type="dxa"/>
            <w:tcBorders>
              <w:top w:val="single" w:sz="4" w:space="0" w:color="000000"/>
              <w:start w:val="single" w:sz="4" w:space="0" w:color="000000"/>
            </w:tcBorders>
          </w:tcPr>
          <w:p w14:paraId="5E0ECFDB" w14:textId="77777777" w:rsidR="00265E7F" w:rsidRDefault="002809BD">
            <w:pPr>
              <w:pStyle w:val="TableContents"/>
            </w:pPr>
            <w:r>
              <w:rPr>
                <w:b/>
                <w:bCs/>
              </w:rPr>
              <w:t>Art.  18</w:t>
            </w:r>
            <w:r>
              <w:br/>
            </w:r>
            <w:r>
              <w:rPr>
                <w:sz w:val="14"/>
              </w:rPr>
              <w:t>Organisation</w:t>
            </w:r>
            <w:r>
              <w:rPr>
                <w:sz w:val="14"/>
              </w:rPr>
              <w:br/>
              <w:t>a) Bestand, Konstituierung</w:t>
            </w:r>
          </w:p>
        </w:tc>
        <w:tc>
          <w:tcPr>
            <w:tcW w:w="247.55pt" w:type="dxa"/>
            <w:tcBorders>
              <w:top w:val="single" w:sz="4" w:space="0" w:color="000000"/>
              <w:start w:val="single" w:sz="4" w:space="0" w:color="000000"/>
            </w:tcBorders>
          </w:tcPr>
          <w:p w14:paraId="7948EB5B"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D7A0A5A" w14:textId="77777777" w:rsidR="00265E7F" w:rsidRDefault="00265E7F"/>
        </w:tc>
      </w:tr>
      <w:tr w:rsidR="00265E7F" w14:paraId="429A6251" w14:textId="77777777">
        <w:trPr>
          <w:cantSplit/>
        </w:trPr>
        <w:tc>
          <w:tcPr>
            <w:tcW w:w="247.55pt" w:type="dxa"/>
            <w:tcBorders>
              <w:start w:val="single" w:sz="4" w:space="0" w:color="000000"/>
            </w:tcBorders>
          </w:tcPr>
          <w:p w14:paraId="7300569D" w14:textId="77777777" w:rsidR="00265E7F" w:rsidRDefault="002809BD">
            <w:pPr>
              <w:pStyle w:val="TableContents"/>
            </w:pPr>
            <w:r>
              <w:rPr>
                <w:vertAlign w:val="superscript"/>
              </w:rPr>
              <w:t>1</w:t>
            </w:r>
            <w:r>
              <w:t> Das Obergericht besteht aus dem Präsidenten oder der Präsidentin, dem Vizepräsidenten oder der Vizepräsidentin und mindestens acht weiteren Mitgliedern. Der Kantonsrat kann die Zahl der Vizepräsidenten oder Vizepräsidentinnen und der weiteren Mitglieder erhöhen.</w:t>
            </w:r>
          </w:p>
        </w:tc>
        <w:tc>
          <w:tcPr>
            <w:tcW w:w="247.55pt" w:type="dxa"/>
            <w:tcBorders>
              <w:start w:val="single" w:sz="4" w:space="0" w:color="000000"/>
            </w:tcBorders>
          </w:tcPr>
          <w:p w14:paraId="6F07BE91" w14:textId="77777777" w:rsidR="00265E7F" w:rsidRDefault="002809BD">
            <w:pPr>
              <w:pStyle w:val="TableContents"/>
            </w:pPr>
            <w:r>
              <w:rPr>
                <w:vertAlign w:val="superscript"/>
              </w:rPr>
              <w:t>1</w:t>
            </w:r>
            <w:r>
              <w:t> Das Obergericht besteht aus dem Präsidenten oder der Präsidentin, mindestens einem Vizepräsidenten oder einer Vizepräsidentin und mindestens acht weiteren Mitgliedern.</w:t>
            </w:r>
          </w:p>
        </w:tc>
        <w:tc>
          <w:tcPr>
            <w:tcW w:w="247.60pt" w:type="dxa"/>
            <w:tcBorders>
              <w:start w:val="single" w:sz="4" w:space="0" w:color="000000"/>
              <w:end w:val="single" w:sz="4" w:space="0" w:color="000000"/>
            </w:tcBorders>
          </w:tcPr>
          <w:p w14:paraId="1726B27F" w14:textId="77777777" w:rsidR="00265E7F" w:rsidRDefault="00265E7F"/>
        </w:tc>
      </w:tr>
      <w:tr w:rsidR="00265E7F" w14:paraId="35BE6AA4" w14:textId="77777777">
        <w:trPr>
          <w:cantSplit/>
        </w:trPr>
        <w:tc>
          <w:tcPr>
            <w:tcW w:w="247.55pt" w:type="dxa"/>
            <w:tcBorders>
              <w:start w:val="single" w:sz="4" w:space="0" w:color="000000"/>
            </w:tcBorders>
          </w:tcPr>
          <w:p w14:paraId="37BA8F66" w14:textId="77777777" w:rsidR="00265E7F" w:rsidRDefault="002809BD">
            <w:pPr>
              <w:pStyle w:val="TableContents"/>
            </w:pPr>
            <w:r>
              <w:rPr>
                <w:vertAlign w:val="superscript"/>
              </w:rPr>
              <w:t>2</w:t>
            </w:r>
            <w:r>
              <w:t> Das Obergericht führt zu Beginn einer neuen Amtsdauer eine konstituierende Sitzung durch und nimmt die Wahlen vor. Es bestellt aus seiner Mitte:</w:t>
            </w:r>
          </w:p>
        </w:tc>
        <w:tc>
          <w:tcPr>
            <w:tcW w:w="247.55pt" w:type="dxa"/>
            <w:tcBorders>
              <w:start w:val="single" w:sz="4" w:space="0" w:color="000000"/>
            </w:tcBorders>
          </w:tcPr>
          <w:p w14:paraId="0B1C0AF5" w14:textId="77777777" w:rsidR="00265E7F" w:rsidRDefault="00265E7F">
            <w:pPr>
              <w:pStyle w:val="TableContents"/>
            </w:pPr>
          </w:p>
        </w:tc>
        <w:tc>
          <w:tcPr>
            <w:tcW w:w="247.60pt" w:type="dxa"/>
            <w:tcBorders>
              <w:start w:val="single" w:sz="4" w:space="0" w:color="000000"/>
              <w:end w:val="single" w:sz="4" w:space="0" w:color="000000"/>
            </w:tcBorders>
          </w:tcPr>
          <w:p w14:paraId="4DDD16BF" w14:textId="77777777" w:rsidR="00265E7F" w:rsidRDefault="00265E7F"/>
        </w:tc>
      </w:tr>
      <w:tr w:rsidR="00265E7F" w14:paraId="3D7EA50F" w14:textId="77777777">
        <w:trPr>
          <w:cantSplit/>
        </w:trPr>
        <w:tc>
          <w:tcPr>
            <w:tcW w:w="247.55pt" w:type="dxa"/>
            <w:tcBorders>
              <w:start w:val="single" w:sz="4" w:space="0" w:color="000000"/>
            </w:tcBorders>
          </w:tcPr>
          <w:p w14:paraId="650DD378" w14:textId="77777777" w:rsidR="00265E7F" w:rsidRDefault="002809BD">
            <w:pPr>
              <w:pStyle w:val="TableContents"/>
              <w:ind w:start="7.45pt" w:end="0.15pt" w:hanging="9.45pt"/>
            </w:pPr>
            <w:r>
              <w:t xml:space="preserve">a) die Abteilungen, bestehend </w:t>
            </w:r>
            <w:proofErr w:type="gramStart"/>
            <w:r>
              <w:t>aus Präsident</w:t>
            </w:r>
            <w:proofErr w:type="gramEnd"/>
            <w:r>
              <w:t xml:space="preserve"> oder Präsidentin resp. Vizepräsident oder Vizepräsidentin als Vorsitzendem oder Vorsitzender und vier weiteren Richtern und Richterinnen;</w:t>
            </w:r>
          </w:p>
        </w:tc>
        <w:tc>
          <w:tcPr>
            <w:tcW w:w="247.55pt" w:type="dxa"/>
            <w:tcBorders>
              <w:start w:val="single" w:sz="4" w:space="0" w:color="000000"/>
            </w:tcBorders>
          </w:tcPr>
          <w:p w14:paraId="5E767DC8" w14:textId="77777777" w:rsidR="00265E7F" w:rsidRDefault="002809BD">
            <w:pPr>
              <w:pStyle w:val="TableContents"/>
              <w:ind w:start="7.45pt" w:end="0.15pt" w:hanging="9.45pt"/>
            </w:pPr>
            <w:r>
              <w:t>a) die Abteilungen, bestehend aus dem Präsidenten oder der Präsidentin oder einem Vizepräsidenten oder einer Vizepräsidentin als Vorsitzendem oder Vorsitzender und zwei weiteren Richtern und Richterinnen;</w:t>
            </w:r>
          </w:p>
        </w:tc>
        <w:tc>
          <w:tcPr>
            <w:tcW w:w="247.60pt" w:type="dxa"/>
            <w:tcBorders>
              <w:start w:val="single" w:sz="4" w:space="0" w:color="000000"/>
              <w:end w:val="single" w:sz="4" w:space="0" w:color="000000"/>
            </w:tcBorders>
          </w:tcPr>
          <w:p w14:paraId="02C43DAC" w14:textId="77777777" w:rsidR="00265E7F" w:rsidRDefault="00265E7F"/>
        </w:tc>
      </w:tr>
      <w:tr w:rsidR="00265E7F" w14:paraId="2A10DE4D" w14:textId="77777777">
        <w:trPr>
          <w:cantSplit/>
        </w:trPr>
        <w:tc>
          <w:tcPr>
            <w:tcW w:w="247.55pt" w:type="dxa"/>
            <w:tcBorders>
              <w:start w:val="single" w:sz="4" w:space="0" w:color="000000"/>
            </w:tcBorders>
          </w:tcPr>
          <w:p w14:paraId="3E8F056C" w14:textId="77777777" w:rsidR="00265E7F" w:rsidRDefault="002809BD">
            <w:pPr>
              <w:pStyle w:val="TableContents"/>
              <w:ind w:start="7.45pt" w:end="0.15pt" w:hanging="9.45pt"/>
            </w:pPr>
            <w:r>
              <w:t>b) die Stellvertreter oder Stellvertreterinnen der Vorsitzenden der einzelnen Abteilungen;</w:t>
            </w:r>
          </w:p>
        </w:tc>
        <w:tc>
          <w:tcPr>
            <w:tcW w:w="247.55pt" w:type="dxa"/>
            <w:tcBorders>
              <w:start w:val="single" w:sz="4" w:space="0" w:color="000000"/>
            </w:tcBorders>
          </w:tcPr>
          <w:p w14:paraId="0FCFC9F8"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3183D861" w14:textId="77777777" w:rsidR="00265E7F" w:rsidRDefault="00265E7F"/>
        </w:tc>
      </w:tr>
      <w:tr w:rsidR="00265E7F" w14:paraId="29C062E5" w14:textId="77777777">
        <w:trPr>
          <w:cantSplit/>
        </w:trPr>
        <w:tc>
          <w:tcPr>
            <w:tcW w:w="247.55pt" w:type="dxa"/>
            <w:tcBorders>
              <w:start w:val="single" w:sz="4" w:space="0" w:color="000000"/>
            </w:tcBorders>
          </w:tcPr>
          <w:p w14:paraId="642CFA60" w14:textId="77777777" w:rsidR="00265E7F" w:rsidRDefault="002809BD">
            <w:pPr>
              <w:pStyle w:val="TableContents"/>
              <w:ind w:start="7.45pt" w:end="0.15pt" w:hanging="9.45pt"/>
            </w:pPr>
            <w:r>
              <w:t>c) die Ersatzmitglieder der einzelnen Abteilungen;</w:t>
            </w:r>
          </w:p>
        </w:tc>
        <w:tc>
          <w:tcPr>
            <w:tcW w:w="247.55pt" w:type="dxa"/>
            <w:tcBorders>
              <w:start w:val="single" w:sz="4" w:space="0" w:color="000000"/>
            </w:tcBorders>
          </w:tcPr>
          <w:p w14:paraId="2C8E1CE1"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62F69BB5" w14:textId="77777777" w:rsidR="00265E7F" w:rsidRDefault="00265E7F"/>
        </w:tc>
      </w:tr>
      <w:tr w:rsidR="00265E7F" w14:paraId="490C054F" w14:textId="77777777">
        <w:trPr>
          <w:cantSplit/>
        </w:trPr>
        <w:tc>
          <w:tcPr>
            <w:tcW w:w="247.55pt" w:type="dxa"/>
            <w:tcBorders>
              <w:start w:val="single" w:sz="4" w:space="0" w:color="000000"/>
            </w:tcBorders>
          </w:tcPr>
          <w:p w14:paraId="549EB37F" w14:textId="77777777" w:rsidR="00265E7F" w:rsidRDefault="002809BD">
            <w:pPr>
              <w:pStyle w:val="TableContents"/>
              <w:ind w:start="7.45pt" w:end="0.15pt" w:hanging="9.45pt"/>
            </w:pPr>
            <w:r>
              <w:t>d) die Einzelrichter und Einzelrichterinnen und deren Stellvertreter und Stellvertreterinnen;</w:t>
            </w:r>
          </w:p>
        </w:tc>
        <w:tc>
          <w:tcPr>
            <w:tcW w:w="247.55pt" w:type="dxa"/>
            <w:tcBorders>
              <w:start w:val="single" w:sz="4" w:space="0" w:color="000000"/>
            </w:tcBorders>
          </w:tcPr>
          <w:p w14:paraId="6758F3D7"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A8F5DBD" w14:textId="77777777" w:rsidR="00265E7F" w:rsidRDefault="00265E7F"/>
        </w:tc>
      </w:tr>
      <w:tr w:rsidR="00265E7F" w14:paraId="796FBF0D" w14:textId="77777777">
        <w:trPr>
          <w:cantSplit/>
        </w:trPr>
        <w:tc>
          <w:tcPr>
            <w:tcW w:w="247.55pt" w:type="dxa"/>
            <w:tcBorders>
              <w:start w:val="single" w:sz="4" w:space="0" w:color="000000"/>
            </w:tcBorders>
          </w:tcPr>
          <w:p w14:paraId="6D3485E2" w14:textId="77777777" w:rsidR="00265E7F" w:rsidRDefault="002809BD">
            <w:pPr>
              <w:pStyle w:val="TableContents"/>
              <w:ind w:start="7.45pt" w:end="0.15pt" w:hanging="9.45pt"/>
            </w:pPr>
            <w:r>
              <w:t>e) den Präsidenten oder die Präsidentin, zwei weitere Mitglieder und zwei Ersatzmitglieder der Aufsichtsbehörde für Schuldbetreibung und Konkurs.</w:t>
            </w:r>
          </w:p>
        </w:tc>
        <w:tc>
          <w:tcPr>
            <w:tcW w:w="247.55pt" w:type="dxa"/>
            <w:tcBorders>
              <w:start w:val="single" w:sz="4" w:space="0" w:color="000000"/>
            </w:tcBorders>
          </w:tcPr>
          <w:p w14:paraId="1301154F"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2B9B21E3" w14:textId="77777777" w:rsidR="00265E7F" w:rsidRDefault="00265E7F"/>
        </w:tc>
      </w:tr>
      <w:tr w:rsidR="00265E7F" w14:paraId="520BFB29" w14:textId="77777777">
        <w:trPr>
          <w:cantSplit/>
        </w:trPr>
        <w:tc>
          <w:tcPr>
            <w:tcW w:w="247.55pt" w:type="dxa"/>
            <w:tcBorders>
              <w:start w:val="single" w:sz="4" w:space="0" w:color="000000"/>
            </w:tcBorders>
          </w:tcPr>
          <w:p w14:paraId="4F0161C3" w14:textId="77777777" w:rsidR="00265E7F" w:rsidRDefault="002809BD">
            <w:pPr>
              <w:pStyle w:val="TableContents"/>
            </w:pPr>
            <w:r>
              <w:rPr>
                <w:vertAlign w:val="superscript"/>
              </w:rPr>
              <w:lastRenderedPageBreak/>
              <w:t>3</w:t>
            </w:r>
            <w:r>
              <w:t> Das Obergericht bestimmt den Zuständigkeitsbereich der einzelnen Abteilungen und der Einzelrichter und Einzelrichterinnen. Die Wahlen und die Zuständigkeitsordnung sind zu veröffentlichen.</w:t>
            </w:r>
          </w:p>
        </w:tc>
        <w:tc>
          <w:tcPr>
            <w:tcW w:w="247.55pt" w:type="dxa"/>
            <w:tcBorders>
              <w:start w:val="single" w:sz="4" w:space="0" w:color="000000"/>
            </w:tcBorders>
          </w:tcPr>
          <w:p w14:paraId="0310626A" w14:textId="77777777" w:rsidR="00265E7F" w:rsidRDefault="00265E7F">
            <w:pPr>
              <w:pStyle w:val="TableContents"/>
            </w:pPr>
          </w:p>
        </w:tc>
        <w:tc>
          <w:tcPr>
            <w:tcW w:w="247.60pt" w:type="dxa"/>
            <w:tcBorders>
              <w:start w:val="single" w:sz="4" w:space="0" w:color="000000"/>
              <w:end w:val="single" w:sz="4" w:space="0" w:color="000000"/>
            </w:tcBorders>
          </w:tcPr>
          <w:p w14:paraId="269C378E" w14:textId="77777777" w:rsidR="00265E7F" w:rsidRDefault="00265E7F"/>
        </w:tc>
      </w:tr>
      <w:tr w:rsidR="00265E7F" w14:paraId="6D560519" w14:textId="77777777">
        <w:trPr>
          <w:cantSplit/>
        </w:trPr>
        <w:tc>
          <w:tcPr>
            <w:tcW w:w="247.55pt" w:type="dxa"/>
            <w:tcBorders>
              <w:top w:val="single" w:sz="4" w:space="0" w:color="000000"/>
              <w:start w:val="single" w:sz="4" w:space="0" w:color="000000"/>
            </w:tcBorders>
          </w:tcPr>
          <w:p w14:paraId="30AF23B2" w14:textId="77777777" w:rsidR="00265E7F" w:rsidRDefault="002809BD">
            <w:pPr>
              <w:pStyle w:val="TableContents"/>
            </w:pPr>
            <w:r>
              <w:rPr>
                <w:b/>
                <w:bCs/>
              </w:rPr>
              <w:t>Art.  19</w:t>
            </w:r>
            <w:r>
              <w:br/>
            </w:r>
            <w:r>
              <w:rPr>
                <w:sz w:val="14"/>
              </w:rPr>
              <w:t>b) Besetzung, Vorsitz</w:t>
            </w:r>
          </w:p>
        </w:tc>
        <w:tc>
          <w:tcPr>
            <w:tcW w:w="247.55pt" w:type="dxa"/>
            <w:tcBorders>
              <w:top w:val="single" w:sz="4" w:space="0" w:color="000000"/>
              <w:start w:val="single" w:sz="4" w:space="0" w:color="000000"/>
            </w:tcBorders>
          </w:tcPr>
          <w:p w14:paraId="49F9284C"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68BD422" w14:textId="77777777" w:rsidR="00265E7F" w:rsidRDefault="00265E7F"/>
        </w:tc>
      </w:tr>
      <w:tr w:rsidR="00265E7F" w14:paraId="0C16786F" w14:textId="77777777">
        <w:trPr>
          <w:cantSplit/>
        </w:trPr>
        <w:tc>
          <w:tcPr>
            <w:tcW w:w="247.55pt" w:type="dxa"/>
            <w:tcBorders>
              <w:start w:val="single" w:sz="4" w:space="0" w:color="000000"/>
            </w:tcBorders>
          </w:tcPr>
          <w:p w14:paraId="180E8DE4" w14:textId="77777777" w:rsidR="00265E7F" w:rsidRDefault="002809BD">
            <w:pPr>
              <w:pStyle w:val="TableContents"/>
            </w:pPr>
            <w:r>
              <w:rPr>
                <w:vertAlign w:val="superscript"/>
              </w:rPr>
              <w:t>1</w:t>
            </w:r>
            <w:r>
              <w:t> Das Obergericht entscheidet, soweit das Gesetz nichts anderes vorsieht, in Fünferbesetzung.</w:t>
            </w:r>
          </w:p>
        </w:tc>
        <w:tc>
          <w:tcPr>
            <w:tcW w:w="247.55pt" w:type="dxa"/>
            <w:tcBorders>
              <w:start w:val="single" w:sz="4" w:space="0" w:color="000000"/>
            </w:tcBorders>
          </w:tcPr>
          <w:p w14:paraId="01661669" w14:textId="77777777" w:rsidR="00265E7F" w:rsidRDefault="002809BD">
            <w:pPr>
              <w:pStyle w:val="TableContents"/>
            </w:pPr>
            <w:r>
              <w:rPr>
                <w:vertAlign w:val="superscript"/>
              </w:rPr>
              <w:t>1</w:t>
            </w:r>
            <w:r>
              <w:t> Das Obergericht entscheidet, soweit das Gesetz nichts anderes vorsieht, in Dreierbesetzung.</w:t>
            </w:r>
          </w:p>
        </w:tc>
        <w:tc>
          <w:tcPr>
            <w:tcW w:w="247.60pt" w:type="dxa"/>
            <w:tcBorders>
              <w:start w:val="single" w:sz="4" w:space="0" w:color="000000"/>
              <w:end w:val="single" w:sz="4" w:space="0" w:color="000000"/>
            </w:tcBorders>
          </w:tcPr>
          <w:p w14:paraId="44765E8F" w14:textId="77777777" w:rsidR="00265E7F" w:rsidRDefault="00265E7F"/>
        </w:tc>
      </w:tr>
      <w:tr w:rsidR="00265E7F" w14:paraId="38E39C1C" w14:textId="77777777">
        <w:trPr>
          <w:cantSplit/>
        </w:trPr>
        <w:tc>
          <w:tcPr>
            <w:tcW w:w="247.55pt" w:type="dxa"/>
            <w:tcBorders>
              <w:start w:val="single" w:sz="4" w:space="0" w:color="000000"/>
            </w:tcBorders>
          </w:tcPr>
          <w:p w14:paraId="5516E927" w14:textId="77777777" w:rsidR="00265E7F" w:rsidRDefault="002809BD">
            <w:pPr>
              <w:pStyle w:val="TableContents"/>
            </w:pPr>
            <w:r>
              <w:rPr>
                <w:vertAlign w:val="superscript"/>
              </w:rPr>
              <w:t>2</w:t>
            </w:r>
            <w:r>
              <w:t> Präsident oder Präsidentin bzw. Vizepräsident oder Vizepräsidentin führen den Vorsitz in den Abteilungen.</w:t>
            </w:r>
          </w:p>
        </w:tc>
        <w:tc>
          <w:tcPr>
            <w:tcW w:w="247.55pt" w:type="dxa"/>
            <w:tcBorders>
              <w:start w:val="single" w:sz="4" w:space="0" w:color="000000"/>
            </w:tcBorders>
          </w:tcPr>
          <w:p w14:paraId="6AFB6B29" w14:textId="77777777" w:rsidR="00265E7F" w:rsidRDefault="00265E7F">
            <w:pPr>
              <w:pStyle w:val="TableContents"/>
            </w:pPr>
          </w:p>
        </w:tc>
        <w:tc>
          <w:tcPr>
            <w:tcW w:w="247.60pt" w:type="dxa"/>
            <w:tcBorders>
              <w:start w:val="single" w:sz="4" w:space="0" w:color="000000"/>
              <w:end w:val="single" w:sz="4" w:space="0" w:color="000000"/>
            </w:tcBorders>
          </w:tcPr>
          <w:p w14:paraId="4A4AF69C" w14:textId="77777777" w:rsidR="00265E7F" w:rsidRDefault="00265E7F"/>
        </w:tc>
      </w:tr>
      <w:tr w:rsidR="00265E7F" w14:paraId="7C88E85B" w14:textId="77777777">
        <w:trPr>
          <w:cantSplit/>
        </w:trPr>
        <w:tc>
          <w:tcPr>
            <w:tcW w:w="247.55pt" w:type="dxa"/>
            <w:tcBorders>
              <w:top w:val="single" w:sz="4" w:space="0" w:color="000000"/>
              <w:start w:val="single" w:sz="4" w:space="0" w:color="000000"/>
            </w:tcBorders>
          </w:tcPr>
          <w:p w14:paraId="0EE8A50F" w14:textId="77777777" w:rsidR="00265E7F" w:rsidRDefault="002809BD">
            <w:pPr>
              <w:pStyle w:val="TableContents"/>
            </w:pPr>
            <w:r>
              <w:rPr>
                <w:b/>
                <w:bCs/>
              </w:rPr>
              <w:t>Art.  22</w:t>
            </w:r>
            <w:r>
              <w:br/>
            </w:r>
            <w:r>
              <w:rPr>
                <w:sz w:val="14"/>
              </w:rPr>
              <w:t>e) Aufsicht</w:t>
            </w:r>
          </w:p>
        </w:tc>
        <w:tc>
          <w:tcPr>
            <w:tcW w:w="247.55pt" w:type="dxa"/>
            <w:tcBorders>
              <w:top w:val="single" w:sz="4" w:space="0" w:color="000000"/>
              <w:start w:val="single" w:sz="4" w:space="0" w:color="000000"/>
            </w:tcBorders>
          </w:tcPr>
          <w:p w14:paraId="0E10DD7C"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80D97E4" w14:textId="77777777" w:rsidR="00265E7F" w:rsidRDefault="00265E7F"/>
        </w:tc>
      </w:tr>
      <w:tr w:rsidR="00265E7F" w14:paraId="0E5F20E4" w14:textId="77777777">
        <w:trPr>
          <w:cantSplit/>
        </w:trPr>
        <w:tc>
          <w:tcPr>
            <w:tcW w:w="247.55pt" w:type="dxa"/>
            <w:tcBorders>
              <w:start w:val="single" w:sz="4" w:space="0" w:color="000000"/>
            </w:tcBorders>
          </w:tcPr>
          <w:p w14:paraId="2B46E5CB" w14:textId="77777777" w:rsidR="00265E7F" w:rsidRDefault="002809BD">
            <w:pPr>
              <w:pStyle w:val="TableContents"/>
            </w:pPr>
            <w:r>
              <w:rPr>
                <w:vertAlign w:val="superscript"/>
              </w:rPr>
              <w:t>1</w:t>
            </w:r>
            <w:r>
              <w:t> Das Obergericht übt die Aufsicht in der Zivil- und Strafrechtspflege aus.</w:t>
            </w:r>
          </w:p>
        </w:tc>
        <w:tc>
          <w:tcPr>
            <w:tcW w:w="247.55pt" w:type="dxa"/>
            <w:tcBorders>
              <w:start w:val="single" w:sz="4" w:space="0" w:color="000000"/>
            </w:tcBorders>
          </w:tcPr>
          <w:p w14:paraId="59EA649A" w14:textId="77777777" w:rsidR="00265E7F" w:rsidRDefault="00265E7F">
            <w:pPr>
              <w:pStyle w:val="TableContents"/>
            </w:pPr>
          </w:p>
        </w:tc>
        <w:tc>
          <w:tcPr>
            <w:tcW w:w="247.60pt" w:type="dxa"/>
            <w:tcBorders>
              <w:start w:val="single" w:sz="4" w:space="0" w:color="000000"/>
              <w:end w:val="single" w:sz="4" w:space="0" w:color="000000"/>
            </w:tcBorders>
          </w:tcPr>
          <w:p w14:paraId="10224935" w14:textId="77777777" w:rsidR="00265E7F" w:rsidRDefault="00265E7F"/>
        </w:tc>
      </w:tr>
      <w:tr w:rsidR="00265E7F" w14:paraId="348F37B2" w14:textId="77777777">
        <w:trPr>
          <w:cantSplit/>
        </w:trPr>
        <w:tc>
          <w:tcPr>
            <w:tcW w:w="247.55pt" w:type="dxa"/>
            <w:tcBorders>
              <w:start w:val="single" w:sz="4" w:space="0" w:color="000000"/>
            </w:tcBorders>
          </w:tcPr>
          <w:p w14:paraId="727D8BDD" w14:textId="77777777" w:rsidR="00265E7F" w:rsidRDefault="002809BD">
            <w:pPr>
              <w:pStyle w:val="TableContents"/>
            </w:pPr>
            <w:r>
              <w:rPr>
                <w:vertAlign w:val="superscript"/>
              </w:rPr>
              <w:t>2</w:t>
            </w:r>
            <w:r>
              <w:t> Es sorgt für die ordnungsgemässe Abwicklung der Amtsübergaben bei den von ihm beaufsichtigten Behörden.</w:t>
            </w:r>
          </w:p>
        </w:tc>
        <w:tc>
          <w:tcPr>
            <w:tcW w:w="247.55pt" w:type="dxa"/>
            <w:tcBorders>
              <w:start w:val="single" w:sz="4" w:space="0" w:color="000000"/>
            </w:tcBorders>
          </w:tcPr>
          <w:p w14:paraId="556B9099" w14:textId="77777777" w:rsidR="00265E7F" w:rsidRDefault="002809BD">
            <w:pPr>
              <w:pStyle w:val="TableContents"/>
            </w:pPr>
            <w:r>
              <w:rPr>
                <w:vertAlign w:val="superscript"/>
              </w:rPr>
              <w:t>2</w:t>
            </w:r>
            <w:r>
              <w:t xml:space="preserve"> Es trifft bei Missständen von Amtes </w:t>
            </w:r>
            <w:proofErr w:type="gramStart"/>
            <w:r>
              <w:t>wegen die erforderlichen Massnahmen</w:t>
            </w:r>
            <w:proofErr w:type="gramEnd"/>
            <w:r>
              <w:t xml:space="preserve"> für eine gesetzmässige, zweckmässige und haushälterische Geschäftsführung.</w:t>
            </w:r>
          </w:p>
        </w:tc>
        <w:tc>
          <w:tcPr>
            <w:tcW w:w="247.60pt" w:type="dxa"/>
            <w:tcBorders>
              <w:start w:val="single" w:sz="4" w:space="0" w:color="000000"/>
              <w:end w:val="single" w:sz="4" w:space="0" w:color="000000"/>
            </w:tcBorders>
          </w:tcPr>
          <w:p w14:paraId="1A972C67" w14:textId="77777777" w:rsidR="00265E7F" w:rsidRDefault="00265E7F"/>
        </w:tc>
      </w:tr>
      <w:tr w:rsidR="00265E7F" w14:paraId="77B121CA" w14:textId="77777777">
        <w:trPr>
          <w:cantSplit/>
        </w:trPr>
        <w:tc>
          <w:tcPr>
            <w:tcW w:w="247.55pt" w:type="dxa"/>
            <w:tcBorders>
              <w:start w:val="single" w:sz="4" w:space="0" w:color="000000"/>
            </w:tcBorders>
          </w:tcPr>
          <w:p w14:paraId="75587E0E" w14:textId="77777777" w:rsidR="00265E7F" w:rsidRDefault="00265E7F">
            <w:pPr>
              <w:pStyle w:val="TableContents"/>
            </w:pPr>
          </w:p>
        </w:tc>
        <w:tc>
          <w:tcPr>
            <w:tcW w:w="247.55pt" w:type="dxa"/>
            <w:tcBorders>
              <w:start w:val="single" w:sz="4" w:space="0" w:color="000000"/>
            </w:tcBorders>
          </w:tcPr>
          <w:p w14:paraId="5EE8C97C" w14:textId="77777777" w:rsidR="00265E7F" w:rsidRDefault="002809BD">
            <w:pPr>
              <w:pStyle w:val="TableContents"/>
            </w:pPr>
            <w:r>
              <w:rPr>
                <w:vertAlign w:val="superscript"/>
              </w:rPr>
              <w:t>3</w:t>
            </w:r>
            <w:r>
              <w:t> Es erledigt Aufsichtsanzeigen betreffend die Geschäftsführung des Kantonsgerichts und der Schlichtungsbehörden. Das Einreichen einer Aufsichtsanzeige begründet keine Parteirechte.</w:t>
            </w:r>
          </w:p>
        </w:tc>
        <w:tc>
          <w:tcPr>
            <w:tcW w:w="247.60pt" w:type="dxa"/>
            <w:tcBorders>
              <w:start w:val="single" w:sz="4" w:space="0" w:color="000000"/>
              <w:end w:val="single" w:sz="4" w:space="0" w:color="000000"/>
            </w:tcBorders>
          </w:tcPr>
          <w:p w14:paraId="23867131" w14:textId="77777777" w:rsidR="00265E7F" w:rsidRDefault="00265E7F"/>
        </w:tc>
      </w:tr>
      <w:tr w:rsidR="00265E7F" w14:paraId="251EF36B" w14:textId="77777777">
        <w:trPr>
          <w:cantSplit/>
        </w:trPr>
        <w:tc>
          <w:tcPr>
            <w:tcW w:w="247.55pt" w:type="dxa"/>
            <w:tcBorders>
              <w:top w:val="single" w:sz="4" w:space="0" w:color="000000"/>
              <w:start w:val="single" w:sz="4" w:space="0" w:color="000000"/>
            </w:tcBorders>
          </w:tcPr>
          <w:p w14:paraId="616A3D0A" w14:textId="77777777" w:rsidR="00265E7F" w:rsidRDefault="002809BD">
            <w:pPr>
              <w:pStyle w:val="TableContents"/>
            </w:pPr>
            <w:r>
              <w:rPr>
                <w:b/>
                <w:bCs/>
              </w:rPr>
              <w:t>Art.  24</w:t>
            </w:r>
            <w:r>
              <w:br/>
            </w:r>
            <w:r>
              <w:rPr>
                <w:sz w:val="14"/>
              </w:rPr>
              <w:t>Zivilrechtspflege</w:t>
            </w:r>
            <w:r>
              <w:rPr>
                <w:sz w:val="14"/>
              </w:rPr>
              <w:br/>
              <w:t>a) Aufgaben</w:t>
            </w:r>
          </w:p>
        </w:tc>
        <w:tc>
          <w:tcPr>
            <w:tcW w:w="247.55pt" w:type="dxa"/>
            <w:tcBorders>
              <w:top w:val="single" w:sz="4" w:space="0" w:color="000000"/>
              <w:start w:val="single" w:sz="4" w:space="0" w:color="000000"/>
            </w:tcBorders>
          </w:tcPr>
          <w:p w14:paraId="43B48FCF"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00FDD69D" w14:textId="77777777" w:rsidR="00265E7F" w:rsidRDefault="00265E7F"/>
        </w:tc>
      </w:tr>
      <w:tr w:rsidR="00265E7F" w14:paraId="5AF92FC5" w14:textId="77777777">
        <w:trPr>
          <w:cantSplit/>
        </w:trPr>
        <w:tc>
          <w:tcPr>
            <w:tcW w:w="247.55pt" w:type="dxa"/>
            <w:tcBorders>
              <w:start w:val="single" w:sz="4" w:space="0" w:color="000000"/>
            </w:tcBorders>
          </w:tcPr>
          <w:p w14:paraId="2F6D140F" w14:textId="77777777" w:rsidR="00265E7F" w:rsidRDefault="002809BD">
            <w:pPr>
              <w:pStyle w:val="TableContents"/>
            </w:pPr>
            <w:r>
              <w:rPr>
                <w:vertAlign w:val="superscript"/>
              </w:rPr>
              <w:t>1</w:t>
            </w:r>
            <w:r>
              <w:t> Das Obergericht:</w:t>
            </w:r>
          </w:p>
        </w:tc>
        <w:tc>
          <w:tcPr>
            <w:tcW w:w="247.55pt" w:type="dxa"/>
            <w:tcBorders>
              <w:start w:val="single" w:sz="4" w:space="0" w:color="000000"/>
            </w:tcBorders>
          </w:tcPr>
          <w:p w14:paraId="06A74DAB" w14:textId="77777777" w:rsidR="00265E7F" w:rsidRDefault="00265E7F">
            <w:pPr>
              <w:pStyle w:val="TableContents"/>
            </w:pPr>
          </w:p>
        </w:tc>
        <w:tc>
          <w:tcPr>
            <w:tcW w:w="247.60pt" w:type="dxa"/>
            <w:tcBorders>
              <w:start w:val="single" w:sz="4" w:space="0" w:color="000000"/>
              <w:end w:val="single" w:sz="4" w:space="0" w:color="000000"/>
            </w:tcBorders>
          </w:tcPr>
          <w:p w14:paraId="5B5B5C85" w14:textId="77777777" w:rsidR="00265E7F" w:rsidRDefault="00265E7F"/>
        </w:tc>
      </w:tr>
      <w:tr w:rsidR="00265E7F" w14:paraId="40A8EC5F" w14:textId="77777777">
        <w:trPr>
          <w:cantSplit/>
        </w:trPr>
        <w:tc>
          <w:tcPr>
            <w:tcW w:w="247.55pt" w:type="dxa"/>
            <w:tcBorders>
              <w:start w:val="single" w:sz="4" w:space="0" w:color="000000"/>
            </w:tcBorders>
          </w:tcPr>
          <w:p w14:paraId="24AA8BCF" w14:textId="77777777" w:rsidR="00265E7F" w:rsidRDefault="002809BD">
            <w:pPr>
              <w:pStyle w:val="TableContents"/>
              <w:ind w:start="7.45pt" w:end="0.15pt" w:hanging="9.45pt"/>
            </w:pPr>
            <w:r>
              <w:lastRenderedPageBreak/>
              <w:t>a) entscheidet in zivilrechtlichen Angelegenheiten, für die eine einzige kantonale Instanz zuständig ist;</w:t>
            </w:r>
            <w:r>
              <w:rPr>
                <w:rStyle w:val="Funotenzeichen"/>
              </w:rPr>
              <w:footnoteReference w:id="18"/>
            </w:r>
            <w:r>
              <w:rPr>
                <w:rStyle w:val="Funotenzeichen"/>
              </w:rPr>
              <w:t>)</w:t>
            </w:r>
          </w:p>
        </w:tc>
        <w:tc>
          <w:tcPr>
            <w:tcW w:w="247.55pt" w:type="dxa"/>
            <w:tcBorders>
              <w:start w:val="single" w:sz="4" w:space="0" w:color="000000"/>
            </w:tcBorders>
          </w:tcPr>
          <w:p w14:paraId="3DC2459D" w14:textId="77777777" w:rsidR="00265E7F" w:rsidRDefault="002809BD">
            <w:pPr>
              <w:pStyle w:val="TableContents"/>
              <w:ind w:start="7.45pt" w:end="0.15pt" w:hanging="9.45pt"/>
            </w:pPr>
            <w:r>
              <w:t>a) entscheidet unter Vorbehalt der Befugnisse des Einzelrichters oder der Einzelrichterin in zivilrechtlichen Angelegenheiten, für die eine einzige kantonale Instanz zuständig ist;</w:t>
            </w:r>
            <w:r>
              <w:rPr>
                <w:rStyle w:val="Funotenzeichen"/>
              </w:rPr>
              <w:footnoteReference w:id="19"/>
            </w:r>
            <w:r>
              <w:rPr>
                <w:rStyle w:val="Funotenzeichen"/>
              </w:rPr>
              <w:t>)</w:t>
            </w:r>
          </w:p>
        </w:tc>
        <w:tc>
          <w:tcPr>
            <w:tcW w:w="247.60pt" w:type="dxa"/>
            <w:tcBorders>
              <w:start w:val="single" w:sz="4" w:space="0" w:color="000000"/>
              <w:end w:val="single" w:sz="4" w:space="0" w:color="000000"/>
            </w:tcBorders>
          </w:tcPr>
          <w:p w14:paraId="60F56177" w14:textId="77777777" w:rsidR="00265E7F" w:rsidRDefault="00265E7F"/>
        </w:tc>
      </w:tr>
      <w:tr w:rsidR="00265E7F" w14:paraId="36FBA4DF" w14:textId="77777777">
        <w:trPr>
          <w:cantSplit/>
        </w:trPr>
        <w:tc>
          <w:tcPr>
            <w:tcW w:w="247.55pt" w:type="dxa"/>
            <w:tcBorders>
              <w:start w:val="single" w:sz="4" w:space="0" w:color="000000"/>
            </w:tcBorders>
          </w:tcPr>
          <w:p w14:paraId="2B80BFB2" w14:textId="77777777" w:rsidR="00265E7F" w:rsidRDefault="002809BD">
            <w:pPr>
              <w:pStyle w:val="TableContents"/>
              <w:ind w:start="7.45pt" w:end="0.15pt" w:hanging="9.45pt"/>
            </w:pPr>
            <w:r>
              <w:t>b) ist unter Vorbehalt der Befugnisse des Einzelrichters oder der Einzelrichterin Berufungs- und Beschwerdeinstanz in der Zivilrechtspflege;</w:t>
            </w:r>
            <w:r>
              <w:rPr>
                <w:rStyle w:val="Funotenzeichen"/>
              </w:rPr>
              <w:footnoteReference w:id="20"/>
            </w:r>
            <w:r>
              <w:rPr>
                <w:rStyle w:val="Funotenzeichen"/>
              </w:rPr>
              <w:t>)</w:t>
            </w:r>
          </w:p>
        </w:tc>
        <w:tc>
          <w:tcPr>
            <w:tcW w:w="247.55pt" w:type="dxa"/>
            <w:tcBorders>
              <w:start w:val="single" w:sz="4" w:space="0" w:color="000000"/>
            </w:tcBorders>
          </w:tcPr>
          <w:p w14:paraId="0546D893"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09EF28C4" w14:textId="77777777" w:rsidR="00265E7F" w:rsidRDefault="00265E7F"/>
        </w:tc>
      </w:tr>
      <w:tr w:rsidR="00265E7F" w14:paraId="412EE2CF" w14:textId="77777777">
        <w:trPr>
          <w:cantSplit/>
        </w:trPr>
        <w:tc>
          <w:tcPr>
            <w:tcW w:w="247.55pt" w:type="dxa"/>
            <w:tcBorders>
              <w:start w:val="single" w:sz="4" w:space="0" w:color="000000"/>
            </w:tcBorders>
          </w:tcPr>
          <w:p w14:paraId="6EF0C54B" w14:textId="77777777" w:rsidR="00265E7F" w:rsidRDefault="002809BD">
            <w:pPr>
              <w:pStyle w:val="TableContents"/>
              <w:ind w:start="7.45pt" w:end="0.15pt" w:hanging="9.45pt"/>
            </w:pPr>
            <w:r>
              <w:t>c) ist Beschwerde- und Revisionsinstanz in der Schiedsgerichtsbarkeit;</w:t>
            </w:r>
            <w:r>
              <w:rPr>
                <w:rStyle w:val="Funotenzeichen"/>
              </w:rPr>
              <w:footnoteReference w:id="21"/>
            </w:r>
            <w:r>
              <w:rPr>
                <w:rStyle w:val="Funotenzeichen"/>
              </w:rPr>
              <w:t>)</w:t>
            </w:r>
          </w:p>
        </w:tc>
        <w:tc>
          <w:tcPr>
            <w:tcW w:w="247.55pt" w:type="dxa"/>
            <w:tcBorders>
              <w:start w:val="single" w:sz="4" w:space="0" w:color="000000"/>
            </w:tcBorders>
          </w:tcPr>
          <w:p w14:paraId="25CDB6A0"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FE3CCA6" w14:textId="77777777" w:rsidR="00265E7F" w:rsidRDefault="00265E7F"/>
        </w:tc>
      </w:tr>
      <w:tr w:rsidR="00265E7F" w14:paraId="5F083343" w14:textId="77777777">
        <w:trPr>
          <w:cantSplit/>
        </w:trPr>
        <w:tc>
          <w:tcPr>
            <w:tcW w:w="247.55pt" w:type="dxa"/>
            <w:tcBorders>
              <w:start w:val="single" w:sz="4" w:space="0" w:color="000000"/>
            </w:tcBorders>
          </w:tcPr>
          <w:p w14:paraId="3EBFE542" w14:textId="77777777" w:rsidR="00265E7F" w:rsidRDefault="002809BD">
            <w:pPr>
              <w:pStyle w:val="TableContents"/>
              <w:ind w:start="7.45pt" w:end="0.15pt" w:hanging="9.45pt"/>
            </w:pPr>
            <w:r>
              <w:t>d) behandelt als Aufsichtsbehörde Beschwerden gemäss SchKG</w:t>
            </w:r>
            <w:r>
              <w:rPr>
                <w:rStyle w:val="Funotenzeichen"/>
              </w:rPr>
              <w:footnoteReference w:id="22"/>
            </w:r>
            <w:r>
              <w:rPr>
                <w:rStyle w:val="Funotenzeichen"/>
              </w:rPr>
              <w:t>)</w:t>
            </w:r>
            <w:r>
              <w:t xml:space="preserve"> und gemäss dem Bundesgesetz über die Schuldbetreibung gegen Gemeinden und andere Körperschaften des kantonalen öffentlichen Rechts</w:t>
            </w:r>
            <w:r>
              <w:rPr>
                <w:rStyle w:val="Funotenzeichen"/>
              </w:rPr>
              <w:footnoteReference w:id="23"/>
            </w:r>
            <w:r>
              <w:rPr>
                <w:rStyle w:val="Funotenzeichen"/>
              </w:rPr>
              <w:t>)</w:t>
            </w:r>
            <w:r>
              <w:t>.</w:t>
            </w:r>
          </w:p>
        </w:tc>
        <w:tc>
          <w:tcPr>
            <w:tcW w:w="247.55pt" w:type="dxa"/>
            <w:tcBorders>
              <w:start w:val="single" w:sz="4" w:space="0" w:color="000000"/>
            </w:tcBorders>
          </w:tcPr>
          <w:p w14:paraId="62CAE872"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1D444498" w14:textId="77777777" w:rsidR="00265E7F" w:rsidRDefault="00265E7F"/>
        </w:tc>
      </w:tr>
      <w:tr w:rsidR="00265E7F" w14:paraId="745F5D86" w14:textId="77777777">
        <w:trPr>
          <w:cantSplit/>
        </w:trPr>
        <w:tc>
          <w:tcPr>
            <w:tcW w:w="247.55pt" w:type="dxa"/>
            <w:tcBorders>
              <w:top w:val="single" w:sz="4" w:space="0" w:color="000000"/>
              <w:start w:val="single" w:sz="4" w:space="0" w:color="000000"/>
            </w:tcBorders>
          </w:tcPr>
          <w:p w14:paraId="58A38C72" w14:textId="77777777" w:rsidR="00265E7F" w:rsidRDefault="002809BD">
            <w:pPr>
              <w:pStyle w:val="TableContents"/>
            </w:pPr>
            <w:r>
              <w:rPr>
                <w:b/>
                <w:bCs/>
              </w:rPr>
              <w:t>Art.  25</w:t>
            </w:r>
            <w:r>
              <w:br/>
            </w:r>
            <w:r>
              <w:rPr>
                <w:sz w:val="14"/>
              </w:rPr>
              <w:t>b) Einzelrichter, Einzelrichterin</w:t>
            </w:r>
          </w:p>
        </w:tc>
        <w:tc>
          <w:tcPr>
            <w:tcW w:w="247.55pt" w:type="dxa"/>
            <w:tcBorders>
              <w:top w:val="single" w:sz="4" w:space="0" w:color="000000"/>
              <w:start w:val="single" w:sz="4" w:space="0" w:color="000000"/>
            </w:tcBorders>
          </w:tcPr>
          <w:p w14:paraId="154FDBF7"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3B65172" w14:textId="77777777" w:rsidR="00265E7F" w:rsidRDefault="00265E7F"/>
        </w:tc>
      </w:tr>
      <w:tr w:rsidR="00265E7F" w14:paraId="1FE17DEE" w14:textId="77777777">
        <w:trPr>
          <w:cantSplit/>
        </w:trPr>
        <w:tc>
          <w:tcPr>
            <w:tcW w:w="247.55pt" w:type="dxa"/>
            <w:tcBorders>
              <w:start w:val="single" w:sz="4" w:space="0" w:color="000000"/>
            </w:tcBorders>
          </w:tcPr>
          <w:p w14:paraId="0993D917" w14:textId="77777777" w:rsidR="00265E7F" w:rsidRDefault="002809BD">
            <w:pPr>
              <w:pStyle w:val="TableContents"/>
            </w:pPr>
            <w:r>
              <w:rPr>
                <w:vertAlign w:val="superscript"/>
              </w:rPr>
              <w:t>1</w:t>
            </w:r>
            <w:r>
              <w:t> Der Einzelrichter oder die Einzelrichterin des Obergerichtes:</w:t>
            </w:r>
          </w:p>
        </w:tc>
        <w:tc>
          <w:tcPr>
            <w:tcW w:w="247.55pt" w:type="dxa"/>
            <w:tcBorders>
              <w:start w:val="single" w:sz="4" w:space="0" w:color="000000"/>
            </w:tcBorders>
          </w:tcPr>
          <w:p w14:paraId="07FC0121" w14:textId="77777777" w:rsidR="00265E7F" w:rsidRDefault="00265E7F">
            <w:pPr>
              <w:pStyle w:val="TableContents"/>
            </w:pPr>
          </w:p>
        </w:tc>
        <w:tc>
          <w:tcPr>
            <w:tcW w:w="247.60pt" w:type="dxa"/>
            <w:tcBorders>
              <w:start w:val="single" w:sz="4" w:space="0" w:color="000000"/>
              <w:end w:val="single" w:sz="4" w:space="0" w:color="000000"/>
            </w:tcBorders>
          </w:tcPr>
          <w:p w14:paraId="69C4042F" w14:textId="77777777" w:rsidR="00265E7F" w:rsidRDefault="00265E7F"/>
        </w:tc>
      </w:tr>
      <w:tr w:rsidR="00265E7F" w14:paraId="1EB3A42C" w14:textId="77777777">
        <w:trPr>
          <w:cantSplit/>
        </w:trPr>
        <w:tc>
          <w:tcPr>
            <w:tcW w:w="247.55pt" w:type="dxa"/>
            <w:tcBorders>
              <w:start w:val="single" w:sz="4" w:space="0" w:color="000000"/>
            </w:tcBorders>
          </w:tcPr>
          <w:p w14:paraId="28A8DACB" w14:textId="77777777" w:rsidR="00265E7F" w:rsidRDefault="002809BD">
            <w:pPr>
              <w:pStyle w:val="TableContents"/>
              <w:ind w:start="7.45pt" w:end="0.15pt" w:hanging="9.45pt"/>
            </w:pPr>
            <w:r>
              <w:t>a) ist Berufungs- und Beschwerdeinstanz gegenüber dem Einzelrichter oder der Einzelrichterin des Kantonsgerichtes;</w:t>
            </w:r>
          </w:p>
        </w:tc>
        <w:tc>
          <w:tcPr>
            <w:tcW w:w="247.55pt" w:type="dxa"/>
            <w:tcBorders>
              <w:start w:val="single" w:sz="4" w:space="0" w:color="000000"/>
            </w:tcBorders>
          </w:tcPr>
          <w:p w14:paraId="70DE7496" w14:textId="77777777" w:rsidR="00265E7F" w:rsidRDefault="002809BD">
            <w:pPr>
              <w:pStyle w:val="TableContents"/>
              <w:ind w:start="7.45pt" w:end="0.15pt" w:hanging="9.45pt"/>
            </w:pPr>
            <w:r>
              <w:t>a) ist Berufungs- und Beschwerdeinstanz gegenüber dem Einzelrichter oder der Einzelrichterin des Kantonsgerichtes sowie den Schlichtungsbehörden;</w:t>
            </w:r>
          </w:p>
        </w:tc>
        <w:tc>
          <w:tcPr>
            <w:tcW w:w="247.60pt" w:type="dxa"/>
            <w:tcBorders>
              <w:start w:val="single" w:sz="4" w:space="0" w:color="000000"/>
              <w:end w:val="single" w:sz="4" w:space="0" w:color="000000"/>
            </w:tcBorders>
          </w:tcPr>
          <w:p w14:paraId="212B8C57" w14:textId="77777777" w:rsidR="00265E7F" w:rsidRDefault="00265E7F"/>
        </w:tc>
      </w:tr>
      <w:tr w:rsidR="00265E7F" w14:paraId="6DAB1E52" w14:textId="77777777">
        <w:trPr>
          <w:cantSplit/>
        </w:trPr>
        <w:tc>
          <w:tcPr>
            <w:tcW w:w="247.55pt" w:type="dxa"/>
            <w:tcBorders>
              <w:start w:val="single" w:sz="4" w:space="0" w:color="000000"/>
            </w:tcBorders>
          </w:tcPr>
          <w:p w14:paraId="6CADF928" w14:textId="77777777" w:rsidR="00265E7F" w:rsidRDefault="002809BD">
            <w:pPr>
              <w:pStyle w:val="TableContents"/>
              <w:ind w:start="7.45pt" w:end="0.15pt" w:hanging="9.45pt"/>
            </w:pPr>
            <w:r>
              <w:lastRenderedPageBreak/>
              <w:t>b) erlässt vorsorgliche Massnahmen und entscheidet über den Rechtsschutz in klaren Fällen</w:t>
            </w:r>
            <w:r>
              <w:rPr>
                <w:rStyle w:val="Funotenzeichen"/>
              </w:rPr>
              <w:footnoteReference w:id="24"/>
            </w:r>
            <w:r>
              <w:rPr>
                <w:rStyle w:val="Funotenzeichen"/>
              </w:rPr>
              <w:t>)</w:t>
            </w:r>
            <w:r>
              <w:t xml:space="preserve"> in den Streitsachen, für die das Bundesrecht eine einzige kantonale Instanz vorschreibt;</w:t>
            </w:r>
          </w:p>
        </w:tc>
        <w:tc>
          <w:tcPr>
            <w:tcW w:w="247.55pt" w:type="dxa"/>
            <w:tcBorders>
              <w:start w:val="single" w:sz="4" w:space="0" w:color="000000"/>
            </w:tcBorders>
          </w:tcPr>
          <w:p w14:paraId="693C772E"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FB4FF18" w14:textId="77777777" w:rsidR="00265E7F" w:rsidRDefault="00265E7F"/>
        </w:tc>
      </w:tr>
      <w:tr w:rsidR="00265E7F" w14:paraId="55D64982" w14:textId="77777777">
        <w:trPr>
          <w:cantSplit/>
        </w:trPr>
        <w:tc>
          <w:tcPr>
            <w:tcW w:w="247.55pt" w:type="dxa"/>
            <w:tcBorders>
              <w:start w:val="single" w:sz="4" w:space="0" w:color="000000"/>
            </w:tcBorders>
          </w:tcPr>
          <w:p w14:paraId="58B7317D" w14:textId="77777777" w:rsidR="00265E7F" w:rsidRDefault="002809BD">
            <w:pPr>
              <w:pStyle w:val="TableContents"/>
              <w:ind w:start="7.45pt" w:end="0.15pt" w:hanging="9.45pt"/>
            </w:pPr>
            <w:r>
              <w:t>c) ist zuständig für die Entgegennahme des Schiedsspruchs zur Hinterlegung und die Bescheinigung der Vollstreckbarkeit.</w:t>
            </w:r>
            <w:r>
              <w:rPr>
                <w:rStyle w:val="Funotenzeichen"/>
              </w:rPr>
              <w:footnoteReference w:id="25"/>
            </w:r>
            <w:r>
              <w:rPr>
                <w:rStyle w:val="Funotenzeichen"/>
              </w:rPr>
              <w:t>)</w:t>
            </w:r>
          </w:p>
        </w:tc>
        <w:tc>
          <w:tcPr>
            <w:tcW w:w="247.55pt" w:type="dxa"/>
            <w:tcBorders>
              <w:start w:val="single" w:sz="4" w:space="0" w:color="000000"/>
            </w:tcBorders>
          </w:tcPr>
          <w:p w14:paraId="06F27270" w14:textId="77777777" w:rsidR="00265E7F" w:rsidRDefault="002809BD">
            <w:pPr>
              <w:pStyle w:val="TableContents"/>
              <w:ind w:start="7.45pt" w:end="0.15pt" w:hanging="9.45pt"/>
            </w:pPr>
            <w:r>
              <w:t>c) ist zuständig für die Entgegennahme des Schiedsspruchs zur Hinterlegung und die Bescheinigung der Vollstreckbarkeit;</w:t>
            </w:r>
            <w:r>
              <w:rPr>
                <w:rStyle w:val="Funotenzeichen"/>
              </w:rPr>
              <w:footnoteReference w:id="26"/>
            </w:r>
            <w:r>
              <w:rPr>
                <w:rStyle w:val="Funotenzeichen"/>
              </w:rPr>
              <w:t>)</w:t>
            </w:r>
          </w:p>
        </w:tc>
        <w:tc>
          <w:tcPr>
            <w:tcW w:w="247.60pt" w:type="dxa"/>
            <w:tcBorders>
              <w:start w:val="single" w:sz="4" w:space="0" w:color="000000"/>
              <w:end w:val="single" w:sz="4" w:space="0" w:color="000000"/>
            </w:tcBorders>
          </w:tcPr>
          <w:p w14:paraId="1E1CE6FD" w14:textId="77777777" w:rsidR="00265E7F" w:rsidRDefault="00265E7F"/>
        </w:tc>
      </w:tr>
      <w:tr w:rsidR="00265E7F" w14:paraId="2E14C1DC" w14:textId="77777777">
        <w:trPr>
          <w:cantSplit/>
        </w:trPr>
        <w:tc>
          <w:tcPr>
            <w:tcW w:w="247.55pt" w:type="dxa"/>
            <w:tcBorders>
              <w:start w:val="single" w:sz="4" w:space="0" w:color="000000"/>
            </w:tcBorders>
          </w:tcPr>
          <w:p w14:paraId="18CED2A7" w14:textId="77777777" w:rsidR="00265E7F" w:rsidRDefault="00265E7F">
            <w:pPr>
              <w:pStyle w:val="TableContents"/>
              <w:ind w:start="7.45pt" w:end="0.15pt" w:hanging="9.45pt"/>
            </w:pPr>
          </w:p>
        </w:tc>
        <w:tc>
          <w:tcPr>
            <w:tcW w:w="247.55pt" w:type="dxa"/>
            <w:tcBorders>
              <w:start w:val="single" w:sz="4" w:space="0" w:color="000000"/>
            </w:tcBorders>
          </w:tcPr>
          <w:p w14:paraId="5173FCA6" w14:textId="77777777" w:rsidR="00265E7F" w:rsidRDefault="002809BD">
            <w:pPr>
              <w:pStyle w:val="TableContents"/>
              <w:ind w:start="7.45pt" w:end="0.15pt" w:hanging="9.45pt"/>
            </w:pPr>
            <w:r>
              <w:t>d) entscheidet über vermögensrechtliche Streitigkeiten bis zu einem Streitwert von Fr. 30'000.-- in zivilrechtlichen Angelegenheiten, für die eine einzige kantonale Instanz zuständig ist;</w:t>
            </w:r>
          </w:p>
        </w:tc>
        <w:tc>
          <w:tcPr>
            <w:tcW w:w="247.60pt" w:type="dxa"/>
            <w:tcBorders>
              <w:start w:val="single" w:sz="4" w:space="0" w:color="000000"/>
              <w:end w:val="single" w:sz="4" w:space="0" w:color="000000"/>
            </w:tcBorders>
          </w:tcPr>
          <w:p w14:paraId="69B05E0B" w14:textId="77777777" w:rsidR="00265E7F" w:rsidRDefault="00265E7F"/>
        </w:tc>
      </w:tr>
      <w:tr w:rsidR="00265E7F" w14:paraId="72A65048" w14:textId="77777777">
        <w:trPr>
          <w:cantSplit/>
        </w:trPr>
        <w:tc>
          <w:tcPr>
            <w:tcW w:w="247.55pt" w:type="dxa"/>
            <w:tcBorders>
              <w:start w:val="single" w:sz="4" w:space="0" w:color="000000"/>
            </w:tcBorders>
          </w:tcPr>
          <w:p w14:paraId="6D5DE40B" w14:textId="77777777" w:rsidR="00265E7F" w:rsidRDefault="00265E7F">
            <w:pPr>
              <w:pStyle w:val="TableContents"/>
              <w:ind w:start="7.45pt" w:end="0.15pt" w:hanging="9.45pt"/>
            </w:pPr>
          </w:p>
        </w:tc>
        <w:tc>
          <w:tcPr>
            <w:tcW w:w="247.55pt" w:type="dxa"/>
            <w:tcBorders>
              <w:start w:val="single" w:sz="4" w:space="0" w:color="000000"/>
            </w:tcBorders>
          </w:tcPr>
          <w:p w14:paraId="46027301" w14:textId="77777777" w:rsidR="00265E7F" w:rsidRDefault="002809BD">
            <w:pPr>
              <w:pStyle w:val="TableContents"/>
              <w:ind w:start="7.45pt" w:end="0.15pt" w:hanging="9.45pt"/>
            </w:pPr>
            <w:r>
              <w:t>e) entscheidet als Gericht nach dem Bundesgesetz über internationale Kindesentführung und die Haager Übereinkommen zum Schutz von Kindern und Erwachsenen</w:t>
            </w:r>
            <w:r>
              <w:rPr>
                <w:rStyle w:val="Funotenzeichen"/>
              </w:rPr>
              <w:footnoteReference w:id="27"/>
            </w:r>
            <w:r>
              <w:rPr>
                <w:rStyle w:val="Funotenzeichen"/>
              </w:rPr>
              <w:t>)</w:t>
            </w:r>
            <w:r>
              <w:t>.</w:t>
            </w:r>
          </w:p>
        </w:tc>
        <w:tc>
          <w:tcPr>
            <w:tcW w:w="247.60pt" w:type="dxa"/>
            <w:tcBorders>
              <w:start w:val="single" w:sz="4" w:space="0" w:color="000000"/>
              <w:end w:val="single" w:sz="4" w:space="0" w:color="000000"/>
            </w:tcBorders>
          </w:tcPr>
          <w:p w14:paraId="6702D4B0" w14:textId="77777777" w:rsidR="00265E7F" w:rsidRDefault="00265E7F"/>
        </w:tc>
      </w:tr>
      <w:tr w:rsidR="00265E7F" w14:paraId="34C0E524" w14:textId="77777777">
        <w:trPr>
          <w:cantSplit/>
        </w:trPr>
        <w:tc>
          <w:tcPr>
            <w:tcW w:w="247.55pt" w:type="dxa"/>
            <w:tcBorders>
              <w:top w:val="single" w:sz="4" w:space="0" w:color="000000"/>
              <w:start w:val="single" w:sz="4" w:space="0" w:color="000000"/>
            </w:tcBorders>
          </w:tcPr>
          <w:p w14:paraId="7162CD05" w14:textId="77777777" w:rsidR="00265E7F" w:rsidRDefault="002809BD">
            <w:pPr>
              <w:pStyle w:val="TableContents"/>
            </w:pPr>
            <w:r>
              <w:rPr>
                <w:b/>
                <w:bCs/>
              </w:rPr>
              <w:t>Art.  26</w:t>
            </w:r>
            <w:r>
              <w:br/>
            </w:r>
            <w:r>
              <w:rPr>
                <w:sz w:val="14"/>
              </w:rPr>
              <w:t>Strafrechtspflege</w:t>
            </w:r>
            <w:r>
              <w:rPr>
                <w:sz w:val="14"/>
              </w:rPr>
              <w:br/>
              <w:t>a) Rechtsmittelinstanz</w:t>
            </w:r>
          </w:p>
        </w:tc>
        <w:tc>
          <w:tcPr>
            <w:tcW w:w="247.55pt" w:type="dxa"/>
            <w:tcBorders>
              <w:top w:val="single" w:sz="4" w:space="0" w:color="000000"/>
              <w:start w:val="single" w:sz="4" w:space="0" w:color="000000"/>
            </w:tcBorders>
          </w:tcPr>
          <w:p w14:paraId="76602430" w14:textId="77777777" w:rsidR="00265E7F" w:rsidRDefault="002809BD">
            <w:pPr>
              <w:pStyle w:val="TableContents"/>
            </w:pPr>
            <w:r>
              <w:rPr>
                <w:b/>
                <w:bCs/>
              </w:rPr>
              <w:t>Art.  26</w:t>
            </w:r>
            <w:r>
              <w:br/>
            </w:r>
            <w:r>
              <w:rPr>
                <w:sz w:val="14"/>
              </w:rPr>
              <w:t>Strafrechtspflege</w:t>
            </w:r>
            <w:r>
              <w:rPr>
                <w:sz w:val="14"/>
              </w:rPr>
              <w:br/>
              <w:t>a) Berufungsinstanz</w:t>
            </w:r>
          </w:p>
        </w:tc>
        <w:tc>
          <w:tcPr>
            <w:tcW w:w="247.60pt" w:type="dxa"/>
            <w:tcBorders>
              <w:top w:val="single" w:sz="4" w:space="0" w:color="000000"/>
              <w:start w:val="single" w:sz="4" w:space="0" w:color="000000"/>
              <w:end w:val="single" w:sz="4" w:space="0" w:color="000000"/>
            </w:tcBorders>
          </w:tcPr>
          <w:p w14:paraId="61592A84" w14:textId="77777777" w:rsidR="00265E7F" w:rsidRDefault="00265E7F"/>
        </w:tc>
      </w:tr>
      <w:tr w:rsidR="00265E7F" w14:paraId="2BA41912" w14:textId="77777777">
        <w:trPr>
          <w:cantSplit/>
        </w:trPr>
        <w:tc>
          <w:tcPr>
            <w:tcW w:w="247.55pt" w:type="dxa"/>
            <w:tcBorders>
              <w:start w:val="single" w:sz="4" w:space="0" w:color="000000"/>
            </w:tcBorders>
          </w:tcPr>
          <w:p w14:paraId="67237217" w14:textId="77777777" w:rsidR="00265E7F" w:rsidRDefault="002809BD">
            <w:pPr>
              <w:pStyle w:val="TableContents"/>
            </w:pPr>
            <w:r>
              <w:rPr>
                <w:vertAlign w:val="superscript"/>
              </w:rPr>
              <w:t>1</w:t>
            </w:r>
            <w:r>
              <w:t> Das Obergericht ist Berufungs- und Beschwerdeinstanz in der allgemeinen Strafrechtspflege und in Jugendstrafsachen</w:t>
            </w:r>
            <w:r>
              <w:rPr>
                <w:rStyle w:val="Funotenzeichen"/>
              </w:rPr>
              <w:footnoteReference w:id="28"/>
            </w:r>
            <w:r>
              <w:rPr>
                <w:rStyle w:val="Funotenzeichen"/>
              </w:rPr>
              <w:t>)</w:t>
            </w:r>
            <w:r>
              <w:t>, unter Vorbehalt der Befugnisse des Einzelrichters oder der Einzelrichterin.</w:t>
            </w:r>
          </w:p>
        </w:tc>
        <w:tc>
          <w:tcPr>
            <w:tcW w:w="247.55pt" w:type="dxa"/>
            <w:tcBorders>
              <w:start w:val="single" w:sz="4" w:space="0" w:color="000000"/>
            </w:tcBorders>
          </w:tcPr>
          <w:p w14:paraId="55DCB84B" w14:textId="77777777" w:rsidR="00265E7F" w:rsidRDefault="002809BD">
            <w:pPr>
              <w:pStyle w:val="TableContents"/>
            </w:pPr>
            <w:r>
              <w:rPr>
                <w:vertAlign w:val="superscript"/>
              </w:rPr>
              <w:t>1</w:t>
            </w:r>
            <w:r>
              <w:t> Das Obergericht ist Berufungsinstanz in der allgemeinen Strafrechtspflege und in Jugendstrafsachen.</w:t>
            </w:r>
          </w:p>
        </w:tc>
        <w:tc>
          <w:tcPr>
            <w:tcW w:w="247.60pt" w:type="dxa"/>
            <w:tcBorders>
              <w:start w:val="single" w:sz="4" w:space="0" w:color="000000"/>
              <w:end w:val="single" w:sz="4" w:space="0" w:color="000000"/>
            </w:tcBorders>
          </w:tcPr>
          <w:p w14:paraId="0F96EA38" w14:textId="77777777" w:rsidR="00265E7F" w:rsidRDefault="00265E7F"/>
        </w:tc>
      </w:tr>
      <w:tr w:rsidR="00265E7F" w14:paraId="58A87774" w14:textId="77777777">
        <w:trPr>
          <w:cantSplit/>
        </w:trPr>
        <w:tc>
          <w:tcPr>
            <w:tcW w:w="247.55pt" w:type="dxa"/>
            <w:tcBorders>
              <w:top w:val="single" w:sz="4" w:space="0" w:color="000000"/>
              <w:start w:val="single" w:sz="4" w:space="0" w:color="000000"/>
            </w:tcBorders>
          </w:tcPr>
          <w:p w14:paraId="5162A041" w14:textId="77777777" w:rsidR="00265E7F" w:rsidRDefault="002809BD">
            <w:pPr>
              <w:pStyle w:val="TableContents"/>
            </w:pPr>
            <w:r>
              <w:rPr>
                <w:b/>
                <w:bCs/>
              </w:rPr>
              <w:t>Art.  27</w:t>
            </w:r>
            <w:r>
              <w:br/>
            </w:r>
            <w:r>
              <w:rPr>
                <w:sz w:val="14"/>
              </w:rPr>
              <w:t>b) Einzelrichter, Einzelrichterin</w:t>
            </w:r>
          </w:p>
        </w:tc>
        <w:tc>
          <w:tcPr>
            <w:tcW w:w="247.55pt" w:type="dxa"/>
            <w:tcBorders>
              <w:top w:val="single" w:sz="4" w:space="0" w:color="000000"/>
              <w:start w:val="single" w:sz="4" w:space="0" w:color="000000"/>
            </w:tcBorders>
          </w:tcPr>
          <w:p w14:paraId="4FAAB9D9" w14:textId="77777777" w:rsidR="00265E7F" w:rsidRDefault="002809BD">
            <w:pPr>
              <w:pStyle w:val="TableContents"/>
            </w:pPr>
            <w:r>
              <w:rPr>
                <w:b/>
                <w:bCs/>
              </w:rPr>
              <w:t>Art.  27</w:t>
            </w:r>
            <w:r>
              <w:br/>
            </w:r>
            <w:r>
              <w:rPr>
                <w:sz w:val="14"/>
              </w:rPr>
              <w:t>b) Beschwerdeinstanz</w:t>
            </w:r>
          </w:p>
        </w:tc>
        <w:tc>
          <w:tcPr>
            <w:tcW w:w="247.60pt" w:type="dxa"/>
            <w:tcBorders>
              <w:top w:val="single" w:sz="4" w:space="0" w:color="000000"/>
              <w:start w:val="single" w:sz="4" w:space="0" w:color="000000"/>
              <w:end w:val="single" w:sz="4" w:space="0" w:color="000000"/>
            </w:tcBorders>
          </w:tcPr>
          <w:p w14:paraId="63A8AAAC" w14:textId="77777777" w:rsidR="00265E7F" w:rsidRDefault="00265E7F"/>
        </w:tc>
      </w:tr>
      <w:tr w:rsidR="00265E7F" w14:paraId="4A693784" w14:textId="77777777">
        <w:trPr>
          <w:cantSplit/>
        </w:trPr>
        <w:tc>
          <w:tcPr>
            <w:tcW w:w="247.55pt" w:type="dxa"/>
            <w:tcBorders>
              <w:start w:val="single" w:sz="4" w:space="0" w:color="000000"/>
            </w:tcBorders>
          </w:tcPr>
          <w:p w14:paraId="51FB775B" w14:textId="77777777" w:rsidR="00265E7F" w:rsidRDefault="002809BD">
            <w:pPr>
              <w:pStyle w:val="TableContents"/>
            </w:pPr>
            <w:r>
              <w:rPr>
                <w:vertAlign w:val="superscript"/>
              </w:rPr>
              <w:lastRenderedPageBreak/>
              <w:t>1</w:t>
            </w:r>
            <w:r>
              <w:t xml:space="preserve"> Der Einzelrichter oder die Einzelrichterin des Obergerichtes ist Beschwerdeinstanz gegenüber dem Einzelrichter oder der Einzelrichterin des Kantonsgerichtes als </w:t>
            </w:r>
            <w:proofErr w:type="spellStart"/>
            <w:r>
              <w:t>Zwangsmassnahmegericht</w:t>
            </w:r>
            <w:proofErr w:type="spellEnd"/>
            <w:r>
              <w:t>.</w:t>
            </w:r>
          </w:p>
        </w:tc>
        <w:tc>
          <w:tcPr>
            <w:tcW w:w="247.55pt" w:type="dxa"/>
            <w:tcBorders>
              <w:start w:val="single" w:sz="4" w:space="0" w:color="000000"/>
            </w:tcBorders>
          </w:tcPr>
          <w:p w14:paraId="371EAC36" w14:textId="77777777" w:rsidR="00265E7F" w:rsidRDefault="002809BD">
            <w:pPr>
              <w:pStyle w:val="TableContents"/>
            </w:pPr>
            <w:r>
              <w:rPr>
                <w:vertAlign w:val="superscript"/>
              </w:rPr>
              <w:t>1</w:t>
            </w:r>
            <w:r>
              <w:t> Über Beschwerden in der allgemeinen Strafrechtspflege und in Jugendstrafsachen entscheidet der Einzelrichter oder die Einzelrichterin des Obergerichts.</w:t>
            </w:r>
          </w:p>
        </w:tc>
        <w:tc>
          <w:tcPr>
            <w:tcW w:w="247.60pt" w:type="dxa"/>
            <w:tcBorders>
              <w:start w:val="single" w:sz="4" w:space="0" w:color="000000"/>
              <w:end w:val="single" w:sz="4" w:space="0" w:color="000000"/>
            </w:tcBorders>
          </w:tcPr>
          <w:p w14:paraId="2EC15867" w14:textId="77777777" w:rsidR="00265E7F" w:rsidRDefault="00265E7F"/>
        </w:tc>
      </w:tr>
      <w:tr w:rsidR="00265E7F" w14:paraId="5516C5C3" w14:textId="77777777">
        <w:trPr>
          <w:cantSplit/>
        </w:trPr>
        <w:tc>
          <w:tcPr>
            <w:tcW w:w="247.55pt" w:type="dxa"/>
            <w:tcBorders>
              <w:top w:val="single" w:sz="4" w:space="0" w:color="000000"/>
              <w:start w:val="single" w:sz="4" w:space="0" w:color="000000"/>
            </w:tcBorders>
          </w:tcPr>
          <w:p w14:paraId="4183A376" w14:textId="77777777" w:rsidR="00265E7F" w:rsidRDefault="002809BD">
            <w:pPr>
              <w:pStyle w:val="TableContents"/>
            </w:pPr>
            <w:r>
              <w:rPr>
                <w:b/>
                <w:bCs/>
              </w:rPr>
              <w:t>Art.  29</w:t>
            </w:r>
            <w:r>
              <w:br/>
            </w:r>
            <w:r>
              <w:rPr>
                <w:sz w:val="14"/>
              </w:rPr>
              <w:t>b) Einzelrichter, Einzelrichterin</w:t>
            </w:r>
          </w:p>
        </w:tc>
        <w:tc>
          <w:tcPr>
            <w:tcW w:w="247.55pt" w:type="dxa"/>
            <w:tcBorders>
              <w:top w:val="single" w:sz="4" w:space="0" w:color="000000"/>
              <w:start w:val="single" w:sz="4" w:space="0" w:color="000000"/>
            </w:tcBorders>
          </w:tcPr>
          <w:p w14:paraId="7222BDE8"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9DC5788" w14:textId="77777777" w:rsidR="00265E7F" w:rsidRDefault="00265E7F"/>
        </w:tc>
      </w:tr>
      <w:tr w:rsidR="00265E7F" w14:paraId="65537BF3" w14:textId="77777777">
        <w:trPr>
          <w:cantSplit/>
        </w:trPr>
        <w:tc>
          <w:tcPr>
            <w:tcW w:w="247.55pt" w:type="dxa"/>
            <w:tcBorders>
              <w:start w:val="single" w:sz="4" w:space="0" w:color="000000"/>
            </w:tcBorders>
          </w:tcPr>
          <w:p w14:paraId="65AD9D02" w14:textId="77777777" w:rsidR="00265E7F" w:rsidRDefault="002809BD">
            <w:pPr>
              <w:pStyle w:val="TableContents"/>
            </w:pPr>
            <w:r>
              <w:rPr>
                <w:vertAlign w:val="superscript"/>
              </w:rPr>
              <w:t>1</w:t>
            </w:r>
            <w:r>
              <w:t> Der Einzelrichter oder die Einzelrichterin des Obergerichtes entscheidet:</w:t>
            </w:r>
          </w:p>
        </w:tc>
        <w:tc>
          <w:tcPr>
            <w:tcW w:w="247.55pt" w:type="dxa"/>
            <w:tcBorders>
              <w:start w:val="single" w:sz="4" w:space="0" w:color="000000"/>
            </w:tcBorders>
          </w:tcPr>
          <w:p w14:paraId="506D4764" w14:textId="77777777" w:rsidR="00265E7F" w:rsidRDefault="00265E7F">
            <w:pPr>
              <w:pStyle w:val="TableContents"/>
            </w:pPr>
          </w:p>
        </w:tc>
        <w:tc>
          <w:tcPr>
            <w:tcW w:w="247.60pt" w:type="dxa"/>
            <w:tcBorders>
              <w:start w:val="single" w:sz="4" w:space="0" w:color="000000"/>
              <w:end w:val="single" w:sz="4" w:space="0" w:color="000000"/>
            </w:tcBorders>
          </w:tcPr>
          <w:p w14:paraId="0B58B63A" w14:textId="77777777" w:rsidR="00265E7F" w:rsidRDefault="00265E7F"/>
        </w:tc>
      </w:tr>
      <w:tr w:rsidR="00265E7F" w14:paraId="633E2E85" w14:textId="77777777">
        <w:trPr>
          <w:cantSplit/>
        </w:trPr>
        <w:tc>
          <w:tcPr>
            <w:tcW w:w="247.55pt" w:type="dxa"/>
            <w:tcBorders>
              <w:start w:val="single" w:sz="4" w:space="0" w:color="000000"/>
            </w:tcBorders>
          </w:tcPr>
          <w:p w14:paraId="4EC711E9" w14:textId="77777777" w:rsidR="00265E7F" w:rsidRDefault="002809BD">
            <w:pPr>
              <w:pStyle w:val="TableContents"/>
              <w:ind w:start="7.45pt" w:end="0.15pt" w:hanging="9.45pt"/>
            </w:pPr>
            <w:r>
              <w:t>a) über Beschwerden und Klagen in vermögensrechtlichen Streitigkeiten bis zu einem Streitwert von Fr. 15 000.--, ausgenommen in Steuersachen;</w:t>
            </w:r>
          </w:p>
        </w:tc>
        <w:tc>
          <w:tcPr>
            <w:tcW w:w="247.55pt" w:type="dxa"/>
            <w:tcBorders>
              <w:start w:val="single" w:sz="4" w:space="0" w:color="000000"/>
            </w:tcBorders>
          </w:tcPr>
          <w:p w14:paraId="4607026B" w14:textId="77777777" w:rsidR="00265E7F" w:rsidRDefault="002809BD">
            <w:pPr>
              <w:pStyle w:val="TableContents"/>
              <w:ind w:start="7.45pt" w:end="0.15pt" w:hanging="9.45pt"/>
            </w:pPr>
            <w:r>
              <w:t>a) über Beschwerden und Klagen in vermögensrechtlichen Streitigkeiten bis zu einem Streitwert von Fr. 30 000.--;</w:t>
            </w:r>
          </w:p>
        </w:tc>
        <w:tc>
          <w:tcPr>
            <w:tcW w:w="247.60pt" w:type="dxa"/>
            <w:tcBorders>
              <w:start w:val="single" w:sz="4" w:space="0" w:color="000000"/>
              <w:end w:val="single" w:sz="4" w:space="0" w:color="000000"/>
            </w:tcBorders>
          </w:tcPr>
          <w:p w14:paraId="15F4967E" w14:textId="77777777" w:rsidR="00265E7F" w:rsidRDefault="00265E7F"/>
        </w:tc>
      </w:tr>
      <w:tr w:rsidR="00265E7F" w14:paraId="14730044" w14:textId="77777777">
        <w:trPr>
          <w:cantSplit/>
        </w:trPr>
        <w:tc>
          <w:tcPr>
            <w:tcW w:w="247.55pt" w:type="dxa"/>
            <w:tcBorders>
              <w:start w:val="single" w:sz="4" w:space="0" w:color="000000"/>
            </w:tcBorders>
          </w:tcPr>
          <w:p w14:paraId="638BA0D8" w14:textId="77777777" w:rsidR="00265E7F" w:rsidRDefault="002809BD">
            <w:pPr>
              <w:pStyle w:val="TableContents"/>
              <w:ind w:start="7.45pt" w:end="0.15pt" w:hanging="9.45pt"/>
            </w:pPr>
            <w:r>
              <w:t>b) über Beschwerden gegen die Anordnung einer fürsorgerischen Unterbringung, gegen die Zurückbehaltung in einer Einrichtung und die Abweisung von Entlassungsgesuchen, gegen die Behandlung einer psychischen Störung ohne Zustimmung sowie gegen Massnahmen zur Einschränkung der Bewegungsfreiheit (Art. 439 ZGB);</w:t>
            </w:r>
          </w:p>
        </w:tc>
        <w:tc>
          <w:tcPr>
            <w:tcW w:w="247.55pt" w:type="dxa"/>
            <w:tcBorders>
              <w:start w:val="single" w:sz="4" w:space="0" w:color="000000"/>
            </w:tcBorders>
          </w:tcPr>
          <w:p w14:paraId="7EA67A52"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3AFA5A8" w14:textId="77777777" w:rsidR="00265E7F" w:rsidRDefault="00265E7F"/>
        </w:tc>
      </w:tr>
      <w:tr w:rsidR="00265E7F" w14:paraId="4DA99E15" w14:textId="77777777">
        <w:trPr>
          <w:cantSplit/>
        </w:trPr>
        <w:tc>
          <w:tcPr>
            <w:tcW w:w="247.55pt" w:type="dxa"/>
            <w:tcBorders>
              <w:start w:val="single" w:sz="4" w:space="0" w:color="000000"/>
            </w:tcBorders>
          </w:tcPr>
          <w:p w14:paraId="1ADDE934" w14:textId="77777777" w:rsidR="00265E7F" w:rsidRDefault="002809BD">
            <w:pPr>
              <w:pStyle w:val="TableContents"/>
              <w:ind w:start="7.45pt" w:end="0.15pt" w:hanging="9.45pt"/>
            </w:pPr>
            <w:r>
              <w:t>c) über Zwangsmassnahmen im Ausländerrecht;</w:t>
            </w:r>
            <w:r>
              <w:rPr>
                <w:rStyle w:val="Funotenzeichen"/>
              </w:rPr>
              <w:footnoteReference w:id="29"/>
            </w:r>
            <w:r>
              <w:rPr>
                <w:rStyle w:val="Funotenzeichen"/>
              </w:rPr>
              <w:t>)</w:t>
            </w:r>
          </w:p>
        </w:tc>
        <w:tc>
          <w:tcPr>
            <w:tcW w:w="247.55pt" w:type="dxa"/>
            <w:tcBorders>
              <w:start w:val="single" w:sz="4" w:space="0" w:color="000000"/>
            </w:tcBorders>
          </w:tcPr>
          <w:p w14:paraId="4E4821B8"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04261AA" w14:textId="77777777" w:rsidR="00265E7F" w:rsidRDefault="00265E7F"/>
        </w:tc>
      </w:tr>
      <w:tr w:rsidR="00265E7F" w14:paraId="21AB38E6" w14:textId="77777777">
        <w:trPr>
          <w:cantSplit/>
        </w:trPr>
        <w:tc>
          <w:tcPr>
            <w:tcW w:w="247.55pt" w:type="dxa"/>
            <w:tcBorders>
              <w:start w:val="single" w:sz="4" w:space="0" w:color="000000"/>
            </w:tcBorders>
          </w:tcPr>
          <w:p w14:paraId="7F2277F9" w14:textId="77777777" w:rsidR="00265E7F" w:rsidRDefault="002809BD">
            <w:pPr>
              <w:pStyle w:val="TableContents"/>
              <w:ind w:start="7.45pt" w:end="0.15pt" w:hanging="9.45pt"/>
            </w:pPr>
            <w:r>
              <w:t>d) über Beschwerden im öffentlichen Beschaffungswesen.</w:t>
            </w:r>
          </w:p>
        </w:tc>
        <w:tc>
          <w:tcPr>
            <w:tcW w:w="247.55pt" w:type="dxa"/>
            <w:tcBorders>
              <w:start w:val="single" w:sz="4" w:space="0" w:color="000000"/>
            </w:tcBorders>
          </w:tcPr>
          <w:p w14:paraId="68617E52" w14:textId="77777777" w:rsidR="00265E7F" w:rsidRDefault="002809BD">
            <w:pPr>
              <w:pStyle w:val="TableContents"/>
              <w:ind w:start="7.45pt" w:end="0.15pt" w:hanging="9.45pt"/>
            </w:pPr>
            <w:r>
              <w:t>d) über Beschwerden im öffentlichen Beschaffungswesen;</w:t>
            </w:r>
          </w:p>
        </w:tc>
        <w:tc>
          <w:tcPr>
            <w:tcW w:w="247.60pt" w:type="dxa"/>
            <w:tcBorders>
              <w:start w:val="single" w:sz="4" w:space="0" w:color="000000"/>
              <w:end w:val="single" w:sz="4" w:space="0" w:color="000000"/>
            </w:tcBorders>
          </w:tcPr>
          <w:p w14:paraId="7F37FB28" w14:textId="77777777" w:rsidR="00265E7F" w:rsidRDefault="00265E7F"/>
        </w:tc>
      </w:tr>
      <w:tr w:rsidR="00265E7F" w14:paraId="0D98A32A" w14:textId="77777777">
        <w:trPr>
          <w:cantSplit/>
        </w:trPr>
        <w:tc>
          <w:tcPr>
            <w:tcW w:w="247.55pt" w:type="dxa"/>
            <w:tcBorders>
              <w:start w:val="single" w:sz="4" w:space="0" w:color="000000"/>
            </w:tcBorders>
          </w:tcPr>
          <w:p w14:paraId="40B2A3B3" w14:textId="77777777" w:rsidR="00265E7F" w:rsidRDefault="00265E7F">
            <w:pPr>
              <w:pStyle w:val="TableContents"/>
              <w:ind w:start="7.45pt" w:end="0.15pt" w:hanging="9.45pt"/>
            </w:pPr>
          </w:p>
        </w:tc>
        <w:tc>
          <w:tcPr>
            <w:tcW w:w="247.55pt" w:type="dxa"/>
            <w:tcBorders>
              <w:start w:val="single" w:sz="4" w:space="0" w:color="000000"/>
            </w:tcBorders>
          </w:tcPr>
          <w:p w14:paraId="203EE332" w14:textId="77777777" w:rsidR="00265E7F" w:rsidRDefault="002809BD">
            <w:pPr>
              <w:pStyle w:val="TableContents"/>
              <w:ind w:start="7.45pt" w:end="0.15pt" w:hanging="9.45pt"/>
            </w:pPr>
            <w:r>
              <w:t>e) über Beschwerden gegen vorsorgliche Massnahmen und prozessleitende Verfügungen;</w:t>
            </w:r>
          </w:p>
        </w:tc>
        <w:tc>
          <w:tcPr>
            <w:tcW w:w="247.60pt" w:type="dxa"/>
            <w:tcBorders>
              <w:start w:val="single" w:sz="4" w:space="0" w:color="000000"/>
              <w:end w:val="single" w:sz="4" w:space="0" w:color="000000"/>
            </w:tcBorders>
          </w:tcPr>
          <w:p w14:paraId="279EAE7C" w14:textId="77777777" w:rsidR="00265E7F" w:rsidRDefault="00265E7F"/>
        </w:tc>
      </w:tr>
      <w:tr w:rsidR="00265E7F" w14:paraId="61B6E789" w14:textId="77777777">
        <w:trPr>
          <w:cantSplit/>
        </w:trPr>
        <w:tc>
          <w:tcPr>
            <w:tcW w:w="247.55pt" w:type="dxa"/>
            <w:tcBorders>
              <w:start w:val="single" w:sz="4" w:space="0" w:color="000000"/>
            </w:tcBorders>
          </w:tcPr>
          <w:p w14:paraId="33B84D1D" w14:textId="77777777" w:rsidR="00265E7F" w:rsidRDefault="00265E7F">
            <w:pPr>
              <w:pStyle w:val="TableContents"/>
              <w:ind w:start="7.45pt" w:end="0.15pt" w:hanging="9.45pt"/>
            </w:pPr>
          </w:p>
        </w:tc>
        <w:tc>
          <w:tcPr>
            <w:tcW w:w="247.55pt" w:type="dxa"/>
            <w:tcBorders>
              <w:start w:val="single" w:sz="4" w:space="0" w:color="000000"/>
            </w:tcBorders>
          </w:tcPr>
          <w:p w14:paraId="4073169F" w14:textId="77777777" w:rsidR="00265E7F" w:rsidRDefault="002809BD">
            <w:pPr>
              <w:pStyle w:val="TableContents"/>
              <w:ind w:start="7.45pt" w:end="0.15pt" w:hanging="9.45pt"/>
            </w:pPr>
            <w:r>
              <w:t>f) über Beschwerden betreffend den Erlass und die Stundung von Abgaben;</w:t>
            </w:r>
          </w:p>
        </w:tc>
        <w:tc>
          <w:tcPr>
            <w:tcW w:w="247.60pt" w:type="dxa"/>
            <w:tcBorders>
              <w:start w:val="single" w:sz="4" w:space="0" w:color="000000"/>
              <w:end w:val="single" w:sz="4" w:space="0" w:color="000000"/>
            </w:tcBorders>
          </w:tcPr>
          <w:p w14:paraId="1A37975F" w14:textId="77777777" w:rsidR="00265E7F" w:rsidRDefault="00265E7F"/>
        </w:tc>
      </w:tr>
      <w:tr w:rsidR="00265E7F" w14:paraId="65BC59D5" w14:textId="77777777">
        <w:trPr>
          <w:cantSplit/>
        </w:trPr>
        <w:tc>
          <w:tcPr>
            <w:tcW w:w="247.55pt" w:type="dxa"/>
            <w:tcBorders>
              <w:start w:val="single" w:sz="4" w:space="0" w:color="000000"/>
            </w:tcBorders>
          </w:tcPr>
          <w:p w14:paraId="40DD4C4F" w14:textId="77777777" w:rsidR="00265E7F" w:rsidRDefault="00265E7F">
            <w:pPr>
              <w:pStyle w:val="TableContents"/>
              <w:ind w:start="7.45pt" w:end="0.15pt" w:hanging="9.45pt"/>
            </w:pPr>
          </w:p>
        </w:tc>
        <w:tc>
          <w:tcPr>
            <w:tcW w:w="247.55pt" w:type="dxa"/>
            <w:tcBorders>
              <w:start w:val="single" w:sz="4" w:space="0" w:color="000000"/>
            </w:tcBorders>
          </w:tcPr>
          <w:p w14:paraId="04C54EDD" w14:textId="77777777" w:rsidR="00265E7F" w:rsidRDefault="002809BD">
            <w:pPr>
              <w:pStyle w:val="TableContents"/>
              <w:ind w:start="7.45pt" w:end="0.15pt" w:hanging="9.45pt"/>
            </w:pPr>
            <w:r>
              <w:t xml:space="preserve">g) </w:t>
            </w:r>
            <w:proofErr w:type="gramStart"/>
            <w:r>
              <w:t>soweit</w:t>
            </w:r>
            <w:proofErr w:type="gramEnd"/>
            <w:r>
              <w:t xml:space="preserve"> ein anderes Gesetz eine einzelrichterliche Zuständigkeit vorsieht.</w:t>
            </w:r>
          </w:p>
        </w:tc>
        <w:tc>
          <w:tcPr>
            <w:tcW w:w="247.60pt" w:type="dxa"/>
            <w:tcBorders>
              <w:start w:val="single" w:sz="4" w:space="0" w:color="000000"/>
              <w:end w:val="single" w:sz="4" w:space="0" w:color="000000"/>
            </w:tcBorders>
          </w:tcPr>
          <w:p w14:paraId="206F37CC" w14:textId="77777777" w:rsidR="00265E7F" w:rsidRDefault="00265E7F"/>
        </w:tc>
      </w:tr>
      <w:tr w:rsidR="00265E7F" w14:paraId="147CE697" w14:textId="77777777">
        <w:trPr>
          <w:cantSplit/>
        </w:trPr>
        <w:tc>
          <w:tcPr>
            <w:tcW w:w="247.55pt" w:type="dxa"/>
            <w:tcBorders>
              <w:top w:val="single" w:sz="4" w:space="0" w:color="000000"/>
              <w:start w:val="single" w:sz="4" w:space="0" w:color="000000"/>
            </w:tcBorders>
          </w:tcPr>
          <w:p w14:paraId="05CF4096" w14:textId="77777777" w:rsidR="00265E7F" w:rsidRDefault="002809BD">
            <w:pPr>
              <w:pStyle w:val="TableContents"/>
            </w:pPr>
            <w:r>
              <w:rPr>
                <w:b/>
                <w:bCs/>
              </w:rPr>
              <w:lastRenderedPageBreak/>
              <w:t>Art.  32</w:t>
            </w:r>
            <w:r>
              <w:br/>
            </w:r>
            <w:r>
              <w:rPr>
                <w:sz w:val="14"/>
              </w:rPr>
              <w:t>Abschreibung, Nichteintreten</w:t>
            </w:r>
          </w:p>
        </w:tc>
        <w:tc>
          <w:tcPr>
            <w:tcW w:w="247.55pt" w:type="dxa"/>
            <w:tcBorders>
              <w:top w:val="single" w:sz="4" w:space="0" w:color="000000"/>
              <w:start w:val="single" w:sz="4" w:space="0" w:color="000000"/>
            </w:tcBorders>
          </w:tcPr>
          <w:p w14:paraId="7AED65CC"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006742DE" w14:textId="77777777" w:rsidR="00265E7F" w:rsidRDefault="00265E7F"/>
        </w:tc>
      </w:tr>
      <w:tr w:rsidR="00265E7F" w14:paraId="103D1C89" w14:textId="77777777">
        <w:trPr>
          <w:cantSplit/>
        </w:trPr>
        <w:tc>
          <w:tcPr>
            <w:tcW w:w="247.55pt" w:type="dxa"/>
            <w:tcBorders>
              <w:start w:val="single" w:sz="4" w:space="0" w:color="000000"/>
            </w:tcBorders>
          </w:tcPr>
          <w:p w14:paraId="16A6DB38" w14:textId="77777777" w:rsidR="00265E7F" w:rsidRDefault="002809BD">
            <w:pPr>
              <w:pStyle w:val="TableContents"/>
            </w:pPr>
            <w:r>
              <w:rPr>
                <w:vertAlign w:val="superscript"/>
              </w:rPr>
              <w:t>1</w:t>
            </w:r>
            <w:r>
              <w:t> Der Einzelrichter oder die Einzelrichterin des Kantons- und Obergerichtes entscheidet:</w:t>
            </w:r>
          </w:p>
        </w:tc>
        <w:tc>
          <w:tcPr>
            <w:tcW w:w="247.55pt" w:type="dxa"/>
            <w:tcBorders>
              <w:start w:val="single" w:sz="4" w:space="0" w:color="000000"/>
            </w:tcBorders>
          </w:tcPr>
          <w:p w14:paraId="1A34A335" w14:textId="77777777" w:rsidR="00265E7F" w:rsidRDefault="002809BD">
            <w:pPr>
              <w:pStyle w:val="TableContents"/>
            </w:pPr>
            <w:r>
              <w:rPr>
                <w:vertAlign w:val="superscript"/>
              </w:rPr>
              <w:t>1</w:t>
            </w:r>
            <w:r>
              <w:t> Die Verfahrensleitung entscheidet:</w:t>
            </w:r>
          </w:p>
        </w:tc>
        <w:tc>
          <w:tcPr>
            <w:tcW w:w="247.60pt" w:type="dxa"/>
            <w:tcBorders>
              <w:start w:val="single" w:sz="4" w:space="0" w:color="000000"/>
              <w:end w:val="single" w:sz="4" w:space="0" w:color="000000"/>
            </w:tcBorders>
          </w:tcPr>
          <w:p w14:paraId="7065E633" w14:textId="77777777" w:rsidR="00265E7F" w:rsidRDefault="00265E7F"/>
        </w:tc>
      </w:tr>
      <w:tr w:rsidR="00265E7F" w14:paraId="73C5CF59" w14:textId="77777777">
        <w:trPr>
          <w:cantSplit/>
        </w:trPr>
        <w:tc>
          <w:tcPr>
            <w:tcW w:w="247.55pt" w:type="dxa"/>
            <w:tcBorders>
              <w:start w:val="single" w:sz="4" w:space="0" w:color="000000"/>
            </w:tcBorders>
          </w:tcPr>
          <w:p w14:paraId="137C6FF1" w14:textId="77777777" w:rsidR="00265E7F" w:rsidRDefault="002809BD">
            <w:pPr>
              <w:pStyle w:val="TableContents"/>
              <w:ind w:start="7.45pt" w:end="0.15pt" w:hanging="9.45pt"/>
            </w:pPr>
            <w:r>
              <w:t>a) über die Abschreibung des Verfahrens;</w:t>
            </w:r>
          </w:p>
        </w:tc>
        <w:tc>
          <w:tcPr>
            <w:tcW w:w="247.55pt" w:type="dxa"/>
            <w:tcBorders>
              <w:start w:val="single" w:sz="4" w:space="0" w:color="000000"/>
            </w:tcBorders>
          </w:tcPr>
          <w:p w14:paraId="27DF1E8F"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35A41BA8" w14:textId="77777777" w:rsidR="00265E7F" w:rsidRDefault="00265E7F"/>
        </w:tc>
      </w:tr>
      <w:tr w:rsidR="00265E7F" w14:paraId="7EE1DB8A" w14:textId="77777777">
        <w:trPr>
          <w:cantSplit/>
        </w:trPr>
        <w:tc>
          <w:tcPr>
            <w:tcW w:w="247.55pt" w:type="dxa"/>
            <w:tcBorders>
              <w:start w:val="single" w:sz="4" w:space="0" w:color="000000"/>
            </w:tcBorders>
          </w:tcPr>
          <w:p w14:paraId="06B088F0" w14:textId="77777777" w:rsidR="00265E7F" w:rsidRDefault="002809BD">
            <w:pPr>
              <w:pStyle w:val="TableContents"/>
              <w:ind w:start="7.45pt" w:end="0.15pt" w:hanging="9.45pt"/>
            </w:pPr>
            <w:proofErr w:type="gramStart"/>
            <w:r>
              <w:t>b)</w:t>
            </w:r>
            <w:proofErr w:type="gramEnd"/>
            <w:r>
              <w:t xml:space="preserve"> wenn die Voraussetzungen für das Eintreten offensichtlich nicht erfüllt sind.</w:t>
            </w:r>
          </w:p>
        </w:tc>
        <w:tc>
          <w:tcPr>
            <w:tcW w:w="247.55pt" w:type="dxa"/>
            <w:tcBorders>
              <w:start w:val="single" w:sz="4" w:space="0" w:color="000000"/>
            </w:tcBorders>
          </w:tcPr>
          <w:p w14:paraId="3D821F8D"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4013F30" w14:textId="77777777" w:rsidR="00265E7F" w:rsidRDefault="00265E7F"/>
        </w:tc>
      </w:tr>
      <w:tr w:rsidR="00265E7F" w14:paraId="38F4156A" w14:textId="77777777">
        <w:trPr>
          <w:cantSplit/>
        </w:trPr>
        <w:tc>
          <w:tcPr>
            <w:tcW w:w="247.55pt" w:type="dxa"/>
            <w:tcBorders>
              <w:start w:val="single" w:sz="4" w:space="0" w:color="000000"/>
            </w:tcBorders>
          </w:tcPr>
          <w:p w14:paraId="39B04BCC" w14:textId="77777777" w:rsidR="00265E7F" w:rsidRDefault="002809BD">
            <w:pPr>
              <w:pStyle w:val="TableContents"/>
            </w:pPr>
            <w:r>
              <w:rPr>
                <w:vertAlign w:val="superscript"/>
              </w:rPr>
              <w:t>2</w:t>
            </w:r>
            <w:r>
              <w:t> Er oder sie beurteilt in diesen Fällen auch die Kosten- und Entschädigungsfolgen.</w:t>
            </w:r>
          </w:p>
        </w:tc>
        <w:tc>
          <w:tcPr>
            <w:tcW w:w="247.55pt" w:type="dxa"/>
            <w:tcBorders>
              <w:start w:val="single" w:sz="4" w:space="0" w:color="000000"/>
            </w:tcBorders>
          </w:tcPr>
          <w:p w14:paraId="3B58A4F4" w14:textId="77777777" w:rsidR="00265E7F" w:rsidRDefault="002809BD">
            <w:pPr>
              <w:pStyle w:val="TableContents"/>
            </w:pPr>
            <w:r>
              <w:rPr>
                <w:vertAlign w:val="superscript"/>
              </w:rPr>
              <w:t>2</w:t>
            </w:r>
            <w:r>
              <w:t> Sie beurteilt in diesen Fällen auch die Kosten- und Entschädigungsfolgen.</w:t>
            </w:r>
          </w:p>
        </w:tc>
        <w:tc>
          <w:tcPr>
            <w:tcW w:w="247.60pt" w:type="dxa"/>
            <w:tcBorders>
              <w:start w:val="single" w:sz="4" w:space="0" w:color="000000"/>
              <w:end w:val="single" w:sz="4" w:space="0" w:color="000000"/>
            </w:tcBorders>
          </w:tcPr>
          <w:p w14:paraId="52BD084B" w14:textId="77777777" w:rsidR="00265E7F" w:rsidRDefault="00265E7F"/>
        </w:tc>
      </w:tr>
      <w:tr w:rsidR="00265E7F" w14:paraId="00241DA0" w14:textId="77777777">
        <w:trPr>
          <w:cantSplit/>
        </w:trPr>
        <w:tc>
          <w:tcPr>
            <w:tcW w:w="247.55pt" w:type="dxa"/>
            <w:tcBorders>
              <w:top w:val="single" w:sz="4" w:space="0" w:color="000000"/>
              <w:start w:val="single" w:sz="4" w:space="0" w:color="000000"/>
            </w:tcBorders>
          </w:tcPr>
          <w:p w14:paraId="06E65A21" w14:textId="77777777" w:rsidR="00265E7F" w:rsidRDefault="002809BD">
            <w:pPr>
              <w:pStyle w:val="TableContents"/>
            </w:pPr>
            <w:r>
              <w:rPr>
                <w:b/>
                <w:bCs/>
              </w:rPr>
              <w:t>Art.  33</w:t>
            </w:r>
            <w:r>
              <w:br/>
            </w:r>
            <w:r>
              <w:rPr>
                <w:sz w:val="14"/>
              </w:rPr>
              <w:t>Aufgaben der Gerichtsschreiber und Gerichtsschreiberinnen</w:t>
            </w:r>
          </w:p>
        </w:tc>
        <w:tc>
          <w:tcPr>
            <w:tcW w:w="247.55pt" w:type="dxa"/>
            <w:tcBorders>
              <w:top w:val="single" w:sz="4" w:space="0" w:color="000000"/>
              <w:start w:val="single" w:sz="4" w:space="0" w:color="000000"/>
            </w:tcBorders>
          </w:tcPr>
          <w:p w14:paraId="4E1C5690"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031C375" w14:textId="77777777" w:rsidR="00265E7F" w:rsidRDefault="00265E7F"/>
        </w:tc>
      </w:tr>
      <w:tr w:rsidR="00265E7F" w14:paraId="55A99E3D" w14:textId="77777777">
        <w:trPr>
          <w:cantSplit/>
        </w:trPr>
        <w:tc>
          <w:tcPr>
            <w:tcW w:w="247.55pt" w:type="dxa"/>
            <w:tcBorders>
              <w:start w:val="single" w:sz="4" w:space="0" w:color="000000"/>
            </w:tcBorders>
          </w:tcPr>
          <w:p w14:paraId="0491267F" w14:textId="77777777" w:rsidR="00265E7F" w:rsidRDefault="002809BD">
            <w:pPr>
              <w:pStyle w:val="TableContents"/>
            </w:pPr>
            <w:r>
              <w:rPr>
                <w:vertAlign w:val="superscript"/>
              </w:rPr>
              <w:t>1</w:t>
            </w:r>
            <w:r>
              <w:t> Gerichtsschreiber und Gerichtsschreiberinnen sind Aktuare und Aktuarinnen der Gerichtsabteilungen und Kommissionen.</w:t>
            </w:r>
          </w:p>
        </w:tc>
        <w:tc>
          <w:tcPr>
            <w:tcW w:w="247.55pt" w:type="dxa"/>
            <w:tcBorders>
              <w:start w:val="single" w:sz="4" w:space="0" w:color="000000"/>
            </w:tcBorders>
          </w:tcPr>
          <w:p w14:paraId="4F7E7F6C" w14:textId="77777777" w:rsidR="00265E7F" w:rsidRDefault="002809BD">
            <w:pPr>
              <w:pStyle w:val="TableContents"/>
            </w:pPr>
            <w:r>
              <w:rPr>
                <w:vertAlign w:val="superscript"/>
              </w:rPr>
              <w:t>1</w:t>
            </w:r>
            <w:r>
              <w:t> Gerichtsschreiber und Gerichtsschreiberinnen sind Aktuare und Aktuarinnen der Gerichtsabteilungen und Kommissionen. Sie können zur Unterstützung der Einzelrichter und Einzelrichterinnen beigezogen werden.</w:t>
            </w:r>
          </w:p>
        </w:tc>
        <w:tc>
          <w:tcPr>
            <w:tcW w:w="247.60pt" w:type="dxa"/>
            <w:tcBorders>
              <w:start w:val="single" w:sz="4" w:space="0" w:color="000000"/>
              <w:end w:val="single" w:sz="4" w:space="0" w:color="000000"/>
            </w:tcBorders>
          </w:tcPr>
          <w:p w14:paraId="42EB3DAB" w14:textId="77777777" w:rsidR="00265E7F" w:rsidRDefault="00265E7F"/>
        </w:tc>
      </w:tr>
      <w:tr w:rsidR="00265E7F" w14:paraId="188E534A" w14:textId="77777777">
        <w:trPr>
          <w:cantSplit/>
        </w:trPr>
        <w:tc>
          <w:tcPr>
            <w:tcW w:w="247.55pt" w:type="dxa"/>
            <w:tcBorders>
              <w:start w:val="single" w:sz="4" w:space="0" w:color="000000"/>
            </w:tcBorders>
          </w:tcPr>
          <w:p w14:paraId="6728712F" w14:textId="77777777" w:rsidR="00265E7F" w:rsidRDefault="002809BD">
            <w:pPr>
              <w:pStyle w:val="TableContents"/>
            </w:pPr>
            <w:r>
              <w:rPr>
                <w:vertAlign w:val="superscript"/>
              </w:rPr>
              <w:t>2</w:t>
            </w:r>
            <w:r>
              <w:t> Sie führen an Abteilungssitzungen, Augenscheinen und Beweisabnahmen das Protokoll, bereiten die Gerichtsentscheide vor und nehmen mit beratender Stimme und Antragsrecht an den Urteilsberatungen teil.</w:t>
            </w:r>
          </w:p>
        </w:tc>
        <w:tc>
          <w:tcPr>
            <w:tcW w:w="247.55pt" w:type="dxa"/>
            <w:tcBorders>
              <w:start w:val="single" w:sz="4" w:space="0" w:color="000000"/>
            </w:tcBorders>
          </w:tcPr>
          <w:p w14:paraId="158B0EEA" w14:textId="77777777" w:rsidR="00265E7F" w:rsidRDefault="002809BD">
            <w:pPr>
              <w:pStyle w:val="TableContents"/>
            </w:pPr>
            <w:r>
              <w:rPr>
                <w:vertAlign w:val="superscript"/>
              </w:rPr>
              <w:t>2</w:t>
            </w:r>
            <w:r>
              <w:t xml:space="preserve"> Sie führen an Sitzungen, Augenscheinen und Beweisabnahmen das Protokoll, bereiten die Entscheide vor und nehmen mit beratender Stimme und Antragsrecht an den </w:t>
            </w:r>
            <w:proofErr w:type="spellStart"/>
            <w:r>
              <w:t>Entscheidberatungen</w:t>
            </w:r>
            <w:proofErr w:type="spellEnd"/>
            <w:r>
              <w:t xml:space="preserve"> teil.</w:t>
            </w:r>
          </w:p>
        </w:tc>
        <w:tc>
          <w:tcPr>
            <w:tcW w:w="247.60pt" w:type="dxa"/>
            <w:tcBorders>
              <w:start w:val="single" w:sz="4" w:space="0" w:color="000000"/>
              <w:end w:val="single" w:sz="4" w:space="0" w:color="000000"/>
            </w:tcBorders>
          </w:tcPr>
          <w:p w14:paraId="12C7DDA2" w14:textId="77777777" w:rsidR="00265E7F" w:rsidRDefault="00265E7F"/>
        </w:tc>
      </w:tr>
      <w:tr w:rsidR="00265E7F" w14:paraId="61E343DF" w14:textId="77777777">
        <w:trPr>
          <w:cantSplit/>
        </w:trPr>
        <w:tc>
          <w:tcPr>
            <w:tcW w:w="247.55pt" w:type="dxa"/>
            <w:tcBorders>
              <w:start w:val="single" w:sz="4" w:space="0" w:color="000000"/>
            </w:tcBorders>
          </w:tcPr>
          <w:p w14:paraId="271E03A5" w14:textId="77777777" w:rsidR="00265E7F" w:rsidRDefault="002809BD">
            <w:pPr>
              <w:pStyle w:val="TableContents"/>
            </w:pPr>
            <w:r>
              <w:rPr>
                <w:vertAlign w:val="superscript"/>
              </w:rPr>
              <w:t>3</w:t>
            </w:r>
            <w:r>
              <w:t> Sie unterzeichnen die von ihnen verfassten Entscheide zusammen mit dem oder der Abteilungsvorsitzenden.</w:t>
            </w:r>
          </w:p>
        </w:tc>
        <w:tc>
          <w:tcPr>
            <w:tcW w:w="247.55pt" w:type="dxa"/>
            <w:tcBorders>
              <w:start w:val="single" w:sz="4" w:space="0" w:color="000000"/>
            </w:tcBorders>
          </w:tcPr>
          <w:p w14:paraId="457E888A" w14:textId="77777777" w:rsidR="00265E7F" w:rsidRDefault="002809BD">
            <w:pPr>
              <w:pStyle w:val="TableContents"/>
            </w:pPr>
            <w:r>
              <w:rPr>
                <w:vertAlign w:val="superscript"/>
              </w:rPr>
              <w:t>3</w:t>
            </w:r>
            <w:r>
              <w:t> Sie können im Auftrag der Verfahrensleitung verfahrensleitende Verfügungen erlassen.</w:t>
            </w:r>
          </w:p>
        </w:tc>
        <w:tc>
          <w:tcPr>
            <w:tcW w:w="247.60pt" w:type="dxa"/>
            <w:tcBorders>
              <w:start w:val="single" w:sz="4" w:space="0" w:color="000000"/>
              <w:end w:val="single" w:sz="4" w:space="0" w:color="000000"/>
            </w:tcBorders>
          </w:tcPr>
          <w:p w14:paraId="2248E76F" w14:textId="77777777" w:rsidR="00265E7F" w:rsidRDefault="00265E7F"/>
        </w:tc>
      </w:tr>
      <w:tr w:rsidR="00265E7F" w14:paraId="41D12F44" w14:textId="77777777">
        <w:trPr>
          <w:cantSplit/>
        </w:trPr>
        <w:tc>
          <w:tcPr>
            <w:tcW w:w="247.55pt" w:type="dxa"/>
            <w:tcBorders>
              <w:start w:val="single" w:sz="4" w:space="0" w:color="000000"/>
            </w:tcBorders>
          </w:tcPr>
          <w:p w14:paraId="66AFA4D7" w14:textId="77777777" w:rsidR="00265E7F" w:rsidRDefault="002809BD">
            <w:pPr>
              <w:pStyle w:val="TableContents"/>
            </w:pPr>
            <w:r>
              <w:rPr>
                <w:vertAlign w:val="superscript"/>
              </w:rPr>
              <w:t>4</w:t>
            </w:r>
            <w:r>
              <w:t> Sie können zur Unterstützung der Einzelrichter und Einzelrichterinnen beigezogen werden.</w:t>
            </w:r>
          </w:p>
        </w:tc>
        <w:tc>
          <w:tcPr>
            <w:tcW w:w="247.55pt" w:type="dxa"/>
            <w:tcBorders>
              <w:start w:val="single" w:sz="4" w:space="0" w:color="000000"/>
            </w:tcBorders>
          </w:tcPr>
          <w:p w14:paraId="7B53BC58" w14:textId="77777777" w:rsidR="00265E7F" w:rsidRDefault="002809BD">
            <w:pPr>
              <w:pStyle w:val="TableContents"/>
            </w:pPr>
            <w:r>
              <w:rPr>
                <w:vertAlign w:val="superscript"/>
              </w:rPr>
              <w:t>4</w:t>
            </w:r>
            <w:r>
              <w:t> </w:t>
            </w:r>
            <w:r>
              <w:rPr>
                <w:i/>
                <w:iCs/>
              </w:rPr>
              <w:t>Aufgehoben.</w:t>
            </w:r>
          </w:p>
        </w:tc>
        <w:tc>
          <w:tcPr>
            <w:tcW w:w="247.60pt" w:type="dxa"/>
            <w:tcBorders>
              <w:start w:val="single" w:sz="4" w:space="0" w:color="000000"/>
              <w:end w:val="single" w:sz="4" w:space="0" w:color="000000"/>
            </w:tcBorders>
          </w:tcPr>
          <w:p w14:paraId="566D7FEB" w14:textId="77777777" w:rsidR="00265E7F" w:rsidRDefault="00265E7F"/>
        </w:tc>
      </w:tr>
      <w:tr w:rsidR="00265E7F" w14:paraId="046A226F" w14:textId="77777777">
        <w:trPr>
          <w:cantSplit/>
        </w:trPr>
        <w:tc>
          <w:tcPr>
            <w:tcW w:w="247.55pt" w:type="dxa"/>
            <w:tcBorders>
              <w:top w:val="single" w:sz="4" w:space="0" w:color="000000"/>
              <w:start w:val="single" w:sz="4" w:space="0" w:color="000000"/>
            </w:tcBorders>
          </w:tcPr>
          <w:p w14:paraId="110F15D4" w14:textId="77777777" w:rsidR="00265E7F" w:rsidRDefault="002809BD">
            <w:pPr>
              <w:pStyle w:val="TableContents"/>
            </w:pPr>
            <w:r>
              <w:rPr>
                <w:b/>
                <w:bCs/>
              </w:rPr>
              <w:t>Art.  36</w:t>
            </w:r>
            <w:r>
              <w:br/>
            </w:r>
            <w:r>
              <w:rPr>
                <w:sz w:val="14"/>
              </w:rPr>
              <w:t>Zusammensetzung</w:t>
            </w:r>
          </w:p>
        </w:tc>
        <w:tc>
          <w:tcPr>
            <w:tcW w:w="247.55pt" w:type="dxa"/>
            <w:tcBorders>
              <w:top w:val="single" w:sz="4" w:space="0" w:color="000000"/>
              <w:start w:val="single" w:sz="4" w:space="0" w:color="000000"/>
            </w:tcBorders>
          </w:tcPr>
          <w:p w14:paraId="0AC51C7E"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46E2C346" w14:textId="77777777" w:rsidR="00265E7F" w:rsidRDefault="00265E7F"/>
        </w:tc>
      </w:tr>
      <w:tr w:rsidR="00265E7F" w14:paraId="3F7FCB9A" w14:textId="77777777">
        <w:trPr>
          <w:cantSplit/>
        </w:trPr>
        <w:tc>
          <w:tcPr>
            <w:tcW w:w="247.55pt" w:type="dxa"/>
            <w:tcBorders>
              <w:start w:val="single" w:sz="4" w:space="0" w:color="000000"/>
            </w:tcBorders>
          </w:tcPr>
          <w:p w14:paraId="76B7B32B" w14:textId="77777777" w:rsidR="00265E7F" w:rsidRDefault="002809BD">
            <w:pPr>
              <w:pStyle w:val="TableContents"/>
            </w:pPr>
            <w:r>
              <w:rPr>
                <w:vertAlign w:val="superscript"/>
              </w:rPr>
              <w:lastRenderedPageBreak/>
              <w:t>1</w:t>
            </w:r>
            <w:r>
              <w:t xml:space="preserve"> Die </w:t>
            </w:r>
            <w:proofErr w:type="spellStart"/>
            <w:r>
              <w:t>Staatsanwalltschaft</w:t>
            </w:r>
            <w:proofErr w:type="spellEnd"/>
            <w:r>
              <w:t xml:space="preserve"> besteht aus dem leitenden Staatsanwalt oder der leitenden Staatsanwältin, der erforderlichen Anzahl Staatsanwälten oder Staatsanwältinnen, der erforderlichen Anzahl Jugendanwälten oder Jugendanwältinnen, der erforderlichen Anzahl Sachbearbeitern oder Sachbearbeiterinnen mit staatsanwaltlichen und jugendanwaltlichen Befugnissen sowie dem Fach- und Kanzleipersonal.</w:t>
            </w:r>
          </w:p>
        </w:tc>
        <w:tc>
          <w:tcPr>
            <w:tcW w:w="247.55pt" w:type="dxa"/>
            <w:tcBorders>
              <w:start w:val="single" w:sz="4" w:space="0" w:color="000000"/>
            </w:tcBorders>
          </w:tcPr>
          <w:p w14:paraId="00617754" w14:textId="77777777" w:rsidR="00265E7F" w:rsidRDefault="002809BD">
            <w:pPr>
              <w:pStyle w:val="TableContents"/>
            </w:pPr>
            <w:r>
              <w:rPr>
                <w:vertAlign w:val="superscript"/>
              </w:rPr>
              <w:t>1</w:t>
            </w:r>
            <w:r>
              <w:t> Die Staatsanwaltschaft besteht aus:</w:t>
            </w:r>
          </w:p>
        </w:tc>
        <w:tc>
          <w:tcPr>
            <w:tcW w:w="247.60pt" w:type="dxa"/>
            <w:tcBorders>
              <w:start w:val="single" w:sz="4" w:space="0" w:color="000000"/>
              <w:end w:val="single" w:sz="4" w:space="0" w:color="000000"/>
            </w:tcBorders>
          </w:tcPr>
          <w:p w14:paraId="362B8AFD" w14:textId="77777777" w:rsidR="00265E7F" w:rsidRDefault="00265E7F"/>
        </w:tc>
      </w:tr>
      <w:tr w:rsidR="00265E7F" w14:paraId="7525ABAC" w14:textId="77777777">
        <w:trPr>
          <w:cantSplit/>
        </w:trPr>
        <w:tc>
          <w:tcPr>
            <w:tcW w:w="247.55pt" w:type="dxa"/>
            <w:tcBorders>
              <w:start w:val="single" w:sz="4" w:space="0" w:color="000000"/>
            </w:tcBorders>
          </w:tcPr>
          <w:p w14:paraId="24B2A3F2" w14:textId="77777777" w:rsidR="00265E7F" w:rsidRDefault="00265E7F">
            <w:pPr>
              <w:pStyle w:val="TableContents"/>
              <w:ind w:start="7.45pt" w:end="0.15pt" w:hanging="9.45pt"/>
            </w:pPr>
          </w:p>
        </w:tc>
        <w:tc>
          <w:tcPr>
            <w:tcW w:w="247.55pt" w:type="dxa"/>
            <w:tcBorders>
              <w:start w:val="single" w:sz="4" w:space="0" w:color="000000"/>
            </w:tcBorders>
          </w:tcPr>
          <w:p w14:paraId="74483BF3" w14:textId="77777777" w:rsidR="00265E7F" w:rsidRDefault="002809BD">
            <w:pPr>
              <w:pStyle w:val="TableContents"/>
              <w:ind w:start="7.45pt" w:end="0.15pt" w:hanging="9.45pt"/>
            </w:pPr>
            <w:r>
              <w:t>a) dem leitenden Staatsanwalt oder der leitenden Staatsanwältin;</w:t>
            </w:r>
          </w:p>
        </w:tc>
        <w:tc>
          <w:tcPr>
            <w:tcW w:w="247.60pt" w:type="dxa"/>
            <w:tcBorders>
              <w:start w:val="single" w:sz="4" w:space="0" w:color="000000"/>
              <w:end w:val="single" w:sz="4" w:space="0" w:color="000000"/>
            </w:tcBorders>
          </w:tcPr>
          <w:p w14:paraId="1230CC98" w14:textId="77777777" w:rsidR="00265E7F" w:rsidRDefault="00265E7F"/>
        </w:tc>
      </w:tr>
      <w:tr w:rsidR="00265E7F" w14:paraId="5F5E571E" w14:textId="77777777">
        <w:trPr>
          <w:cantSplit/>
        </w:trPr>
        <w:tc>
          <w:tcPr>
            <w:tcW w:w="247.55pt" w:type="dxa"/>
            <w:tcBorders>
              <w:start w:val="single" w:sz="4" w:space="0" w:color="000000"/>
            </w:tcBorders>
          </w:tcPr>
          <w:p w14:paraId="4137D820" w14:textId="77777777" w:rsidR="00265E7F" w:rsidRDefault="00265E7F">
            <w:pPr>
              <w:pStyle w:val="TableContents"/>
              <w:ind w:start="7.45pt" w:end="0.15pt" w:hanging="9.45pt"/>
            </w:pPr>
          </w:p>
        </w:tc>
        <w:tc>
          <w:tcPr>
            <w:tcW w:w="247.55pt" w:type="dxa"/>
            <w:tcBorders>
              <w:start w:val="single" w:sz="4" w:space="0" w:color="000000"/>
            </w:tcBorders>
          </w:tcPr>
          <w:p w14:paraId="166B1A2C" w14:textId="77777777" w:rsidR="00265E7F" w:rsidRDefault="002809BD">
            <w:pPr>
              <w:pStyle w:val="TableContents"/>
              <w:ind w:start="7.45pt" w:end="0.15pt" w:hanging="9.45pt"/>
            </w:pPr>
            <w:r>
              <w:t>b) den Staatsanwälten oder Staatsanwältinnen;</w:t>
            </w:r>
          </w:p>
        </w:tc>
        <w:tc>
          <w:tcPr>
            <w:tcW w:w="247.60pt" w:type="dxa"/>
            <w:tcBorders>
              <w:start w:val="single" w:sz="4" w:space="0" w:color="000000"/>
              <w:end w:val="single" w:sz="4" w:space="0" w:color="000000"/>
            </w:tcBorders>
          </w:tcPr>
          <w:p w14:paraId="25D7B598" w14:textId="77777777" w:rsidR="00265E7F" w:rsidRDefault="00265E7F"/>
        </w:tc>
      </w:tr>
      <w:tr w:rsidR="00265E7F" w14:paraId="5F7B9238" w14:textId="77777777">
        <w:trPr>
          <w:cantSplit/>
        </w:trPr>
        <w:tc>
          <w:tcPr>
            <w:tcW w:w="247.55pt" w:type="dxa"/>
            <w:tcBorders>
              <w:start w:val="single" w:sz="4" w:space="0" w:color="000000"/>
            </w:tcBorders>
          </w:tcPr>
          <w:p w14:paraId="4140FE01" w14:textId="77777777" w:rsidR="00265E7F" w:rsidRDefault="00265E7F">
            <w:pPr>
              <w:pStyle w:val="TableContents"/>
              <w:ind w:start="7.45pt" w:end="0.15pt" w:hanging="9.45pt"/>
            </w:pPr>
          </w:p>
        </w:tc>
        <w:tc>
          <w:tcPr>
            <w:tcW w:w="247.55pt" w:type="dxa"/>
            <w:tcBorders>
              <w:start w:val="single" w:sz="4" w:space="0" w:color="000000"/>
            </w:tcBorders>
          </w:tcPr>
          <w:p w14:paraId="755D399D" w14:textId="77777777" w:rsidR="00265E7F" w:rsidRDefault="002809BD">
            <w:pPr>
              <w:pStyle w:val="TableContents"/>
              <w:ind w:start="7.45pt" w:end="0.15pt" w:hanging="9.45pt"/>
            </w:pPr>
            <w:r>
              <w:t>c) den Jugendanwälten oder Jugendanwältinnen;</w:t>
            </w:r>
          </w:p>
        </w:tc>
        <w:tc>
          <w:tcPr>
            <w:tcW w:w="247.60pt" w:type="dxa"/>
            <w:tcBorders>
              <w:start w:val="single" w:sz="4" w:space="0" w:color="000000"/>
              <w:end w:val="single" w:sz="4" w:space="0" w:color="000000"/>
            </w:tcBorders>
          </w:tcPr>
          <w:p w14:paraId="1478204B" w14:textId="77777777" w:rsidR="00265E7F" w:rsidRDefault="00265E7F"/>
        </w:tc>
      </w:tr>
      <w:tr w:rsidR="00265E7F" w14:paraId="1BA0B81E" w14:textId="77777777">
        <w:trPr>
          <w:cantSplit/>
        </w:trPr>
        <w:tc>
          <w:tcPr>
            <w:tcW w:w="247.55pt" w:type="dxa"/>
            <w:tcBorders>
              <w:start w:val="single" w:sz="4" w:space="0" w:color="000000"/>
            </w:tcBorders>
          </w:tcPr>
          <w:p w14:paraId="22A5584B" w14:textId="77777777" w:rsidR="00265E7F" w:rsidRDefault="00265E7F">
            <w:pPr>
              <w:pStyle w:val="TableContents"/>
              <w:ind w:start="7.45pt" w:end="0.15pt" w:hanging="9.45pt"/>
            </w:pPr>
          </w:p>
        </w:tc>
        <w:tc>
          <w:tcPr>
            <w:tcW w:w="247.55pt" w:type="dxa"/>
            <w:tcBorders>
              <w:start w:val="single" w:sz="4" w:space="0" w:color="000000"/>
            </w:tcBorders>
          </w:tcPr>
          <w:p w14:paraId="3C3908F1" w14:textId="77777777" w:rsidR="00265E7F" w:rsidRDefault="002809BD">
            <w:pPr>
              <w:pStyle w:val="TableContents"/>
              <w:ind w:start="7.45pt" w:end="0.15pt" w:hanging="9.45pt"/>
            </w:pPr>
            <w:r>
              <w:t>d) den Assistenz-Staatsanwälten oder Assistenz-Staatsanwältinnen;</w:t>
            </w:r>
          </w:p>
        </w:tc>
        <w:tc>
          <w:tcPr>
            <w:tcW w:w="247.60pt" w:type="dxa"/>
            <w:tcBorders>
              <w:start w:val="single" w:sz="4" w:space="0" w:color="000000"/>
              <w:end w:val="single" w:sz="4" w:space="0" w:color="000000"/>
            </w:tcBorders>
          </w:tcPr>
          <w:p w14:paraId="7318DB44" w14:textId="77777777" w:rsidR="00265E7F" w:rsidRDefault="00265E7F"/>
        </w:tc>
      </w:tr>
      <w:tr w:rsidR="00265E7F" w14:paraId="5EC1E4AC" w14:textId="77777777">
        <w:trPr>
          <w:cantSplit/>
        </w:trPr>
        <w:tc>
          <w:tcPr>
            <w:tcW w:w="247.55pt" w:type="dxa"/>
            <w:tcBorders>
              <w:start w:val="single" w:sz="4" w:space="0" w:color="000000"/>
            </w:tcBorders>
          </w:tcPr>
          <w:p w14:paraId="7FC40679" w14:textId="77777777" w:rsidR="00265E7F" w:rsidRDefault="00265E7F">
            <w:pPr>
              <w:pStyle w:val="TableContents"/>
              <w:ind w:start="7.45pt" w:end="0.15pt" w:hanging="9.45pt"/>
            </w:pPr>
          </w:p>
        </w:tc>
        <w:tc>
          <w:tcPr>
            <w:tcW w:w="247.55pt" w:type="dxa"/>
            <w:tcBorders>
              <w:start w:val="single" w:sz="4" w:space="0" w:color="000000"/>
            </w:tcBorders>
          </w:tcPr>
          <w:p w14:paraId="1E395D46" w14:textId="77777777" w:rsidR="00265E7F" w:rsidRDefault="002809BD">
            <w:pPr>
              <w:pStyle w:val="TableContents"/>
              <w:ind w:start="7.45pt" w:end="0.15pt" w:hanging="9.45pt"/>
            </w:pPr>
            <w:r>
              <w:t>e) den Assistenz-Jugendanwälten oder Assistenz-Jugendanwältinnen;</w:t>
            </w:r>
          </w:p>
        </w:tc>
        <w:tc>
          <w:tcPr>
            <w:tcW w:w="247.60pt" w:type="dxa"/>
            <w:tcBorders>
              <w:start w:val="single" w:sz="4" w:space="0" w:color="000000"/>
              <w:end w:val="single" w:sz="4" w:space="0" w:color="000000"/>
            </w:tcBorders>
          </w:tcPr>
          <w:p w14:paraId="19BC1016" w14:textId="77777777" w:rsidR="00265E7F" w:rsidRDefault="00265E7F"/>
        </w:tc>
      </w:tr>
      <w:tr w:rsidR="00265E7F" w14:paraId="35D60D18" w14:textId="77777777">
        <w:trPr>
          <w:cantSplit/>
        </w:trPr>
        <w:tc>
          <w:tcPr>
            <w:tcW w:w="247.55pt" w:type="dxa"/>
            <w:tcBorders>
              <w:start w:val="single" w:sz="4" w:space="0" w:color="000000"/>
            </w:tcBorders>
          </w:tcPr>
          <w:p w14:paraId="4F6E7BAA" w14:textId="77777777" w:rsidR="00265E7F" w:rsidRDefault="00265E7F">
            <w:pPr>
              <w:pStyle w:val="TableContents"/>
              <w:ind w:start="7.45pt" w:end="0.15pt" w:hanging="9.45pt"/>
            </w:pPr>
          </w:p>
        </w:tc>
        <w:tc>
          <w:tcPr>
            <w:tcW w:w="247.55pt" w:type="dxa"/>
            <w:tcBorders>
              <w:start w:val="single" w:sz="4" w:space="0" w:color="000000"/>
            </w:tcBorders>
          </w:tcPr>
          <w:p w14:paraId="5C8B1926" w14:textId="77777777" w:rsidR="00265E7F" w:rsidRDefault="002809BD">
            <w:pPr>
              <w:pStyle w:val="TableContents"/>
              <w:ind w:start="7.45pt" w:end="0.15pt" w:hanging="9.45pt"/>
            </w:pPr>
            <w:r>
              <w:t>f) dem Fach- und Kanzleipersonal.</w:t>
            </w:r>
          </w:p>
        </w:tc>
        <w:tc>
          <w:tcPr>
            <w:tcW w:w="247.60pt" w:type="dxa"/>
            <w:tcBorders>
              <w:start w:val="single" w:sz="4" w:space="0" w:color="000000"/>
              <w:end w:val="single" w:sz="4" w:space="0" w:color="000000"/>
            </w:tcBorders>
          </w:tcPr>
          <w:p w14:paraId="5F50B253" w14:textId="77777777" w:rsidR="00265E7F" w:rsidRDefault="00265E7F"/>
        </w:tc>
      </w:tr>
      <w:tr w:rsidR="00265E7F" w14:paraId="246587AE" w14:textId="77777777">
        <w:trPr>
          <w:cantSplit/>
        </w:trPr>
        <w:tc>
          <w:tcPr>
            <w:tcW w:w="247.55pt" w:type="dxa"/>
            <w:tcBorders>
              <w:top w:val="single" w:sz="4" w:space="0" w:color="000000"/>
              <w:start w:val="single" w:sz="4" w:space="0" w:color="000000"/>
            </w:tcBorders>
          </w:tcPr>
          <w:p w14:paraId="6FC11D9E" w14:textId="77777777" w:rsidR="00265E7F" w:rsidRDefault="002809BD">
            <w:pPr>
              <w:pStyle w:val="TableContents"/>
            </w:pPr>
            <w:r>
              <w:rPr>
                <w:b/>
                <w:bCs/>
              </w:rPr>
              <w:t>Art.  37</w:t>
            </w:r>
            <w:r>
              <w:br/>
            </w:r>
            <w:r>
              <w:rPr>
                <w:sz w:val="14"/>
              </w:rPr>
              <w:t>Aufgaben</w:t>
            </w:r>
          </w:p>
        </w:tc>
        <w:tc>
          <w:tcPr>
            <w:tcW w:w="247.55pt" w:type="dxa"/>
            <w:tcBorders>
              <w:top w:val="single" w:sz="4" w:space="0" w:color="000000"/>
              <w:start w:val="single" w:sz="4" w:space="0" w:color="000000"/>
            </w:tcBorders>
          </w:tcPr>
          <w:p w14:paraId="5E9A36AD"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5D30637D" w14:textId="77777777" w:rsidR="00265E7F" w:rsidRDefault="00265E7F"/>
        </w:tc>
      </w:tr>
      <w:tr w:rsidR="00265E7F" w14:paraId="46563D84" w14:textId="77777777">
        <w:trPr>
          <w:cantSplit/>
        </w:trPr>
        <w:tc>
          <w:tcPr>
            <w:tcW w:w="247.55pt" w:type="dxa"/>
            <w:tcBorders>
              <w:start w:val="single" w:sz="4" w:space="0" w:color="000000"/>
            </w:tcBorders>
          </w:tcPr>
          <w:p w14:paraId="6612ECCF" w14:textId="77777777" w:rsidR="00265E7F" w:rsidRDefault="002809BD">
            <w:pPr>
              <w:pStyle w:val="TableContents"/>
            </w:pPr>
            <w:r>
              <w:rPr>
                <w:vertAlign w:val="superscript"/>
              </w:rPr>
              <w:t>1</w:t>
            </w:r>
            <w:r>
              <w:t> Die Staatsanwaltschaft ist für die Strafverfolgung verantwortlich.</w:t>
            </w:r>
            <w:r>
              <w:rPr>
                <w:rStyle w:val="Funotenzeichen"/>
              </w:rPr>
              <w:footnoteReference w:id="30"/>
            </w:r>
            <w:r>
              <w:rPr>
                <w:rStyle w:val="Funotenzeichen"/>
              </w:rPr>
              <w:t>)</w:t>
            </w:r>
          </w:p>
        </w:tc>
        <w:tc>
          <w:tcPr>
            <w:tcW w:w="247.55pt" w:type="dxa"/>
            <w:tcBorders>
              <w:start w:val="single" w:sz="4" w:space="0" w:color="000000"/>
            </w:tcBorders>
          </w:tcPr>
          <w:p w14:paraId="7F13AFCA" w14:textId="77777777" w:rsidR="00265E7F" w:rsidRDefault="00265E7F">
            <w:pPr>
              <w:pStyle w:val="TableContents"/>
            </w:pPr>
          </w:p>
        </w:tc>
        <w:tc>
          <w:tcPr>
            <w:tcW w:w="247.60pt" w:type="dxa"/>
            <w:tcBorders>
              <w:start w:val="single" w:sz="4" w:space="0" w:color="000000"/>
              <w:end w:val="single" w:sz="4" w:space="0" w:color="000000"/>
            </w:tcBorders>
          </w:tcPr>
          <w:p w14:paraId="314BDC7C" w14:textId="77777777" w:rsidR="00265E7F" w:rsidRDefault="00265E7F"/>
        </w:tc>
      </w:tr>
      <w:tr w:rsidR="00265E7F" w14:paraId="3AFEEE3F" w14:textId="77777777">
        <w:trPr>
          <w:cantSplit/>
        </w:trPr>
        <w:tc>
          <w:tcPr>
            <w:tcW w:w="247.55pt" w:type="dxa"/>
            <w:tcBorders>
              <w:start w:val="single" w:sz="4" w:space="0" w:color="000000"/>
            </w:tcBorders>
          </w:tcPr>
          <w:p w14:paraId="7582BAD4" w14:textId="77777777" w:rsidR="00265E7F" w:rsidRDefault="002809BD">
            <w:pPr>
              <w:pStyle w:val="TableContents"/>
            </w:pPr>
            <w:r>
              <w:rPr>
                <w:vertAlign w:val="superscript"/>
              </w:rPr>
              <w:t>2</w:t>
            </w:r>
            <w:r>
              <w:t> Im Strafverfahren gegen Jugendliche ist die Jugendanwaltschaft Untersuchungs- Anklage- und Vollzugsbehörde.</w:t>
            </w:r>
            <w:r>
              <w:rPr>
                <w:rStyle w:val="Funotenzeichen"/>
              </w:rPr>
              <w:footnoteReference w:id="31"/>
            </w:r>
            <w:r>
              <w:rPr>
                <w:rStyle w:val="Funotenzeichen"/>
              </w:rPr>
              <w:t>)</w:t>
            </w:r>
          </w:p>
        </w:tc>
        <w:tc>
          <w:tcPr>
            <w:tcW w:w="247.55pt" w:type="dxa"/>
            <w:tcBorders>
              <w:start w:val="single" w:sz="4" w:space="0" w:color="000000"/>
            </w:tcBorders>
          </w:tcPr>
          <w:p w14:paraId="33465AF7" w14:textId="77777777" w:rsidR="00265E7F" w:rsidRDefault="00265E7F">
            <w:pPr>
              <w:pStyle w:val="TableContents"/>
            </w:pPr>
          </w:p>
        </w:tc>
        <w:tc>
          <w:tcPr>
            <w:tcW w:w="247.60pt" w:type="dxa"/>
            <w:tcBorders>
              <w:start w:val="single" w:sz="4" w:space="0" w:color="000000"/>
              <w:end w:val="single" w:sz="4" w:space="0" w:color="000000"/>
            </w:tcBorders>
          </w:tcPr>
          <w:p w14:paraId="2D1C8AA0" w14:textId="77777777" w:rsidR="00265E7F" w:rsidRDefault="00265E7F"/>
        </w:tc>
      </w:tr>
      <w:tr w:rsidR="00265E7F" w14:paraId="171AD759" w14:textId="77777777">
        <w:trPr>
          <w:cantSplit/>
        </w:trPr>
        <w:tc>
          <w:tcPr>
            <w:tcW w:w="247.55pt" w:type="dxa"/>
            <w:tcBorders>
              <w:start w:val="single" w:sz="4" w:space="0" w:color="000000"/>
            </w:tcBorders>
          </w:tcPr>
          <w:p w14:paraId="6106C3B9" w14:textId="77777777" w:rsidR="00265E7F" w:rsidRDefault="002809BD">
            <w:pPr>
              <w:pStyle w:val="TableContents"/>
            </w:pPr>
            <w:r>
              <w:rPr>
                <w:vertAlign w:val="superscript"/>
              </w:rPr>
              <w:lastRenderedPageBreak/>
              <w:t>3</w:t>
            </w:r>
            <w:r>
              <w:t> Jugendanwälte und Jugendanwältinnen können auch Verfahren gegen Erwachsene führen.</w:t>
            </w:r>
          </w:p>
        </w:tc>
        <w:tc>
          <w:tcPr>
            <w:tcW w:w="247.55pt" w:type="dxa"/>
            <w:tcBorders>
              <w:start w:val="single" w:sz="4" w:space="0" w:color="000000"/>
            </w:tcBorders>
          </w:tcPr>
          <w:p w14:paraId="5B8F6C11" w14:textId="77777777" w:rsidR="00265E7F" w:rsidRDefault="00265E7F">
            <w:pPr>
              <w:pStyle w:val="TableContents"/>
            </w:pPr>
          </w:p>
        </w:tc>
        <w:tc>
          <w:tcPr>
            <w:tcW w:w="247.60pt" w:type="dxa"/>
            <w:tcBorders>
              <w:start w:val="single" w:sz="4" w:space="0" w:color="000000"/>
              <w:end w:val="single" w:sz="4" w:space="0" w:color="000000"/>
            </w:tcBorders>
          </w:tcPr>
          <w:p w14:paraId="2831BC8B" w14:textId="77777777" w:rsidR="00265E7F" w:rsidRDefault="00265E7F"/>
        </w:tc>
      </w:tr>
      <w:tr w:rsidR="00265E7F" w14:paraId="46702754" w14:textId="77777777">
        <w:trPr>
          <w:cantSplit/>
        </w:trPr>
        <w:tc>
          <w:tcPr>
            <w:tcW w:w="247.55pt" w:type="dxa"/>
            <w:tcBorders>
              <w:start w:val="single" w:sz="4" w:space="0" w:color="000000"/>
            </w:tcBorders>
          </w:tcPr>
          <w:p w14:paraId="7BC4234E" w14:textId="77777777" w:rsidR="00265E7F" w:rsidRDefault="002809BD">
            <w:pPr>
              <w:pStyle w:val="TableContents"/>
            </w:pPr>
            <w:r>
              <w:rPr>
                <w:vertAlign w:val="superscript"/>
              </w:rPr>
              <w:t>4</w:t>
            </w:r>
            <w:r>
              <w:t> Sachbearbeiter und Sachbearbeiterinnen mit staatsanwaltlichen und jugendanwaltlichen Befugnissen können gestützt auf ihre persönlichen Pflichtenhefte sowie unter der Verantwortung eines Staatsanwalts oder einer Staatsanwältin Strafbefehle für Übertretungen erlassen, soweit sich die Höhe der ausgefällten Busse aus einem Bussenkatalog oder aus vom leitenden Staatsanwalt oder von der leitenden Staatsanwältin festgelegten Richtlinien ergibt.</w:t>
            </w:r>
          </w:p>
        </w:tc>
        <w:tc>
          <w:tcPr>
            <w:tcW w:w="247.55pt" w:type="dxa"/>
            <w:tcBorders>
              <w:start w:val="single" w:sz="4" w:space="0" w:color="000000"/>
            </w:tcBorders>
          </w:tcPr>
          <w:p w14:paraId="2E8B6D75" w14:textId="77777777" w:rsidR="00265E7F" w:rsidRDefault="002809BD">
            <w:pPr>
              <w:pStyle w:val="TableContents"/>
            </w:pPr>
            <w:r>
              <w:rPr>
                <w:vertAlign w:val="superscript"/>
              </w:rPr>
              <w:t>4</w:t>
            </w:r>
            <w:r>
              <w:t> Assistenz-Staatsanwälte und Assistenz-Staatsanwältinnen führen Verfahren, wenn als Sanktion voraussichtlich eine Busse, eine Geldstrafe oder eine Freiheitsstrafe von höchstens sechs Monaten in Betracht kommt. Der leitende Staatsanwalt oder die leitende Staatsanwältin kann ihre Kompetenzen beschränken oder im Einzelfall erweitern.</w:t>
            </w:r>
          </w:p>
        </w:tc>
        <w:tc>
          <w:tcPr>
            <w:tcW w:w="247.60pt" w:type="dxa"/>
            <w:tcBorders>
              <w:start w:val="single" w:sz="4" w:space="0" w:color="000000"/>
              <w:end w:val="single" w:sz="4" w:space="0" w:color="000000"/>
            </w:tcBorders>
          </w:tcPr>
          <w:p w14:paraId="35F300BD" w14:textId="77777777" w:rsidR="00265E7F" w:rsidRDefault="00265E7F"/>
        </w:tc>
      </w:tr>
      <w:tr w:rsidR="00265E7F" w14:paraId="4A7616D0" w14:textId="77777777">
        <w:trPr>
          <w:cantSplit/>
        </w:trPr>
        <w:tc>
          <w:tcPr>
            <w:tcW w:w="247.55pt" w:type="dxa"/>
            <w:tcBorders>
              <w:start w:val="single" w:sz="4" w:space="0" w:color="000000"/>
            </w:tcBorders>
          </w:tcPr>
          <w:p w14:paraId="57A1A518" w14:textId="77777777" w:rsidR="00265E7F" w:rsidRDefault="00265E7F">
            <w:pPr>
              <w:pStyle w:val="TableContents"/>
            </w:pPr>
          </w:p>
        </w:tc>
        <w:tc>
          <w:tcPr>
            <w:tcW w:w="247.55pt" w:type="dxa"/>
            <w:tcBorders>
              <w:start w:val="single" w:sz="4" w:space="0" w:color="000000"/>
            </w:tcBorders>
          </w:tcPr>
          <w:p w14:paraId="6F4772EA" w14:textId="77777777" w:rsidR="00265E7F" w:rsidRDefault="002809BD">
            <w:pPr>
              <w:pStyle w:val="TableContents"/>
            </w:pPr>
            <w:r>
              <w:rPr>
                <w:vertAlign w:val="superscript"/>
              </w:rPr>
              <w:t>5</w:t>
            </w:r>
            <w:r>
              <w:t> Assistenz-Jugendanwälte und Assistenz-Jugendanwältinnen führen Verfahren, wenn die Beurteilung der Straftat voraussichtlich nicht in die Zuständigkeit des Jugendgerichtes fällt. Der leitende Staatsanwalt oder die leitende Staatsanwältin kann ihre Kompetenzen beschränken oder im Einzelfall erweitern.</w:t>
            </w:r>
          </w:p>
        </w:tc>
        <w:tc>
          <w:tcPr>
            <w:tcW w:w="247.60pt" w:type="dxa"/>
            <w:tcBorders>
              <w:start w:val="single" w:sz="4" w:space="0" w:color="000000"/>
              <w:end w:val="single" w:sz="4" w:space="0" w:color="000000"/>
            </w:tcBorders>
          </w:tcPr>
          <w:p w14:paraId="23107C1D" w14:textId="77777777" w:rsidR="00265E7F" w:rsidRDefault="00265E7F"/>
        </w:tc>
      </w:tr>
      <w:tr w:rsidR="00265E7F" w14:paraId="4E39A83E" w14:textId="77777777">
        <w:trPr>
          <w:cantSplit/>
        </w:trPr>
        <w:tc>
          <w:tcPr>
            <w:tcW w:w="247.55pt" w:type="dxa"/>
            <w:tcBorders>
              <w:top w:val="single" w:sz="4" w:space="0" w:color="000000"/>
              <w:start w:val="single" w:sz="4" w:space="0" w:color="000000"/>
            </w:tcBorders>
          </w:tcPr>
          <w:p w14:paraId="2F55FED5" w14:textId="77777777" w:rsidR="00265E7F" w:rsidRDefault="002809BD">
            <w:pPr>
              <w:pStyle w:val="TableContents"/>
            </w:pPr>
            <w:r>
              <w:rPr>
                <w:b/>
                <w:bCs/>
              </w:rPr>
              <w:t>Art.  39</w:t>
            </w:r>
            <w:r>
              <w:br/>
            </w:r>
            <w:r>
              <w:rPr>
                <w:sz w:val="14"/>
              </w:rPr>
              <w:t>Leitender Staatsanwalt, leitende Staatsanwältin</w:t>
            </w:r>
          </w:p>
        </w:tc>
        <w:tc>
          <w:tcPr>
            <w:tcW w:w="247.55pt" w:type="dxa"/>
            <w:tcBorders>
              <w:top w:val="single" w:sz="4" w:space="0" w:color="000000"/>
              <w:start w:val="single" w:sz="4" w:space="0" w:color="000000"/>
            </w:tcBorders>
          </w:tcPr>
          <w:p w14:paraId="111DFFFB"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46F2086A" w14:textId="77777777" w:rsidR="00265E7F" w:rsidRDefault="00265E7F"/>
        </w:tc>
      </w:tr>
      <w:tr w:rsidR="00265E7F" w14:paraId="16CF098C" w14:textId="77777777">
        <w:trPr>
          <w:cantSplit/>
        </w:trPr>
        <w:tc>
          <w:tcPr>
            <w:tcW w:w="247.55pt" w:type="dxa"/>
            <w:tcBorders>
              <w:start w:val="single" w:sz="4" w:space="0" w:color="000000"/>
            </w:tcBorders>
          </w:tcPr>
          <w:p w14:paraId="14F83548" w14:textId="77777777" w:rsidR="00265E7F" w:rsidRDefault="002809BD">
            <w:pPr>
              <w:pStyle w:val="TableContents"/>
            </w:pPr>
            <w:r>
              <w:rPr>
                <w:vertAlign w:val="superscript"/>
              </w:rPr>
              <w:t>1</w:t>
            </w:r>
            <w:r>
              <w:t> Der leitende Staatsanwalt oder die leitende Staatsanwältin ist für die fachliche Führung der Staatsanwaltschaft verantwortlich. Er oder sie sorgt für die gleichmässige Durchsetzung des staatlichen Strafanspruches im Kanton.</w:t>
            </w:r>
          </w:p>
        </w:tc>
        <w:tc>
          <w:tcPr>
            <w:tcW w:w="247.55pt" w:type="dxa"/>
            <w:tcBorders>
              <w:start w:val="single" w:sz="4" w:space="0" w:color="000000"/>
            </w:tcBorders>
          </w:tcPr>
          <w:p w14:paraId="1120CE12" w14:textId="77777777" w:rsidR="00265E7F" w:rsidRDefault="00265E7F">
            <w:pPr>
              <w:pStyle w:val="TableContents"/>
            </w:pPr>
          </w:p>
        </w:tc>
        <w:tc>
          <w:tcPr>
            <w:tcW w:w="247.60pt" w:type="dxa"/>
            <w:tcBorders>
              <w:start w:val="single" w:sz="4" w:space="0" w:color="000000"/>
              <w:end w:val="single" w:sz="4" w:space="0" w:color="000000"/>
            </w:tcBorders>
          </w:tcPr>
          <w:p w14:paraId="328E43E2" w14:textId="77777777" w:rsidR="00265E7F" w:rsidRDefault="00265E7F"/>
        </w:tc>
      </w:tr>
      <w:tr w:rsidR="00265E7F" w14:paraId="1FC5E5E3" w14:textId="77777777">
        <w:trPr>
          <w:cantSplit/>
        </w:trPr>
        <w:tc>
          <w:tcPr>
            <w:tcW w:w="247.55pt" w:type="dxa"/>
            <w:tcBorders>
              <w:start w:val="single" w:sz="4" w:space="0" w:color="000000"/>
            </w:tcBorders>
          </w:tcPr>
          <w:p w14:paraId="1FAE0E89" w14:textId="77777777" w:rsidR="00265E7F" w:rsidRDefault="002809BD">
            <w:pPr>
              <w:pStyle w:val="TableContents"/>
            </w:pPr>
            <w:r>
              <w:rPr>
                <w:vertAlign w:val="superscript"/>
              </w:rPr>
              <w:t>2</w:t>
            </w:r>
            <w:r>
              <w:t> Er oder sie hat gegenüber den übrigen Staats- und Jugendanwälten resp. Staats- und Jugendanwältinnen ein fallbezogenes Weisungsrecht.</w:t>
            </w:r>
          </w:p>
        </w:tc>
        <w:tc>
          <w:tcPr>
            <w:tcW w:w="247.55pt" w:type="dxa"/>
            <w:tcBorders>
              <w:start w:val="single" w:sz="4" w:space="0" w:color="000000"/>
            </w:tcBorders>
          </w:tcPr>
          <w:p w14:paraId="73706CF7" w14:textId="77777777" w:rsidR="00265E7F" w:rsidRDefault="002809BD">
            <w:pPr>
              <w:pStyle w:val="TableContents"/>
            </w:pPr>
            <w:r>
              <w:rPr>
                <w:vertAlign w:val="superscript"/>
              </w:rPr>
              <w:t>2</w:t>
            </w:r>
            <w:r>
              <w:t> Er oder sie hat gegenüber allen Angehörigen der Staatsanwaltschaft ein fallbezogenes Weisungsrecht.</w:t>
            </w:r>
          </w:p>
        </w:tc>
        <w:tc>
          <w:tcPr>
            <w:tcW w:w="247.60pt" w:type="dxa"/>
            <w:tcBorders>
              <w:start w:val="single" w:sz="4" w:space="0" w:color="000000"/>
              <w:end w:val="single" w:sz="4" w:space="0" w:color="000000"/>
            </w:tcBorders>
          </w:tcPr>
          <w:p w14:paraId="3B113FB5" w14:textId="77777777" w:rsidR="00265E7F" w:rsidRDefault="00265E7F"/>
        </w:tc>
      </w:tr>
      <w:tr w:rsidR="00265E7F" w14:paraId="0186E08D" w14:textId="77777777">
        <w:trPr>
          <w:cantSplit/>
        </w:trPr>
        <w:tc>
          <w:tcPr>
            <w:tcW w:w="247.55pt" w:type="dxa"/>
            <w:tcBorders>
              <w:start w:val="single" w:sz="4" w:space="0" w:color="000000"/>
            </w:tcBorders>
          </w:tcPr>
          <w:p w14:paraId="0610F4DC" w14:textId="77777777" w:rsidR="00265E7F" w:rsidRDefault="002809BD">
            <w:pPr>
              <w:pStyle w:val="TableContents"/>
            </w:pPr>
            <w:r>
              <w:rPr>
                <w:vertAlign w:val="superscript"/>
              </w:rPr>
              <w:t>3</w:t>
            </w:r>
            <w:r>
              <w:t> Ihm oder ihr obliegt auch die Einlegung von Rechtsmitteln beim Schweizerischen Bundesgericht.</w:t>
            </w:r>
          </w:p>
        </w:tc>
        <w:tc>
          <w:tcPr>
            <w:tcW w:w="247.55pt" w:type="dxa"/>
            <w:tcBorders>
              <w:start w:val="single" w:sz="4" w:space="0" w:color="000000"/>
            </w:tcBorders>
          </w:tcPr>
          <w:p w14:paraId="538E42A9" w14:textId="77777777" w:rsidR="00265E7F" w:rsidRDefault="00265E7F">
            <w:pPr>
              <w:pStyle w:val="TableContents"/>
            </w:pPr>
          </w:p>
        </w:tc>
        <w:tc>
          <w:tcPr>
            <w:tcW w:w="247.60pt" w:type="dxa"/>
            <w:tcBorders>
              <w:start w:val="single" w:sz="4" w:space="0" w:color="000000"/>
              <w:end w:val="single" w:sz="4" w:space="0" w:color="000000"/>
            </w:tcBorders>
          </w:tcPr>
          <w:p w14:paraId="13A023B7" w14:textId="77777777" w:rsidR="00265E7F" w:rsidRDefault="00265E7F"/>
        </w:tc>
      </w:tr>
      <w:tr w:rsidR="00265E7F" w14:paraId="432B4B0F" w14:textId="77777777">
        <w:trPr>
          <w:cantSplit/>
        </w:trPr>
        <w:tc>
          <w:tcPr>
            <w:tcW w:w="247.55pt" w:type="dxa"/>
            <w:tcBorders>
              <w:top w:val="single" w:sz="4" w:space="0" w:color="000000"/>
              <w:start w:val="single" w:sz="4" w:space="0" w:color="000000"/>
            </w:tcBorders>
          </w:tcPr>
          <w:p w14:paraId="2E613620" w14:textId="77777777" w:rsidR="00265E7F" w:rsidRDefault="002809BD">
            <w:pPr>
              <w:pStyle w:val="TableContents"/>
            </w:pPr>
            <w:r>
              <w:rPr>
                <w:b/>
                <w:bCs/>
              </w:rPr>
              <w:t>Art.  42</w:t>
            </w:r>
            <w:r>
              <w:br/>
            </w:r>
            <w:r>
              <w:rPr>
                <w:sz w:val="14"/>
              </w:rPr>
              <w:t>Wählbarkeit</w:t>
            </w:r>
          </w:p>
        </w:tc>
        <w:tc>
          <w:tcPr>
            <w:tcW w:w="247.55pt" w:type="dxa"/>
            <w:tcBorders>
              <w:top w:val="single" w:sz="4" w:space="0" w:color="000000"/>
              <w:start w:val="single" w:sz="4" w:space="0" w:color="000000"/>
            </w:tcBorders>
          </w:tcPr>
          <w:p w14:paraId="6266263E"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03D5FBD8" w14:textId="77777777" w:rsidR="00265E7F" w:rsidRDefault="00265E7F"/>
        </w:tc>
      </w:tr>
      <w:tr w:rsidR="00265E7F" w14:paraId="23D74516" w14:textId="77777777">
        <w:trPr>
          <w:cantSplit/>
        </w:trPr>
        <w:tc>
          <w:tcPr>
            <w:tcW w:w="247.55pt" w:type="dxa"/>
            <w:tcBorders>
              <w:start w:val="single" w:sz="4" w:space="0" w:color="000000"/>
            </w:tcBorders>
          </w:tcPr>
          <w:p w14:paraId="6EEB6420" w14:textId="77777777" w:rsidR="00265E7F" w:rsidRDefault="002809BD">
            <w:pPr>
              <w:pStyle w:val="TableContents"/>
            </w:pPr>
            <w:r>
              <w:rPr>
                <w:vertAlign w:val="superscript"/>
              </w:rPr>
              <w:lastRenderedPageBreak/>
              <w:t>1</w:t>
            </w:r>
            <w:r>
              <w:t> Als Präsident oder Präsidentin, Vizepräsident oder Vizepräsidentin und Mitglied einer Gerichts- oder Schlichtungsbehörde ist auch wählbar, wer noch keinen Wohnsitz im Kanton hat.</w:t>
            </w:r>
          </w:p>
        </w:tc>
        <w:tc>
          <w:tcPr>
            <w:tcW w:w="247.55pt" w:type="dxa"/>
            <w:tcBorders>
              <w:start w:val="single" w:sz="4" w:space="0" w:color="000000"/>
            </w:tcBorders>
          </w:tcPr>
          <w:p w14:paraId="576D0C1F" w14:textId="77777777" w:rsidR="00265E7F" w:rsidRDefault="002809BD">
            <w:pPr>
              <w:pStyle w:val="TableContents"/>
            </w:pPr>
            <w:r>
              <w:rPr>
                <w:vertAlign w:val="superscript"/>
              </w:rPr>
              <w:t>1</w:t>
            </w:r>
            <w:r>
              <w:t> In Gerichte und Schlichtungsbehörden ist wählbar, wer in eidgenössischen Angelegenheiten stimmberechtigt ist.</w:t>
            </w:r>
          </w:p>
        </w:tc>
        <w:tc>
          <w:tcPr>
            <w:tcW w:w="247.60pt" w:type="dxa"/>
            <w:tcBorders>
              <w:start w:val="single" w:sz="4" w:space="0" w:color="000000"/>
              <w:end w:val="single" w:sz="4" w:space="0" w:color="000000"/>
            </w:tcBorders>
          </w:tcPr>
          <w:p w14:paraId="0D76DBB4" w14:textId="77777777" w:rsidR="00265E7F" w:rsidRDefault="00265E7F"/>
        </w:tc>
      </w:tr>
      <w:tr w:rsidR="00265E7F" w14:paraId="6629FB53" w14:textId="77777777">
        <w:trPr>
          <w:cantSplit/>
        </w:trPr>
        <w:tc>
          <w:tcPr>
            <w:tcW w:w="247.55pt" w:type="dxa"/>
            <w:tcBorders>
              <w:start w:val="single" w:sz="4" w:space="0" w:color="000000"/>
            </w:tcBorders>
          </w:tcPr>
          <w:p w14:paraId="1482156B" w14:textId="77777777" w:rsidR="00265E7F" w:rsidRDefault="002809BD">
            <w:pPr>
              <w:pStyle w:val="TableContents"/>
            </w:pPr>
            <w:r>
              <w:rPr>
                <w:vertAlign w:val="superscript"/>
              </w:rPr>
              <w:t>2</w:t>
            </w:r>
            <w:r>
              <w:t> Nach ihrer Wahl hat die Gerichtsperson spätestens auf den Zeitpunkt des Amtsantrittes im Kanton Wohnsitz zu nehmen. Andernfalls kann sie ihr Amt nicht antreten.</w:t>
            </w:r>
          </w:p>
        </w:tc>
        <w:tc>
          <w:tcPr>
            <w:tcW w:w="247.55pt" w:type="dxa"/>
            <w:tcBorders>
              <w:start w:val="single" w:sz="4" w:space="0" w:color="000000"/>
            </w:tcBorders>
          </w:tcPr>
          <w:p w14:paraId="5D7C54BB" w14:textId="77777777" w:rsidR="00265E7F" w:rsidRDefault="002809BD">
            <w:pPr>
              <w:pStyle w:val="TableContents"/>
            </w:pPr>
            <w:r>
              <w:rPr>
                <w:vertAlign w:val="superscript"/>
              </w:rPr>
              <w:t>2</w:t>
            </w:r>
            <w:r>
              <w:t> </w:t>
            </w:r>
            <w:r>
              <w:rPr>
                <w:i/>
                <w:iCs/>
              </w:rPr>
              <w:t>Aufgehoben.</w:t>
            </w:r>
          </w:p>
        </w:tc>
        <w:tc>
          <w:tcPr>
            <w:tcW w:w="247.60pt" w:type="dxa"/>
            <w:tcBorders>
              <w:start w:val="single" w:sz="4" w:space="0" w:color="000000"/>
              <w:end w:val="single" w:sz="4" w:space="0" w:color="000000"/>
            </w:tcBorders>
          </w:tcPr>
          <w:p w14:paraId="05CB5FE1" w14:textId="77777777" w:rsidR="00265E7F" w:rsidRDefault="00265E7F"/>
        </w:tc>
      </w:tr>
      <w:tr w:rsidR="00265E7F" w14:paraId="79BB242C" w14:textId="77777777">
        <w:trPr>
          <w:cantSplit/>
        </w:trPr>
        <w:tc>
          <w:tcPr>
            <w:tcW w:w="247.55pt" w:type="dxa"/>
            <w:tcBorders>
              <w:top w:val="single" w:sz="4" w:space="0" w:color="000000"/>
              <w:start w:val="single" w:sz="4" w:space="0" w:color="000000"/>
            </w:tcBorders>
          </w:tcPr>
          <w:p w14:paraId="739B8F04" w14:textId="77777777" w:rsidR="00265E7F" w:rsidRDefault="00265E7F">
            <w:pPr>
              <w:pStyle w:val="TableContents"/>
            </w:pPr>
          </w:p>
        </w:tc>
        <w:tc>
          <w:tcPr>
            <w:tcW w:w="247.55pt" w:type="dxa"/>
            <w:tcBorders>
              <w:top w:val="single" w:sz="4" w:space="0" w:color="000000"/>
              <w:start w:val="single" w:sz="4" w:space="0" w:color="000000"/>
            </w:tcBorders>
          </w:tcPr>
          <w:p w14:paraId="31CA93ED" w14:textId="77777777" w:rsidR="00265E7F" w:rsidRDefault="002809BD">
            <w:pPr>
              <w:pStyle w:val="TableContents"/>
            </w:pPr>
            <w:r>
              <w:rPr>
                <w:b/>
                <w:bCs/>
              </w:rPr>
              <w:t>Art.  42a</w:t>
            </w:r>
            <w:r>
              <w:br/>
            </w:r>
            <w:r>
              <w:rPr>
                <w:sz w:val="14"/>
              </w:rPr>
              <w:t>Unvereinbarkeiten</w:t>
            </w:r>
          </w:p>
        </w:tc>
        <w:tc>
          <w:tcPr>
            <w:tcW w:w="247.60pt" w:type="dxa"/>
            <w:tcBorders>
              <w:top w:val="single" w:sz="4" w:space="0" w:color="000000"/>
              <w:start w:val="single" w:sz="4" w:space="0" w:color="000000"/>
              <w:end w:val="single" w:sz="4" w:space="0" w:color="000000"/>
            </w:tcBorders>
          </w:tcPr>
          <w:p w14:paraId="4399AE29" w14:textId="77777777" w:rsidR="00265E7F" w:rsidRDefault="00265E7F"/>
        </w:tc>
      </w:tr>
      <w:tr w:rsidR="00265E7F" w14:paraId="1F4E7D87" w14:textId="77777777">
        <w:trPr>
          <w:cantSplit/>
        </w:trPr>
        <w:tc>
          <w:tcPr>
            <w:tcW w:w="247.55pt" w:type="dxa"/>
            <w:tcBorders>
              <w:start w:val="single" w:sz="4" w:space="0" w:color="000000"/>
            </w:tcBorders>
          </w:tcPr>
          <w:p w14:paraId="1B679E8D" w14:textId="77777777" w:rsidR="00265E7F" w:rsidRDefault="00265E7F">
            <w:pPr>
              <w:pStyle w:val="TableContents"/>
            </w:pPr>
          </w:p>
        </w:tc>
        <w:tc>
          <w:tcPr>
            <w:tcW w:w="247.55pt" w:type="dxa"/>
            <w:tcBorders>
              <w:start w:val="single" w:sz="4" w:space="0" w:color="000000"/>
            </w:tcBorders>
          </w:tcPr>
          <w:p w14:paraId="713A56B8" w14:textId="77777777" w:rsidR="00265E7F" w:rsidRDefault="002809BD">
            <w:pPr>
              <w:pStyle w:val="TableContents"/>
            </w:pPr>
            <w:r>
              <w:rPr>
                <w:vertAlign w:val="superscript"/>
              </w:rPr>
              <w:t>1</w:t>
            </w:r>
            <w:r>
              <w:t> Kein Mitglied eines Gerichtes kann gleichzeitig angehören:</w:t>
            </w:r>
          </w:p>
        </w:tc>
        <w:tc>
          <w:tcPr>
            <w:tcW w:w="247.60pt" w:type="dxa"/>
            <w:tcBorders>
              <w:start w:val="single" w:sz="4" w:space="0" w:color="000000"/>
              <w:end w:val="single" w:sz="4" w:space="0" w:color="000000"/>
            </w:tcBorders>
          </w:tcPr>
          <w:p w14:paraId="661DC654" w14:textId="77777777" w:rsidR="00265E7F" w:rsidRDefault="00265E7F"/>
        </w:tc>
      </w:tr>
      <w:tr w:rsidR="00265E7F" w14:paraId="7D83ED7D" w14:textId="77777777">
        <w:trPr>
          <w:cantSplit/>
        </w:trPr>
        <w:tc>
          <w:tcPr>
            <w:tcW w:w="247.55pt" w:type="dxa"/>
            <w:tcBorders>
              <w:start w:val="single" w:sz="4" w:space="0" w:color="000000"/>
            </w:tcBorders>
          </w:tcPr>
          <w:p w14:paraId="213264EF" w14:textId="77777777" w:rsidR="00265E7F" w:rsidRDefault="00265E7F">
            <w:pPr>
              <w:pStyle w:val="TableContents"/>
              <w:ind w:start="7.45pt" w:end="0.15pt" w:hanging="9.45pt"/>
            </w:pPr>
          </w:p>
        </w:tc>
        <w:tc>
          <w:tcPr>
            <w:tcW w:w="247.55pt" w:type="dxa"/>
            <w:tcBorders>
              <w:start w:val="single" w:sz="4" w:space="0" w:color="000000"/>
            </w:tcBorders>
          </w:tcPr>
          <w:p w14:paraId="2556E3D7" w14:textId="77777777" w:rsidR="00265E7F" w:rsidRDefault="002809BD">
            <w:pPr>
              <w:pStyle w:val="TableContents"/>
              <w:ind w:start="7.45pt" w:end="0.15pt" w:hanging="9.45pt"/>
            </w:pPr>
            <w:r>
              <w:t>a) dem Kantonsgericht und dem Obergericht;</w:t>
            </w:r>
          </w:p>
        </w:tc>
        <w:tc>
          <w:tcPr>
            <w:tcW w:w="247.60pt" w:type="dxa"/>
            <w:tcBorders>
              <w:start w:val="single" w:sz="4" w:space="0" w:color="000000"/>
              <w:end w:val="single" w:sz="4" w:space="0" w:color="000000"/>
            </w:tcBorders>
          </w:tcPr>
          <w:p w14:paraId="116F7FBB" w14:textId="77777777" w:rsidR="00265E7F" w:rsidRDefault="00265E7F"/>
        </w:tc>
      </w:tr>
      <w:tr w:rsidR="00265E7F" w14:paraId="0416237D" w14:textId="77777777">
        <w:trPr>
          <w:cantSplit/>
        </w:trPr>
        <w:tc>
          <w:tcPr>
            <w:tcW w:w="247.55pt" w:type="dxa"/>
            <w:tcBorders>
              <w:start w:val="single" w:sz="4" w:space="0" w:color="000000"/>
            </w:tcBorders>
          </w:tcPr>
          <w:p w14:paraId="493ADC54" w14:textId="77777777" w:rsidR="00265E7F" w:rsidRDefault="00265E7F">
            <w:pPr>
              <w:pStyle w:val="TableContents"/>
              <w:ind w:start="7.45pt" w:end="0.15pt" w:hanging="9.45pt"/>
            </w:pPr>
          </w:p>
        </w:tc>
        <w:tc>
          <w:tcPr>
            <w:tcW w:w="247.55pt" w:type="dxa"/>
            <w:tcBorders>
              <w:start w:val="single" w:sz="4" w:space="0" w:color="000000"/>
            </w:tcBorders>
          </w:tcPr>
          <w:p w14:paraId="72236F89" w14:textId="77777777" w:rsidR="00265E7F" w:rsidRDefault="002809BD">
            <w:pPr>
              <w:pStyle w:val="TableContents"/>
              <w:ind w:start="7.45pt" w:end="0.15pt" w:hanging="9.45pt"/>
            </w:pPr>
            <w:r>
              <w:t>b) einer Schlichtungsbehörde;</w:t>
            </w:r>
          </w:p>
        </w:tc>
        <w:tc>
          <w:tcPr>
            <w:tcW w:w="247.60pt" w:type="dxa"/>
            <w:tcBorders>
              <w:start w:val="single" w:sz="4" w:space="0" w:color="000000"/>
              <w:end w:val="single" w:sz="4" w:space="0" w:color="000000"/>
            </w:tcBorders>
          </w:tcPr>
          <w:p w14:paraId="547ABF9F" w14:textId="77777777" w:rsidR="00265E7F" w:rsidRDefault="00265E7F"/>
        </w:tc>
      </w:tr>
      <w:tr w:rsidR="00265E7F" w14:paraId="2D99D36A" w14:textId="77777777">
        <w:trPr>
          <w:cantSplit/>
        </w:trPr>
        <w:tc>
          <w:tcPr>
            <w:tcW w:w="247.55pt" w:type="dxa"/>
            <w:tcBorders>
              <w:start w:val="single" w:sz="4" w:space="0" w:color="000000"/>
            </w:tcBorders>
          </w:tcPr>
          <w:p w14:paraId="605C1506" w14:textId="77777777" w:rsidR="00265E7F" w:rsidRDefault="00265E7F">
            <w:pPr>
              <w:pStyle w:val="TableContents"/>
              <w:ind w:start="7.45pt" w:end="0.15pt" w:hanging="9.45pt"/>
            </w:pPr>
          </w:p>
        </w:tc>
        <w:tc>
          <w:tcPr>
            <w:tcW w:w="247.55pt" w:type="dxa"/>
            <w:tcBorders>
              <w:start w:val="single" w:sz="4" w:space="0" w:color="000000"/>
            </w:tcBorders>
          </w:tcPr>
          <w:p w14:paraId="479F843C" w14:textId="77777777" w:rsidR="00265E7F" w:rsidRDefault="002809BD">
            <w:pPr>
              <w:pStyle w:val="TableContents"/>
              <w:ind w:start="7.45pt" w:end="0.15pt" w:hanging="9.45pt"/>
            </w:pPr>
            <w:r>
              <w:t>c) einem Gemeinderat;</w:t>
            </w:r>
          </w:p>
        </w:tc>
        <w:tc>
          <w:tcPr>
            <w:tcW w:w="247.60pt" w:type="dxa"/>
            <w:tcBorders>
              <w:start w:val="single" w:sz="4" w:space="0" w:color="000000"/>
              <w:end w:val="single" w:sz="4" w:space="0" w:color="000000"/>
            </w:tcBorders>
          </w:tcPr>
          <w:p w14:paraId="4DA0D1B4" w14:textId="77777777" w:rsidR="00265E7F" w:rsidRDefault="00265E7F"/>
        </w:tc>
      </w:tr>
      <w:tr w:rsidR="00265E7F" w14:paraId="04E965DF" w14:textId="77777777">
        <w:trPr>
          <w:cantSplit/>
        </w:trPr>
        <w:tc>
          <w:tcPr>
            <w:tcW w:w="247.55pt" w:type="dxa"/>
            <w:tcBorders>
              <w:start w:val="single" w:sz="4" w:space="0" w:color="000000"/>
            </w:tcBorders>
          </w:tcPr>
          <w:p w14:paraId="01504801" w14:textId="77777777" w:rsidR="00265E7F" w:rsidRDefault="00265E7F">
            <w:pPr>
              <w:pStyle w:val="TableContents"/>
              <w:ind w:start="7.45pt" w:end="0.15pt" w:hanging="9.45pt"/>
            </w:pPr>
          </w:p>
        </w:tc>
        <w:tc>
          <w:tcPr>
            <w:tcW w:w="247.55pt" w:type="dxa"/>
            <w:tcBorders>
              <w:start w:val="single" w:sz="4" w:space="0" w:color="000000"/>
            </w:tcBorders>
          </w:tcPr>
          <w:p w14:paraId="7FE6EE34" w14:textId="77777777" w:rsidR="00265E7F" w:rsidRDefault="002809BD">
            <w:pPr>
              <w:pStyle w:val="TableContents"/>
              <w:ind w:start="7.45pt" w:end="0.15pt" w:hanging="9.45pt"/>
            </w:pPr>
            <w:r>
              <w:t>d) der kantonalen Verwaltung oder einer kantonalen Anstalt.</w:t>
            </w:r>
          </w:p>
        </w:tc>
        <w:tc>
          <w:tcPr>
            <w:tcW w:w="247.60pt" w:type="dxa"/>
            <w:tcBorders>
              <w:start w:val="single" w:sz="4" w:space="0" w:color="000000"/>
              <w:end w:val="single" w:sz="4" w:space="0" w:color="000000"/>
            </w:tcBorders>
          </w:tcPr>
          <w:p w14:paraId="594D48A9" w14:textId="77777777" w:rsidR="00265E7F" w:rsidRDefault="00265E7F"/>
        </w:tc>
      </w:tr>
      <w:tr w:rsidR="00265E7F" w14:paraId="2918CC9A" w14:textId="77777777">
        <w:trPr>
          <w:cantSplit/>
        </w:trPr>
        <w:tc>
          <w:tcPr>
            <w:tcW w:w="247.55pt" w:type="dxa"/>
            <w:tcBorders>
              <w:start w:val="single" w:sz="4" w:space="0" w:color="000000"/>
            </w:tcBorders>
          </w:tcPr>
          <w:p w14:paraId="08F5D3C3" w14:textId="77777777" w:rsidR="00265E7F" w:rsidRDefault="00265E7F">
            <w:pPr>
              <w:pStyle w:val="TableContents"/>
            </w:pPr>
          </w:p>
        </w:tc>
        <w:tc>
          <w:tcPr>
            <w:tcW w:w="247.55pt" w:type="dxa"/>
            <w:tcBorders>
              <w:start w:val="single" w:sz="4" w:space="0" w:color="000000"/>
            </w:tcBorders>
          </w:tcPr>
          <w:p w14:paraId="59C998B6" w14:textId="77777777" w:rsidR="00265E7F" w:rsidRDefault="002809BD">
            <w:pPr>
              <w:pStyle w:val="TableContents"/>
            </w:pPr>
            <w:r>
              <w:rPr>
                <w:vertAlign w:val="superscript"/>
              </w:rPr>
              <w:t>2</w:t>
            </w:r>
            <w:r>
              <w:t> Vorbehalten bleiben die Unvereinbarkeiten nach Art. 81 der Kantonsverfassung</w:t>
            </w:r>
            <w:r>
              <w:rPr>
                <w:rStyle w:val="Funotenzeichen"/>
              </w:rPr>
              <w:footnoteReference w:id="32"/>
            </w:r>
            <w:r>
              <w:rPr>
                <w:rStyle w:val="Funotenzeichen"/>
              </w:rPr>
              <w:t>)</w:t>
            </w:r>
            <w:r>
              <w:t>.</w:t>
            </w:r>
          </w:p>
        </w:tc>
        <w:tc>
          <w:tcPr>
            <w:tcW w:w="247.60pt" w:type="dxa"/>
            <w:tcBorders>
              <w:start w:val="single" w:sz="4" w:space="0" w:color="000000"/>
              <w:end w:val="single" w:sz="4" w:space="0" w:color="000000"/>
            </w:tcBorders>
          </w:tcPr>
          <w:p w14:paraId="25F452CA" w14:textId="77777777" w:rsidR="00265E7F" w:rsidRDefault="00265E7F"/>
        </w:tc>
      </w:tr>
      <w:tr w:rsidR="00265E7F" w14:paraId="6B1F4646" w14:textId="77777777">
        <w:trPr>
          <w:cantSplit/>
        </w:trPr>
        <w:tc>
          <w:tcPr>
            <w:tcW w:w="247.55pt" w:type="dxa"/>
            <w:tcBorders>
              <w:top w:val="single" w:sz="4" w:space="0" w:color="000000"/>
              <w:start w:val="single" w:sz="4" w:space="0" w:color="000000"/>
            </w:tcBorders>
          </w:tcPr>
          <w:p w14:paraId="376DF2C8" w14:textId="77777777" w:rsidR="00265E7F" w:rsidRDefault="002809BD">
            <w:pPr>
              <w:pStyle w:val="TableContents"/>
            </w:pPr>
            <w:r>
              <w:rPr>
                <w:b/>
                <w:bCs/>
              </w:rPr>
              <w:t>Art.  43</w:t>
            </w:r>
            <w:r>
              <w:br/>
            </w:r>
            <w:r>
              <w:rPr>
                <w:sz w:val="14"/>
              </w:rPr>
              <w:t>Rücktritt</w:t>
            </w:r>
          </w:p>
        </w:tc>
        <w:tc>
          <w:tcPr>
            <w:tcW w:w="247.55pt" w:type="dxa"/>
            <w:tcBorders>
              <w:top w:val="single" w:sz="4" w:space="0" w:color="000000"/>
              <w:start w:val="single" w:sz="4" w:space="0" w:color="000000"/>
            </w:tcBorders>
          </w:tcPr>
          <w:p w14:paraId="1007BD66"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3F9A442" w14:textId="77777777" w:rsidR="00265E7F" w:rsidRDefault="00265E7F"/>
        </w:tc>
      </w:tr>
      <w:tr w:rsidR="00265E7F" w14:paraId="6CAFA280" w14:textId="77777777">
        <w:trPr>
          <w:cantSplit/>
        </w:trPr>
        <w:tc>
          <w:tcPr>
            <w:tcW w:w="247.55pt" w:type="dxa"/>
            <w:tcBorders>
              <w:start w:val="single" w:sz="4" w:space="0" w:color="000000"/>
            </w:tcBorders>
          </w:tcPr>
          <w:p w14:paraId="29D7E484" w14:textId="77777777" w:rsidR="00265E7F" w:rsidRDefault="002809BD">
            <w:pPr>
              <w:pStyle w:val="TableContents"/>
            </w:pPr>
            <w:r>
              <w:rPr>
                <w:vertAlign w:val="superscript"/>
              </w:rPr>
              <w:lastRenderedPageBreak/>
              <w:t>1</w:t>
            </w:r>
            <w:r>
              <w:t> Will der Präsident oder die Präsidentin des Kantonsgerichts, ein Vizepräsident oder eine Vizepräsidentin des Kantonsgerichts sowie ein Vermittler oder eine Vermittlerin vor Ablauf der Amtsdauer zurücktreten, so gilt eine Rücktrittsfrist von sechs Monaten.</w:t>
            </w:r>
          </w:p>
        </w:tc>
        <w:tc>
          <w:tcPr>
            <w:tcW w:w="247.55pt" w:type="dxa"/>
            <w:tcBorders>
              <w:start w:val="single" w:sz="4" w:space="0" w:color="000000"/>
            </w:tcBorders>
          </w:tcPr>
          <w:p w14:paraId="5A6663CF" w14:textId="77777777" w:rsidR="00265E7F" w:rsidRDefault="002809BD">
            <w:pPr>
              <w:pStyle w:val="TableContents"/>
            </w:pPr>
            <w:r>
              <w:rPr>
                <w:vertAlign w:val="superscript"/>
              </w:rPr>
              <w:t>1</w:t>
            </w:r>
            <w:r>
              <w:t> Wer vor Ablauf der Amtsdauer aus einem Gericht oder einer Schlichtungsbehörde zurücktritt, teilt dies sechs Monate im Voraus dem Büro des Kantonsrates mit. Vorbehalten bleibt der Rücktritt aus wichtigen Gründen, der jederzeit ohne Einhaltung einer Frist erklärt werden kann.</w:t>
            </w:r>
          </w:p>
        </w:tc>
        <w:tc>
          <w:tcPr>
            <w:tcW w:w="247.60pt" w:type="dxa"/>
            <w:tcBorders>
              <w:start w:val="single" w:sz="4" w:space="0" w:color="000000"/>
              <w:end w:val="single" w:sz="4" w:space="0" w:color="000000"/>
            </w:tcBorders>
          </w:tcPr>
          <w:p w14:paraId="250FDD75" w14:textId="77777777" w:rsidR="00265E7F" w:rsidRDefault="00265E7F"/>
        </w:tc>
      </w:tr>
      <w:tr w:rsidR="00265E7F" w14:paraId="528C5400" w14:textId="77777777">
        <w:trPr>
          <w:cantSplit/>
        </w:trPr>
        <w:tc>
          <w:tcPr>
            <w:tcW w:w="247.55pt" w:type="dxa"/>
            <w:tcBorders>
              <w:start w:val="single" w:sz="4" w:space="0" w:color="000000"/>
            </w:tcBorders>
          </w:tcPr>
          <w:p w14:paraId="28F9EFE7" w14:textId="77777777" w:rsidR="00265E7F" w:rsidRDefault="002809BD">
            <w:pPr>
              <w:pStyle w:val="TableContents"/>
            </w:pPr>
            <w:r>
              <w:rPr>
                <w:vertAlign w:val="superscript"/>
              </w:rPr>
              <w:t>2</w:t>
            </w:r>
            <w:r>
              <w:t> Die Personen nach Abs. 1 treten unabhängig von der Amtsdauer am Ende jenes Monats in den Ruhestand, in dem sie das ordentliche Rentenalter erreicht haben.</w:t>
            </w:r>
          </w:p>
        </w:tc>
        <w:tc>
          <w:tcPr>
            <w:tcW w:w="247.55pt" w:type="dxa"/>
            <w:tcBorders>
              <w:start w:val="single" w:sz="4" w:space="0" w:color="000000"/>
            </w:tcBorders>
          </w:tcPr>
          <w:p w14:paraId="17753DDF" w14:textId="77777777" w:rsidR="00265E7F" w:rsidRDefault="002809BD">
            <w:pPr>
              <w:pStyle w:val="TableContents"/>
            </w:pPr>
            <w:r>
              <w:rPr>
                <w:vertAlign w:val="superscript"/>
              </w:rPr>
              <w:t>2</w:t>
            </w:r>
            <w:r>
              <w:t> </w:t>
            </w:r>
            <w:r>
              <w:rPr>
                <w:i/>
                <w:iCs/>
              </w:rPr>
              <w:t>Aufgehoben.</w:t>
            </w:r>
          </w:p>
        </w:tc>
        <w:tc>
          <w:tcPr>
            <w:tcW w:w="247.60pt" w:type="dxa"/>
            <w:tcBorders>
              <w:start w:val="single" w:sz="4" w:space="0" w:color="000000"/>
              <w:end w:val="single" w:sz="4" w:space="0" w:color="000000"/>
            </w:tcBorders>
          </w:tcPr>
          <w:p w14:paraId="07D35C65" w14:textId="77777777" w:rsidR="00265E7F" w:rsidRDefault="00265E7F"/>
        </w:tc>
      </w:tr>
      <w:tr w:rsidR="00265E7F" w14:paraId="7FE0BA91" w14:textId="77777777">
        <w:trPr>
          <w:cantSplit/>
        </w:trPr>
        <w:tc>
          <w:tcPr>
            <w:tcW w:w="247.55pt" w:type="dxa"/>
            <w:tcBorders>
              <w:top w:val="single" w:sz="4" w:space="0" w:color="000000"/>
              <w:start w:val="single" w:sz="4" w:space="0" w:color="000000"/>
            </w:tcBorders>
          </w:tcPr>
          <w:p w14:paraId="6C7F5E83" w14:textId="77777777" w:rsidR="00265E7F" w:rsidRDefault="00265E7F">
            <w:pPr>
              <w:pStyle w:val="TableContents"/>
            </w:pPr>
          </w:p>
        </w:tc>
        <w:tc>
          <w:tcPr>
            <w:tcW w:w="247.55pt" w:type="dxa"/>
            <w:tcBorders>
              <w:top w:val="single" w:sz="4" w:space="0" w:color="000000"/>
              <w:start w:val="single" w:sz="4" w:space="0" w:color="000000"/>
            </w:tcBorders>
          </w:tcPr>
          <w:p w14:paraId="6D59B19C" w14:textId="77777777" w:rsidR="00265E7F" w:rsidRDefault="002809BD">
            <w:pPr>
              <w:pStyle w:val="TableContents"/>
            </w:pPr>
            <w:r>
              <w:rPr>
                <w:b/>
                <w:bCs/>
              </w:rPr>
              <w:t>Art.  43a</w:t>
            </w:r>
            <w:r>
              <w:br/>
            </w:r>
            <w:r>
              <w:rPr>
                <w:sz w:val="14"/>
              </w:rPr>
              <w:t>Ruhestand</w:t>
            </w:r>
          </w:p>
        </w:tc>
        <w:tc>
          <w:tcPr>
            <w:tcW w:w="247.60pt" w:type="dxa"/>
            <w:tcBorders>
              <w:top w:val="single" w:sz="4" w:space="0" w:color="000000"/>
              <w:start w:val="single" w:sz="4" w:space="0" w:color="000000"/>
              <w:end w:val="single" w:sz="4" w:space="0" w:color="000000"/>
            </w:tcBorders>
          </w:tcPr>
          <w:p w14:paraId="24FFAEC6" w14:textId="77777777" w:rsidR="00265E7F" w:rsidRDefault="00265E7F"/>
        </w:tc>
      </w:tr>
      <w:tr w:rsidR="00265E7F" w14:paraId="37FC1B47" w14:textId="77777777">
        <w:trPr>
          <w:cantSplit/>
        </w:trPr>
        <w:tc>
          <w:tcPr>
            <w:tcW w:w="247.55pt" w:type="dxa"/>
            <w:tcBorders>
              <w:start w:val="single" w:sz="4" w:space="0" w:color="000000"/>
            </w:tcBorders>
          </w:tcPr>
          <w:p w14:paraId="6B62484E" w14:textId="77777777" w:rsidR="00265E7F" w:rsidRDefault="00265E7F">
            <w:pPr>
              <w:pStyle w:val="TableContents"/>
            </w:pPr>
          </w:p>
        </w:tc>
        <w:tc>
          <w:tcPr>
            <w:tcW w:w="247.55pt" w:type="dxa"/>
            <w:tcBorders>
              <w:start w:val="single" w:sz="4" w:space="0" w:color="000000"/>
            </w:tcBorders>
          </w:tcPr>
          <w:p w14:paraId="347CCD73" w14:textId="77777777" w:rsidR="00265E7F" w:rsidRDefault="002809BD">
            <w:pPr>
              <w:pStyle w:val="TableContents"/>
            </w:pPr>
            <w:r>
              <w:rPr>
                <w:vertAlign w:val="superscript"/>
              </w:rPr>
              <w:t>1</w:t>
            </w:r>
            <w:r>
              <w:t> In den Ruhestand treten am Ende des Monats, in dem sie das ordentliche Rentenalter erreichen:</w:t>
            </w:r>
          </w:p>
        </w:tc>
        <w:tc>
          <w:tcPr>
            <w:tcW w:w="247.60pt" w:type="dxa"/>
            <w:tcBorders>
              <w:start w:val="single" w:sz="4" w:space="0" w:color="000000"/>
              <w:end w:val="single" w:sz="4" w:space="0" w:color="000000"/>
            </w:tcBorders>
          </w:tcPr>
          <w:p w14:paraId="32E28B05" w14:textId="77777777" w:rsidR="00265E7F" w:rsidRDefault="00265E7F"/>
        </w:tc>
      </w:tr>
      <w:tr w:rsidR="00265E7F" w14:paraId="540D79C5" w14:textId="77777777">
        <w:trPr>
          <w:cantSplit/>
        </w:trPr>
        <w:tc>
          <w:tcPr>
            <w:tcW w:w="247.55pt" w:type="dxa"/>
            <w:tcBorders>
              <w:start w:val="single" w:sz="4" w:space="0" w:color="000000"/>
            </w:tcBorders>
          </w:tcPr>
          <w:p w14:paraId="5DAF522D" w14:textId="77777777" w:rsidR="00265E7F" w:rsidRDefault="00265E7F">
            <w:pPr>
              <w:pStyle w:val="TableContents"/>
              <w:ind w:start="7.45pt" w:end="0.15pt" w:hanging="9.45pt"/>
            </w:pPr>
          </w:p>
        </w:tc>
        <w:tc>
          <w:tcPr>
            <w:tcW w:w="247.55pt" w:type="dxa"/>
            <w:tcBorders>
              <w:start w:val="single" w:sz="4" w:space="0" w:color="000000"/>
            </w:tcBorders>
          </w:tcPr>
          <w:p w14:paraId="29F06AF4" w14:textId="77777777" w:rsidR="00265E7F" w:rsidRDefault="002809BD">
            <w:pPr>
              <w:pStyle w:val="TableContents"/>
              <w:ind w:start="7.45pt" w:end="0.15pt" w:hanging="9.45pt"/>
            </w:pPr>
            <w:r>
              <w:t>a) Gerichtspräsidenten und Gerichtspräsidentinnen;</w:t>
            </w:r>
          </w:p>
        </w:tc>
        <w:tc>
          <w:tcPr>
            <w:tcW w:w="247.60pt" w:type="dxa"/>
            <w:tcBorders>
              <w:start w:val="single" w:sz="4" w:space="0" w:color="000000"/>
              <w:end w:val="single" w:sz="4" w:space="0" w:color="000000"/>
            </w:tcBorders>
          </w:tcPr>
          <w:p w14:paraId="0743EDFB" w14:textId="77777777" w:rsidR="00265E7F" w:rsidRDefault="00265E7F"/>
        </w:tc>
      </w:tr>
      <w:tr w:rsidR="00265E7F" w14:paraId="177F7115" w14:textId="77777777">
        <w:trPr>
          <w:cantSplit/>
        </w:trPr>
        <w:tc>
          <w:tcPr>
            <w:tcW w:w="247.55pt" w:type="dxa"/>
            <w:tcBorders>
              <w:start w:val="single" w:sz="4" w:space="0" w:color="000000"/>
            </w:tcBorders>
          </w:tcPr>
          <w:p w14:paraId="24054E43" w14:textId="77777777" w:rsidR="00265E7F" w:rsidRDefault="00265E7F">
            <w:pPr>
              <w:pStyle w:val="TableContents"/>
              <w:ind w:start="7.45pt" w:end="0.15pt" w:hanging="9.45pt"/>
            </w:pPr>
          </w:p>
        </w:tc>
        <w:tc>
          <w:tcPr>
            <w:tcW w:w="247.55pt" w:type="dxa"/>
            <w:tcBorders>
              <w:start w:val="single" w:sz="4" w:space="0" w:color="000000"/>
            </w:tcBorders>
          </w:tcPr>
          <w:p w14:paraId="7A98360E" w14:textId="77777777" w:rsidR="00265E7F" w:rsidRDefault="002809BD">
            <w:pPr>
              <w:pStyle w:val="TableContents"/>
              <w:ind w:start="7.45pt" w:end="0.15pt" w:hanging="9.45pt"/>
            </w:pPr>
            <w:r>
              <w:t>b) Vizepräsidenten und Vizepräsidentinnen;</w:t>
            </w:r>
          </w:p>
        </w:tc>
        <w:tc>
          <w:tcPr>
            <w:tcW w:w="247.60pt" w:type="dxa"/>
            <w:tcBorders>
              <w:start w:val="single" w:sz="4" w:space="0" w:color="000000"/>
              <w:end w:val="single" w:sz="4" w:space="0" w:color="000000"/>
            </w:tcBorders>
          </w:tcPr>
          <w:p w14:paraId="3C5EAF7F" w14:textId="77777777" w:rsidR="00265E7F" w:rsidRDefault="00265E7F"/>
        </w:tc>
      </w:tr>
      <w:tr w:rsidR="00265E7F" w14:paraId="4B07A59C" w14:textId="77777777">
        <w:trPr>
          <w:cantSplit/>
        </w:trPr>
        <w:tc>
          <w:tcPr>
            <w:tcW w:w="247.55pt" w:type="dxa"/>
            <w:tcBorders>
              <w:start w:val="single" w:sz="4" w:space="0" w:color="000000"/>
            </w:tcBorders>
          </w:tcPr>
          <w:p w14:paraId="0F21F338" w14:textId="77777777" w:rsidR="00265E7F" w:rsidRDefault="00265E7F">
            <w:pPr>
              <w:pStyle w:val="TableContents"/>
              <w:ind w:start="7.45pt" w:end="0.15pt" w:hanging="9.45pt"/>
            </w:pPr>
          </w:p>
        </w:tc>
        <w:tc>
          <w:tcPr>
            <w:tcW w:w="247.55pt" w:type="dxa"/>
            <w:tcBorders>
              <w:start w:val="single" w:sz="4" w:space="0" w:color="000000"/>
            </w:tcBorders>
          </w:tcPr>
          <w:p w14:paraId="247C74DA" w14:textId="77777777" w:rsidR="00265E7F" w:rsidRDefault="002809BD">
            <w:pPr>
              <w:pStyle w:val="TableContents"/>
              <w:ind w:start="7.45pt" w:end="0.15pt" w:hanging="9.45pt"/>
            </w:pPr>
            <w:r>
              <w:t>c) Vermittler und Vermittlerinnen.</w:t>
            </w:r>
          </w:p>
        </w:tc>
        <w:tc>
          <w:tcPr>
            <w:tcW w:w="247.60pt" w:type="dxa"/>
            <w:tcBorders>
              <w:start w:val="single" w:sz="4" w:space="0" w:color="000000"/>
              <w:end w:val="single" w:sz="4" w:space="0" w:color="000000"/>
            </w:tcBorders>
          </w:tcPr>
          <w:p w14:paraId="559B89F0" w14:textId="77777777" w:rsidR="00265E7F" w:rsidRDefault="00265E7F"/>
        </w:tc>
      </w:tr>
      <w:tr w:rsidR="00265E7F" w14:paraId="3DF47809" w14:textId="77777777">
        <w:trPr>
          <w:cantSplit/>
        </w:trPr>
        <w:tc>
          <w:tcPr>
            <w:tcW w:w="247.55pt" w:type="dxa"/>
            <w:tcBorders>
              <w:top w:val="single" w:sz="4" w:space="0" w:color="000000"/>
              <w:start w:val="single" w:sz="4" w:space="0" w:color="000000"/>
            </w:tcBorders>
          </w:tcPr>
          <w:p w14:paraId="7F694150" w14:textId="77777777" w:rsidR="00265E7F" w:rsidRDefault="002809BD">
            <w:pPr>
              <w:pStyle w:val="TableContents"/>
            </w:pPr>
            <w:r>
              <w:rPr>
                <w:b/>
                <w:bCs/>
              </w:rPr>
              <w:t>Art.  44</w:t>
            </w:r>
            <w:r>
              <w:br/>
            </w:r>
            <w:r>
              <w:rPr>
                <w:sz w:val="14"/>
              </w:rPr>
              <w:t>Verzicht auf Wiederwahl</w:t>
            </w:r>
          </w:p>
        </w:tc>
        <w:tc>
          <w:tcPr>
            <w:tcW w:w="247.55pt" w:type="dxa"/>
            <w:tcBorders>
              <w:top w:val="single" w:sz="4" w:space="0" w:color="000000"/>
              <w:start w:val="single" w:sz="4" w:space="0" w:color="000000"/>
            </w:tcBorders>
          </w:tcPr>
          <w:p w14:paraId="03FB8CA2"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644ECBFC" w14:textId="77777777" w:rsidR="00265E7F" w:rsidRDefault="00265E7F"/>
        </w:tc>
      </w:tr>
      <w:tr w:rsidR="00265E7F" w14:paraId="19B5FFAF" w14:textId="77777777">
        <w:trPr>
          <w:cantSplit/>
        </w:trPr>
        <w:tc>
          <w:tcPr>
            <w:tcW w:w="247.55pt" w:type="dxa"/>
            <w:tcBorders>
              <w:start w:val="single" w:sz="4" w:space="0" w:color="000000"/>
            </w:tcBorders>
          </w:tcPr>
          <w:p w14:paraId="66ADC3EA" w14:textId="77777777" w:rsidR="00265E7F" w:rsidRDefault="002809BD">
            <w:pPr>
              <w:pStyle w:val="TableContents"/>
            </w:pPr>
            <w:r>
              <w:rPr>
                <w:vertAlign w:val="superscript"/>
              </w:rPr>
              <w:t>1</w:t>
            </w:r>
            <w:r>
              <w:t> Beabsichtigt das zuständige Organ des Kantonsrates, den Verzicht auf eine Wiederwahl vorzuschlagen, so teilt es dies dem Gerichtspräsidenten oder der Gerichtspräsidentin, dem Vizepräsidenten oder der Vizepräsidentin sowie dem Vermittler oder der Vermittlerin bis zwei Monate vor dem Rücktrittstermin schriftlich mit.</w:t>
            </w:r>
          </w:p>
        </w:tc>
        <w:tc>
          <w:tcPr>
            <w:tcW w:w="247.55pt" w:type="dxa"/>
            <w:tcBorders>
              <w:start w:val="single" w:sz="4" w:space="0" w:color="000000"/>
            </w:tcBorders>
          </w:tcPr>
          <w:p w14:paraId="3341CF43" w14:textId="77777777" w:rsidR="00265E7F" w:rsidRDefault="002809BD">
            <w:pPr>
              <w:pStyle w:val="TableContents"/>
            </w:pPr>
            <w:r>
              <w:rPr>
                <w:vertAlign w:val="superscript"/>
              </w:rPr>
              <w:t>1</w:t>
            </w:r>
            <w:r>
              <w:t> Beabsichtigt das zuständige Organ des Kantonsrates, den Verzicht auf eine Wiederwahl vorzuschlagen, so teilt es dies der betroffenen Person frühzeitig mit und hört sie dazu an.</w:t>
            </w:r>
          </w:p>
        </w:tc>
        <w:tc>
          <w:tcPr>
            <w:tcW w:w="247.60pt" w:type="dxa"/>
            <w:tcBorders>
              <w:start w:val="single" w:sz="4" w:space="0" w:color="000000"/>
              <w:end w:val="single" w:sz="4" w:space="0" w:color="000000"/>
            </w:tcBorders>
          </w:tcPr>
          <w:p w14:paraId="7EB8FC5A" w14:textId="77777777" w:rsidR="00265E7F" w:rsidRDefault="00265E7F"/>
        </w:tc>
      </w:tr>
      <w:tr w:rsidR="00265E7F" w14:paraId="4C0461D3" w14:textId="77777777">
        <w:trPr>
          <w:cantSplit/>
        </w:trPr>
        <w:tc>
          <w:tcPr>
            <w:tcW w:w="247.55pt" w:type="dxa"/>
            <w:tcBorders>
              <w:start w:val="single" w:sz="4" w:space="0" w:color="000000"/>
            </w:tcBorders>
          </w:tcPr>
          <w:p w14:paraId="761EA121" w14:textId="77777777" w:rsidR="00265E7F" w:rsidRDefault="002809BD">
            <w:pPr>
              <w:pStyle w:val="TableContents"/>
            </w:pPr>
            <w:r>
              <w:rPr>
                <w:vertAlign w:val="superscript"/>
              </w:rPr>
              <w:t>2</w:t>
            </w:r>
            <w:r>
              <w:t> Der oder die Betroffene ist vom zuständigen Organ des Kantonsrates anzuhören.</w:t>
            </w:r>
          </w:p>
        </w:tc>
        <w:tc>
          <w:tcPr>
            <w:tcW w:w="247.55pt" w:type="dxa"/>
            <w:tcBorders>
              <w:start w:val="single" w:sz="4" w:space="0" w:color="000000"/>
            </w:tcBorders>
          </w:tcPr>
          <w:p w14:paraId="101876E9" w14:textId="77777777" w:rsidR="00265E7F" w:rsidRDefault="002809BD">
            <w:pPr>
              <w:pStyle w:val="TableContents"/>
            </w:pPr>
            <w:r>
              <w:rPr>
                <w:vertAlign w:val="superscript"/>
              </w:rPr>
              <w:t>2</w:t>
            </w:r>
            <w:r>
              <w:t> </w:t>
            </w:r>
            <w:r>
              <w:rPr>
                <w:i/>
                <w:iCs/>
              </w:rPr>
              <w:t>Aufgehoben.</w:t>
            </w:r>
          </w:p>
        </w:tc>
        <w:tc>
          <w:tcPr>
            <w:tcW w:w="247.60pt" w:type="dxa"/>
            <w:tcBorders>
              <w:start w:val="single" w:sz="4" w:space="0" w:color="000000"/>
              <w:end w:val="single" w:sz="4" w:space="0" w:color="000000"/>
            </w:tcBorders>
          </w:tcPr>
          <w:p w14:paraId="15968F4E" w14:textId="77777777" w:rsidR="00265E7F" w:rsidRDefault="00265E7F"/>
        </w:tc>
      </w:tr>
      <w:tr w:rsidR="00265E7F" w14:paraId="7F2889C0" w14:textId="77777777">
        <w:trPr>
          <w:cantSplit/>
        </w:trPr>
        <w:tc>
          <w:tcPr>
            <w:tcW w:w="247.55pt" w:type="dxa"/>
            <w:tcBorders>
              <w:top w:val="single" w:sz="4" w:space="0" w:color="000000"/>
              <w:start w:val="single" w:sz="4" w:space="0" w:color="000000"/>
            </w:tcBorders>
          </w:tcPr>
          <w:p w14:paraId="5F29C839" w14:textId="77777777" w:rsidR="00265E7F" w:rsidRDefault="002809BD">
            <w:pPr>
              <w:pStyle w:val="TableContents"/>
            </w:pPr>
            <w:r>
              <w:rPr>
                <w:b/>
                <w:bCs/>
              </w:rPr>
              <w:lastRenderedPageBreak/>
              <w:t>Art.  45</w:t>
            </w:r>
            <w:r>
              <w:br/>
            </w:r>
            <w:r>
              <w:rPr>
                <w:sz w:val="14"/>
              </w:rPr>
              <w:t>Beschäftigungsgrad</w:t>
            </w:r>
          </w:p>
        </w:tc>
        <w:tc>
          <w:tcPr>
            <w:tcW w:w="247.55pt" w:type="dxa"/>
            <w:tcBorders>
              <w:top w:val="single" w:sz="4" w:space="0" w:color="000000"/>
              <w:start w:val="single" w:sz="4" w:space="0" w:color="000000"/>
            </w:tcBorders>
          </w:tcPr>
          <w:p w14:paraId="60F3141D"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68577B78" w14:textId="77777777" w:rsidR="00265E7F" w:rsidRDefault="00265E7F"/>
        </w:tc>
      </w:tr>
      <w:tr w:rsidR="00265E7F" w14:paraId="2FF33B69" w14:textId="77777777">
        <w:trPr>
          <w:cantSplit/>
        </w:trPr>
        <w:tc>
          <w:tcPr>
            <w:tcW w:w="247.55pt" w:type="dxa"/>
            <w:tcBorders>
              <w:start w:val="single" w:sz="4" w:space="0" w:color="000000"/>
            </w:tcBorders>
          </w:tcPr>
          <w:p w14:paraId="51397ED0" w14:textId="77777777" w:rsidR="00265E7F" w:rsidRDefault="002809BD">
            <w:pPr>
              <w:pStyle w:val="TableContents"/>
            </w:pPr>
            <w:r>
              <w:rPr>
                <w:vertAlign w:val="superscript"/>
              </w:rPr>
              <w:t>1</w:t>
            </w:r>
            <w:r>
              <w:t> Der Kantonsrat setzt nach Anhörung des Obergerichtes die Stellenprozente der Vizepräsidenten und Vizepräsidentinnen der Gerichte fest.</w:t>
            </w:r>
          </w:p>
        </w:tc>
        <w:tc>
          <w:tcPr>
            <w:tcW w:w="247.55pt" w:type="dxa"/>
            <w:tcBorders>
              <w:start w:val="single" w:sz="4" w:space="0" w:color="000000"/>
            </w:tcBorders>
          </w:tcPr>
          <w:p w14:paraId="25C2D957" w14:textId="77777777" w:rsidR="00265E7F" w:rsidRDefault="002809BD">
            <w:pPr>
              <w:pStyle w:val="TableContents"/>
            </w:pPr>
            <w:r>
              <w:rPr>
                <w:vertAlign w:val="superscript"/>
              </w:rPr>
              <w:t>1</w:t>
            </w:r>
            <w:r>
              <w:t> Der Kantonsrat setzt nach Anhörung des Obergerichtes die Stellenprozente der Mitglieder der Gerichte und der Schlichtungsbehörden fest.</w:t>
            </w:r>
          </w:p>
        </w:tc>
        <w:tc>
          <w:tcPr>
            <w:tcW w:w="247.60pt" w:type="dxa"/>
            <w:tcBorders>
              <w:start w:val="single" w:sz="4" w:space="0" w:color="000000"/>
              <w:end w:val="single" w:sz="4" w:space="0" w:color="000000"/>
            </w:tcBorders>
          </w:tcPr>
          <w:p w14:paraId="3F18A809" w14:textId="77777777" w:rsidR="00265E7F" w:rsidRDefault="00265E7F"/>
        </w:tc>
      </w:tr>
      <w:tr w:rsidR="00265E7F" w14:paraId="4EB33208" w14:textId="77777777">
        <w:trPr>
          <w:cantSplit/>
        </w:trPr>
        <w:tc>
          <w:tcPr>
            <w:tcW w:w="247.55pt" w:type="dxa"/>
            <w:tcBorders>
              <w:start w:val="single" w:sz="4" w:space="0" w:color="000000"/>
            </w:tcBorders>
          </w:tcPr>
          <w:p w14:paraId="213AF254" w14:textId="77777777" w:rsidR="00265E7F" w:rsidRDefault="002809BD">
            <w:pPr>
              <w:pStyle w:val="TableContents"/>
            </w:pPr>
            <w:r>
              <w:rPr>
                <w:vertAlign w:val="superscript"/>
              </w:rPr>
              <w:t>2</w:t>
            </w:r>
            <w:r>
              <w:t xml:space="preserve"> Die Präsidien des Kantons- und des Obergerichtes werden mit </w:t>
            </w:r>
            <w:proofErr w:type="spellStart"/>
            <w:r>
              <w:t>Vollpensen</w:t>
            </w:r>
            <w:proofErr w:type="spellEnd"/>
            <w:r>
              <w:t xml:space="preserve"> ausgeübt.</w:t>
            </w:r>
          </w:p>
        </w:tc>
        <w:tc>
          <w:tcPr>
            <w:tcW w:w="247.55pt" w:type="dxa"/>
            <w:tcBorders>
              <w:start w:val="single" w:sz="4" w:space="0" w:color="000000"/>
            </w:tcBorders>
          </w:tcPr>
          <w:p w14:paraId="6D6F496B" w14:textId="77777777" w:rsidR="00265E7F" w:rsidRDefault="00265E7F">
            <w:pPr>
              <w:pStyle w:val="TableContents"/>
            </w:pPr>
          </w:p>
        </w:tc>
        <w:tc>
          <w:tcPr>
            <w:tcW w:w="247.60pt" w:type="dxa"/>
            <w:tcBorders>
              <w:start w:val="single" w:sz="4" w:space="0" w:color="000000"/>
              <w:end w:val="single" w:sz="4" w:space="0" w:color="000000"/>
            </w:tcBorders>
          </w:tcPr>
          <w:p w14:paraId="616083F5" w14:textId="77777777" w:rsidR="00265E7F" w:rsidRDefault="00265E7F"/>
        </w:tc>
      </w:tr>
      <w:tr w:rsidR="00265E7F" w14:paraId="2212283A" w14:textId="77777777">
        <w:trPr>
          <w:cantSplit/>
        </w:trPr>
        <w:tc>
          <w:tcPr>
            <w:tcW w:w="247.55pt" w:type="dxa"/>
            <w:tcBorders>
              <w:start w:val="single" w:sz="4" w:space="0" w:color="000000"/>
            </w:tcBorders>
          </w:tcPr>
          <w:p w14:paraId="4B93498D" w14:textId="77777777" w:rsidR="00265E7F" w:rsidRDefault="002809BD">
            <w:pPr>
              <w:pStyle w:val="TableContents"/>
            </w:pPr>
            <w:r>
              <w:rPr>
                <w:vertAlign w:val="superscript"/>
              </w:rPr>
              <w:t>3</w:t>
            </w:r>
            <w:r>
              <w:t> Ein Teilpensum bei den Vizepräsidien umfasst mindestens 50 Stellenprozente.</w:t>
            </w:r>
          </w:p>
        </w:tc>
        <w:tc>
          <w:tcPr>
            <w:tcW w:w="247.55pt" w:type="dxa"/>
            <w:tcBorders>
              <w:start w:val="single" w:sz="4" w:space="0" w:color="000000"/>
            </w:tcBorders>
          </w:tcPr>
          <w:p w14:paraId="6C798E98" w14:textId="77777777" w:rsidR="00265E7F" w:rsidRDefault="002809BD">
            <w:pPr>
              <w:pStyle w:val="TableContents"/>
            </w:pPr>
            <w:r>
              <w:rPr>
                <w:vertAlign w:val="superscript"/>
              </w:rPr>
              <w:t>3</w:t>
            </w:r>
            <w:r>
              <w:t> Ein Teilpensum bei den Vizepräsidien umfasst mindestens 40 Stellenprozente.</w:t>
            </w:r>
          </w:p>
        </w:tc>
        <w:tc>
          <w:tcPr>
            <w:tcW w:w="247.60pt" w:type="dxa"/>
            <w:tcBorders>
              <w:start w:val="single" w:sz="4" w:space="0" w:color="000000"/>
              <w:end w:val="single" w:sz="4" w:space="0" w:color="000000"/>
            </w:tcBorders>
          </w:tcPr>
          <w:p w14:paraId="0E605E66" w14:textId="77777777" w:rsidR="00265E7F" w:rsidRDefault="00265E7F"/>
        </w:tc>
      </w:tr>
      <w:tr w:rsidR="00265E7F" w14:paraId="09C727C7" w14:textId="77777777">
        <w:trPr>
          <w:cantSplit/>
        </w:trPr>
        <w:tc>
          <w:tcPr>
            <w:tcW w:w="247.55pt" w:type="dxa"/>
            <w:tcBorders>
              <w:top w:val="single" w:sz="4" w:space="0" w:color="000000"/>
              <w:start w:val="single" w:sz="4" w:space="0" w:color="000000"/>
            </w:tcBorders>
          </w:tcPr>
          <w:p w14:paraId="2D9E0340" w14:textId="77777777" w:rsidR="00265E7F" w:rsidRDefault="00265E7F">
            <w:pPr>
              <w:pStyle w:val="TableContents"/>
            </w:pPr>
          </w:p>
        </w:tc>
        <w:tc>
          <w:tcPr>
            <w:tcW w:w="247.55pt" w:type="dxa"/>
            <w:tcBorders>
              <w:top w:val="single" w:sz="4" w:space="0" w:color="000000"/>
              <w:start w:val="single" w:sz="4" w:space="0" w:color="000000"/>
            </w:tcBorders>
          </w:tcPr>
          <w:p w14:paraId="21EF8159" w14:textId="77777777" w:rsidR="00265E7F" w:rsidRDefault="002809BD">
            <w:pPr>
              <w:pStyle w:val="TableContents"/>
            </w:pPr>
            <w:r>
              <w:rPr>
                <w:b/>
                <w:bCs/>
              </w:rPr>
              <w:t>Art.  45a</w:t>
            </w:r>
            <w:r>
              <w:br/>
            </w:r>
            <w:r>
              <w:rPr>
                <w:sz w:val="14"/>
              </w:rPr>
              <w:t>Ausserordentliche Mitglieder</w:t>
            </w:r>
          </w:p>
        </w:tc>
        <w:tc>
          <w:tcPr>
            <w:tcW w:w="247.60pt" w:type="dxa"/>
            <w:tcBorders>
              <w:top w:val="single" w:sz="4" w:space="0" w:color="000000"/>
              <w:start w:val="single" w:sz="4" w:space="0" w:color="000000"/>
              <w:end w:val="single" w:sz="4" w:space="0" w:color="000000"/>
            </w:tcBorders>
          </w:tcPr>
          <w:p w14:paraId="7C41F7AA" w14:textId="77777777" w:rsidR="00265E7F" w:rsidRDefault="00265E7F"/>
        </w:tc>
      </w:tr>
      <w:tr w:rsidR="00265E7F" w14:paraId="60BDC4CB" w14:textId="77777777">
        <w:trPr>
          <w:cantSplit/>
        </w:trPr>
        <w:tc>
          <w:tcPr>
            <w:tcW w:w="247.55pt" w:type="dxa"/>
            <w:tcBorders>
              <w:start w:val="single" w:sz="4" w:space="0" w:color="000000"/>
            </w:tcBorders>
          </w:tcPr>
          <w:p w14:paraId="384DA9E0" w14:textId="77777777" w:rsidR="00265E7F" w:rsidRDefault="00265E7F">
            <w:pPr>
              <w:pStyle w:val="TableContents"/>
            </w:pPr>
          </w:p>
        </w:tc>
        <w:tc>
          <w:tcPr>
            <w:tcW w:w="247.55pt" w:type="dxa"/>
            <w:tcBorders>
              <w:start w:val="single" w:sz="4" w:space="0" w:color="000000"/>
            </w:tcBorders>
          </w:tcPr>
          <w:p w14:paraId="167AD324" w14:textId="77777777" w:rsidR="00265E7F" w:rsidRDefault="002809BD">
            <w:pPr>
              <w:pStyle w:val="TableContents"/>
            </w:pPr>
            <w:r>
              <w:rPr>
                <w:vertAlign w:val="superscript"/>
              </w:rPr>
              <w:t>1</w:t>
            </w:r>
            <w:r>
              <w:t> Der Kantonsrat kann auf Antrag des Obergerichts ausserordentliche Mitglieder für ein Gericht oder eine Schlichtungsbehörde ernennen, wenn</w:t>
            </w:r>
          </w:p>
        </w:tc>
        <w:tc>
          <w:tcPr>
            <w:tcW w:w="247.60pt" w:type="dxa"/>
            <w:tcBorders>
              <w:start w:val="single" w:sz="4" w:space="0" w:color="000000"/>
              <w:end w:val="single" w:sz="4" w:space="0" w:color="000000"/>
            </w:tcBorders>
          </w:tcPr>
          <w:p w14:paraId="0102BA9D" w14:textId="77777777" w:rsidR="00265E7F" w:rsidRDefault="00265E7F"/>
        </w:tc>
      </w:tr>
      <w:tr w:rsidR="00265E7F" w14:paraId="4FD27CC8" w14:textId="77777777">
        <w:trPr>
          <w:cantSplit/>
        </w:trPr>
        <w:tc>
          <w:tcPr>
            <w:tcW w:w="247.55pt" w:type="dxa"/>
            <w:tcBorders>
              <w:start w:val="single" w:sz="4" w:space="0" w:color="000000"/>
            </w:tcBorders>
          </w:tcPr>
          <w:p w14:paraId="6B337C95" w14:textId="77777777" w:rsidR="00265E7F" w:rsidRDefault="00265E7F">
            <w:pPr>
              <w:pStyle w:val="TableContents"/>
              <w:ind w:start="7.45pt" w:end="0.15pt" w:hanging="9.45pt"/>
            </w:pPr>
          </w:p>
        </w:tc>
        <w:tc>
          <w:tcPr>
            <w:tcW w:w="247.55pt" w:type="dxa"/>
            <w:tcBorders>
              <w:start w:val="single" w:sz="4" w:space="0" w:color="000000"/>
            </w:tcBorders>
          </w:tcPr>
          <w:p w14:paraId="313F4775" w14:textId="77777777" w:rsidR="00265E7F" w:rsidRDefault="002809BD">
            <w:pPr>
              <w:pStyle w:val="TableContents"/>
              <w:ind w:start="7.45pt" w:end="0.15pt" w:hanging="9.45pt"/>
            </w:pPr>
            <w:r>
              <w:t>a) ein Mitglied des Gerichtes oder der Schlichtungsbehörde voraussichtlich für mehrere Monate an der Ausübung des Amtes verhindert ist oder</w:t>
            </w:r>
          </w:p>
        </w:tc>
        <w:tc>
          <w:tcPr>
            <w:tcW w:w="247.60pt" w:type="dxa"/>
            <w:tcBorders>
              <w:start w:val="single" w:sz="4" w:space="0" w:color="000000"/>
              <w:end w:val="single" w:sz="4" w:space="0" w:color="000000"/>
            </w:tcBorders>
          </w:tcPr>
          <w:p w14:paraId="63A5198F" w14:textId="77777777" w:rsidR="00265E7F" w:rsidRDefault="00265E7F"/>
        </w:tc>
      </w:tr>
      <w:tr w:rsidR="00265E7F" w14:paraId="6AEE903F" w14:textId="77777777">
        <w:trPr>
          <w:cantSplit/>
        </w:trPr>
        <w:tc>
          <w:tcPr>
            <w:tcW w:w="247.55pt" w:type="dxa"/>
            <w:tcBorders>
              <w:start w:val="single" w:sz="4" w:space="0" w:color="000000"/>
            </w:tcBorders>
          </w:tcPr>
          <w:p w14:paraId="5909EBD5" w14:textId="77777777" w:rsidR="00265E7F" w:rsidRDefault="00265E7F">
            <w:pPr>
              <w:pStyle w:val="TableContents"/>
              <w:ind w:start="7.45pt" w:end="0.15pt" w:hanging="9.45pt"/>
            </w:pPr>
          </w:p>
        </w:tc>
        <w:tc>
          <w:tcPr>
            <w:tcW w:w="247.55pt" w:type="dxa"/>
            <w:tcBorders>
              <w:start w:val="single" w:sz="4" w:space="0" w:color="000000"/>
            </w:tcBorders>
          </w:tcPr>
          <w:p w14:paraId="6CA928C9" w14:textId="77777777" w:rsidR="00265E7F" w:rsidRDefault="002809BD">
            <w:pPr>
              <w:pStyle w:val="TableContents"/>
              <w:ind w:start="7.45pt" w:end="0.15pt" w:hanging="9.45pt"/>
            </w:pPr>
            <w:r>
              <w:t>b) wegen einer ausserordentlich hohen Geschäftslast nicht mehr gewährleistet ist, dass Verfahren innert angemessener Frist erledigt werden können.</w:t>
            </w:r>
          </w:p>
        </w:tc>
        <w:tc>
          <w:tcPr>
            <w:tcW w:w="247.60pt" w:type="dxa"/>
            <w:tcBorders>
              <w:start w:val="single" w:sz="4" w:space="0" w:color="000000"/>
              <w:end w:val="single" w:sz="4" w:space="0" w:color="000000"/>
            </w:tcBorders>
          </w:tcPr>
          <w:p w14:paraId="308EA221" w14:textId="77777777" w:rsidR="00265E7F" w:rsidRDefault="00265E7F"/>
        </w:tc>
      </w:tr>
      <w:tr w:rsidR="00265E7F" w14:paraId="5DFC8649" w14:textId="77777777">
        <w:trPr>
          <w:cantSplit/>
        </w:trPr>
        <w:tc>
          <w:tcPr>
            <w:tcW w:w="247.55pt" w:type="dxa"/>
            <w:tcBorders>
              <w:start w:val="single" w:sz="4" w:space="0" w:color="000000"/>
            </w:tcBorders>
          </w:tcPr>
          <w:p w14:paraId="5D20ACEF" w14:textId="77777777" w:rsidR="00265E7F" w:rsidRDefault="00265E7F">
            <w:pPr>
              <w:pStyle w:val="TableContents"/>
            </w:pPr>
          </w:p>
        </w:tc>
        <w:tc>
          <w:tcPr>
            <w:tcW w:w="247.55pt" w:type="dxa"/>
            <w:tcBorders>
              <w:start w:val="single" w:sz="4" w:space="0" w:color="000000"/>
            </w:tcBorders>
          </w:tcPr>
          <w:p w14:paraId="499723F7" w14:textId="77777777" w:rsidR="00265E7F" w:rsidRDefault="002809BD">
            <w:pPr>
              <w:pStyle w:val="TableContents"/>
            </w:pPr>
            <w:r>
              <w:rPr>
                <w:vertAlign w:val="superscript"/>
              </w:rPr>
              <w:t>2</w:t>
            </w:r>
            <w:r>
              <w:t> Ausserordentliche Mitglieder werden vom Kantonsrat für eine Dauer von höchstens zwei Jahren ernannt. Im Übrigen sind sie ordentlichen Mitgliedern gleichgestellt.</w:t>
            </w:r>
          </w:p>
        </w:tc>
        <w:tc>
          <w:tcPr>
            <w:tcW w:w="247.60pt" w:type="dxa"/>
            <w:tcBorders>
              <w:start w:val="single" w:sz="4" w:space="0" w:color="000000"/>
              <w:end w:val="single" w:sz="4" w:space="0" w:color="000000"/>
            </w:tcBorders>
          </w:tcPr>
          <w:p w14:paraId="464B9E16" w14:textId="77777777" w:rsidR="00265E7F" w:rsidRDefault="00265E7F"/>
        </w:tc>
      </w:tr>
      <w:tr w:rsidR="00265E7F" w14:paraId="6A66E949" w14:textId="77777777">
        <w:trPr>
          <w:cantSplit/>
        </w:trPr>
        <w:tc>
          <w:tcPr>
            <w:tcW w:w="247.55pt" w:type="dxa"/>
            <w:tcBorders>
              <w:top w:val="single" w:sz="4" w:space="0" w:color="000000"/>
              <w:start w:val="single" w:sz="4" w:space="0" w:color="000000"/>
            </w:tcBorders>
          </w:tcPr>
          <w:p w14:paraId="3BB8859F" w14:textId="77777777" w:rsidR="00265E7F" w:rsidRDefault="00265E7F">
            <w:pPr>
              <w:pStyle w:val="TableContents"/>
            </w:pPr>
          </w:p>
        </w:tc>
        <w:tc>
          <w:tcPr>
            <w:tcW w:w="247.55pt" w:type="dxa"/>
            <w:tcBorders>
              <w:top w:val="single" w:sz="4" w:space="0" w:color="000000"/>
              <w:start w:val="single" w:sz="4" w:space="0" w:color="000000"/>
            </w:tcBorders>
          </w:tcPr>
          <w:p w14:paraId="30EAFC34" w14:textId="77777777" w:rsidR="00265E7F" w:rsidRDefault="002809BD">
            <w:pPr>
              <w:pStyle w:val="TableContents"/>
            </w:pPr>
            <w:r>
              <w:rPr>
                <w:b/>
                <w:bCs/>
              </w:rPr>
              <w:t>Art.  46a</w:t>
            </w:r>
            <w:r>
              <w:br/>
            </w:r>
            <w:r>
              <w:rPr>
                <w:sz w:val="14"/>
              </w:rPr>
              <w:t>Offenlegung der Interessenbindungen</w:t>
            </w:r>
          </w:p>
        </w:tc>
        <w:tc>
          <w:tcPr>
            <w:tcW w:w="247.60pt" w:type="dxa"/>
            <w:tcBorders>
              <w:top w:val="single" w:sz="4" w:space="0" w:color="000000"/>
              <w:start w:val="single" w:sz="4" w:space="0" w:color="000000"/>
              <w:end w:val="single" w:sz="4" w:space="0" w:color="000000"/>
            </w:tcBorders>
          </w:tcPr>
          <w:p w14:paraId="41DA2FC1" w14:textId="77777777" w:rsidR="00265E7F" w:rsidRDefault="00265E7F"/>
        </w:tc>
      </w:tr>
      <w:tr w:rsidR="00265E7F" w14:paraId="7D0D0057" w14:textId="77777777">
        <w:trPr>
          <w:cantSplit/>
        </w:trPr>
        <w:tc>
          <w:tcPr>
            <w:tcW w:w="247.55pt" w:type="dxa"/>
            <w:tcBorders>
              <w:start w:val="single" w:sz="4" w:space="0" w:color="000000"/>
            </w:tcBorders>
          </w:tcPr>
          <w:p w14:paraId="09107E20" w14:textId="77777777" w:rsidR="00265E7F" w:rsidRDefault="00265E7F">
            <w:pPr>
              <w:pStyle w:val="TableContents"/>
            </w:pPr>
          </w:p>
        </w:tc>
        <w:tc>
          <w:tcPr>
            <w:tcW w:w="247.55pt" w:type="dxa"/>
            <w:tcBorders>
              <w:start w:val="single" w:sz="4" w:space="0" w:color="000000"/>
            </w:tcBorders>
          </w:tcPr>
          <w:p w14:paraId="58C3349E" w14:textId="77777777" w:rsidR="00265E7F" w:rsidRDefault="002809BD">
            <w:pPr>
              <w:pStyle w:val="TableContents"/>
            </w:pPr>
            <w:r>
              <w:rPr>
                <w:vertAlign w:val="superscript"/>
              </w:rPr>
              <w:t>1</w:t>
            </w:r>
            <w:r>
              <w:t> Die Mitglieder der Gerichte und der Schlichtungsbehörden legen bei Amtsantritt ihre Interessenbindungen offen. Vorbehalten bleibt das Berufsgeheimnis.</w:t>
            </w:r>
          </w:p>
        </w:tc>
        <w:tc>
          <w:tcPr>
            <w:tcW w:w="247.60pt" w:type="dxa"/>
            <w:tcBorders>
              <w:start w:val="single" w:sz="4" w:space="0" w:color="000000"/>
              <w:end w:val="single" w:sz="4" w:space="0" w:color="000000"/>
            </w:tcBorders>
          </w:tcPr>
          <w:p w14:paraId="53C66491" w14:textId="77777777" w:rsidR="00265E7F" w:rsidRDefault="00265E7F"/>
        </w:tc>
      </w:tr>
      <w:tr w:rsidR="00265E7F" w14:paraId="57B9A5AC" w14:textId="77777777">
        <w:trPr>
          <w:cantSplit/>
        </w:trPr>
        <w:tc>
          <w:tcPr>
            <w:tcW w:w="247.55pt" w:type="dxa"/>
            <w:tcBorders>
              <w:start w:val="single" w:sz="4" w:space="0" w:color="000000"/>
            </w:tcBorders>
          </w:tcPr>
          <w:p w14:paraId="76D2F87F" w14:textId="77777777" w:rsidR="00265E7F" w:rsidRDefault="00265E7F">
            <w:pPr>
              <w:pStyle w:val="TableContents"/>
            </w:pPr>
          </w:p>
        </w:tc>
        <w:tc>
          <w:tcPr>
            <w:tcW w:w="247.55pt" w:type="dxa"/>
            <w:tcBorders>
              <w:start w:val="single" w:sz="4" w:space="0" w:color="000000"/>
            </w:tcBorders>
          </w:tcPr>
          <w:p w14:paraId="169419C0" w14:textId="77777777" w:rsidR="00265E7F" w:rsidRDefault="002809BD">
            <w:pPr>
              <w:pStyle w:val="TableContents"/>
            </w:pPr>
            <w:r>
              <w:rPr>
                <w:vertAlign w:val="superscript"/>
              </w:rPr>
              <w:t>2</w:t>
            </w:r>
            <w:r>
              <w:t> Offenzulegen sind:</w:t>
            </w:r>
          </w:p>
        </w:tc>
        <w:tc>
          <w:tcPr>
            <w:tcW w:w="247.60pt" w:type="dxa"/>
            <w:tcBorders>
              <w:start w:val="single" w:sz="4" w:space="0" w:color="000000"/>
              <w:end w:val="single" w:sz="4" w:space="0" w:color="000000"/>
            </w:tcBorders>
          </w:tcPr>
          <w:p w14:paraId="4AAC86BC" w14:textId="77777777" w:rsidR="00265E7F" w:rsidRDefault="00265E7F"/>
        </w:tc>
      </w:tr>
      <w:tr w:rsidR="00265E7F" w14:paraId="5508160E" w14:textId="77777777">
        <w:trPr>
          <w:cantSplit/>
        </w:trPr>
        <w:tc>
          <w:tcPr>
            <w:tcW w:w="247.55pt" w:type="dxa"/>
            <w:tcBorders>
              <w:start w:val="single" w:sz="4" w:space="0" w:color="000000"/>
            </w:tcBorders>
          </w:tcPr>
          <w:p w14:paraId="0815AD5A" w14:textId="77777777" w:rsidR="00265E7F" w:rsidRDefault="00265E7F">
            <w:pPr>
              <w:pStyle w:val="TableContents"/>
              <w:ind w:start="7.45pt" w:end="0.15pt" w:hanging="9.45pt"/>
            </w:pPr>
          </w:p>
        </w:tc>
        <w:tc>
          <w:tcPr>
            <w:tcW w:w="247.55pt" w:type="dxa"/>
            <w:tcBorders>
              <w:start w:val="single" w:sz="4" w:space="0" w:color="000000"/>
            </w:tcBorders>
          </w:tcPr>
          <w:p w14:paraId="42A7FE75" w14:textId="77777777" w:rsidR="00265E7F" w:rsidRDefault="002809BD">
            <w:pPr>
              <w:pStyle w:val="TableContents"/>
              <w:ind w:start="7.45pt" w:end="0.15pt" w:hanging="9.45pt"/>
            </w:pPr>
            <w:r>
              <w:t>a) die berufliche Haupttätigkeit und berufliche Nebenbeschäftigungen;</w:t>
            </w:r>
          </w:p>
        </w:tc>
        <w:tc>
          <w:tcPr>
            <w:tcW w:w="247.60pt" w:type="dxa"/>
            <w:tcBorders>
              <w:start w:val="single" w:sz="4" w:space="0" w:color="000000"/>
              <w:end w:val="single" w:sz="4" w:space="0" w:color="000000"/>
            </w:tcBorders>
          </w:tcPr>
          <w:p w14:paraId="41D9A126" w14:textId="77777777" w:rsidR="00265E7F" w:rsidRDefault="00265E7F"/>
        </w:tc>
      </w:tr>
      <w:tr w:rsidR="00265E7F" w14:paraId="48F45774" w14:textId="77777777">
        <w:trPr>
          <w:cantSplit/>
        </w:trPr>
        <w:tc>
          <w:tcPr>
            <w:tcW w:w="247.55pt" w:type="dxa"/>
            <w:tcBorders>
              <w:start w:val="single" w:sz="4" w:space="0" w:color="000000"/>
            </w:tcBorders>
          </w:tcPr>
          <w:p w14:paraId="3242FC77" w14:textId="77777777" w:rsidR="00265E7F" w:rsidRDefault="00265E7F">
            <w:pPr>
              <w:pStyle w:val="TableContents"/>
              <w:ind w:start="7.45pt" w:end="0.15pt" w:hanging="9.45pt"/>
            </w:pPr>
          </w:p>
        </w:tc>
        <w:tc>
          <w:tcPr>
            <w:tcW w:w="247.55pt" w:type="dxa"/>
            <w:tcBorders>
              <w:start w:val="single" w:sz="4" w:space="0" w:color="000000"/>
            </w:tcBorders>
          </w:tcPr>
          <w:p w14:paraId="4EDC31DA" w14:textId="77777777" w:rsidR="00265E7F" w:rsidRDefault="002809BD">
            <w:pPr>
              <w:pStyle w:val="TableContents"/>
              <w:ind w:start="7.45pt" w:end="0.15pt" w:hanging="9.45pt"/>
            </w:pPr>
            <w:r>
              <w:t>b) Tätigkeiten in Führungs- und Aufsichtsgremien von Körperschaften, Anstalten und Stiftungen des privaten und des öffentlichen Rechts;</w:t>
            </w:r>
          </w:p>
        </w:tc>
        <w:tc>
          <w:tcPr>
            <w:tcW w:w="247.60pt" w:type="dxa"/>
            <w:tcBorders>
              <w:start w:val="single" w:sz="4" w:space="0" w:color="000000"/>
              <w:end w:val="single" w:sz="4" w:space="0" w:color="000000"/>
            </w:tcBorders>
          </w:tcPr>
          <w:p w14:paraId="7071631E" w14:textId="77777777" w:rsidR="00265E7F" w:rsidRDefault="00265E7F"/>
        </w:tc>
      </w:tr>
      <w:tr w:rsidR="00265E7F" w14:paraId="3B4DBA69" w14:textId="77777777">
        <w:trPr>
          <w:cantSplit/>
        </w:trPr>
        <w:tc>
          <w:tcPr>
            <w:tcW w:w="247.55pt" w:type="dxa"/>
            <w:tcBorders>
              <w:start w:val="single" w:sz="4" w:space="0" w:color="000000"/>
            </w:tcBorders>
          </w:tcPr>
          <w:p w14:paraId="60CBEA29" w14:textId="77777777" w:rsidR="00265E7F" w:rsidRDefault="00265E7F">
            <w:pPr>
              <w:pStyle w:val="TableContents"/>
              <w:ind w:start="7.45pt" w:end="0.15pt" w:hanging="9.45pt"/>
            </w:pPr>
          </w:p>
        </w:tc>
        <w:tc>
          <w:tcPr>
            <w:tcW w:w="247.55pt" w:type="dxa"/>
            <w:tcBorders>
              <w:start w:val="single" w:sz="4" w:space="0" w:color="000000"/>
            </w:tcBorders>
          </w:tcPr>
          <w:p w14:paraId="09E30BC0" w14:textId="77777777" w:rsidR="00265E7F" w:rsidRDefault="002809BD">
            <w:pPr>
              <w:pStyle w:val="TableContents"/>
              <w:ind w:start="7.45pt" w:end="0.15pt" w:hanging="9.45pt"/>
            </w:pPr>
            <w:r>
              <w:t>c) dauernde Leitungs- und Beratungsfunktionen für Interessengruppen;</w:t>
            </w:r>
          </w:p>
        </w:tc>
        <w:tc>
          <w:tcPr>
            <w:tcW w:w="247.60pt" w:type="dxa"/>
            <w:tcBorders>
              <w:start w:val="single" w:sz="4" w:space="0" w:color="000000"/>
              <w:end w:val="single" w:sz="4" w:space="0" w:color="000000"/>
            </w:tcBorders>
          </w:tcPr>
          <w:p w14:paraId="66468AF5" w14:textId="77777777" w:rsidR="00265E7F" w:rsidRDefault="00265E7F"/>
        </w:tc>
      </w:tr>
      <w:tr w:rsidR="00265E7F" w14:paraId="722D3162" w14:textId="77777777">
        <w:trPr>
          <w:cantSplit/>
        </w:trPr>
        <w:tc>
          <w:tcPr>
            <w:tcW w:w="247.55pt" w:type="dxa"/>
            <w:tcBorders>
              <w:start w:val="single" w:sz="4" w:space="0" w:color="000000"/>
            </w:tcBorders>
          </w:tcPr>
          <w:p w14:paraId="2FF52D14" w14:textId="77777777" w:rsidR="00265E7F" w:rsidRDefault="00265E7F">
            <w:pPr>
              <w:pStyle w:val="TableContents"/>
              <w:ind w:start="7.45pt" w:end="0.15pt" w:hanging="9.45pt"/>
            </w:pPr>
          </w:p>
        </w:tc>
        <w:tc>
          <w:tcPr>
            <w:tcW w:w="247.55pt" w:type="dxa"/>
            <w:tcBorders>
              <w:start w:val="single" w:sz="4" w:space="0" w:color="000000"/>
            </w:tcBorders>
          </w:tcPr>
          <w:p w14:paraId="6BCF376C" w14:textId="77777777" w:rsidR="00265E7F" w:rsidRDefault="002809BD">
            <w:pPr>
              <w:pStyle w:val="TableContents"/>
              <w:ind w:start="7.45pt" w:end="0.15pt" w:hanging="9.45pt"/>
            </w:pPr>
            <w:r>
              <w:t>d) Mitgliedschaften in Kommissionen und anderen Organen des Bundes, des Kantons und der Gemeinden;</w:t>
            </w:r>
          </w:p>
        </w:tc>
        <w:tc>
          <w:tcPr>
            <w:tcW w:w="247.60pt" w:type="dxa"/>
            <w:tcBorders>
              <w:start w:val="single" w:sz="4" w:space="0" w:color="000000"/>
              <w:end w:val="single" w:sz="4" w:space="0" w:color="000000"/>
            </w:tcBorders>
          </w:tcPr>
          <w:p w14:paraId="078E1E4D" w14:textId="77777777" w:rsidR="00265E7F" w:rsidRDefault="00265E7F"/>
        </w:tc>
      </w:tr>
      <w:tr w:rsidR="00265E7F" w14:paraId="412DFF38" w14:textId="77777777">
        <w:trPr>
          <w:cantSplit/>
        </w:trPr>
        <w:tc>
          <w:tcPr>
            <w:tcW w:w="247.55pt" w:type="dxa"/>
            <w:tcBorders>
              <w:start w:val="single" w:sz="4" w:space="0" w:color="000000"/>
            </w:tcBorders>
          </w:tcPr>
          <w:p w14:paraId="4ACC6C65" w14:textId="77777777" w:rsidR="00265E7F" w:rsidRDefault="00265E7F">
            <w:pPr>
              <w:pStyle w:val="TableContents"/>
              <w:ind w:start="7.45pt" w:end="0.15pt" w:hanging="9.45pt"/>
            </w:pPr>
          </w:p>
        </w:tc>
        <w:tc>
          <w:tcPr>
            <w:tcW w:w="247.55pt" w:type="dxa"/>
            <w:tcBorders>
              <w:start w:val="single" w:sz="4" w:space="0" w:color="000000"/>
            </w:tcBorders>
          </w:tcPr>
          <w:p w14:paraId="1F6738D5" w14:textId="77777777" w:rsidR="00265E7F" w:rsidRDefault="002809BD">
            <w:pPr>
              <w:pStyle w:val="TableContents"/>
              <w:ind w:start="7.45pt" w:end="0.15pt" w:hanging="9.45pt"/>
            </w:pPr>
            <w:r>
              <w:t>e) die Mitgliedschaft in einer politischen Partei.</w:t>
            </w:r>
          </w:p>
        </w:tc>
        <w:tc>
          <w:tcPr>
            <w:tcW w:w="247.60pt" w:type="dxa"/>
            <w:tcBorders>
              <w:start w:val="single" w:sz="4" w:space="0" w:color="000000"/>
              <w:end w:val="single" w:sz="4" w:space="0" w:color="000000"/>
            </w:tcBorders>
          </w:tcPr>
          <w:p w14:paraId="55FC0A8F" w14:textId="77777777" w:rsidR="00265E7F" w:rsidRDefault="00265E7F"/>
        </w:tc>
      </w:tr>
      <w:tr w:rsidR="00265E7F" w14:paraId="45D10E4B" w14:textId="77777777">
        <w:trPr>
          <w:cantSplit/>
        </w:trPr>
        <w:tc>
          <w:tcPr>
            <w:tcW w:w="247.55pt" w:type="dxa"/>
            <w:tcBorders>
              <w:start w:val="single" w:sz="4" w:space="0" w:color="000000"/>
            </w:tcBorders>
          </w:tcPr>
          <w:p w14:paraId="1CA4D712" w14:textId="77777777" w:rsidR="00265E7F" w:rsidRDefault="00265E7F">
            <w:pPr>
              <w:pStyle w:val="TableContents"/>
            </w:pPr>
          </w:p>
        </w:tc>
        <w:tc>
          <w:tcPr>
            <w:tcW w:w="247.55pt" w:type="dxa"/>
            <w:tcBorders>
              <w:start w:val="single" w:sz="4" w:space="0" w:color="000000"/>
            </w:tcBorders>
          </w:tcPr>
          <w:p w14:paraId="7ADB8B34" w14:textId="77777777" w:rsidR="00265E7F" w:rsidRDefault="002809BD">
            <w:pPr>
              <w:pStyle w:val="TableContents"/>
            </w:pPr>
            <w:r>
              <w:rPr>
                <w:vertAlign w:val="superscript"/>
              </w:rPr>
              <w:t>3</w:t>
            </w:r>
            <w:r>
              <w:t> Das Obergericht führt ein öffentliches Register über die Interessenbindungen. Änderungen von Interessenbindungen sind dem Obergericht auf Beginn des Kalenderjahres zu melden.</w:t>
            </w:r>
          </w:p>
        </w:tc>
        <w:tc>
          <w:tcPr>
            <w:tcW w:w="247.60pt" w:type="dxa"/>
            <w:tcBorders>
              <w:start w:val="single" w:sz="4" w:space="0" w:color="000000"/>
              <w:end w:val="single" w:sz="4" w:space="0" w:color="000000"/>
            </w:tcBorders>
          </w:tcPr>
          <w:p w14:paraId="53783689" w14:textId="77777777" w:rsidR="00265E7F" w:rsidRDefault="00265E7F"/>
        </w:tc>
      </w:tr>
      <w:tr w:rsidR="00265E7F" w14:paraId="2B71B3C5" w14:textId="77777777">
        <w:trPr>
          <w:cantSplit/>
        </w:trPr>
        <w:tc>
          <w:tcPr>
            <w:tcW w:w="247.55pt" w:type="dxa"/>
            <w:tcBorders>
              <w:top w:val="single" w:sz="4" w:space="0" w:color="000000"/>
              <w:start w:val="single" w:sz="4" w:space="0" w:color="000000"/>
            </w:tcBorders>
          </w:tcPr>
          <w:p w14:paraId="001E3C00" w14:textId="77777777" w:rsidR="00265E7F" w:rsidRDefault="002809BD">
            <w:pPr>
              <w:pStyle w:val="TableContents"/>
            </w:pPr>
            <w:r>
              <w:rPr>
                <w:b/>
                <w:bCs/>
              </w:rPr>
              <w:t>Art.  47</w:t>
            </w:r>
            <w:r>
              <w:br/>
            </w:r>
            <w:r>
              <w:rPr>
                <w:sz w:val="14"/>
              </w:rPr>
              <w:t>Ausstand</w:t>
            </w:r>
          </w:p>
        </w:tc>
        <w:tc>
          <w:tcPr>
            <w:tcW w:w="247.55pt" w:type="dxa"/>
            <w:tcBorders>
              <w:top w:val="single" w:sz="4" w:space="0" w:color="000000"/>
              <w:start w:val="single" w:sz="4" w:space="0" w:color="000000"/>
            </w:tcBorders>
          </w:tcPr>
          <w:p w14:paraId="22F07CEE"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EF58163" w14:textId="77777777" w:rsidR="00265E7F" w:rsidRDefault="00265E7F"/>
        </w:tc>
      </w:tr>
      <w:tr w:rsidR="00265E7F" w14:paraId="1270ECF6" w14:textId="77777777">
        <w:trPr>
          <w:cantSplit/>
        </w:trPr>
        <w:tc>
          <w:tcPr>
            <w:tcW w:w="247.55pt" w:type="dxa"/>
            <w:tcBorders>
              <w:start w:val="single" w:sz="4" w:space="0" w:color="000000"/>
            </w:tcBorders>
          </w:tcPr>
          <w:p w14:paraId="440A4955" w14:textId="77777777" w:rsidR="00265E7F" w:rsidRDefault="002809BD">
            <w:pPr>
              <w:pStyle w:val="TableContents"/>
            </w:pPr>
            <w:r>
              <w:rPr>
                <w:vertAlign w:val="superscript"/>
              </w:rPr>
              <w:t>1</w:t>
            </w:r>
            <w:r>
              <w:t xml:space="preserve"> Ist ein </w:t>
            </w:r>
            <w:proofErr w:type="spellStart"/>
            <w:r>
              <w:t>Ausstandsgrund</w:t>
            </w:r>
            <w:proofErr w:type="spellEnd"/>
            <w:r>
              <w:rPr>
                <w:rStyle w:val="Funotenzeichen"/>
              </w:rPr>
              <w:footnoteReference w:id="33"/>
            </w:r>
            <w:r>
              <w:rPr>
                <w:rStyle w:val="Funotenzeichen"/>
              </w:rPr>
              <w:t>)</w:t>
            </w:r>
            <w:r>
              <w:t xml:space="preserve"> streitig, so entscheidet:</w:t>
            </w:r>
          </w:p>
        </w:tc>
        <w:tc>
          <w:tcPr>
            <w:tcW w:w="247.55pt" w:type="dxa"/>
            <w:tcBorders>
              <w:start w:val="single" w:sz="4" w:space="0" w:color="000000"/>
            </w:tcBorders>
          </w:tcPr>
          <w:p w14:paraId="59AC27A1" w14:textId="77777777" w:rsidR="00265E7F" w:rsidRDefault="002809BD">
            <w:pPr>
              <w:pStyle w:val="TableContents"/>
            </w:pPr>
            <w:r>
              <w:rPr>
                <w:vertAlign w:val="superscript"/>
              </w:rPr>
              <w:t>1</w:t>
            </w:r>
            <w:r>
              <w:t xml:space="preserve"> Ist ein </w:t>
            </w:r>
            <w:proofErr w:type="spellStart"/>
            <w:r>
              <w:t>Ausstandsgrund</w:t>
            </w:r>
            <w:proofErr w:type="spellEnd"/>
            <w:r>
              <w:rPr>
                <w:rStyle w:val="Funotenzeichen"/>
              </w:rPr>
              <w:footnoteReference w:id="34"/>
            </w:r>
            <w:r>
              <w:rPr>
                <w:rStyle w:val="Funotenzeichen"/>
              </w:rPr>
              <w:t>)</w:t>
            </w:r>
            <w:r>
              <w:t xml:space="preserve"> streitig, so entscheidet:</w:t>
            </w:r>
          </w:p>
        </w:tc>
        <w:tc>
          <w:tcPr>
            <w:tcW w:w="247.60pt" w:type="dxa"/>
            <w:tcBorders>
              <w:start w:val="single" w:sz="4" w:space="0" w:color="000000"/>
              <w:end w:val="single" w:sz="4" w:space="0" w:color="000000"/>
            </w:tcBorders>
          </w:tcPr>
          <w:p w14:paraId="3C793EF4" w14:textId="77777777" w:rsidR="00265E7F" w:rsidRDefault="00265E7F"/>
        </w:tc>
      </w:tr>
      <w:tr w:rsidR="00265E7F" w14:paraId="3CA295C6" w14:textId="77777777">
        <w:trPr>
          <w:cantSplit/>
        </w:trPr>
        <w:tc>
          <w:tcPr>
            <w:tcW w:w="247.55pt" w:type="dxa"/>
            <w:tcBorders>
              <w:start w:val="single" w:sz="4" w:space="0" w:color="000000"/>
            </w:tcBorders>
          </w:tcPr>
          <w:p w14:paraId="113F5670" w14:textId="77777777" w:rsidR="00265E7F" w:rsidRDefault="002809BD">
            <w:pPr>
              <w:pStyle w:val="TableContents"/>
              <w:ind w:start="7.45pt" w:end="0.15pt" w:hanging="9.45pt"/>
            </w:pPr>
            <w:r>
              <w:lastRenderedPageBreak/>
              <w:t>a) gegenüber einem Vermittler oder einer Vermittlerin und einem Einzelrichter oder einer Einzelrichterin des Kantonsgerichtes der Präsident oder die Präsidentin des Obergerichtes;</w:t>
            </w:r>
          </w:p>
        </w:tc>
        <w:tc>
          <w:tcPr>
            <w:tcW w:w="247.55pt" w:type="dxa"/>
            <w:tcBorders>
              <w:start w:val="single" w:sz="4" w:space="0" w:color="000000"/>
            </w:tcBorders>
          </w:tcPr>
          <w:p w14:paraId="45E3BB96" w14:textId="77777777" w:rsidR="00265E7F" w:rsidRDefault="002809BD">
            <w:pPr>
              <w:pStyle w:val="TableContents"/>
              <w:ind w:start="7.45pt" w:end="0.15pt" w:hanging="9.45pt"/>
            </w:pPr>
            <w:r>
              <w:t>a) gegenüber einem Vermittler oder einer Vermittlerin und einem Einzelrichter oder einer Einzelrichterin des Kantonsgerichtes der Einzelrichter oder die Einzelrichterin des Obergerichtes;</w:t>
            </w:r>
          </w:p>
        </w:tc>
        <w:tc>
          <w:tcPr>
            <w:tcW w:w="247.60pt" w:type="dxa"/>
            <w:tcBorders>
              <w:start w:val="single" w:sz="4" w:space="0" w:color="000000"/>
              <w:end w:val="single" w:sz="4" w:space="0" w:color="000000"/>
            </w:tcBorders>
          </w:tcPr>
          <w:p w14:paraId="4CA04C79" w14:textId="77777777" w:rsidR="00265E7F" w:rsidRDefault="00265E7F"/>
        </w:tc>
      </w:tr>
      <w:tr w:rsidR="00265E7F" w14:paraId="58AE9948" w14:textId="77777777">
        <w:trPr>
          <w:cantSplit/>
        </w:trPr>
        <w:tc>
          <w:tcPr>
            <w:tcW w:w="247.55pt" w:type="dxa"/>
            <w:tcBorders>
              <w:start w:val="single" w:sz="4" w:space="0" w:color="000000"/>
            </w:tcBorders>
          </w:tcPr>
          <w:p w14:paraId="4458A246" w14:textId="77777777" w:rsidR="00265E7F" w:rsidRDefault="002809BD">
            <w:pPr>
              <w:pStyle w:val="TableContents"/>
              <w:ind w:start="7.45pt" w:end="0.15pt" w:hanging="9.45pt"/>
            </w:pPr>
            <w:r>
              <w:t>b) gegenüber einem Mitglied einer Schlichtungsstelle die Schlichtungsstelle unter Beizug eines Ersatzmitgliedes;</w:t>
            </w:r>
          </w:p>
        </w:tc>
        <w:tc>
          <w:tcPr>
            <w:tcW w:w="247.55pt" w:type="dxa"/>
            <w:tcBorders>
              <w:start w:val="single" w:sz="4" w:space="0" w:color="000000"/>
            </w:tcBorders>
          </w:tcPr>
          <w:p w14:paraId="17562D00"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60091D1C" w14:textId="77777777" w:rsidR="00265E7F" w:rsidRDefault="00265E7F"/>
        </w:tc>
      </w:tr>
      <w:tr w:rsidR="00265E7F" w14:paraId="28801F2E" w14:textId="77777777">
        <w:trPr>
          <w:cantSplit/>
        </w:trPr>
        <w:tc>
          <w:tcPr>
            <w:tcW w:w="247.55pt" w:type="dxa"/>
            <w:tcBorders>
              <w:start w:val="single" w:sz="4" w:space="0" w:color="000000"/>
            </w:tcBorders>
          </w:tcPr>
          <w:p w14:paraId="3D3B3E64" w14:textId="77777777" w:rsidR="00265E7F" w:rsidRDefault="002809BD">
            <w:pPr>
              <w:pStyle w:val="TableContents"/>
              <w:ind w:start="7.45pt" w:end="0.15pt" w:hanging="9.45pt"/>
            </w:pPr>
            <w:r>
              <w:t>c) gegenüber Mitgliedern und Gerichtsschreibern oder Gerichtsschreiberinnen des Kantons- und Obergerichtes die betreffende Abteilung unter Beizug eines Ersatzmitgliedes;</w:t>
            </w:r>
          </w:p>
        </w:tc>
        <w:tc>
          <w:tcPr>
            <w:tcW w:w="247.55pt" w:type="dxa"/>
            <w:tcBorders>
              <w:start w:val="single" w:sz="4" w:space="0" w:color="000000"/>
            </w:tcBorders>
          </w:tcPr>
          <w:p w14:paraId="24D55700"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27775838" w14:textId="77777777" w:rsidR="00265E7F" w:rsidRDefault="00265E7F"/>
        </w:tc>
      </w:tr>
      <w:tr w:rsidR="00265E7F" w14:paraId="194B2DCA" w14:textId="77777777">
        <w:trPr>
          <w:cantSplit/>
        </w:trPr>
        <w:tc>
          <w:tcPr>
            <w:tcW w:w="247.55pt" w:type="dxa"/>
            <w:tcBorders>
              <w:start w:val="single" w:sz="4" w:space="0" w:color="000000"/>
            </w:tcBorders>
          </w:tcPr>
          <w:p w14:paraId="56390273" w14:textId="77777777" w:rsidR="00265E7F" w:rsidRDefault="002809BD">
            <w:pPr>
              <w:pStyle w:val="TableContents"/>
              <w:ind w:start="7.45pt" w:end="0.15pt" w:hanging="9.45pt"/>
            </w:pPr>
            <w:r>
              <w:t>d) bei Beschlussunfähigkeit der Schlichtungsstellen und des Kantonsgerichtes das Obergericht;</w:t>
            </w:r>
          </w:p>
        </w:tc>
        <w:tc>
          <w:tcPr>
            <w:tcW w:w="247.55pt" w:type="dxa"/>
            <w:tcBorders>
              <w:start w:val="single" w:sz="4" w:space="0" w:color="000000"/>
            </w:tcBorders>
          </w:tcPr>
          <w:p w14:paraId="641FCE57"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333BD445" w14:textId="77777777" w:rsidR="00265E7F" w:rsidRDefault="00265E7F"/>
        </w:tc>
      </w:tr>
      <w:tr w:rsidR="00265E7F" w14:paraId="6459ABCA" w14:textId="77777777">
        <w:trPr>
          <w:cantSplit/>
        </w:trPr>
        <w:tc>
          <w:tcPr>
            <w:tcW w:w="247.55pt" w:type="dxa"/>
            <w:tcBorders>
              <w:start w:val="single" w:sz="4" w:space="0" w:color="000000"/>
            </w:tcBorders>
          </w:tcPr>
          <w:p w14:paraId="7428663C" w14:textId="77777777" w:rsidR="00265E7F" w:rsidRDefault="002809BD">
            <w:pPr>
              <w:pStyle w:val="TableContents"/>
              <w:ind w:start="7.45pt" w:end="0.15pt" w:hanging="9.45pt"/>
            </w:pPr>
            <w:r>
              <w:t>e) bei Beschlussunfähigkeit des Obergerichtes die von der Justizkommission des Kantonsrates zu wählende Anzahl ausserordentlicher Oberrichterinnen und Oberrichter.</w:t>
            </w:r>
          </w:p>
        </w:tc>
        <w:tc>
          <w:tcPr>
            <w:tcW w:w="247.55pt" w:type="dxa"/>
            <w:tcBorders>
              <w:start w:val="single" w:sz="4" w:space="0" w:color="000000"/>
            </w:tcBorders>
          </w:tcPr>
          <w:p w14:paraId="4CE7136B"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7E0C104" w14:textId="77777777" w:rsidR="00265E7F" w:rsidRDefault="00265E7F"/>
        </w:tc>
      </w:tr>
      <w:tr w:rsidR="00265E7F" w14:paraId="4DF6096D" w14:textId="77777777">
        <w:trPr>
          <w:cantSplit/>
        </w:trPr>
        <w:tc>
          <w:tcPr>
            <w:tcW w:w="247.55pt" w:type="dxa"/>
            <w:tcBorders>
              <w:start w:val="single" w:sz="4" w:space="0" w:color="000000"/>
            </w:tcBorders>
          </w:tcPr>
          <w:p w14:paraId="5F204F74" w14:textId="77777777" w:rsidR="00265E7F" w:rsidRDefault="00265E7F">
            <w:pPr>
              <w:pStyle w:val="TableContents"/>
            </w:pPr>
          </w:p>
        </w:tc>
        <w:tc>
          <w:tcPr>
            <w:tcW w:w="247.55pt" w:type="dxa"/>
            <w:tcBorders>
              <w:start w:val="single" w:sz="4" w:space="0" w:color="000000"/>
            </w:tcBorders>
          </w:tcPr>
          <w:p w14:paraId="759504A2" w14:textId="77777777" w:rsidR="00265E7F" w:rsidRDefault="002809BD">
            <w:pPr>
              <w:pStyle w:val="TableContents"/>
            </w:pPr>
            <w:r>
              <w:rPr>
                <w:vertAlign w:val="superscript"/>
              </w:rPr>
              <w:t>2</w:t>
            </w:r>
            <w:r>
              <w:t> In Verfahren, die vor Bundesgericht der Beschwerde in Zivilsachen oder der Beschwerde in Strafsachen unterliegen, können erstinstanzliche Entscheide nach Abs. 1 an das Obergericht als Rechtsmittelinstanz weitergezogen werden.</w:t>
            </w:r>
          </w:p>
        </w:tc>
        <w:tc>
          <w:tcPr>
            <w:tcW w:w="247.60pt" w:type="dxa"/>
            <w:tcBorders>
              <w:start w:val="single" w:sz="4" w:space="0" w:color="000000"/>
              <w:end w:val="single" w:sz="4" w:space="0" w:color="000000"/>
            </w:tcBorders>
          </w:tcPr>
          <w:p w14:paraId="70DF9F7A" w14:textId="77777777" w:rsidR="00265E7F" w:rsidRDefault="00265E7F"/>
        </w:tc>
      </w:tr>
      <w:tr w:rsidR="00265E7F" w14:paraId="525122B5" w14:textId="77777777">
        <w:trPr>
          <w:cantSplit/>
        </w:trPr>
        <w:tc>
          <w:tcPr>
            <w:tcW w:w="247.55pt" w:type="dxa"/>
            <w:tcBorders>
              <w:top w:val="single" w:sz="4" w:space="0" w:color="000000"/>
              <w:start w:val="single" w:sz="4" w:space="0" w:color="000000"/>
            </w:tcBorders>
          </w:tcPr>
          <w:p w14:paraId="72D4690B" w14:textId="77777777" w:rsidR="00265E7F" w:rsidRDefault="002809BD">
            <w:pPr>
              <w:pStyle w:val="TableContents"/>
            </w:pPr>
            <w:r>
              <w:rPr>
                <w:b/>
                <w:bCs/>
              </w:rPr>
              <w:t>Art.  50</w:t>
            </w:r>
            <w:r>
              <w:br/>
            </w:r>
            <w:r>
              <w:rPr>
                <w:sz w:val="14"/>
              </w:rPr>
              <w:t>Instruktion</w:t>
            </w:r>
          </w:p>
        </w:tc>
        <w:tc>
          <w:tcPr>
            <w:tcW w:w="247.55pt" w:type="dxa"/>
            <w:tcBorders>
              <w:top w:val="single" w:sz="4" w:space="0" w:color="000000"/>
              <w:start w:val="single" w:sz="4" w:space="0" w:color="000000"/>
            </w:tcBorders>
          </w:tcPr>
          <w:p w14:paraId="59CED204" w14:textId="77777777" w:rsidR="00265E7F" w:rsidRDefault="002809BD">
            <w:pPr>
              <w:pStyle w:val="TableContents"/>
            </w:pPr>
            <w:r>
              <w:rPr>
                <w:b/>
                <w:bCs/>
              </w:rPr>
              <w:t>Art.  50</w:t>
            </w:r>
            <w:r>
              <w:br/>
            </w:r>
            <w:r>
              <w:rPr>
                <w:sz w:val="14"/>
              </w:rPr>
              <w:t>Verfahrensleitung</w:t>
            </w:r>
          </w:p>
        </w:tc>
        <w:tc>
          <w:tcPr>
            <w:tcW w:w="247.60pt" w:type="dxa"/>
            <w:tcBorders>
              <w:top w:val="single" w:sz="4" w:space="0" w:color="000000"/>
              <w:start w:val="single" w:sz="4" w:space="0" w:color="000000"/>
              <w:end w:val="single" w:sz="4" w:space="0" w:color="000000"/>
            </w:tcBorders>
          </w:tcPr>
          <w:p w14:paraId="6E5BC994" w14:textId="77777777" w:rsidR="00265E7F" w:rsidRDefault="00265E7F"/>
        </w:tc>
      </w:tr>
      <w:tr w:rsidR="00265E7F" w14:paraId="0362C481" w14:textId="77777777">
        <w:trPr>
          <w:cantSplit/>
        </w:trPr>
        <w:tc>
          <w:tcPr>
            <w:tcW w:w="247.55pt" w:type="dxa"/>
            <w:tcBorders>
              <w:start w:val="single" w:sz="4" w:space="0" w:color="000000"/>
            </w:tcBorders>
          </w:tcPr>
          <w:p w14:paraId="0DAD61FC" w14:textId="77777777" w:rsidR="00265E7F" w:rsidRDefault="002809BD">
            <w:pPr>
              <w:pStyle w:val="TableContents"/>
            </w:pPr>
            <w:r>
              <w:rPr>
                <w:vertAlign w:val="superscript"/>
              </w:rPr>
              <w:t>1</w:t>
            </w:r>
            <w:r>
              <w:t> Bei Kollegialgerichten ist der oder die Vorsitzende der Gerichtsabteilung oder ein von diesem oder dieser beauftragtes Mitglied Instruktionsrichter oder Instruktionsrichterin.</w:t>
            </w:r>
          </w:p>
        </w:tc>
        <w:tc>
          <w:tcPr>
            <w:tcW w:w="247.55pt" w:type="dxa"/>
            <w:tcBorders>
              <w:start w:val="single" w:sz="4" w:space="0" w:color="000000"/>
            </w:tcBorders>
          </w:tcPr>
          <w:p w14:paraId="4F94A70F" w14:textId="77777777" w:rsidR="00265E7F" w:rsidRDefault="002809BD">
            <w:pPr>
              <w:pStyle w:val="TableContents"/>
            </w:pPr>
            <w:r>
              <w:rPr>
                <w:vertAlign w:val="superscript"/>
              </w:rPr>
              <w:t>1</w:t>
            </w:r>
            <w:r>
              <w:t> Bei Kollegialgerichten obliegt die Verfahrensleitung dem oder der Vorsitzenden der Gerichtsabteilung. Er oder sie kann ein Abteilungsmitglied mit der Verfahrensleitung beauftragen.</w:t>
            </w:r>
          </w:p>
        </w:tc>
        <w:tc>
          <w:tcPr>
            <w:tcW w:w="247.60pt" w:type="dxa"/>
            <w:tcBorders>
              <w:start w:val="single" w:sz="4" w:space="0" w:color="000000"/>
              <w:end w:val="single" w:sz="4" w:space="0" w:color="000000"/>
            </w:tcBorders>
          </w:tcPr>
          <w:p w14:paraId="14D9D23A" w14:textId="77777777" w:rsidR="00265E7F" w:rsidRDefault="00265E7F"/>
        </w:tc>
      </w:tr>
      <w:tr w:rsidR="00265E7F" w14:paraId="65BB61DA" w14:textId="77777777">
        <w:trPr>
          <w:cantSplit/>
        </w:trPr>
        <w:tc>
          <w:tcPr>
            <w:tcW w:w="247.55pt" w:type="dxa"/>
            <w:tcBorders>
              <w:start w:val="single" w:sz="4" w:space="0" w:color="000000"/>
            </w:tcBorders>
          </w:tcPr>
          <w:p w14:paraId="7F193CA3" w14:textId="77777777" w:rsidR="00265E7F" w:rsidRDefault="002809BD">
            <w:pPr>
              <w:pStyle w:val="TableContents"/>
            </w:pPr>
            <w:r>
              <w:rPr>
                <w:vertAlign w:val="superscript"/>
              </w:rPr>
              <w:lastRenderedPageBreak/>
              <w:t>2</w:t>
            </w:r>
            <w:r>
              <w:t> Im Schlichtungsverfahren ist der Präsident oder die Präsidentin der Schlichtungsstelle Instruktionsrichter oder Instruktionsrichterin.</w:t>
            </w:r>
          </w:p>
        </w:tc>
        <w:tc>
          <w:tcPr>
            <w:tcW w:w="247.55pt" w:type="dxa"/>
            <w:tcBorders>
              <w:start w:val="single" w:sz="4" w:space="0" w:color="000000"/>
            </w:tcBorders>
          </w:tcPr>
          <w:p w14:paraId="063826C4" w14:textId="77777777" w:rsidR="00265E7F" w:rsidRDefault="002809BD">
            <w:pPr>
              <w:pStyle w:val="TableContents"/>
            </w:pPr>
            <w:r>
              <w:rPr>
                <w:vertAlign w:val="superscript"/>
              </w:rPr>
              <w:t>2</w:t>
            </w:r>
            <w:r>
              <w:t> Im Schlichtungsverfahren obliegt die Verfahrensleitung dem Präsidenten oder der Präsidentin der Schlichtungsstelle.</w:t>
            </w:r>
          </w:p>
        </w:tc>
        <w:tc>
          <w:tcPr>
            <w:tcW w:w="247.60pt" w:type="dxa"/>
            <w:tcBorders>
              <w:start w:val="single" w:sz="4" w:space="0" w:color="000000"/>
              <w:end w:val="single" w:sz="4" w:space="0" w:color="000000"/>
            </w:tcBorders>
          </w:tcPr>
          <w:p w14:paraId="3333CFE5" w14:textId="77777777" w:rsidR="00265E7F" w:rsidRDefault="00265E7F"/>
        </w:tc>
      </w:tr>
      <w:tr w:rsidR="00265E7F" w14:paraId="682C330C" w14:textId="77777777">
        <w:trPr>
          <w:cantSplit/>
        </w:trPr>
        <w:tc>
          <w:tcPr>
            <w:tcW w:w="247.55pt" w:type="dxa"/>
            <w:tcBorders>
              <w:top w:val="single" w:sz="4" w:space="0" w:color="000000"/>
              <w:start w:val="single" w:sz="4" w:space="0" w:color="000000"/>
            </w:tcBorders>
          </w:tcPr>
          <w:p w14:paraId="60A5C3FB" w14:textId="77777777" w:rsidR="00265E7F" w:rsidRDefault="002809BD">
            <w:pPr>
              <w:pStyle w:val="TableContents"/>
            </w:pPr>
            <w:r>
              <w:rPr>
                <w:b/>
                <w:bCs/>
              </w:rPr>
              <w:t>Art.  52</w:t>
            </w:r>
            <w:r>
              <w:br/>
            </w:r>
            <w:r>
              <w:rPr>
                <w:sz w:val="14"/>
              </w:rPr>
              <w:t>Zirkularbeschlüsse</w:t>
            </w:r>
          </w:p>
        </w:tc>
        <w:tc>
          <w:tcPr>
            <w:tcW w:w="247.55pt" w:type="dxa"/>
            <w:tcBorders>
              <w:top w:val="single" w:sz="4" w:space="0" w:color="000000"/>
              <w:start w:val="single" w:sz="4" w:space="0" w:color="000000"/>
            </w:tcBorders>
          </w:tcPr>
          <w:p w14:paraId="525C6194"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D184C19" w14:textId="77777777" w:rsidR="00265E7F" w:rsidRDefault="00265E7F"/>
        </w:tc>
      </w:tr>
      <w:tr w:rsidR="00265E7F" w14:paraId="03818627" w14:textId="77777777">
        <w:trPr>
          <w:cantSplit/>
        </w:trPr>
        <w:tc>
          <w:tcPr>
            <w:tcW w:w="247.55pt" w:type="dxa"/>
            <w:tcBorders>
              <w:start w:val="single" w:sz="4" w:space="0" w:color="000000"/>
            </w:tcBorders>
          </w:tcPr>
          <w:p w14:paraId="02AF36A5" w14:textId="77777777" w:rsidR="00265E7F" w:rsidRDefault="002809BD">
            <w:pPr>
              <w:pStyle w:val="TableContents"/>
            </w:pPr>
            <w:r>
              <w:rPr>
                <w:vertAlign w:val="superscript"/>
              </w:rPr>
              <w:t>1</w:t>
            </w:r>
            <w:r>
              <w:t> Die Gerichte können in einfachen Fällen auf dem Zirkularweg entscheiden, wenn das Gesetz keine Verhandlung vorschreibt.</w:t>
            </w:r>
          </w:p>
        </w:tc>
        <w:tc>
          <w:tcPr>
            <w:tcW w:w="247.55pt" w:type="dxa"/>
            <w:tcBorders>
              <w:start w:val="single" w:sz="4" w:space="0" w:color="000000"/>
            </w:tcBorders>
          </w:tcPr>
          <w:p w14:paraId="16CFFEE8" w14:textId="77777777" w:rsidR="00265E7F" w:rsidRDefault="002809BD">
            <w:pPr>
              <w:pStyle w:val="TableContents"/>
            </w:pPr>
            <w:r>
              <w:rPr>
                <w:vertAlign w:val="superscript"/>
              </w:rPr>
              <w:t>1</w:t>
            </w:r>
            <w:r>
              <w:t> Die Gerichte können auf dem Zirkularweg entscheiden, wenn das Gesetz keine Verhandlung vorschreibt.</w:t>
            </w:r>
          </w:p>
        </w:tc>
        <w:tc>
          <w:tcPr>
            <w:tcW w:w="247.60pt" w:type="dxa"/>
            <w:tcBorders>
              <w:start w:val="single" w:sz="4" w:space="0" w:color="000000"/>
              <w:end w:val="single" w:sz="4" w:space="0" w:color="000000"/>
            </w:tcBorders>
          </w:tcPr>
          <w:p w14:paraId="4472CF25" w14:textId="77777777" w:rsidR="00265E7F" w:rsidRDefault="00265E7F"/>
        </w:tc>
      </w:tr>
      <w:tr w:rsidR="00265E7F" w14:paraId="4A5B022F" w14:textId="77777777">
        <w:trPr>
          <w:cantSplit/>
        </w:trPr>
        <w:tc>
          <w:tcPr>
            <w:tcW w:w="247.55pt" w:type="dxa"/>
            <w:tcBorders>
              <w:start w:val="single" w:sz="4" w:space="0" w:color="000000"/>
            </w:tcBorders>
          </w:tcPr>
          <w:p w14:paraId="1B043321" w14:textId="77777777" w:rsidR="00265E7F" w:rsidRDefault="002809BD">
            <w:pPr>
              <w:pStyle w:val="TableContents"/>
            </w:pPr>
            <w:r>
              <w:rPr>
                <w:vertAlign w:val="superscript"/>
              </w:rPr>
              <w:t>2</w:t>
            </w:r>
            <w:r>
              <w:t> Zirkularbeschlüsse bedürfen der Einstimmigkeit und sind als solche zu bezeichnen.</w:t>
            </w:r>
          </w:p>
        </w:tc>
        <w:tc>
          <w:tcPr>
            <w:tcW w:w="247.55pt" w:type="dxa"/>
            <w:tcBorders>
              <w:start w:val="single" w:sz="4" w:space="0" w:color="000000"/>
            </w:tcBorders>
          </w:tcPr>
          <w:p w14:paraId="0B2A2BDE" w14:textId="77777777" w:rsidR="00265E7F" w:rsidRDefault="002809BD">
            <w:pPr>
              <w:pStyle w:val="TableContents"/>
            </w:pPr>
            <w:r>
              <w:rPr>
                <w:vertAlign w:val="superscript"/>
              </w:rPr>
              <w:t>2</w:t>
            </w:r>
            <w:r>
              <w:t xml:space="preserve"> Zirkularentscheide bedürfen der Einstimmigkeit. Jeder Richter und jede Richterin </w:t>
            </w:r>
            <w:proofErr w:type="gramStart"/>
            <w:r>
              <w:t>kann</w:t>
            </w:r>
            <w:proofErr w:type="gramEnd"/>
            <w:r>
              <w:t xml:space="preserve"> die mündliche Beratung verlangen.</w:t>
            </w:r>
          </w:p>
        </w:tc>
        <w:tc>
          <w:tcPr>
            <w:tcW w:w="247.60pt" w:type="dxa"/>
            <w:tcBorders>
              <w:start w:val="single" w:sz="4" w:space="0" w:color="000000"/>
              <w:end w:val="single" w:sz="4" w:space="0" w:color="000000"/>
            </w:tcBorders>
          </w:tcPr>
          <w:p w14:paraId="6BE1A3EF" w14:textId="77777777" w:rsidR="00265E7F" w:rsidRDefault="00265E7F"/>
        </w:tc>
      </w:tr>
      <w:tr w:rsidR="00265E7F" w14:paraId="1F8B5EE9" w14:textId="77777777">
        <w:trPr>
          <w:cantSplit/>
        </w:trPr>
        <w:tc>
          <w:tcPr>
            <w:tcW w:w="247.55pt" w:type="dxa"/>
            <w:tcBorders>
              <w:top w:val="single" w:sz="4" w:space="0" w:color="000000"/>
              <w:start w:val="single" w:sz="4" w:space="0" w:color="000000"/>
            </w:tcBorders>
          </w:tcPr>
          <w:p w14:paraId="206F9061" w14:textId="77777777" w:rsidR="00265E7F" w:rsidRDefault="002809BD">
            <w:pPr>
              <w:pStyle w:val="TableContents"/>
            </w:pPr>
            <w:r>
              <w:rPr>
                <w:b/>
                <w:bCs/>
              </w:rPr>
              <w:t>Art.  55</w:t>
            </w:r>
            <w:r>
              <w:br/>
            </w:r>
            <w:r>
              <w:rPr>
                <w:sz w:val="14"/>
              </w:rPr>
              <w:t>Öffentlichkeit der Verhandlungen</w:t>
            </w:r>
          </w:p>
        </w:tc>
        <w:tc>
          <w:tcPr>
            <w:tcW w:w="247.55pt" w:type="dxa"/>
            <w:tcBorders>
              <w:top w:val="single" w:sz="4" w:space="0" w:color="000000"/>
              <w:start w:val="single" w:sz="4" w:space="0" w:color="000000"/>
            </w:tcBorders>
          </w:tcPr>
          <w:p w14:paraId="7302A1C4"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4704D5D0" w14:textId="77777777" w:rsidR="00265E7F" w:rsidRDefault="00265E7F"/>
        </w:tc>
      </w:tr>
      <w:tr w:rsidR="00265E7F" w14:paraId="08E238E4" w14:textId="77777777">
        <w:trPr>
          <w:cantSplit/>
        </w:trPr>
        <w:tc>
          <w:tcPr>
            <w:tcW w:w="247.55pt" w:type="dxa"/>
            <w:tcBorders>
              <w:start w:val="single" w:sz="4" w:space="0" w:color="000000"/>
            </w:tcBorders>
          </w:tcPr>
          <w:p w14:paraId="40C4DC06" w14:textId="77777777" w:rsidR="00265E7F" w:rsidRDefault="002809BD">
            <w:pPr>
              <w:pStyle w:val="TableContents"/>
            </w:pPr>
            <w:r>
              <w:rPr>
                <w:vertAlign w:val="superscript"/>
              </w:rPr>
              <w:t>1</w:t>
            </w:r>
            <w:r>
              <w:t> Die Verhandlungen vor den Gerichten sind öffentlich.</w:t>
            </w:r>
            <w:r>
              <w:rPr>
                <w:rStyle w:val="Funotenzeichen"/>
              </w:rPr>
              <w:footnoteReference w:id="35"/>
            </w:r>
            <w:r>
              <w:rPr>
                <w:rStyle w:val="Funotenzeichen"/>
              </w:rPr>
              <w:t>)</w:t>
            </w:r>
          </w:p>
        </w:tc>
        <w:tc>
          <w:tcPr>
            <w:tcW w:w="247.55pt" w:type="dxa"/>
            <w:tcBorders>
              <w:start w:val="single" w:sz="4" w:space="0" w:color="000000"/>
            </w:tcBorders>
          </w:tcPr>
          <w:p w14:paraId="5B39A1AD" w14:textId="77777777" w:rsidR="00265E7F" w:rsidRDefault="00265E7F">
            <w:pPr>
              <w:pStyle w:val="TableContents"/>
            </w:pPr>
          </w:p>
        </w:tc>
        <w:tc>
          <w:tcPr>
            <w:tcW w:w="247.60pt" w:type="dxa"/>
            <w:tcBorders>
              <w:start w:val="single" w:sz="4" w:space="0" w:color="000000"/>
              <w:end w:val="single" w:sz="4" w:space="0" w:color="000000"/>
            </w:tcBorders>
          </w:tcPr>
          <w:p w14:paraId="4CFC5F56" w14:textId="77777777" w:rsidR="00265E7F" w:rsidRDefault="00265E7F"/>
        </w:tc>
      </w:tr>
      <w:tr w:rsidR="00265E7F" w14:paraId="71A24F6B" w14:textId="77777777">
        <w:trPr>
          <w:cantSplit/>
        </w:trPr>
        <w:tc>
          <w:tcPr>
            <w:tcW w:w="247.55pt" w:type="dxa"/>
            <w:tcBorders>
              <w:start w:val="single" w:sz="4" w:space="0" w:color="000000"/>
            </w:tcBorders>
          </w:tcPr>
          <w:p w14:paraId="69AD43B7" w14:textId="77777777" w:rsidR="00265E7F" w:rsidRDefault="002809BD">
            <w:pPr>
              <w:pStyle w:val="TableContents"/>
            </w:pPr>
            <w:r>
              <w:rPr>
                <w:vertAlign w:val="superscript"/>
              </w:rPr>
              <w:t>2</w:t>
            </w:r>
            <w:r>
              <w:t> Die Öffentlichkeit ist ausgeschlossen:</w:t>
            </w:r>
          </w:p>
        </w:tc>
        <w:tc>
          <w:tcPr>
            <w:tcW w:w="247.55pt" w:type="dxa"/>
            <w:tcBorders>
              <w:start w:val="single" w:sz="4" w:space="0" w:color="000000"/>
            </w:tcBorders>
          </w:tcPr>
          <w:p w14:paraId="370BA8DC" w14:textId="77777777" w:rsidR="00265E7F" w:rsidRDefault="00265E7F">
            <w:pPr>
              <w:pStyle w:val="TableContents"/>
            </w:pPr>
          </w:p>
        </w:tc>
        <w:tc>
          <w:tcPr>
            <w:tcW w:w="247.60pt" w:type="dxa"/>
            <w:tcBorders>
              <w:start w:val="single" w:sz="4" w:space="0" w:color="000000"/>
              <w:end w:val="single" w:sz="4" w:space="0" w:color="000000"/>
            </w:tcBorders>
          </w:tcPr>
          <w:p w14:paraId="5559D08B" w14:textId="77777777" w:rsidR="00265E7F" w:rsidRDefault="00265E7F"/>
        </w:tc>
      </w:tr>
      <w:tr w:rsidR="00265E7F" w14:paraId="766D50B0" w14:textId="77777777">
        <w:trPr>
          <w:cantSplit/>
        </w:trPr>
        <w:tc>
          <w:tcPr>
            <w:tcW w:w="247.55pt" w:type="dxa"/>
            <w:tcBorders>
              <w:start w:val="single" w:sz="4" w:space="0" w:color="000000"/>
            </w:tcBorders>
          </w:tcPr>
          <w:p w14:paraId="7ACD9D6D" w14:textId="77777777" w:rsidR="00265E7F" w:rsidRDefault="002809BD">
            <w:pPr>
              <w:pStyle w:val="TableContents"/>
              <w:ind w:start="7.45pt" w:end="0.15pt" w:hanging="9.45pt"/>
            </w:pPr>
            <w:r>
              <w:t>a) vor den Schlichtungsbehörden mit Ausnahme von Art. 203 Abs. 3 ZPO;</w:t>
            </w:r>
          </w:p>
        </w:tc>
        <w:tc>
          <w:tcPr>
            <w:tcW w:w="247.55pt" w:type="dxa"/>
            <w:tcBorders>
              <w:start w:val="single" w:sz="4" w:space="0" w:color="000000"/>
            </w:tcBorders>
          </w:tcPr>
          <w:p w14:paraId="3D1D4B9E"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27EAD154" w14:textId="77777777" w:rsidR="00265E7F" w:rsidRDefault="00265E7F"/>
        </w:tc>
      </w:tr>
      <w:tr w:rsidR="00265E7F" w14:paraId="3F255F86" w14:textId="77777777">
        <w:trPr>
          <w:cantSplit/>
        </w:trPr>
        <w:tc>
          <w:tcPr>
            <w:tcW w:w="247.55pt" w:type="dxa"/>
            <w:tcBorders>
              <w:start w:val="single" w:sz="4" w:space="0" w:color="000000"/>
            </w:tcBorders>
          </w:tcPr>
          <w:p w14:paraId="5ABD7396" w14:textId="77777777" w:rsidR="00265E7F" w:rsidRDefault="002809BD">
            <w:pPr>
              <w:pStyle w:val="TableContents"/>
              <w:ind w:start="7.45pt" w:end="0.15pt" w:hanging="9.45pt"/>
            </w:pPr>
            <w:r>
              <w:t>b) in Prozessen aus Ehe-, Verwandtschafts-, Erwachsenenschutz- und Partnerschaftsrecht;</w:t>
            </w:r>
          </w:p>
        </w:tc>
        <w:tc>
          <w:tcPr>
            <w:tcW w:w="247.55pt" w:type="dxa"/>
            <w:tcBorders>
              <w:start w:val="single" w:sz="4" w:space="0" w:color="000000"/>
            </w:tcBorders>
          </w:tcPr>
          <w:p w14:paraId="310820E1"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1FE213FC" w14:textId="77777777" w:rsidR="00265E7F" w:rsidRDefault="00265E7F"/>
        </w:tc>
      </w:tr>
      <w:tr w:rsidR="00265E7F" w14:paraId="0EFB4EFB" w14:textId="77777777">
        <w:trPr>
          <w:cantSplit/>
        </w:trPr>
        <w:tc>
          <w:tcPr>
            <w:tcW w:w="247.55pt" w:type="dxa"/>
            <w:tcBorders>
              <w:start w:val="single" w:sz="4" w:space="0" w:color="000000"/>
            </w:tcBorders>
          </w:tcPr>
          <w:p w14:paraId="17CE5B45" w14:textId="77777777" w:rsidR="00265E7F" w:rsidRDefault="002809BD">
            <w:pPr>
              <w:pStyle w:val="TableContents"/>
              <w:ind w:start="7.45pt" w:end="0.15pt" w:hanging="9.45pt"/>
            </w:pPr>
            <w:r>
              <w:t xml:space="preserve">c) vor dem </w:t>
            </w:r>
            <w:proofErr w:type="spellStart"/>
            <w:r>
              <w:t>Zwangsmassnahmegericht</w:t>
            </w:r>
            <w:proofErr w:type="spellEnd"/>
            <w:r>
              <w:t>;</w:t>
            </w:r>
          </w:p>
        </w:tc>
        <w:tc>
          <w:tcPr>
            <w:tcW w:w="247.55pt" w:type="dxa"/>
            <w:tcBorders>
              <w:start w:val="single" w:sz="4" w:space="0" w:color="000000"/>
            </w:tcBorders>
          </w:tcPr>
          <w:p w14:paraId="62901365"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C4505C6" w14:textId="77777777" w:rsidR="00265E7F" w:rsidRDefault="00265E7F"/>
        </w:tc>
      </w:tr>
      <w:tr w:rsidR="00265E7F" w14:paraId="7D37EA27" w14:textId="77777777">
        <w:trPr>
          <w:cantSplit/>
        </w:trPr>
        <w:tc>
          <w:tcPr>
            <w:tcW w:w="247.55pt" w:type="dxa"/>
            <w:tcBorders>
              <w:start w:val="single" w:sz="4" w:space="0" w:color="000000"/>
            </w:tcBorders>
          </w:tcPr>
          <w:p w14:paraId="5A11A2B0" w14:textId="77777777" w:rsidR="00265E7F" w:rsidRDefault="002809BD">
            <w:pPr>
              <w:pStyle w:val="TableContents"/>
              <w:ind w:start="7.45pt" w:end="0.15pt" w:hanging="9.45pt"/>
            </w:pPr>
            <w:r>
              <w:t>d) bei Sexualdelikten auf Antrag des Opfers;</w:t>
            </w:r>
          </w:p>
        </w:tc>
        <w:tc>
          <w:tcPr>
            <w:tcW w:w="247.55pt" w:type="dxa"/>
            <w:tcBorders>
              <w:start w:val="single" w:sz="4" w:space="0" w:color="000000"/>
            </w:tcBorders>
          </w:tcPr>
          <w:p w14:paraId="719B19EB"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663E405C" w14:textId="77777777" w:rsidR="00265E7F" w:rsidRDefault="00265E7F"/>
        </w:tc>
      </w:tr>
      <w:tr w:rsidR="00265E7F" w14:paraId="679F0720" w14:textId="77777777">
        <w:trPr>
          <w:cantSplit/>
        </w:trPr>
        <w:tc>
          <w:tcPr>
            <w:tcW w:w="247.55pt" w:type="dxa"/>
            <w:tcBorders>
              <w:start w:val="single" w:sz="4" w:space="0" w:color="000000"/>
            </w:tcBorders>
          </w:tcPr>
          <w:p w14:paraId="651EC71D" w14:textId="77777777" w:rsidR="00265E7F" w:rsidRDefault="002809BD">
            <w:pPr>
              <w:pStyle w:val="TableContents"/>
              <w:ind w:start="7.45pt" w:end="0.15pt" w:hanging="9.45pt"/>
            </w:pPr>
            <w:r>
              <w:t>e) in der Jugendstrafrechtspflege; vorbehalten bleibt Art. 39 Abs. 2 des Jugendstrafgesetzes</w:t>
            </w:r>
            <w:r>
              <w:rPr>
                <w:rStyle w:val="Funotenzeichen"/>
              </w:rPr>
              <w:footnoteReference w:id="36"/>
            </w:r>
            <w:r>
              <w:rPr>
                <w:rStyle w:val="Funotenzeichen"/>
              </w:rPr>
              <w:t>)</w:t>
            </w:r>
            <w:r>
              <w:t>;</w:t>
            </w:r>
          </w:p>
        </w:tc>
        <w:tc>
          <w:tcPr>
            <w:tcW w:w="247.55pt" w:type="dxa"/>
            <w:tcBorders>
              <w:start w:val="single" w:sz="4" w:space="0" w:color="000000"/>
            </w:tcBorders>
          </w:tcPr>
          <w:p w14:paraId="68C98191" w14:textId="77777777" w:rsidR="00265E7F" w:rsidRDefault="002809BD">
            <w:pPr>
              <w:pStyle w:val="TableContents"/>
              <w:ind w:start="7.45pt" w:end="0.15pt" w:hanging="9.45pt"/>
            </w:pPr>
            <w:r>
              <w:t xml:space="preserve">e) in der Jugendstrafrechtspflege; vorbehalten bleibt Art. 14 Abs. 2 </w:t>
            </w:r>
            <w:proofErr w:type="spellStart"/>
            <w:r>
              <w:t>JStPO</w:t>
            </w:r>
            <w:proofErr w:type="spellEnd"/>
            <w:r>
              <w:t>;</w:t>
            </w:r>
          </w:p>
        </w:tc>
        <w:tc>
          <w:tcPr>
            <w:tcW w:w="247.60pt" w:type="dxa"/>
            <w:tcBorders>
              <w:start w:val="single" w:sz="4" w:space="0" w:color="000000"/>
              <w:end w:val="single" w:sz="4" w:space="0" w:color="000000"/>
            </w:tcBorders>
          </w:tcPr>
          <w:p w14:paraId="157C964F" w14:textId="77777777" w:rsidR="00265E7F" w:rsidRDefault="00265E7F"/>
        </w:tc>
      </w:tr>
      <w:tr w:rsidR="00265E7F" w14:paraId="2CC84F46" w14:textId="77777777">
        <w:trPr>
          <w:cantSplit/>
        </w:trPr>
        <w:tc>
          <w:tcPr>
            <w:tcW w:w="247.55pt" w:type="dxa"/>
            <w:tcBorders>
              <w:start w:val="single" w:sz="4" w:space="0" w:color="000000"/>
            </w:tcBorders>
          </w:tcPr>
          <w:p w14:paraId="5AE139D4" w14:textId="77777777" w:rsidR="00265E7F" w:rsidRDefault="002809BD">
            <w:pPr>
              <w:pStyle w:val="TableContents"/>
              <w:ind w:start="7.45pt" w:end="0.15pt" w:hanging="9.45pt"/>
            </w:pPr>
            <w:proofErr w:type="gramStart"/>
            <w:r>
              <w:lastRenderedPageBreak/>
              <w:t>f)</w:t>
            </w:r>
            <w:proofErr w:type="gramEnd"/>
            <w:r>
              <w:t xml:space="preserve"> wenn ein überwiegendes öffentliches Interesse oder schutzwürdige Privatinteressen es erfordern.</w:t>
            </w:r>
          </w:p>
        </w:tc>
        <w:tc>
          <w:tcPr>
            <w:tcW w:w="247.55pt" w:type="dxa"/>
            <w:tcBorders>
              <w:start w:val="single" w:sz="4" w:space="0" w:color="000000"/>
            </w:tcBorders>
          </w:tcPr>
          <w:p w14:paraId="0D7466BD"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459629A4" w14:textId="77777777" w:rsidR="00265E7F" w:rsidRDefault="00265E7F"/>
        </w:tc>
      </w:tr>
      <w:tr w:rsidR="00265E7F" w14:paraId="3D854F8E" w14:textId="77777777">
        <w:trPr>
          <w:cantSplit/>
        </w:trPr>
        <w:tc>
          <w:tcPr>
            <w:tcW w:w="247.55pt" w:type="dxa"/>
            <w:tcBorders>
              <w:start w:val="single" w:sz="4" w:space="0" w:color="000000"/>
            </w:tcBorders>
          </w:tcPr>
          <w:p w14:paraId="1B95E9FA" w14:textId="77777777" w:rsidR="00265E7F" w:rsidRDefault="002809BD">
            <w:pPr>
              <w:pStyle w:val="TableContents"/>
            </w:pPr>
            <w:r>
              <w:rPr>
                <w:vertAlign w:val="superscript"/>
              </w:rPr>
              <w:t>3</w:t>
            </w:r>
            <w:r>
              <w:t> Die Parteien können auf eine mündliche öffentliche Verhandlung verzichten.</w:t>
            </w:r>
          </w:p>
        </w:tc>
        <w:tc>
          <w:tcPr>
            <w:tcW w:w="247.55pt" w:type="dxa"/>
            <w:tcBorders>
              <w:start w:val="single" w:sz="4" w:space="0" w:color="000000"/>
            </w:tcBorders>
          </w:tcPr>
          <w:p w14:paraId="613DE27A" w14:textId="77777777" w:rsidR="00265E7F" w:rsidRDefault="00265E7F">
            <w:pPr>
              <w:pStyle w:val="TableContents"/>
            </w:pPr>
          </w:p>
        </w:tc>
        <w:tc>
          <w:tcPr>
            <w:tcW w:w="247.60pt" w:type="dxa"/>
            <w:tcBorders>
              <w:start w:val="single" w:sz="4" w:space="0" w:color="000000"/>
              <w:end w:val="single" w:sz="4" w:space="0" w:color="000000"/>
            </w:tcBorders>
          </w:tcPr>
          <w:p w14:paraId="1E26472D" w14:textId="77777777" w:rsidR="00265E7F" w:rsidRDefault="00265E7F"/>
        </w:tc>
      </w:tr>
      <w:tr w:rsidR="00265E7F" w14:paraId="3A862E36" w14:textId="77777777">
        <w:trPr>
          <w:cantSplit/>
        </w:trPr>
        <w:tc>
          <w:tcPr>
            <w:tcW w:w="247.55pt" w:type="dxa"/>
            <w:tcBorders>
              <w:start w:val="single" w:sz="4" w:space="0" w:color="000000"/>
            </w:tcBorders>
          </w:tcPr>
          <w:p w14:paraId="3E49DBFE" w14:textId="77777777" w:rsidR="00265E7F" w:rsidRDefault="002809BD">
            <w:pPr>
              <w:pStyle w:val="TableContents"/>
            </w:pPr>
            <w:r>
              <w:rPr>
                <w:vertAlign w:val="superscript"/>
              </w:rPr>
              <w:t>4</w:t>
            </w:r>
            <w:r>
              <w:t> Der oder die Vorsitzende kann im Falle des Ausschlusses der Öffentlichkeit einzelne Personen zulassen, wenn ein begründetes Interesse geltend gemacht wird und aus ihrer Anwesenheit keine Nachteile erwachsen.</w:t>
            </w:r>
          </w:p>
        </w:tc>
        <w:tc>
          <w:tcPr>
            <w:tcW w:w="247.55pt" w:type="dxa"/>
            <w:tcBorders>
              <w:start w:val="single" w:sz="4" w:space="0" w:color="000000"/>
            </w:tcBorders>
          </w:tcPr>
          <w:p w14:paraId="32897E35" w14:textId="77777777" w:rsidR="00265E7F" w:rsidRDefault="00265E7F">
            <w:pPr>
              <w:pStyle w:val="TableContents"/>
            </w:pPr>
          </w:p>
        </w:tc>
        <w:tc>
          <w:tcPr>
            <w:tcW w:w="247.60pt" w:type="dxa"/>
            <w:tcBorders>
              <w:start w:val="single" w:sz="4" w:space="0" w:color="000000"/>
              <w:end w:val="single" w:sz="4" w:space="0" w:color="000000"/>
            </w:tcBorders>
          </w:tcPr>
          <w:p w14:paraId="5FBB9669" w14:textId="77777777" w:rsidR="00265E7F" w:rsidRDefault="00265E7F"/>
        </w:tc>
      </w:tr>
      <w:tr w:rsidR="00265E7F" w14:paraId="073B7696" w14:textId="77777777">
        <w:trPr>
          <w:cantSplit/>
        </w:trPr>
        <w:tc>
          <w:tcPr>
            <w:tcW w:w="247.55pt" w:type="dxa"/>
            <w:tcBorders>
              <w:top w:val="single" w:sz="4" w:space="0" w:color="000000"/>
              <w:start w:val="single" w:sz="4" w:space="0" w:color="000000"/>
            </w:tcBorders>
          </w:tcPr>
          <w:p w14:paraId="48A78EF4" w14:textId="77777777" w:rsidR="00265E7F" w:rsidRDefault="00265E7F">
            <w:pPr>
              <w:pStyle w:val="TableContents"/>
            </w:pPr>
          </w:p>
        </w:tc>
        <w:tc>
          <w:tcPr>
            <w:tcW w:w="247.55pt" w:type="dxa"/>
            <w:tcBorders>
              <w:top w:val="single" w:sz="4" w:space="0" w:color="000000"/>
              <w:start w:val="single" w:sz="4" w:space="0" w:color="000000"/>
            </w:tcBorders>
          </w:tcPr>
          <w:p w14:paraId="5F240F77" w14:textId="77777777" w:rsidR="00265E7F" w:rsidRDefault="002809BD">
            <w:pPr>
              <w:pStyle w:val="TableContents"/>
            </w:pPr>
            <w:r>
              <w:rPr>
                <w:b/>
                <w:bCs/>
              </w:rPr>
              <w:t>Art.  58a</w:t>
            </w:r>
            <w:r>
              <w:br/>
            </w:r>
            <w:r>
              <w:rPr>
                <w:sz w:val="14"/>
              </w:rPr>
              <w:t>Unterzeichnung</w:t>
            </w:r>
          </w:p>
        </w:tc>
        <w:tc>
          <w:tcPr>
            <w:tcW w:w="247.60pt" w:type="dxa"/>
            <w:tcBorders>
              <w:top w:val="single" w:sz="4" w:space="0" w:color="000000"/>
              <w:start w:val="single" w:sz="4" w:space="0" w:color="000000"/>
              <w:end w:val="single" w:sz="4" w:space="0" w:color="000000"/>
            </w:tcBorders>
          </w:tcPr>
          <w:p w14:paraId="0572267F" w14:textId="77777777" w:rsidR="00265E7F" w:rsidRDefault="00265E7F"/>
        </w:tc>
      </w:tr>
      <w:tr w:rsidR="00265E7F" w14:paraId="22D82327" w14:textId="77777777">
        <w:trPr>
          <w:cantSplit/>
        </w:trPr>
        <w:tc>
          <w:tcPr>
            <w:tcW w:w="247.55pt" w:type="dxa"/>
            <w:tcBorders>
              <w:start w:val="single" w:sz="4" w:space="0" w:color="000000"/>
            </w:tcBorders>
          </w:tcPr>
          <w:p w14:paraId="0F40FE8F" w14:textId="77777777" w:rsidR="00265E7F" w:rsidRDefault="00265E7F">
            <w:pPr>
              <w:pStyle w:val="TableContents"/>
            </w:pPr>
          </w:p>
        </w:tc>
        <w:tc>
          <w:tcPr>
            <w:tcW w:w="247.55pt" w:type="dxa"/>
            <w:tcBorders>
              <w:start w:val="single" w:sz="4" w:space="0" w:color="000000"/>
            </w:tcBorders>
          </w:tcPr>
          <w:p w14:paraId="4B7271EA" w14:textId="77777777" w:rsidR="00265E7F" w:rsidRDefault="002809BD">
            <w:pPr>
              <w:pStyle w:val="TableContents"/>
            </w:pPr>
            <w:r>
              <w:rPr>
                <w:vertAlign w:val="superscript"/>
              </w:rPr>
              <w:t>1</w:t>
            </w:r>
            <w:r>
              <w:t> Der oder die Vorsitzende unterzeichnet auf Papier ausgefertigte Entscheide zusammen mit dem Gerichtsschreiber oder der Gerichtsschreiberin.</w:t>
            </w:r>
          </w:p>
        </w:tc>
        <w:tc>
          <w:tcPr>
            <w:tcW w:w="247.60pt" w:type="dxa"/>
            <w:tcBorders>
              <w:start w:val="single" w:sz="4" w:space="0" w:color="000000"/>
              <w:end w:val="single" w:sz="4" w:space="0" w:color="000000"/>
            </w:tcBorders>
          </w:tcPr>
          <w:p w14:paraId="0089002B" w14:textId="77777777" w:rsidR="00265E7F" w:rsidRDefault="00265E7F"/>
        </w:tc>
      </w:tr>
      <w:tr w:rsidR="00265E7F" w14:paraId="043BB5AC" w14:textId="77777777">
        <w:trPr>
          <w:cantSplit/>
        </w:trPr>
        <w:tc>
          <w:tcPr>
            <w:tcW w:w="247.55pt" w:type="dxa"/>
            <w:tcBorders>
              <w:start w:val="single" w:sz="4" w:space="0" w:color="000000"/>
            </w:tcBorders>
          </w:tcPr>
          <w:p w14:paraId="58C9451E" w14:textId="77777777" w:rsidR="00265E7F" w:rsidRDefault="00265E7F">
            <w:pPr>
              <w:pStyle w:val="TableContents"/>
            </w:pPr>
          </w:p>
        </w:tc>
        <w:tc>
          <w:tcPr>
            <w:tcW w:w="247.55pt" w:type="dxa"/>
            <w:tcBorders>
              <w:start w:val="single" w:sz="4" w:space="0" w:color="000000"/>
            </w:tcBorders>
          </w:tcPr>
          <w:p w14:paraId="3C6D6CD9" w14:textId="77777777" w:rsidR="00265E7F" w:rsidRDefault="002809BD">
            <w:pPr>
              <w:pStyle w:val="TableContents"/>
            </w:pPr>
            <w:r>
              <w:rPr>
                <w:vertAlign w:val="superscript"/>
              </w:rPr>
              <w:t>2</w:t>
            </w:r>
            <w:r>
              <w:t> Bei verfahrensleitenden Verfügungen genügt die Unterschrift der Verfahrensleitung oder des Gerichtsschreibers oder der Gerichtsschreiberin.</w:t>
            </w:r>
          </w:p>
        </w:tc>
        <w:tc>
          <w:tcPr>
            <w:tcW w:w="247.60pt" w:type="dxa"/>
            <w:tcBorders>
              <w:start w:val="single" w:sz="4" w:space="0" w:color="000000"/>
              <w:end w:val="single" w:sz="4" w:space="0" w:color="000000"/>
            </w:tcBorders>
          </w:tcPr>
          <w:p w14:paraId="4CF59401" w14:textId="77777777" w:rsidR="00265E7F" w:rsidRDefault="00265E7F"/>
        </w:tc>
      </w:tr>
      <w:tr w:rsidR="00265E7F" w14:paraId="1BAD4A92" w14:textId="77777777">
        <w:trPr>
          <w:cantSplit/>
        </w:trPr>
        <w:tc>
          <w:tcPr>
            <w:tcW w:w="247.55pt" w:type="dxa"/>
            <w:tcBorders>
              <w:top w:val="single" w:sz="4" w:space="0" w:color="000000"/>
              <w:start w:val="single" w:sz="4" w:space="0" w:color="000000"/>
            </w:tcBorders>
          </w:tcPr>
          <w:p w14:paraId="01B529A8" w14:textId="77777777" w:rsidR="00265E7F" w:rsidRDefault="002809BD">
            <w:pPr>
              <w:pStyle w:val="TableContents"/>
            </w:pPr>
            <w:r>
              <w:rPr>
                <w:b/>
                <w:bCs/>
              </w:rPr>
              <w:t>Art.  60</w:t>
            </w:r>
            <w:r>
              <w:br/>
            </w:r>
            <w:r>
              <w:rPr>
                <w:sz w:val="14"/>
              </w:rPr>
              <w:t>Veröffentlichungen</w:t>
            </w:r>
          </w:p>
        </w:tc>
        <w:tc>
          <w:tcPr>
            <w:tcW w:w="247.55pt" w:type="dxa"/>
            <w:tcBorders>
              <w:top w:val="single" w:sz="4" w:space="0" w:color="000000"/>
              <w:start w:val="single" w:sz="4" w:space="0" w:color="000000"/>
            </w:tcBorders>
          </w:tcPr>
          <w:p w14:paraId="1E0BBEEA"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43A7E948" w14:textId="77777777" w:rsidR="00265E7F" w:rsidRDefault="00265E7F"/>
        </w:tc>
      </w:tr>
      <w:tr w:rsidR="00265E7F" w14:paraId="03BD2AB6" w14:textId="77777777">
        <w:trPr>
          <w:cantSplit/>
        </w:trPr>
        <w:tc>
          <w:tcPr>
            <w:tcW w:w="247.55pt" w:type="dxa"/>
            <w:tcBorders>
              <w:start w:val="single" w:sz="4" w:space="0" w:color="000000"/>
            </w:tcBorders>
          </w:tcPr>
          <w:p w14:paraId="62128D97" w14:textId="77777777" w:rsidR="00265E7F" w:rsidRDefault="002809BD">
            <w:pPr>
              <w:pStyle w:val="TableContents"/>
            </w:pPr>
            <w:r>
              <w:rPr>
                <w:vertAlign w:val="superscript"/>
              </w:rPr>
              <w:t>1</w:t>
            </w:r>
            <w:r>
              <w:t xml:space="preserve"> Alle </w:t>
            </w:r>
            <w:proofErr w:type="spellStart"/>
            <w:r>
              <w:t>Entscheiddispositive</w:t>
            </w:r>
            <w:proofErr w:type="spellEnd"/>
            <w:r>
              <w:t xml:space="preserve">, mit Ausnahme jener in </w:t>
            </w:r>
            <w:proofErr w:type="spellStart"/>
            <w:r>
              <w:t>Summarsachen</w:t>
            </w:r>
            <w:proofErr w:type="spellEnd"/>
            <w:r>
              <w:t>, werden von den Gerichten während vier Wochen für alle interessierten Personen aufgelegt.</w:t>
            </w:r>
          </w:p>
        </w:tc>
        <w:tc>
          <w:tcPr>
            <w:tcW w:w="247.55pt" w:type="dxa"/>
            <w:tcBorders>
              <w:start w:val="single" w:sz="4" w:space="0" w:color="000000"/>
            </w:tcBorders>
          </w:tcPr>
          <w:p w14:paraId="7CCECFCA" w14:textId="77777777" w:rsidR="00265E7F" w:rsidRDefault="00265E7F">
            <w:pPr>
              <w:pStyle w:val="TableContents"/>
            </w:pPr>
          </w:p>
        </w:tc>
        <w:tc>
          <w:tcPr>
            <w:tcW w:w="247.60pt" w:type="dxa"/>
            <w:tcBorders>
              <w:start w:val="single" w:sz="4" w:space="0" w:color="000000"/>
              <w:end w:val="single" w:sz="4" w:space="0" w:color="000000"/>
            </w:tcBorders>
          </w:tcPr>
          <w:p w14:paraId="250674D7" w14:textId="77777777" w:rsidR="00265E7F" w:rsidRDefault="00265E7F"/>
        </w:tc>
      </w:tr>
      <w:tr w:rsidR="00265E7F" w14:paraId="538385EB" w14:textId="77777777">
        <w:trPr>
          <w:cantSplit/>
        </w:trPr>
        <w:tc>
          <w:tcPr>
            <w:tcW w:w="247.55pt" w:type="dxa"/>
            <w:tcBorders>
              <w:start w:val="single" w:sz="4" w:space="0" w:color="000000"/>
            </w:tcBorders>
          </w:tcPr>
          <w:p w14:paraId="0B1C29FD" w14:textId="77777777" w:rsidR="00265E7F" w:rsidRDefault="002809BD">
            <w:pPr>
              <w:pStyle w:val="TableContents"/>
            </w:pPr>
            <w:r>
              <w:rPr>
                <w:vertAlign w:val="superscript"/>
              </w:rPr>
              <w:t>2</w:t>
            </w:r>
            <w:r>
              <w:t> Die Gerichte machen Entscheide von allgemeinem Interesse in geeigneter Weise bekannt. Das Obergericht veröffentlicht jährlich Entscheide von grundsätzlicher Bedeutung.</w:t>
            </w:r>
          </w:p>
        </w:tc>
        <w:tc>
          <w:tcPr>
            <w:tcW w:w="247.55pt" w:type="dxa"/>
            <w:tcBorders>
              <w:start w:val="single" w:sz="4" w:space="0" w:color="000000"/>
            </w:tcBorders>
          </w:tcPr>
          <w:p w14:paraId="52838648" w14:textId="77777777" w:rsidR="00265E7F" w:rsidRDefault="002809BD">
            <w:pPr>
              <w:pStyle w:val="TableContents"/>
            </w:pPr>
            <w:r>
              <w:rPr>
                <w:vertAlign w:val="superscript"/>
              </w:rPr>
              <w:t>2</w:t>
            </w:r>
            <w:r>
              <w:t> Das Obergericht sorgt für eine angemessene Veröffentlichung der Rechtsprechungspraxis der kantonalen Gerichte.</w:t>
            </w:r>
          </w:p>
        </w:tc>
        <w:tc>
          <w:tcPr>
            <w:tcW w:w="247.60pt" w:type="dxa"/>
            <w:tcBorders>
              <w:start w:val="single" w:sz="4" w:space="0" w:color="000000"/>
              <w:end w:val="single" w:sz="4" w:space="0" w:color="000000"/>
            </w:tcBorders>
          </w:tcPr>
          <w:p w14:paraId="1AC35AEA" w14:textId="77777777" w:rsidR="00265E7F" w:rsidRDefault="00265E7F"/>
        </w:tc>
      </w:tr>
      <w:tr w:rsidR="00265E7F" w14:paraId="36441BD1" w14:textId="77777777">
        <w:trPr>
          <w:cantSplit/>
        </w:trPr>
        <w:tc>
          <w:tcPr>
            <w:tcW w:w="247.55pt" w:type="dxa"/>
            <w:tcBorders>
              <w:start w:val="single" w:sz="4" w:space="0" w:color="000000"/>
            </w:tcBorders>
          </w:tcPr>
          <w:p w14:paraId="77B56A13" w14:textId="77777777" w:rsidR="00265E7F" w:rsidRDefault="002809BD">
            <w:pPr>
              <w:pStyle w:val="TableContents"/>
            </w:pPr>
            <w:r>
              <w:rPr>
                <w:vertAlign w:val="superscript"/>
              </w:rPr>
              <w:lastRenderedPageBreak/>
              <w:t>3</w:t>
            </w:r>
            <w:r>
              <w:t> Die Veröffentlichung eines Entscheids in Strafsachen obliegt der Behörde, die ihn angeordnet hat.</w:t>
            </w:r>
            <w:r>
              <w:rPr>
                <w:rStyle w:val="Funotenzeichen"/>
              </w:rPr>
              <w:footnoteReference w:id="37"/>
            </w:r>
            <w:r>
              <w:rPr>
                <w:rStyle w:val="Funotenzeichen"/>
              </w:rPr>
              <w:t>)</w:t>
            </w:r>
          </w:p>
        </w:tc>
        <w:tc>
          <w:tcPr>
            <w:tcW w:w="247.55pt" w:type="dxa"/>
            <w:tcBorders>
              <w:start w:val="single" w:sz="4" w:space="0" w:color="000000"/>
            </w:tcBorders>
          </w:tcPr>
          <w:p w14:paraId="05B355B7" w14:textId="77777777" w:rsidR="00265E7F" w:rsidRDefault="00265E7F">
            <w:pPr>
              <w:pStyle w:val="TableContents"/>
            </w:pPr>
          </w:p>
        </w:tc>
        <w:tc>
          <w:tcPr>
            <w:tcW w:w="247.60pt" w:type="dxa"/>
            <w:tcBorders>
              <w:start w:val="single" w:sz="4" w:space="0" w:color="000000"/>
              <w:end w:val="single" w:sz="4" w:space="0" w:color="000000"/>
            </w:tcBorders>
          </w:tcPr>
          <w:p w14:paraId="4BEBF5DE" w14:textId="77777777" w:rsidR="00265E7F" w:rsidRDefault="00265E7F"/>
        </w:tc>
      </w:tr>
      <w:tr w:rsidR="00265E7F" w14:paraId="77F415AA" w14:textId="77777777">
        <w:trPr>
          <w:cantSplit/>
        </w:trPr>
        <w:tc>
          <w:tcPr>
            <w:tcW w:w="247.55pt" w:type="dxa"/>
            <w:tcBorders>
              <w:start w:val="single" w:sz="4" w:space="0" w:color="000000"/>
            </w:tcBorders>
          </w:tcPr>
          <w:p w14:paraId="6DEBF66B" w14:textId="77777777" w:rsidR="00265E7F" w:rsidRDefault="002809BD">
            <w:pPr>
              <w:pStyle w:val="TableContents"/>
            </w:pPr>
            <w:r>
              <w:rPr>
                <w:vertAlign w:val="superscript"/>
              </w:rPr>
              <w:t>4</w:t>
            </w:r>
            <w:r>
              <w:t> Die Namen der Beteiligten werden in der Regel nicht genannt.</w:t>
            </w:r>
          </w:p>
        </w:tc>
        <w:tc>
          <w:tcPr>
            <w:tcW w:w="247.55pt" w:type="dxa"/>
            <w:tcBorders>
              <w:start w:val="single" w:sz="4" w:space="0" w:color="000000"/>
            </w:tcBorders>
          </w:tcPr>
          <w:p w14:paraId="10594A61" w14:textId="77777777" w:rsidR="00265E7F" w:rsidRDefault="00265E7F">
            <w:pPr>
              <w:pStyle w:val="TableContents"/>
            </w:pPr>
          </w:p>
        </w:tc>
        <w:tc>
          <w:tcPr>
            <w:tcW w:w="247.60pt" w:type="dxa"/>
            <w:tcBorders>
              <w:start w:val="single" w:sz="4" w:space="0" w:color="000000"/>
              <w:end w:val="single" w:sz="4" w:space="0" w:color="000000"/>
            </w:tcBorders>
          </w:tcPr>
          <w:p w14:paraId="4C87271B" w14:textId="77777777" w:rsidR="00265E7F" w:rsidRDefault="00265E7F"/>
        </w:tc>
      </w:tr>
      <w:tr w:rsidR="00265E7F" w14:paraId="636777D5" w14:textId="77777777">
        <w:trPr>
          <w:cantSplit/>
        </w:trPr>
        <w:tc>
          <w:tcPr>
            <w:tcW w:w="247.55pt" w:type="dxa"/>
            <w:tcBorders>
              <w:top w:val="single" w:sz="4" w:space="0" w:color="000000"/>
              <w:start w:val="single" w:sz="4" w:space="0" w:color="000000"/>
            </w:tcBorders>
          </w:tcPr>
          <w:p w14:paraId="69F0194F" w14:textId="77777777" w:rsidR="00265E7F" w:rsidRDefault="002809BD">
            <w:pPr>
              <w:pStyle w:val="TableContents"/>
            </w:pPr>
            <w:r>
              <w:rPr>
                <w:b/>
                <w:bCs/>
              </w:rPr>
              <w:t>Art.  62</w:t>
            </w:r>
            <w:r>
              <w:br/>
            </w:r>
            <w:r>
              <w:rPr>
                <w:sz w:val="14"/>
              </w:rPr>
              <w:t xml:space="preserve">Unentgeltliche Rechtspflege, unentgeltliche </w:t>
            </w:r>
            <w:proofErr w:type="spellStart"/>
            <w:r>
              <w:rPr>
                <w:sz w:val="14"/>
              </w:rPr>
              <w:t>Verbeiständung</w:t>
            </w:r>
            <w:proofErr w:type="spellEnd"/>
            <w:r>
              <w:rPr>
                <w:sz w:val="14"/>
              </w:rPr>
              <w:t>,</w:t>
            </w:r>
            <w:r>
              <w:rPr>
                <w:sz w:val="14"/>
              </w:rPr>
              <w:br/>
              <w:t>amtliche Verteidigung</w:t>
            </w:r>
          </w:p>
        </w:tc>
        <w:tc>
          <w:tcPr>
            <w:tcW w:w="247.55pt" w:type="dxa"/>
            <w:tcBorders>
              <w:top w:val="single" w:sz="4" w:space="0" w:color="000000"/>
              <w:start w:val="single" w:sz="4" w:space="0" w:color="000000"/>
            </w:tcBorders>
          </w:tcPr>
          <w:p w14:paraId="3B07E3F6"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8C11C4D" w14:textId="77777777" w:rsidR="00265E7F" w:rsidRDefault="00265E7F"/>
        </w:tc>
      </w:tr>
      <w:tr w:rsidR="00265E7F" w14:paraId="0BB0316F" w14:textId="77777777">
        <w:trPr>
          <w:cantSplit/>
        </w:trPr>
        <w:tc>
          <w:tcPr>
            <w:tcW w:w="247.55pt" w:type="dxa"/>
            <w:tcBorders>
              <w:start w:val="single" w:sz="4" w:space="0" w:color="000000"/>
            </w:tcBorders>
          </w:tcPr>
          <w:p w14:paraId="136D199F" w14:textId="77777777" w:rsidR="00265E7F" w:rsidRDefault="002809BD">
            <w:pPr>
              <w:pStyle w:val="TableContents"/>
            </w:pPr>
            <w:r>
              <w:rPr>
                <w:vertAlign w:val="superscript"/>
              </w:rPr>
              <w:t>1</w:t>
            </w:r>
            <w:r>
              <w:t xml:space="preserve"> Parteien, Geschädigte und Privatklägerschaft haben Anspruch auf unentgeltliche Rechtspflege und unentgeltliche </w:t>
            </w:r>
            <w:proofErr w:type="spellStart"/>
            <w:r>
              <w:t>Verbeiständung</w:t>
            </w:r>
            <w:proofErr w:type="spellEnd"/>
            <w:r>
              <w:t xml:space="preserve"> nach Massgabe der Art. 117 ff. ZPO sowie Art. 136 ff. StPO. Die beschuldigte Person hat Anspruch auf amtliche Verteidigung im Sinne von Art. 132 ff. StPO.</w:t>
            </w:r>
          </w:p>
        </w:tc>
        <w:tc>
          <w:tcPr>
            <w:tcW w:w="247.55pt" w:type="dxa"/>
            <w:tcBorders>
              <w:start w:val="single" w:sz="4" w:space="0" w:color="000000"/>
            </w:tcBorders>
          </w:tcPr>
          <w:p w14:paraId="5B7CAA2C" w14:textId="77777777" w:rsidR="00265E7F" w:rsidRDefault="00265E7F">
            <w:pPr>
              <w:pStyle w:val="TableContents"/>
            </w:pPr>
          </w:p>
        </w:tc>
        <w:tc>
          <w:tcPr>
            <w:tcW w:w="247.60pt" w:type="dxa"/>
            <w:tcBorders>
              <w:start w:val="single" w:sz="4" w:space="0" w:color="000000"/>
              <w:end w:val="single" w:sz="4" w:space="0" w:color="000000"/>
            </w:tcBorders>
          </w:tcPr>
          <w:p w14:paraId="589949C7" w14:textId="77777777" w:rsidR="00265E7F" w:rsidRDefault="00265E7F"/>
        </w:tc>
      </w:tr>
      <w:tr w:rsidR="00265E7F" w14:paraId="0EB48270" w14:textId="77777777">
        <w:trPr>
          <w:cantSplit/>
        </w:trPr>
        <w:tc>
          <w:tcPr>
            <w:tcW w:w="247.55pt" w:type="dxa"/>
            <w:tcBorders>
              <w:start w:val="single" w:sz="4" w:space="0" w:color="000000"/>
            </w:tcBorders>
          </w:tcPr>
          <w:p w14:paraId="01653683" w14:textId="77777777" w:rsidR="00265E7F" w:rsidRDefault="002809BD">
            <w:pPr>
              <w:pStyle w:val="TableContents"/>
            </w:pPr>
            <w:r>
              <w:rPr>
                <w:vertAlign w:val="superscript"/>
              </w:rPr>
              <w:t>2</w:t>
            </w:r>
            <w:r>
              <w:t> Für das Verfahren vor dem Obergericht in Verwaltungssachen gelten Art. 25 des Gesetzes über die Verwaltungsrechtspflege</w:t>
            </w:r>
            <w:r>
              <w:rPr>
                <w:rStyle w:val="Funotenzeichen"/>
              </w:rPr>
              <w:footnoteReference w:id="38"/>
            </w:r>
            <w:r>
              <w:rPr>
                <w:rStyle w:val="Funotenzeichen"/>
              </w:rPr>
              <w:t>)</w:t>
            </w:r>
            <w:r>
              <w:t xml:space="preserve"> und Art. 61 des Bundesgesetzes über den Allgemeinen Teil des Sozialversicherungsrechts</w:t>
            </w:r>
            <w:r>
              <w:rPr>
                <w:rStyle w:val="Funotenzeichen"/>
              </w:rPr>
              <w:footnoteReference w:id="39"/>
            </w:r>
            <w:r>
              <w:rPr>
                <w:rStyle w:val="Funotenzeichen"/>
              </w:rPr>
              <w:t>)</w:t>
            </w:r>
            <w:r>
              <w:t>.</w:t>
            </w:r>
          </w:p>
        </w:tc>
        <w:tc>
          <w:tcPr>
            <w:tcW w:w="247.55pt" w:type="dxa"/>
            <w:tcBorders>
              <w:start w:val="single" w:sz="4" w:space="0" w:color="000000"/>
            </w:tcBorders>
          </w:tcPr>
          <w:p w14:paraId="22E8E222" w14:textId="77777777" w:rsidR="00265E7F" w:rsidRDefault="00265E7F">
            <w:pPr>
              <w:pStyle w:val="TableContents"/>
            </w:pPr>
          </w:p>
        </w:tc>
        <w:tc>
          <w:tcPr>
            <w:tcW w:w="247.60pt" w:type="dxa"/>
            <w:tcBorders>
              <w:start w:val="single" w:sz="4" w:space="0" w:color="000000"/>
              <w:end w:val="single" w:sz="4" w:space="0" w:color="000000"/>
            </w:tcBorders>
          </w:tcPr>
          <w:p w14:paraId="5B380213" w14:textId="77777777" w:rsidR="00265E7F" w:rsidRDefault="00265E7F"/>
        </w:tc>
      </w:tr>
      <w:tr w:rsidR="00265E7F" w14:paraId="40AB3D3E" w14:textId="77777777">
        <w:trPr>
          <w:cantSplit/>
        </w:trPr>
        <w:tc>
          <w:tcPr>
            <w:tcW w:w="247.55pt" w:type="dxa"/>
            <w:tcBorders>
              <w:start w:val="single" w:sz="4" w:space="0" w:color="000000"/>
            </w:tcBorders>
          </w:tcPr>
          <w:p w14:paraId="3DFCB14B" w14:textId="77777777" w:rsidR="00265E7F" w:rsidRDefault="002809BD">
            <w:pPr>
              <w:pStyle w:val="TableContents"/>
            </w:pPr>
            <w:r>
              <w:rPr>
                <w:vertAlign w:val="superscript"/>
              </w:rPr>
              <w:t>3</w:t>
            </w:r>
            <w:r>
              <w:t> </w:t>
            </w:r>
            <w:proofErr w:type="gramStart"/>
            <w:r>
              <w:t>Zuständig</w:t>
            </w:r>
            <w:proofErr w:type="gramEnd"/>
            <w:r>
              <w:t xml:space="preserve"> für deren Gewährung ist die jeweilige Verfahrensleitung.</w:t>
            </w:r>
          </w:p>
        </w:tc>
        <w:tc>
          <w:tcPr>
            <w:tcW w:w="247.55pt" w:type="dxa"/>
            <w:tcBorders>
              <w:start w:val="single" w:sz="4" w:space="0" w:color="000000"/>
            </w:tcBorders>
          </w:tcPr>
          <w:p w14:paraId="222A6357" w14:textId="77777777" w:rsidR="00265E7F" w:rsidRDefault="002809BD">
            <w:pPr>
              <w:pStyle w:val="TableContents"/>
            </w:pPr>
            <w:r>
              <w:rPr>
                <w:vertAlign w:val="superscript"/>
              </w:rPr>
              <w:t>3</w:t>
            </w:r>
            <w:r>
              <w:t> Über die Gewährung entscheidet die in der Hauptsache zuständige Verfahrensleitung.</w:t>
            </w:r>
          </w:p>
        </w:tc>
        <w:tc>
          <w:tcPr>
            <w:tcW w:w="247.60pt" w:type="dxa"/>
            <w:tcBorders>
              <w:start w:val="single" w:sz="4" w:space="0" w:color="000000"/>
              <w:end w:val="single" w:sz="4" w:space="0" w:color="000000"/>
            </w:tcBorders>
          </w:tcPr>
          <w:p w14:paraId="4F31B2F5" w14:textId="77777777" w:rsidR="00265E7F" w:rsidRDefault="00265E7F"/>
        </w:tc>
      </w:tr>
      <w:tr w:rsidR="00265E7F" w14:paraId="2BE72CDA" w14:textId="77777777">
        <w:trPr>
          <w:cantSplit/>
        </w:trPr>
        <w:tc>
          <w:tcPr>
            <w:tcW w:w="247.55pt" w:type="dxa"/>
            <w:tcBorders>
              <w:top w:val="single" w:sz="4" w:space="0" w:color="000000"/>
              <w:start w:val="single" w:sz="4" w:space="0" w:color="000000"/>
            </w:tcBorders>
          </w:tcPr>
          <w:p w14:paraId="04593E02" w14:textId="77777777" w:rsidR="00265E7F" w:rsidRDefault="002809BD">
            <w:pPr>
              <w:pStyle w:val="TableContents"/>
            </w:pPr>
            <w:r>
              <w:rPr>
                <w:b/>
                <w:bCs/>
              </w:rPr>
              <w:t>Art.  65</w:t>
            </w:r>
            <w:r>
              <w:br/>
            </w:r>
            <w:r>
              <w:rPr>
                <w:sz w:val="14"/>
              </w:rPr>
              <w:t>Inkasso</w:t>
            </w:r>
          </w:p>
        </w:tc>
        <w:tc>
          <w:tcPr>
            <w:tcW w:w="247.55pt" w:type="dxa"/>
            <w:tcBorders>
              <w:top w:val="single" w:sz="4" w:space="0" w:color="000000"/>
              <w:start w:val="single" w:sz="4" w:space="0" w:color="000000"/>
            </w:tcBorders>
          </w:tcPr>
          <w:p w14:paraId="6EAC74F7" w14:textId="77777777" w:rsidR="00265E7F" w:rsidRDefault="002809BD">
            <w:pPr>
              <w:pStyle w:val="TableContents"/>
            </w:pPr>
            <w:r>
              <w:rPr>
                <w:b/>
                <w:bCs/>
              </w:rPr>
              <w:t>Art.  65</w:t>
            </w:r>
            <w:r>
              <w:br/>
            </w:r>
            <w:r>
              <w:rPr>
                <w:sz w:val="14"/>
              </w:rPr>
              <w:t>Inkasso, Erlass und Stundung</w:t>
            </w:r>
          </w:p>
        </w:tc>
        <w:tc>
          <w:tcPr>
            <w:tcW w:w="247.60pt" w:type="dxa"/>
            <w:tcBorders>
              <w:top w:val="single" w:sz="4" w:space="0" w:color="000000"/>
              <w:start w:val="single" w:sz="4" w:space="0" w:color="000000"/>
              <w:end w:val="single" w:sz="4" w:space="0" w:color="000000"/>
            </w:tcBorders>
          </w:tcPr>
          <w:p w14:paraId="6910284E" w14:textId="77777777" w:rsidR="00265E7F" w:rsidRDefault="00265E7F"/>
        </w:tc>
      </w:tr>
      <w:tr w:rsidR="00265E7F" w14:paraId="3C15BFCD" w14:textId="77777777">
        <w:trPr>
          <w:cantSplit/>
        </w:trPr>
        <w:tc>
          <w:tcPr>
            <w:tcW w:w="247.55pt" w:type="dxa"/>
            <w:tcBorders>
              <w:start w:val="single" w:sz="4" w:space="0" w:color="000000"/>
            </w:tcBorders>
          </w:tcPr>
          <w:p w14:paraId="5EB06BFA" w14:textId="77777777" w:rsidR="00265E7F" w:rsidRDefault="002809BD">
            <w:pPr>
              <w:pStyle w:val="TableContents"/>
            </w:pPr>
            <w:r>
              <w:rPr>
                <w:vertAlign w:val="superscript"/>
              </w:rPr>
              <w:t>1</w:t>
            </w:r>
            <w:r>
              <w:t> Das Inkasso von finanziellen Leistungen, namentlich von Verfahrenskosten, Geldstrafen und Bussen</w:t>
            </w:r>
            <w:r>
              <w:rPr>
                <w:rStyle w:val="Funotenzeichen"/>
              </w:rPr>
              <w:footnoteReference w:id="40"/>
            </w:r>
            <w:r>
              <w:rPr>
                <w:rStyle w:val="Funotenzeichen"/>
              </w:rPr>
              <w:t>)</w:t>
            </w:r>
            <w:r>
              <w:t xml:space="preserve"> obliegt der Gerichtskasse.</w:t>
            </w:r>
          </w:p>
        </w:tc>
        <w:tc>
          <w:tcPr>
            <w:tcW w:w="247.55pt" w:type="dxa"/>
            <w:tcBorders>
              <w:start w:val="single" w:sz="4" w:space="0" w:color="000000"/>
            </w:tcBorders>
          </w:tcPr>
          <w:p w14:paraId="312B4C48" w14:textId="77777777" w:rsidR="00265E7F" w:rsidRDefault="002809BD">
            <w:pPr>
              <w:pStyle w:val="TableContents"/>
            </w:pPr>
            <w:r>
              <w:rPr>
                <w:vertAlign w:val="superscript"/>
              </w:rPr>
              <w:t>1</w:t>
            </w:r>
            <w:r>
              <w:t> Das Inkasso von finanziellen Leistungen, namentlich von Verfahrenskosten, Geldstrafen und Bussen</w:t>
            </w:r>
            <w:r>
              <w:rPr>
                <w:rStyle w:val="Funotenzeichen"/>
              </w:rPr>
              <w:footnoteReference w:id="41"/>
            </w:r>
            <w:r>
              <w:rPr>
                <w:rStyle w:val="Funotenzeichen"/>
              </w:rPr>
              <w:t>)</w:t>
            </w:r>
            <w:r>
              <w:t xml:space="preserve"> obliegt der vom Regierungsrat bezeichneten Stelle; sie führt die Gerichtskasse.</w:t>
            </w:r>
          </w:p>
        </w:tc>
        <w:tc>
          <w:tcPr>
            <w:tcW w:w="247.60pt" w:type="dxa"/>
            <w:tcBorders>
              <w:start w:val="single" w:sz="4" w:space="0" w:color="000000"/>
              <w:end w:val="single" w:sz="4" w:space="0" w:color="000000"/>
            </w:tcBorders>
          </w:tcPr>
          <w:p w14:paraId="651A46A9" w14:textId="77777777" w:rsidR="00265E7F" w:rsidRDefault="00265E7F"/>
        </w:tc>
      </w:tr>
      <w:tr w:rsidR="00265E7F" w14:paraId="2787BAC1" w14:textId="77777777">
        <w:trPr>
          <w:cantSplit/>
        </w:trPr>
        <w:tc>
          <w:tcPr>
            <w:tcW w:w="247.55pt" w:type="dxa"/>
            <w:tcBorders>
              <w:start w:val="single" w:sz="4" w:space="0" w:color="000000"/>
            </w:tcBorders>
          </w:tcPr>
          <w:p w14:paraId="296BDF5C" w14:textId="77777777" w:rsidR="00265E7F" w:rsidRDefault="00265E7F">
            <w:pPr>
              <w:pStyle w:val="TableContents"/>
            </w:pPr>
          </w:p>
        </w:tc>
        <w:tc>
          <w:tcPr>
            <w:tcW w:w="247.55pt" w:type="dxa"/>
            <w:tcBorders>
              <w:start w:val="single" w:sz="4" w:space="0" w:color="000000"/>
            </w:tcBorders>
          </w:tcPr>
          <w:p w14:paraId="2A6495A1" w14:textId="77777777" w:rsidR="00265E7F" w:rsidRDefault="002809BD">
            <w:pPr>
              <w:pStyle w:val="TableContents"/>
            </w:pPr>
            <w:r>
              <w:rPr>
                <w:vertAlign w:val="superscript"/>
              </w:rPr>
              <w:t>2</w:t>
            </w:r>
            <w:r>
              <w:t> Die mit der Gerichtskasse betraute Stelle entscheidet über Erlass und Stundung von Verfahrenskosten.</w:t>
            </w:r>
          </w:p>
        </w:tc>
        <w:tc>
          <w:tcPr>
            <w:tcW w:w="247.60pt" w:type="dxa"/>
            <w:tcBorders>
              <w:start w:val="single" w:sz="4" w:space="0" w:color="000000"/>
              <w:end w:val="single" w:sz="4" w:space="0" w:color="000000"/>
            </w:tcBorders>
          </w:tcPr>
          <w:p w14:paraId="6FCD06B8" w14:textId="77777777" w:rsidR="00265E7F" w:rsidRDefault="00265E7F"/>
        </w:tc>
      </w:tr>
      <w:tr w:rsidR="00265E7F" w14:paraId="22DA62B4" w14:textId="77777777">
        <w:trPr>
          <w:cantSplit/>
        </w:trPr>
        <w:tc>
          <w:tcPr>
            <w:tcW w:w="247.55pt" w:type="dxa"/>
            <w:tcBorders>
              <w:top w:val="single" w:sz="4" w:space="0" w:color="000000"/>
              <w:start w:val="single" w:sz="4" w:space="0" w:color="000000"/>
            </w:tcBorders>
          </w:tcPr>
          <w:p w14:paraId="1D1445F9" w14:textId="77777777" w:rsidR="00265E7F" w:rsidRDefault="002809BD">
            <w:pPr>
              <w:pStyle w:val="TableContents"/>
            </w:pPr>
            <w:r>
              <w:rPr>
                <w:b/>
                <w:bCs/>
              </w:rPr>
              <w:t>Art.  73</w:t>
            </w:r>
            <w:r>
              <w:br/>
            </w:r>
            <w:r>
              <w:rPr>
                <w:sz w:val="14"/>
              </w:rPr>
              <w:t>Einvernahmen</w:t>
            </w:r>
          </w:p>
        </w:tc>
        <w:tc>
          <w:tcPr>
            <w:tcW w:w="247.55pt" w:type="dxa"/>
            <w:tcBorders>
              <w:top w:val="single" w:sz="4" w:space="0" w:color="000000"/>
              <w:start w:val="single" w:sz="4" w:space="0" w:color="000000"/>
            </w:tcBorders>
          </w:tcPr>
          <w:p w14:paraId="2DCD1C5A" w14:textId="77777777" w:rsidR="00265E7F" w:rsidRDefault="002809BD">
            <w:pPr>
              <w:pStyle w:val="TableContents"/>
            </w:pPr>
            <w:r>
              <w:rPr>
                <w:b/>
                <w:bCs/>
              </w:rPr>
              <w:t>Art.  73</w:t>
            </w:r>
            <w:r>
              <w:br/>
            </w:r>
            <w:r>
              <w:rPr>
                <w:sz w:val="14"/>
              </w:rPr>
              <w:t xml:space="preserve">Delegation von </w:t>
            </w:r>
            <w:proofErr w:type="spellStart"/>
            <w:r>
              <w:rPr>
                <w:sz w:val="14"/>
              </w:rPr>
              <w:t>Einvernahmebefugnissen</w:t>
            </w:r>
            <w:proofErr w:type="spellEnd"/>
          </w:p>
        </w:tc>
        <w:tc>
          <w:tcPr>
            <w:tcW w:w="247.60pt" w:type="dxa"/>
            <w:tcBorders>
              <w:top w:val="single" w:sz="4" w:space="0" w:color="000000"/>
              <w:start w:val="single" w:sz="4" w:space="0" w:color="000000"/>
              <w:end w:val="single" w:sz="4" w:space="0" w:color="000000"/>
            </w:tcBorders>
          </w:tcPr>
          <w:p w14:paraId="30C579B2" w14:textId="77777777" w:rsidR="00265E7F" w:rsidRDefault="00265E7F"/>
        </w:tc>
      </w:tr>
      <w:tr w:rsidR="00265E7F" w14:paraId="330D92E1" w14:textId="77777777">
        <w:trPr>
          <w:cantSplit/>
        </w:trPr>
        <w:tc>
          <w:tcPr>
            <w:tcW w:w="247.55pt" w:type="dxa"/>
            <w:tcBorders>
              <w:start w:val="single" w:sz="4" w:space="0" w:color="000000"/>
            </w:tcBorders>
          </w:tcPr>
          <w:p w14:paraId="2F096058" w14:textId="77777777" w:rsidR="00265E7F" w:rsidRDefault="002809BD">
            <w:pPr>
              <w:pStyle w:val="TableContents"/>
            </w:pPr>
            <w:r>
              <w:rPr>
                <w:vertAlign w:val="superscript"/>
              </w:rPr>
              <w:t>1</w:t>
            </w:r>
            <w:r>
              <w:t> Einvernahmen werden von den Staatsanwälten und Staatsanwältinnen, den Jugendanwälten und Jugendanwältinnen und den Gerichten durchgeführt.</w:t>
            </w:r>
            <w:r>
              <w:rPr>
                <w:rStyle w:val="Funotenzeichen"/>
              </w:rPr>
              <w:footnoteReference w:id="42"/>
            </w:r>
            <w:r>
              <w:rPr>
                <w:rStyle w:val="Funotenzeichen"/>
              </w:rPr>
              <w:t>)</w:t>
            </w:r>
            <w:r>
              <w:t xml:space="preserve"> Das zuständige Departement kann auf Antrag der Staatsanwaltschaft weitere Mitarbeiter und Mitarbeiterinnen der Staatsanwaltschaft bezeichnen, die Einvernahmen durchführen können.</w:t>
            </w:r>
          </w:p>
        </w:tc>
        <w:tc>
          <w:tcPr>
            <w:tcW w:w="247.55pt" w:type="dxa"/>
            <w:tcBorders>
              <w:start w:val="single" w:sz="4" w:space="0" w:color="000000"/>
            </w:tcBorders>
          </w:tcPr>
          <w:p w14:paraId="15C1D85A" w14:textId="77777777" w:rsidR="00265E7F" w:rsidRDefault="002809BD">
            <w:pPr>
              <w:pStyle w:val="TableContents"/>
            </w:pPr>
            <w:r>
              <w:rPr>
                <w:vertAlign w:val="superscript"/>
              </w:rPr>
              <w:t>1</w:t>
            </w:r>
            <w:r>
              <w:t> </w:t>
            </w:r>
            <w:r>
              <w:rPr>
                <w:i/>
                <w:iCs/>
              </w:rPr>
              <w:t>Aufgehoben.</w:t>
            </w:r>
          </w:p>
        </w:tc>
        <w:tc>
          <w:tcPr>
            <w:tcW w:w="247.60pt" w:type="dxa"/>
            <w:tcBorders>
              <w:start w:val="single" w:sz="4" w:space="0" w:color="000000"/>
              <w:end w:val="single" w:sz="4" w:space="0" w:color="000000"/>
            </w:tcBorders>
          </w:tcPr>
          <w:p w14:paraId="4895BA01" w14:textId="77777777" w:rsidR="00265E7F" w:rsidRDefault="00265E7F"/>
        </w:tc>
      </w:tr>
      <w:tr w:rsidR="00265E7F" w14:paraId="40632979" w14:textId="77777777">
        <w:trPr>
          <w:cantSplit/>
        </w:trPr>
        <w:tc>
          <w:tcPr>
            <w:tcW w:w="247.55pt" w:type="dxa"/>
            <w:tcBorders>
              <w:start w:val="single" w:sz="4" w:space="0" w:color="000000"/>
            </w:tcBorders>
          </w:tcPr>
          <w:p w14:paraId="2AC88566" w14:textId="77777777" w:rsidR="00265E7F" w:rsidRDefault="002809BD">
            <w:pPr>
              <w:pStyle w:val="TableContents"/>
            </w:pPr>
            <w:r>
              <w:rPr>
                <w:vertAlign w:val="superscript"/>
              </w:rPr>
              <w:t>2</w:t>
            </w:r>
            <w:r>
              <w:t> Das zuständige Departement kann auf Antrag der Staatsanwaltschaft Angehörige der Kriminalpolizei bestimmen, die Zeugen und Zeuginnen einvernehmen können.</w:t>
            </w:r>
            <w:r>
              <w:rPr>
                <w:rStyle w:val="Funotenzeichen"/>
              </w:rPr>
              <w:footnoteReference w:id="43"/>
            </w:r>
            <w:r>
              <w:rPr>
                <w:rStyle w:val="Funotenzeichen"/>
              </w:rPr>
              <w:t>)</w:t>
            </w:r>
          </w:p>
        </w:tc>
        <w:tc>
          <w:tcPr>
            <w:tcW w:w="247.55pt" w:type="dxa"/>
            <w:tcBorders>
              <w:start w:val="single" w:sz="4" w:space="0" w:color="000000"/>
            </w:tcBorders>
          </w:tcPr>
          <w:p w14:paraId="69B274B7" w14:textId="77777777" w:rsidR="00265E7F" w:rsidRDefault="002809BD">
            <w:pPr>
              <w:pStyle w:val="TableContents"/>
            </w:pPr>
            <w:r>
              <w:rPr>
                <w:vertAlign w:val="superscript"/>
              </w:rPr>
              <w:t>2</w:t>
            </w:r>
            <w:r>
              <w:t> Das zuständige Departement kann auf Antrag der Staatsanwaltschaft Angehörige der Kantonspolizei bestimmen, die Zeugen und Zeuginnen einvernehmen können.</w:t>
            </w:r>
            <w:r>
              <w:rPr>
                <w:rStyle w:val="Funotenzeichen"/>
              </w:rPr>
              <w:footnoteReference w:id="44"/>
            </w:r>
            <w:r>
              <w:rPr>
                <w:rStyle w:val="Funotenzeichen"/>
              </w:rPr>
              <w:t>)</w:t>
            </w:r>
          </w:p>
        </w:tc>
        <w:tc>
          <w:tcPr>
            <w:tcW w:w="247.60pt" w:type="dxa"/>
            <w:tcBorders>
              <w:start w:val="single" w:sz="4" w:space="0" w:color="000000"/>
              <w:end w:val="single" w:sz="4" w:space="0" w:color="000000"/>
            </w:tcBorders>
          </w:tcPr>
          <w:p w14:paraId="7E348870" w14:textId="77777777" w:rsidR="00265E7F" w:rsidRDefault="00265E7F"/>
        </w:tc>
      </w:tr>
      <w:tr w:rsidR="00265E7F" w14:paraId="7847AB4E" w14:textId="77777777">
        <w:trPr>
          <w:cantSplit/>
        </w:trPr>
        <w:tc>
          <w:tcPr>
            <w:tcW w:w="247.55pt" w:type="dxa"/>
            <w:tcBorders>
              <w:start w:val="single" w:sz="4" w:space="0" w:color="000000"/>
            </w:tcBorders>
          </w:tcPr>
          <w:p w14:paraId="373AD94E" w14:textId="77777777" w:rsidR="00265E7F" w:rsidRDefault="002809BD">
            <w:pPr>
              <w:pStyle w:val="TableContents"/>
            </w:pPr>
            <w:r>
              <w:rPr>
                <w:vertAlign w:val="superscript"/>
              </w:rPr>
              <w:t>3</w:t>
            </w:r>
            <w:r>
              <w:t> Zur Abklärung von Übertretungen sowie von Nebenumständen eines Verbrechens oder Vergehens genügt eine polizeiliche Befragung zu Protokoll.</w:t>
            </w:r>
          </w:p>
        </w:tc>
        <w:tc>
          <w:tcPr>
            <w:tcW w:w="247.55pt" w:type="dxa"/>
            <w:tcBorders>
              <w:start w:val="single" w:sz="4" w:space="0" w:color="000000"/>
            </w:tcBorders>
          </w:tcPr>
          <w:p w14:paraId="67AF50B6" w14:textId="77777777" w:rsidR="00265E7F" w:rsidRDefault="00265E7F">
            <w:pPr>
              <w:pStyle w:val="TableContents"/>
            </w:pPr>
          </w:p>
        </w:tc>
        <w:tc>
          <w:tcPr>
            <w:tcW w:w="247.60pt" w:type="dxa"/>
            <w:tcBorders>
              <w:start w:val="single" w:sz="4" w:space="0" w:color="000000"/>
              <w:end w:val="single" w:sz="4" w:space="0" w:color="000000"/>
            </w:tcBorders>
          </w:tcPr>
          <w:p w14:paraId="4BB84BFB" w14:textId="77777777" w:rsidR="00265E7F" w:rsidRDefault="00265E7F"/>
        </w:tc>
      </w:tr>
      <w:tr w:rsidR="00265E7F" w14:paraId="3B4D4F98" w14:textId="77777777">
        <w:trPr>
          <w:cantSplit/>
        </w:trPr>
        <w:tc>
          <w:tcPr>
            <w:tcW w:w="247.55pt" w:type="dxa"/>
            <w:tcBorders>
              <w:top w:val="single" w:sz="4" w:space="0" w:color="000000"/>
              <w:start w:val="single" w:sz="4" w:space="0" w:color="000000"/>
            </w:tcBorders>
          </w:tcPr>
          <w:p w14:paraId="7083C858" w14:textId="77777777" w:rsidR="00265E7F" w:rsidRDefault="002809BD">
            <w:pPr>
              <w:pStyle w:val="TableContents"/>
            </w:pPr>
            <w:r>
              <w:rPr>
                <w:b/>
                <w:bCs/>
              </w:rPr>
              <w:t>Art.  81</w:t>
            </w:r>
            <w:r>
              <w:br/>
            </w:r>
            <w:r>
              <w:rPr>
                <w:sz w:val="14"/>
              </w:rPr>
              <w:t>Nachträgliche, nicht den Gerichten übertragene Entscheide</w:t>
            </w:r>
          </w:p>
        </w:tc>
        <w:tc>
          <w:tcPr>
            <w:tcW w:w="247.55pt" w:type="dxa"/>
            <w:tcBorders>
              <w:top w:val="single" w:sz="4" w:space="0" w:color="000000"/>
              <w:start w:val="single" w:sz="4" w:space="0" w:color="000000"/>
            </w:tcBorders>
          </w:tcPr>
          <w:p w14:paraId="0AA9BF4C"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2D1C8CAB" w14:textId="77777777" w:rsidR="00265E7F" w:rsidRDefault="00265E7F"/>
        </w:tc>
      </w:tr>
      <w:tr w:rsidR="00265E7F" w14:paraId="3E65F42B" w14:textId="77777777">
        <w:trPr>
          <w:cantSplit/>
        </w:trPr>
        <w:tc>
          <w:tcPr>
            <w:tcW w:w="247.55pt" w:type="dxa"/>
            <w:tcBorders>
              <w:start w:val="single" w:sz="4" w:space="0" w:color="000000"/>
            </w:tcBorders>
          </w:tcPr>
          <w:p w14:paraId="1FF33B09" w14:textId="77777777" w:rsidR="00265E7F" w:rsidRDefault="002809BD">
            <w:pPr>
              <w:pStyle w:val="TableContents"/>
            </w:pPr>
            <w:r>
              <w:rPr>
                <w:vertAlign w:val="superscript"/>
              </w:rPr>
              <w:t>1</w:t>
            </w:r>
            <w:r>
              <w:t> Für nachträgliche Entscheide, die nicht den Gerichten zustehen</w:t>
            </w:r>
            <w:r>
              <w:rPr>
                <w:rStyle w:val="Funotenzeichen"/>
              </w:rPr>
              <w:footnoteReference w:id="45"/>
            </w:r>
            <w:r>
              <w:rPr>
                <w:rStyle w:val="Funotenzeichen"/>
              </w:rPr>
              <w:t>)</w:t>
            </w:r>
            <w:r>
              <w:t>, sind Sache des zuständigen Departementes.</w:t>
            </w:r>
          </w:p>
        </w:tc>
        <w:tc>
          <w:tcPr>
            <w:tcW w:w="247.55pt" w:type="dxa"/>
            <w:tcBorders>
              <w:start w:val="single" w:sz="4" w:space="0" w:color="000000"/>
            </w:tcBorders>
          </w:tcPr>
          <w:p w14:paraId="512C8051" w14:textId="77777777" w:rsidR="00265E7F" w:rsidRDefault="002809BD">
            <w:pPr>
              <w:pStyle w:val="TableContents"/>
            </w:pPr>
            <w:r>
              <w:rPr>
                <w:vertAlign w:val="superscript"/>
              </w:rPr>
              <w:t>1</w:t>
            </w:r>
            <w:r>
              <w:t> Nachträgliche Entscheide, die nicht den Gerichten zustehen</w:t>
            </w:r>
            <w:r>
              <w:rPr>
                <w:rStyle w:val="Funotenzeichen"/>
              </w:rPr>
              <w:footnoteReference w:id="46"/>
            </w:r>
            <w:r>
              <w:rPr>
                <w:rStyle w:val="Funotenzeichen"/>
              </w:rPr>
              <w:t>)</w:t>
            </w:r>
            <w:r>
              <w:t>, sind Sache des zuständigen Departementes.</w:t>
            </w:r>
          </w:p>
        </w:tc>
        <w:tc>
          <w:tcPr>
            <w:tcW w:w="247.60pt" w:type="dxa"/>
            <w:tcBorders>
              <w:start w:val="single" w:sz="4" w:space="0" w:color="000000"/>
              <w:end w:val="single" w:sz="4" w:space="0" w:color="000000"/>
            </w:tcBorders>
          </w:tcPr>
          <w:p w14:paraId="3343782C" w14:textId="77777777" w:rsidR="00265E7F" w:rsidRDefault="00265E7F"/>
        </w:tc>
      </w:tr>
      <w:tr w:rsidR="00265E7F" w14:paraId="0FE31753" w14:textId="77777777">
        <w:trPr>
          <w:cantSplit/>
        </w:trPr>
        <w:tc>
          <w:tcPr>
            <w:tcW w:w="247.55pt" w:type="dxa"/>
            <w:tcBorders>
              <w:top w:val="single" w:sz="4" w:space="0" w:color="000000"/>
              <w:start w:val="single" w:sz="4" w:space="0" w:color="000000"/>
            </w:tcBorders>
          </w:tcPr>
          <w:p w14:paraId="6854FAB2" w14:textId="77777777" w:rsidR="00265E7F" w:rsidRDefault="00265E7F">
            <w:pPr>
              <w:pStyle w:val="TableContents"/>
            </w:pPr>
          </w:p>
        </w:tc>
        <w:tc>
          <w:tcPr>
            <w:tcW w:w="247.55pt" w:type="dxa"/>
            <w:tcBorders>
              <w:top w:val="single" w:sz="4" w:space="0" w:color="000000"/>
              <w:start w:val="single" w:sz="4" w:space="0" w:color="000000"/>
            </w:tcBorders>
          </w:tcPr>
          <w:p w14:paraId="1F228024" w14:textId="77777777" w:rsidR="00265E7F" w:rsidRDefault="002809BD">
            <w:pPr>
              <w:pStyle w:val="TableContents"/>
            </w:pPr>
            <w:r>
              <w:rPr>
                <w:b/>
                <w:bCs/>
              </w:rPr>
              <w:t>Art.  81a</w:t>
            </w:r>
            <w:r>
              <w:br/>
            </w:r>
            <w:r>
              <w:rPr>
                <w:sz w:val="14"/>
              </w:rPr>
              <w:t>Verwertung und Vernichtung</w:t>
            </w:r>
          </w:p>
        </w:tc>
        <w:tc>
          <w:tcPr>
            <w:tcW w:w="247.60pt" w:type="dxa"/>
            <w:tcBorders>
              <w:top w:val="single" w:sz="4" w:space="0" w:color="000000"/>
              <w:start w:val="single" w:sz="4" w:space="0" w:color="000000"/>
              <w:end w:val="single" w:sz="4" w:space="0" w:color="000000"/>
            </w:tcBorders>
          </w:tcPr>
          <w:p w14:paraId="099ABA20" w14:textId="77777777" w:rsidR="00265E7F" w:rsidRDefault="00265E7F"/>
        </w:tc>
      </w:tr>
      <w:tr w:rsidR="00265E7F" w14:paraId="3AFC8EA0" w14:textId="77777777">
        <w:trPr>
          <w:cantSplit/>
        </w:trPr>
        <w:tc>
          <w:tcPr>
            <w:tcW w:w="247.55pt" w:type="dxa"/>
            <w:tcBorders>
              <w:start w:val="single" w:sz="4" w:space="0" w:color="000000"/>
            </w:tcBorders>
          </w:tcPr>
          <w:p w14:paraId="16027963" w14:textId="77777777" w:rsidR="00265E7F" w:rsidRDefault="00265E7F">
            <w:pPr>
              <w:pStyle w:val="TableContents"/>
            </w:pPr>
          </w:p>
        </w:tc>
        <w:tc>
          <w:tcPr>
            <w:tcW w:w="247.55pt" w:type="dxa"/>
            <w:tcBorders>
              <w:start w:val="single" w:sz="4" w:space="0" w:color="000000"/>
            </w:tcBorders>
          </w:tcPr>
          <w:p w14:paraId="77F78136" w14:textId="77777777" w:rsidR="00265E7F" w:rsidRDefault="002809BD">
            <w:pPr>
              <w:pStyle w:val="TableContents"/>
            </w:pPr>
            <w:r>
              <w:rPr>
                <w:vertAlign w:val="superscript"/>
              </w:rPr>
              <w:t>1</w:t>
            </w:r>
            <w:r>
              <w:t> Die Verwertung oder Vernichtung endgültig eingezogener oder beschlagnahmter Gegenstände und Vermögenswerte obliegt der mit der Gerichtskasse betrauten Stelle.</w:t>
            </w:r>
          </w:p>
        </w:tc>
        <w:tc>
          <w:tcPr>
            <w:tcW w:w="247.60pt" w:type="dxa"/>
            <w:tcBorders>
              <w:start w:val="single" w:sz="4" w:space="0" w:color="000000"/>
              <w:end w:val="single" w:sz="4" w:space="0" w:color="000000"/>
            </w:tcBorders>
          </w:tcPr>
          <w:p w14:paraId="6D24E1EF" w14:textId="77777777" w:rsidR="00265E7F" w:rsidRDefault="00265E7F"/>
        </w:tc>
      </w:tr>
      <w:tr w:rsidR="00265E7F" w14:paraId="0A5C1E92" w14:textId="77777777">
        <w:trPr>
          <w:cantSplit/>
        </w:trPr>
        <w:tc>
          <w:tcPr>
            <w:tcW w:w="247.55pt" w:type="dxa"/>
            <w:tcBorders>
              <w:start w:val="single" w:sz="4" w:space="0" w:color="000000"/>
            </w:tcBorders>
          </w:tcPr>
          <w:p w14:paraId="05F87342" w14:textId="77777777" w:rsidR="00265E7F" w:rsidRDefault="00265E7F">
            <w:pPr>
              <w:pStyle w:val="TableContents"/>
            </w:pPr>
          </w:p>
        </w:tc>
        <w:tc>
          <w:tcPr>
            <w:tcW w:w="247.55pt" w:type="dxa"/>
            <w:tcBorders>
              <w:start w:val="single" w:sz="4" w:space="0" w:color="000000"/>
            </w:tcBorders>
          </w:tcPr>
          <w:p w14:paraId="276A6A5E" w14:textId="77777777" w:rsidR="00265E7F" w:rsidRDefault="002809BD">
            <w:pPr>
              <w:pStyle w:val="TableContents"/>
            </w:pPr>
            <w:r>
              <w:rPr>
                <w:vertAlign w:val="superscript"/>
              </w:rPr>
              <w:t>2</w:t>
            </w:r>
            <w:r>
              <w:t> Sie kann bei Bedarf die Kantonspolizei oder andere Fachstellen beiziehen.</w:t>
            </w:r>
          </w:p>
        </w:tc>
        <w:tc>
          <w:tcPr>
            <w:tcW w:w="247.60pt" w:type="dxa"/>
            <w:tcBorders>
              <w:start w:val="single" w:sz="4" w:space="0" w:color="000000"/>
              <w:end w:val="single" w:sz="4" w:space="0" w:color="000000"/>
            </w:tcBorders>
          </w:tcPr>
          <w:p w14:paraId="387F6540" w14:textId="77777777" w:rsidR="00265E7F" w:rsidRDefault="00265E7F"/>
        </w:tc>
      </w:tr>
      <w:tr w:rsidR="00265E7F" w14:paraId="661BDA21" w14:textId="77777777">
        <w:trPr>
          <w:cantSplit/>
        </w:trPr>
        <w:tc>
          <w:tcPr>
            <w:tcW w:w="247.55pt" w:type="dxa"/>
            <w:tcBorders>
              <w:top w:val="single" w:sz="4" w:space="0" w:color="000000"/>
              <w:start w:val="single" w:sz="4" w:space="0" w:color="000000"/>
            </w:tcBorders>
          </w:tcPr>
          <w:p w14:paraId="0B0D841C" w14:textId="77777777" w:rsidR="00265E7F" w:rsidRDefault="002809BD">
            <w:pPr>
              <w:pStyle w:val="TableContents"/>
            </w:pPr>
            <w:r>
              <w:rPr>
                <w:b/>
                <w:bCs/>
              </w:rPr>
              <w:t>Art.  83</w:t>
            </w:r>
            <w:r>
              <w:br/>
            </w:r>
            <w:r>
              <w:rPr>
                <w:sz w:val="14"/>
              </w:rPr>
              <w:t>Kantonalrechtliche Ordnungsbussen</w:t>
            </w:r>
          </w:p>
        </w:tc>
        <w:tc>
          <w:tcPr>
            <w:tcW w:w="247.55pt" w:type="dxa"/>
            <w:tcBorders>
              <w:top w:val="single" w:sz="4" w:space="0" w:color="000000"/>
              <w:start w:val="single" w:sz="4" w:space="0" w:color="000000"/>
            </w:tcBorders>
          </w:tcPr>
          <w:p w14:paraId="2091DB13"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68E2486" w14:textId="77777777" w:rsidR="00265E7F" w:rsidRDefault="00265E7F"/>
        </w:tc>
      </w:tr>
      <w:tr w:rsidR="00265E7F" w14:paraId="58B06C77" w14:textId="77777777">
        <w:trPr>
          <w:cantSplit/>
        </w:trPr>
        <w:tc>
          <w:tcPr>
            <w:tcW w:w="247.55pt" w:type="dxa"/>
            <w:tcBorders>
              <w:start w:val="single" w:sz="4" w:space="0" w:color="000000"/>
            </w:tcBorders>
          </w:tcPr>
          <w:p w14:paraId="558C1FB2" w14:textId="77777777" w:rsidR="00265E7F" w:rsidRDefault="002809BD">
            <w:pPr>
              <w:pStyle w:val="TableContents"/>
            </w:pPr>
            <w:r>
              <w:rPr>
                <w:vertAlign w:val="superscript"/>
              </w:rPr>
              <w:t>1</w:t>
            </w:r>
            <w:r>
              <w:t> Der Regierungsrat bestimmt die geringfügigen Übertretungen, bei denen eine feste Busse auf der Stelle erhoben werden kann, wenn der Fehlbare damit einverstanden ist.</w:t>
            </w:r>
            <w:r>
              <w:rPr>
                <w:rStyle w:val="Funotenzeichen"/>
              </w:rPr>
              <w:footnoteReference w:id="47"/>
            </w:r>
            <w:r>
              <w:rPr>
                <w:rStyle w:val="Funotenzeichen"/>
              </w:rPr>
              <w:t>)</w:t>
            </w:r>
            <w:r>
              <w:t xml:space="preserve"> Die Busse darf nicht erhoben werden, wenn eine höhere Busse in Betracht kommt oder wenn der Fall rechtlich oder tatsächlich nicht klar ist.</w:t>
            </w:r>
          </w:p>
        </w:tc>
        <w:tc>
          <w:tcPr>
            <w:tcW w:w="247.55pt" w:type="dxa"/>
            <w:tcBorders>
              <w:start w:val="single" w:sz="4" w:space="0" w:color="000000"/>
            </w:tcBorders>
          </w:tcPr>
          <w:p w14:paraId="7BA8C53B" w14:textId="77777777" w:rsidR="00265E7F" w:rsidRDefault="002809BD">
            <w:pPr>
              <w:pStyle w:val="TableContents"/>
            </w:pPr>
            <w:r>
              <w:rPr>
                <w:vertAlign w:val="superscript"/>
              </w:rPr>
              <w:t>1</w:t>
            </w:r>
            <w:r>
              <w:t> Der Regierungsrat bestimmt die geringfügigen Übertretungen, bei denen eine feste Busse auf der Stelle erhoben werden kann, wenn die fehlbare Person damit einverstanden ist. Die Busse darf nicht erhoben werden, wenn eine höhere Busse in Betracht kommt oder wenn der Fall rechtlich oder tatsächlich nicht klar ist.</w:t>
            </w:r>
          </w:p>
        </w:tc>
        <w:tc>
          <w:tcPr>
            <w:tcW w:w="247.60pt" w:type="dxa"/>
            <w:tcBorders>
              <w:start w:val="single" w:sz="4" w:space="0" w:color="000000"/>
              <w:end w:val="single" w:sz="4" w:space="0" w:color="000000"/>
            </w:tcBorders>
          </w:tcPr>
          <w:p w14:paraId="14A352E9" w14:textId="77777777" w:rsidR="00265E7F" w:rsidRDefault="00265E7F"/>
        </w:tc>
      </w:tr>
      <w:tr w:rsidR="00265E7F" w14:paraId="7E0EAB7C" w14:textId="77777777">
        <w:trPr>
          <w:cantSplit/>
        </w:trPr>
        <w:tc>
          <w:tcPr>
            <w:tcW w:w="247.55pt" w:type="dxa"/>
            <w:tcBorders>
              <w:start w:val="single" w:sz="4" w:space="0" w:color="000000"/>
            </w:tcBorders>
          </w:tcPr>
          <w:p w14:paraId="033DF770" w14:textId="77777777" w:rsidR="00265E7F" w:rsidRDefault="002809BD">
            <w:pPr>
              <w:pStyle w:val="TableContents"/>
            </w:pPr>
            <w:r>
              <w:rPr>
                <w:vertAlign w:val="superscript"/>
              </w:rPr>
              <w:t>2</w:t>
            </w:r>
            <w:r>
              <w:t> Zur Bussenerhebung sind die Polizeibeamten des Kantons und die vom zuständigen Departement ermächtigten Personen befugt.</w:t>
            </w:r>
          </w:p>
        </w:tc>
        <w:tc>
          <w:tcPr>
            <w:tcW w:w="247.55pt" w:type="dxa"/>
            <w:tcBorders>
              <w:start w:val="single" w:sz="4" w:space="0" w:color="000000"/>
            </w:tcBorders>
          </w:tcPr>
          <w:p w14:paraId="7B4A2DDE" w14:textId="77777777" w:rsidR="00265E7F" w:rsidRDefault="00265E7F">
            <w:pPr>
              <w:pStyle w:val="TableContents"/>
            </w:pPr>
          </w:p>
        </w:tc>
        <w:tc>
          <w:tcPr>
            <w:tcW w:w="247.60pt" w:type="dxa"/>
            <w:tcBorders>
              <w:start w:val="single" w:sz="4" w:space="0" w:color="000000"/>
              <w:end w:val="single" w:sz="4" w:space="0" w:color="000000"/>
            </w:tcBorders>
          </w:tcPr>
          <w:p w14:paraId="67CEA7F7" w14:textId="77777777" w:rsidR="00265E7F" w:rsidRDefault="00265E7F"/>
        </w:tc>
      </w:tr>
      <w:tr w:rsidR="00265E7F" w14:paraId="7F2C95D7" w14:textId="77777777">
        <w:tc>
          <w:tcPr>
            <w:tcW w:w="247.55pt" w:type="dxa"/>
            <w:tcBorders>
              <w:top w:val="single" w:sz="4" w:space="0" w:color="000000"/>
              <w:start w:val="single" w:sz="4" w:space="0" w:color="000000"/>
            </w:tcBorders>
          </w:tcPr>
          <w:p w14:paraId="13D59E73" w14:textId="77777777" w:rsidR="00265E7F" w:rsidRDefault="00265E7F">
            <w:pPr>
              <w:pStyle w:val="TableContents"/>
            </w:pPr>
          </w:p>
        </w:tc>
        <w:tc>
          <w:tcPr>
            <w:tcW w:w="247.55pt" w:type="dxa"/>
            <w:tcBorders>
              <w:top w:val="single" w:sz="4" w:space="0" w:color="000000"/>
              <w:start w:val="single" w:sz="4" w:space="0" w:color="000000"/>
            </w:tcBorders>
          </w:tcPr>
          <w:p w14:paraId="052C528F" w14:textId="77777777" w:rsidR="00265E7F" w:rsidRDefault="002809BD">
            <w:pPr>
              <w:pStyle w:val="TableContents"/>
            </w:pPr>
            <w:r>
              <w:rPr>
                <w:b/>
                <w:bCs/>
                <w:sz w:val="22"/>
              </w:rPr>
              <w:t>4. Abschnitt: Elektronische Kommunikation </w:t>
            </w:r>
            <w:r>
              <w:rPr>
                <w:b/>
                <w:bCs/>
                <w:color w:val="777777"/>
                <w:sz w:val="14"/>
              </w:rPr>
              <w:t>(4.4.)</w:t>
            </w:r>
          </w:p>
        </w:tc>
        <w:tc>
          <w:tcPr>
            <w:tcW w:w="247.60pt" w:type="dxa"/>
            <w:tcBorders>
              <w:top w:val="single" w:sz="4" w:space="0" w:color="000000"/>
              <w:start w:val="single" w:sz="4" w:space="0" w:color="000000"/>
              <w:end w:val="single" w:sz="4" w:space="0" w:color="000000"/>
            </w:tcBorders>
          </w:tcPr>
          <w:p w14:paraId="1067F4F2" w14:textId="77777777" w:rsidR="00265E7F" w:rsidRDefault="00265E7F"/>
        </w:tc>
      </w:tr>
      <w:tr w:rsidR="00265E7F" w14:paraId="7A4905E6" w14:textId="77777777">
        <w:trPr>
          <w:cantSplit/>
        </w:trPr>
        <w:tc>
          <w:tcPr>
            <w:tcW w:w="247.55pt" w:type="dxa"/>
            <w:tcBorders>
              <w:top w:val="single" w:sz="4" w:space="0" w:color="000000"/>
              <w:start w:val="single" w:sz="4" w:space="0" w:color="000000"/>
            </w:tcBorders>
          </w:tcPr>
          <w:p w14:paraId="6C7D6691" w14:textId="77777777" w:rsidR="00265E7F" w:rsidRDefault="00265E7F">
            <w:pPr>
              <w:pStyle w:val="TableContents"/>
            </w:pPr>
          </w:p>
        </w:tc>
        <w:tc>
          <w:tcPr>
            <w:tcW w:w="247.55pt" w:type="dxa"/>
            <w:tcBorders>
              <w:top w:val="single" w:sz="4" w:space="0" w:color="000000"/>
              <w:start w:val="single" w:sz="4" w:space="0" w:color="000000"/>
            </w:tcBorders>
          </w:tcPr>
          <w:p w14:paraId="21D4C67C" w14:textId="77777777" w:rsidR="00265E7F" w:rsidRDefault="002809BD">
            <w:pPr>
              <w:pStyle w:val="TableContents"/>
            </w:pPr>
            <w:r>
              <w:rPr>
                <w:b/>
                <w:bCs/>
              </w:rPr>
              <w:t>Art.  86a</w:t>
            </w:r>
            <w:r>
              <w:br/>
            </w:r>
            <w:r>
              <w:rPr>
                <w:sz w:val="14"/>
              </w:rPr>
              <w:t>Plattform</w:t>
            </w:r>
          </w:p>
        </w:tc>
        <w:tc>
          <w:tcPr>
            <w:tcW w:w="247.60pt" w:type="dxa"/>
            <w:tcBorders>
              <w:top w:val="single" w:sz="4" w:space="0" w:color="000000"/>
              <w:start w:val="single" w:sz="4" w:space="0" w:color="000000"/>
              <w:end w:val="single" w:sz="4" w:space="0" w:color="000000"/>
            </w:tcBorders>
          </w:tcPr>
          <w:p w14:paraId="7ACF359F" w14:textId="77777777" w:rsidR="00265E7F" w:rsidRDefault="00265E7F"/>
        </w:tc>
      </w:tr>
      <w:tr w:rsidR="00265E7F" w14:paraId="6063BE7A" w14:textId="77777777">
        <w:trPr>
          <w:cantSplit/>
        </w:trPr>
        <w:tc>
          <w:tcPr>
            <w:tcW w:w="247.55pt" w:type="dxa"/>
            <w:tcBorders>
              <w:start w:val="single" w:sz="4" w:space="0" w:color="000000"/>
            </w:tcBorders>
          </w:tcPr>
          <w:p w14:paraId="5E74538C" w14:textId="77777777" w:rsidR="00265E7F" w:rsidRDefault="00265E7F">
            <w:pPr>
              <w:pStyle w:val="TableContents"/>
            </w:pPr>
          </w:p>
        </w:tc>
        <w:tc>
          <w:tcPr>
            <w:tcW w:w="247.55pt" w:type="dxa"/>
            <w:tcBorders>
              <w:start w:val="single" w:sz="4" w:space="0" w:color="000000"/>
            </w:tcBorders>
          </w:tcPr>
          <w:p w14:paraId="2FB5F99A" w14:textId="77777777" w:rsidR="00265E7F" w:rsidRDefault="002809BD">
            <w:pPr>
              <w:pStyle w:val="TableContents"/>
            </w:pPr>
            <w:r>
              <w:rPr>
                <w:vertAlign w:val="superscript"/>
              </w:rPr>
              <w:t>1</w:t>
            </w:r>
            <w:r>
              <w:t> In Verfahren vor Gerichten und Strafverfolgungsbehörden wird für die elektronische Übermittlung von Dokumenten die zentrale Plattform nach Art. 3 des Bundesgesetzes über die Plattformen für die elektronische Kommunikation in der Justiz</w:t>
            </w:r>
            <w:r>
              <w:rPr>
                <w:rStyle w:val="Funotenzeichen"/>
              </w:rPr>
              <w:footnoteReference w:id="48"/>
            </w:r>
            <w:r>
              <w:rPr>
                <w:rStyle w:val="Funotenzeichen"/>
              </w:rPr>
              <w:t>)</w:t>
            </w:r>
            <w:r>
              <w:t xml:space="preserve"> genutzt.</w:t>
            </w:r>
          </w:p>
        </w:tc>
        <w:tc>
          <w:tcPr>
            <w:tcW w:w="247.60pt" w:type="dxa"/>
            <w:tcBorders>
              <w:start w:val="single" w:sz="4" w:space="0" w:color="000000"/>
              <w:end w:val="single" w:sz="4" w:space="0" w:color="000000"/>
            </w:tcBorders>
          </w:tcPr>
          <w:p w14:paraId="73355751" w14:textId="77777777" w:rsidR="00265E7F" w:rsidRDefault="00265E7F"/>
        </w:tc>
      </w:tr>
      <w:tr w:rsidR="00265E7F" w14:paraId="2620589B" w14:textId="77777777">
        <w:trPr>
          <w:cantSplit/>
        </w:trPr>
        <w:tc>
          <w:tcPr>
            <w:tcW w:w="247.55pt" w:type="dxa"/>
            <w:tcBorders>
              <w:top w:val="single" w:sz="4" w:space="0" w:color="000000"/>
              <w:start w:val="single" w:sz="4" w:space="0" w:color="000000"/>
            </w:tcBorders>
          </w:tcPr>
          <w:p w14:paraId="6D8F387E" w14:textId="77777777" w:rsidR="00265E7F" w:rsidRDefault="00265E7F">
            <w:pPr>
              <w:pStyle w:val="TableContents"/>
            </w:pPr>
          </w:p>
        </w:tc>
        <w:tc>
          <w:tcPr>
            <w:tcW w:w="247.55pt" w:type="dxa"/>
            <w:tcBorders>
              <w:top w:val="single" w:sz="4" w:space="0" w:color="000000"/>
              <w:start w:val="single" w:sz="4" w:space="0" w:color="000000"/>
            </w:tcBorders>
          </w:tcPr>
          <w:p w14:paraId="2A772260" w14:textId="77777777" w:rsidR="00265E7F" w:rsidRDefault="002809BD">
            <w:pPr>
              <w:pStyle w:val="TableContents"/>
            </w:pPr>
            <w:r>
              <w:rPr>
                <w:b/>
                <w:bCs/>
              </w:rPr>
              <w:t>Art.  86b</w:t>
            </w:r>
            <w:r>
              <w:br/>
            </w:r>
            <w:r>
              <w:rPr>
                <w:sz w:val="14"/>
              </w:rPr>
              <w:t>Gebühren</w:t>
            </w:r>
          </w:p>
        </w:tc>
        <w:tc>
          <w:tcPr>
            <w:tcW w:w="247.60pt" w:type="dxa"/>
            <w:tcBorders>
              <w:top w:val="single" w:sz="4" w:space="0" w:color="000000"/>
              <w:start w:val="single" w:sz="4" w:space="0" w:color="000000"/>
              <w:end w:val="single" w:sz="4" w:space="0" w:color="000000"/>
            </w:tcBorders>
          </w:tcPr>
          <w:p w14:paraId="376E863B" w14:textId="77777777" w:rsidR="00265E7F" w:rsidRDefault="00265E7F"/>
        </w:tc>
      </w:tr>
      <w:tr w:rsidR="00265E7F" w14:paraId="14EC6102" w14:textId="77777777">
        <w:trPr>
          <w:cantSplit/>
        </w:trPr>
        <w:tc>
          <w:tcPr>
            <w:tcW w:w="247.55pt" w:type="dxa"/>
            <w:tcBorders>
              <w:start w:val="single" w:sz="4" w:space="0" w:color="000000"/>
            </w:tcBorders>
          </w:tcPr>
          <w:p w14:paraId="41F3FD9D" w14:textId="77777777" w:rsidR="00265E7F" w:rsidRDefault="00265E7F">
            <w:pPr>
              <w:pStyle w:val="TableContents"/>
            </w:pPr>
          </w:p>
        </w:tc>
        <w:tc>
          <w:tcPr>
            <w:tcW w:w="247.55pt" w:type="dxa"/>
            <w:tcBorders>
              <w:start w:val="single" w:sz="4" w:space="0" w:color="000000"/>
            </w:tcBorders>
          </w:tcPr>
          <w:p w14:paraId="48553891" w14:textId="77777777" w:rsidR="00265E7F" w:rsidRDefault="002809BD">
            <w:pPr>
              <w:pStyle w:val="TableContents"/>
            </w:pPr>
            <w:r>
              <w:rPr>
                <w:vertAlign w:val="superscript"/>
              </w:rPr>
              <w:t>1</w:t>
            </w:r>
            <w:r>
              <w:t> Die Gebühren für die Nutzung der Plattform gehen zu Lasten des Kantons.</w:t>
            </w:r>
          </w:p>
        </w:tc>
        <w:tc>
          <w:tcPr>
            <w:tcW w:w="247.60pt" w:type="dxa"/>
            <w:tcBorders>
              <w:start w:val="single" w:sz="4" w:space="0" w:color="000000"/>
              <w:end w:val="single" w:sz="4" w:space="0" w:color="000000"/>
            </w:tcBorders>
          </w:tcPr>
          <w:p w14:paraId="0867E5ED" w14:textId="77777777" w:rsidR="00265E7F" w:rsidRDefault="00265E7F"/>
        </w:tc>
      </w:tr>
      <w:tr w:rsidR="00265E7F" w14:paraId="59D3DB71" w14:textId="77777777">
        <w:trPr>
          <w:cantSplit/>
        </w:trPr>
        <w:tc>
          <w:tcPr>
            <w:tcW w:w="247.55pt" w:type="dxa"/>
            <w:tcBorders>
              <w:top w:val="single" w:sz="4" w:space="0" w:color="000000"/>
              <w:start w:val="single" w:sz="4" w:space="0" w:color="000000"/>
            </w:tcBorders>
          </w:tcPr>
          <w:p w14:paraId="4B524E23" w14:textId="77777777" w:rsidR="00265E7F" w:rsidRDefault="00265E7F">
            <w:pPr>
              <w:pStyle w:val="TableContents"/>
            </w:pPr>
          </w:p>
        </w:tc>
        <w:tc>
          <w:tcPr>
            <w:tcW w:w="247.55pt" w:type="dxa"/>
            <w:tcBorders>
              <w:top w:val="single" w:sz="4" w:space="0" w:color="000000"/>
              <w:start w:val="single" w:sz="4" w:space="0" w:color="000000"/>
            </w:tcBorders>
          </w:tcPr>
          <w:p w14:paraId="2F8C6856" w14:textId="77777777" w:rsidR="00265E7F" w:rsidRDefault="002809BD">
            <w:pPr>
              <w:pStyle w:val="TableContents"/>
            </w:pPr>
            <w:r>
              <w:rPr>
                <w:b/>
                <w:bCs/>
              </w:rPr>
              <w:t>Art.  91a</w:t>
            </w:r>
            <w:r>
              <w:br/>
            </w:r>
            <w:r>
              <w:rPr>
                <w:sz w:val="14"/>
              </w:rPr>
              <w:t>Leitung</w:t>
            </w:r>
          </w:p>
        </w:tc>
        <w:tc>
          <w:tcPr>
            <w:tcW w:w="247.60pt" w:type="dxa"/>
            <w:tcBorders>
              <w:top w:val="single" w:sz="4" w:space="0" w:color="000000"/>
              <w:start w:val="single" w:sz="4" w:space="0" w:color="000000"/>
              <w:end w:val="single" w:sz="4" w:space="0" w:color="000000"/>
            </w:tcBorders>
          </w:tcPr>
          <w:p w14:paraId="388B79FE" w14:textId="77777777" w:rsidR="00265E7F" w:rsidRDefault="00265E7F"/>
        </w:tc>
      </w:tr>
      <w:tr w:rsidR="00265E7F" w14:paraId="1A68E74C" w14:textId="77777777">
        <w:trPr>
          <w:cantSplit/>
        </w:trPr>
        <w:tc>
          <w:tcPr>
            <w:tcW w:w="247.55pt" w:type="dxa"/>
            <w:tcBorders>
              <w:start w:val="single" w:sz="4" w:space="0" w:color="000000"/>
            </w:tcBorders>
          </w:tcPr>
          <w:p w14:paraId="2F96538C" w14:textId="77777777" w:rsidR="00265E7F" w:rsidRDefault="00265E7F">
            <w:pPr>
              <w:pStyle w:val="TableContents"/>
            </w:pPr>
          </w:p>
        </w:tc>
        <w:tc>
          <w:tcPr>
            <w:tcW w:w="247.55pt" w:type="dxa"/>
            <w:tcBorders>
              <w:start w:val="single" w:sz="4" w:space="0" w:color="000000"/>
            </w:tcBorders>
          </w:tcPr>
          <w:p w14:paraId="350FDF00" w14:textId="77777777" w:rsidR="00265E7F" w:rsidRDefault="002809BD">
            <w:pPr>
              <w:pStyle w:val="TableContents"/>
            </w:pPr>
            <w:r>
              <w:rPr>
                <w:vertAlign w:val="superscript"/>
              </w:rPr>
              <w:t>1</w:t>
            </w:r>
            <w:r>
              <w:t> Das Obergericht leitet die Verwaltung der Gerichte und Schlichtungsbehörden und vertritt ihre Interessen gegenüber Regierungsrat und Kantonsrat.</w:t>
            </w:r>
          </w:p>
        </w:tc>
        <w:tc>
          <w:tcPr>
            <w:tcW w:w="247.60pt" w:type="dxa"/>
            <w:tcBorders>
              <w:start w:val="single" w:sz="4" w:space="0" w:color="000000"/>
              <w:end w:val="single" w:sz="4" w:space="0" w:color="000000"/>
            </w:tcBorders>
          </w:tcPr>
          <w:p w14:paraId="3CEAE53B" w14:textId="77777777" w:rsidR="00265E7F" w:rsidRDefault="00265E7F"/>
        </w:tc>
      </w:tr>
      <w:tr w:rsidR="00265E7F" w14:paraId="1AD79192" w14:textId="77777777">
        <w:trPr>
          <w:cantSplit/>
        </w:trPr>
        <w:tc>
          <w:tcPr>
            <w:tcW w:w="247.55pt" w:type="dxa"/>
            <w:tcBorders>
              <w:start w:val="single" w:sz="4" w:space="0" w:color="000000"/>
            </w:tcBorders>
          </w:tcPr>
          <w:p w14:paraId="457E0070" w14:textId="77777777" w:rsidR="00265E7F" w:rsidRDefault="00265E7F">
            <w:pPr>
              <w:pStyle w:val="TableContents"/>
            </w:pPr>
          </w:p>
        </w:tc>
        <w:tc>
          <w:tcPr>
            <w:tcW w:w="247.55pt" w:type="dxa"/>
            <w:tcBorders>
              <w:start w:val="single" w:sz="4" w:space="0" w:color="000000"/>
            </w:tcBorders>
          </w:tcPr>
          <w:p w14:paraId="0DE39A83" w14:textId="77777777" w:rsidR="00265E7F" w:rsidRDefault="002809BD">
            <w:pPr>
              <w:pStyle w:val="TableContents"/>
            </w:pPr>
            <w:r>
              <w:rPr>
                <w:vertAlign w:val="superscript"/>
              </w:rPr>
              <w:t>2</w:t>
            </w:r>
            <w:r>
              <w:t> Es kann ein Generalsekretariat zur Unterstützung der gesamten Justizverwaltung einsetzen.</w:t>
            </w:r>
          </w:p>
        </w:tc>
        <w:tc>
          <w:tcPr>
            <w:tcW w:w="247.60pt" w:type="dxa"/>
            <w:tcBorders>
              <w:start w:val="single" w:sz="4" w:space="0" w:color="000000"/>
              <w:end w:val="single" w:sz="4" w:space="0" w:color="000000"/>
            </w:tcBorders>
          </w:tcPr>
          <w:p w14:paraId="6FAB548D" w14:textId="77777777" w:rsidR="00265E7F" w:rsidRDefault="00265E7F"/>
        </w:tc>
      </w:tr>
      <w:tr w:rsidR="00265E7F" w14:paraId="142AE750" w14:textId="77777777">
        <w:trPr>
          <w:cantSplit/>
        </w:trPr>
        <w:tc>
          <w:tcPr>
            <w:tcW w:w="247.55pt" w:type="dxa"/>
            <w:tcBorders>
              <w:start w:val="single" w:sz="4" w:space="0" w:color="000000"/>
            </w:tcBorders>
          </w:tcPr>
          <w:p w14:paraId="5AF85AB0" w14:textId="77777777" w:rsidR="00265E7F" w:rsidRDefault="00265E7F">
            <w:pPr>
              <w:pStyle w:val="TableContents"/>
            </w:pPr>
          </w:p>
        </w:tc>
        <w:tc>
          <w:tcPr>
            <w:tcW w:w="247.55pt" w:type="dxa"/>
            <w:tcBorders>
              <w:start w:val="single" w:sz="4" w:space="0" w:color="000000"/>
            </w:tcBorders>
          </w:tcPr>
          <w:p w14:paraId="04BC0B2D" w14:textId="77777777" w:rsidR="00265E7F" w:rsidRDefault="002809BD">
            <w:pPr>
              <w:pStyle w:val="TableContents"/>
            </w:pPr>
            <w:r>
              <w:rPr>
                <w:vertAlign w:val="superscript"/>
              </w:rPr>
              <w:t>3</w:t>
            </w:r>
            <w:r>
              <w:t> Es hört die ihm unterstellten Behörden in allen für sie wesentlichen Belangen der Justizverwaltung an.</w:t>
            </w:r>
          </w:p>
        </w:tc>
        <w:tc>
          <w:tcPr>
            <w:tcW w:w="247.60pt" w:type="dxa"/>
            <w:tcBorders>
              <w:start w:val="single" w:sz="4" w:space="0" w:color="000000"/>
              <w:end w:val="single" w:sz="4" w:space="0" w:color="000000"/>
            </w:tcBorders>
          </w:tcPr>
          <w:p w14:paraId="3D056CC7" w14:textId="77777777" w:rsidR="00265E7F" w:rsidRDefault="00265E7F"/>
        </w:tc>
      </w:tr>
      <w:tr w:rsidR="00265E7F" w14:paraId="57183F78" w14:textId="77777777">
        <w:trPr>
          <w:cantSplit/>
        </w:trPr>
        <w:tc>
          <w:tcPr>
            <w:tcW w:w="247.55pt" w:type="dxa"/>
            <w:tcBorders>
              <w:top w:val="single" w:sz="4" w:space="0" w:color="000000"/>
              <w:start w:val="single" w:sz="4" w:space="0" w:color="000000"/>
            </w:tcBorders>
          </w:tcPr>
          <w:p w14:paraId="4CF89372" w14:textId="77777777" w:rsidR="00265E7F" w:rsidRDefault="00265E7F">
            <w:pPr>
              <w:pStyle w:val="TableContents"/>
            </w:pPr>
          </w:p>
        </w:tc>
        <w:tc>
          <w:tcPr>
            <w:tcW w:w="247.55pt" w:type="dxa"/>
            <w:tcBorders>
              <w:top w:val="single" w:sz="4" w:space="0" w:color="000000"/>
              <w:start w:val="single" w:sz="4" w:space="0" w:color="000000"/>
            </w:tcBorders>
          </w:tcPr>
          <w:p w14:paraId="773D5CC5" w14:textId="77777777" w:rsidR="00265E7F" w:rsidRDefault="002809BD">
            <w:pPr>
              <w:pStyle w:val="TableContents"/>
            </w:pPr>
            <w:r>
              <w:rPr>
                <w:b/>
                <w:bCs/>
              </w:rPr>
              <w:t>Art.  91b</w:t>
            </w:r>
            <w:r>
              <w:br/>
            </w:r>
            <w:r>
              <w:rPr>
                <w:sz w:val="14"/>
              </w:rPr>
              <w:t>Stellung im Kantonsrat</w:t>
            </w:r>
          </w:p>
        </w:tc>
        <w:tc>
          <w:tcPr>
            <w:tcW w:w="247.60pt" w:type="dxa"/>
            <w:tcBorders>
              <w:top w:val="single" w:sz="4" w:space="0" w:color="000000"/>
              <w:start w:val="single" w:sz="4" w:space="0" w:color="000000"/>
              <w:end w:val="single" w:sz="4" w:space="0" w:color="000000"/>
            </w:tcBorders>
          </w:tcPr>
          <w:p w14:paraId="081CE20A" w14:textId="77777777" w:rsidR="00265E7F" w:rsidRDefault="00265E7F"/>
        </w:tc>
      </w:tr>
      <w:tr w:rsidR="00265E7F" w14:paraId="1D586967" w14:textId="77777777">
        <w:trPr>
          <w:cantSplit/>
        </w:trPr>
        <w:tc>
          <w:tcPr>
            <w:tcW w:w="247.55pt" w:type="dxa"/>
            <w:tcBorders>
              <w:start w:val="single" w:sz="4" w:space="0" w:color="000000"/>
            </w:tcBorders>
          </w:tcPr>
          <w:p w14:paraId="5847D461" w14:textId="77777777" w:rsidR="00265E7F" w:rsidRDefault="00265E7F">
            <w:pPr>
              <w:pStyle w:val="TableContents"/>
            </w:pPr>
          </w:p>
        </w:tc>
        <w:tc>
          <w:tcPr>
            <w:tcW w:w="247.55pt" w:type="dxa"/>
            <w:tcBorders>
              <w:start w:val="single" w:sz="4" w:space="0" w:color="000000"/>
            </w:tcBorders>
          </w:tcPr>
          <w:p w14:paraId="56AB7BC2" w14:textId="77777777" w:rsidR="00265E7F" w:rsidRDefault="002809BD">
            <w:pPr>
              <w:pStyle w:val="TableContents"/>
            </w:pPr>
            <w:r>
              <w:rPr>
                <w:vertAlign w:val="superscript"/>
              </w:rPr>
              <w:t>1</w:t>
            </w:r>
            <w:r>
              <w:t> Das Obergericht ist zu Angelegenheiten der Gerichte und Schlichtungsbehörden anzuhören. Es kann Anträge dazu stellen.</w:t>
            </w:r>
          </w:p>
        </w:tc>
        <w:tc>
          <w:tcPr>
            <w:tcW w:w="247.60pt" w:type="dxa"/>
            <w:tcBorders>
              <w:start w:val="single" w:sz="4" w:space="0" w:color="000000"/>
              <w:end w:val="single" w:sz="4" w:space="0" w:color="000000"/>
            </w:tcBorders>
          </w:tcPr>
          <w:p w14:paraId="0BB7983F" w14:textId="77777777" w:rsidR="00265E7F" w:rsidRDefault="00265E7F"/>
        </w:tc>
      </w:tr>
      <w:tr w:rsidR="00265E7F" w14:paraId="161383D5" w14:textId="77777777">
        <w:trPr>
          <w:cantSplit/>
        </w:trPr>
        <w:tc>
          <w:tcPr>
            <w:tcW w:w="247.55pt" w:type="dxa"/>
            <w:tcBorders>
              <w:start w:val="single" w:sz="4" w:space="0" w:color="000000"/>
            </w:tcBorders>
          </w:tcPr>
          <w:p w14:paraId="63D056F4" w14:textId="77777777" w:rsidR="00265E7F" w:rsidRDefault="00265E7F">
            <w:pPr>
              <w:pStyle w:val="TableContents"/>
            </w:pPr>
          </w:p>
        </w:tc>
        <w:tc>
          <w:tcPr>
            <w:tcW w:w="247.55pt" w:type="dxa"/>
            <w:tcBorders>
              <w:start w:val="single" w:sz="4" w:space="0" w:color="000000"/>
            </w:tcBorders>
          </w:tcPr>
          <w:p w14:paraId="4AA4B3DE" w14:textId="77777777" w:rsidR="00265E7F" w:rsidRDefault="002809BD">
            <w:pPr>
              <w:pStyle w:val="TableContents"/>
            </w:pPr>
            <w:r>
              <w:rPr>
                <w:vertAlign w:val="superscript"/>
              </w:rPr>
              <w:t>2</w:t>
            </w:r>
            <w:r>
              <w:t> Das Obergericht hat das Recht, die Interessen der Gerichte und Schlichtungsbehörden in mündlichen Anhörungen vor dem Kantonsrat und dessen Organen zu vertreten.</w:t>
            </w:r>
          </w:p>
        </w:tc>
        <w:tc>
          <w:tcPr>
            <w:tcW w:w="247.60pt" w:type="dxa"/>
            <w:tcBorders>
              <w:start w:val="single" w:sz="4" w:space="0" w:color="000000"/>
              <w:end w:val="single" w:sz="4" w:space="0" w:color="000000"/>
            </w:tcBorders>
          </w:tcPr>
          <w:p w14:paraId="2B9534B3" w14:textId="77777777" w:rsidR="00265E7F" w:rsidRDefault="00265E7F"/>
        </w:tc>
      </w:tr>
      <w:tr w:rsidR="00265E7F" w14:paraId="5F0483BC" w14:textId="77777777">
        <w:trPr>
          <w:cantSplit/>
        </w:trPr>
        <w:tc>
          <w:tcPr>
            <w:tcW w:w="247.55pt" w:type="dxa"/>
            <w:tcBorders>
              <w:top w:val="single" w:sz="4" w:space="0" w:color="000000"/>
              <w:start w:val="single" w:sz="4" w:space="0" w:color="000000"/>
            </w:tcBorders>
          </w:tcPr>
          <w:p w14:paraId="05B53CD4" w14:textId="77777777" w:rsidR="00265E7F" w:rsidRDefault="002809BD">
            <w:pPr>
              <w:pStyle w:val="TableContents"/>
            </w:pPr>
            <w:r>
              <w:rPr>
                <w:b/>
                <w:bCs/>
              </w:rPr>
              <w:t>Art.  92</w:t>
            </w:r>
            <w:r>
              <w:br/>
            </w:r>
            <w:r>
              <w:rPr>
                <w:sz w:val="14"/>
              </w:rPr>
              <w:t>Voranschlag</w:t>
            </w:r>
          </w:p>
        </w:tc>
        <w:tc>
          <w:tcPr>
            <w:tcW w:w="247.55pt" w:type="dxa"/>
            <w:tcBorders>
              <w:top w:val="single" w:sz="4" w:space="0" w:color="000000"/>
              <w:start w:val="single" w:sz="4" w:space="0" w:color="000000"/>
            </w:tcBorders>
          </w:tcPr>
          <w:p w14:paraId="14EB3835"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ED7FCA8" w14:textId="77777777" w:rsidR="00265E7F" w:rsidRDefault="00265E7F"/>
        </w:tc>
      </w:tr>
      <w:tr w:rsidR="00265E7F" w14:paraId="029DFF39" w14:textId="77777777">
        <w:trPr>
          <w:cantSplit/>
        </w:trPr>
        <w:tc>
          <w:tcPr>
            <w:tcW w:w="247.55pt" w:type="dxa"/>
            <w:tcBorders>
              <w:start w:val="single" w:sz="4" w:space="0" w:color="000000"/>
            </w:tcBorders>
          </w:tcPr>
          <w:p w14:paraId="4B3EA0CF" w14:textId="77777777" w:rsidR="00265E7F" w:rsidRDefault="002809BD">
            <w:pPr>
              <w:pStyle w:val="TableContents"/>
            </w:pPr>
            <w:r>
              <w:rPr>
                <w:vertAlign w:val="superscript"/>
              </w:rPr>
              <w:lastRenderedPageBreak/>
              <w:t>1</w:t>
            </w:r>
            <w:r>
              <w:t> Der Regierungsrat unterbreitet dem Kantonsrat nach Rücksprache mit dem Obergericht im Rahmen des Voranschlages den Stellenplan und die erforderlichen Kredite für die Gerichte. Die Budgetvorgaben des Regierungsrates sind für die Gerichte bindend.</w:t>
            </w:r>
          </w:p>
        </w:tc>
        <w:tc>
          <w:tcPr>
            <w:tcW w:w="247.55pt" w:type="dxa"/>
            <w:tcBorders>
              <w:start w:val="single" w:sz="4" w:space="0" w:color="000000"/>
            </w:tcBorders>
          </w:tcPr>
          <w:p w14:paraId="3CABF30D" w14:textId="77777777" w:rsidR="00265E7F" w:rsidRDefault="002809BD">
            <w:pPr>
              <w:pStyle w:val="TableContents"/>
            </w:pPr>
            <w:r>
              <w:rPr>
                <w:vertAlign w:val="superscript"/>
              </w:rPr>
              <w:t>1</w:t>
            </w:r>
            <w:r>
              <w:t> Der Regierungsrat unterbreitet dem Kantonsrat nach Bereinigung mit dem Obergericht den Voranschlag für die Gerichte und Schlichtungsbehörden.</w:t>
            </w:r>
          </w:p>
        </w:tc>
        <w:tc>
          <w:tcPr>
            <w:tcW w:w="247.60pt" w:type="dxa"/>
            <w:tcBorders>
              <w:start w:val="single" w:sz="4" w:space="0" w:color="000000"/>
              <w:end w:val="single" w:sz="4" w:space="0" w:color="000000"/>
            </w:tcBorders>
          </w:tcPr>
          <w:p w14:paraId="2B980900" w14:textId="77777777" w:rsidR="00265E7F" w:rsidRDefault="00265E7F"/>
        </w:tc>
      </w:tr>
      <w:tr w:rsidR="00265E7F" w14:paraId="668341D1" w14:textId="77777777">
        <w:trPr>
          <w:cantSplit/>
        </w:trPr>
        <w:tc>
          <w:tcPr>
            <w:tcW w:w="247.55pt" w:type="dxa"/>
            <w:tcBorders>
              <w:start w:val="single" w:sz="4" w:space="0" w:color="000000"/>
            </w:tcBorders>
          </w:tcPr>
          <w:p w14:paraId="0254E65B" w14:textId="77777777" w:rsidR="00265E7F" w:rsidRDefault="002809BD">
            <w:pPr>
              <w:pStyle w:val="TableContents"/>
            </w:pPr>
            <w:r>
              <w:rPr>
                <w:vertAlign w:val="superscript"/>
              </w:rPr>
              <w:t>2</w:t>
            </w:r>
            <w:r>
              <w:t> Können sich Regierungsrat und Obergericht nicht auf einen gemeinsamen Antrag einigen, hat der Präsident oder die Präsidentin des Obergerichtes das Recht, an den Sitzungen des zuständigen vorbereitenden Organs des Kantonsrates sowie an den Sitzungen des Kantonsrates zum Voranschlag teilzunehmen. Er oder sie hat dabei das Recht, Anträge zu stellen.</w:t>
            </w:r>
          </w:p>
        </w:tc>
        <w:tc>
          <w:tcPr>
            <w:tcW w:w="247.55pt" w:type="dxa"/>
            <w:tcBorders>
              <w:start w:val="single" w:sz="4" w:space="0" w:color="000000"/>
            </w:tcBorders>
          </w:tcPr>
          <w:p w14:paraId="0E15F0D4" w14:textId="77777777" w:rsidR="00265E7F" w:rsidRDefault="002809BD">
            <w:pPr>
              <w:pStyle w:val="TableContents"/>
            </w:pPr>
            <w:r>
              <w:rPr>
                <w:vertAlign w:val="superscript"/>
              </w:rPr>
              <w:t>2</w:t>
            </w:r>
            <w:r>
              <w:t> </w:t>
            </w:r>
            <w:r>
              <w:rPr>
                <w:i/>
                <w:iCs/>
              </w:rPr>
              <w:t>Aufgehoben.</w:t>
            </w:r>
          </w:p>
        </w:tc>
        <w:tc>
          <w:tcPr>
            <w:tcW w:w="247.60pt" w:type="dxa"/>
            <w:tcBorders>
              <w:start w:val="single" w:sz="4" w:space="0" w:color="000000"/>
              <w:end w:val="single" w:sz="4" w:space="0" w:color="000000"/>
            </w:tcBorders>
          </w:tcPr>
          <w:p w14:paraId="7AC4AF3A" w14:textId="77777777" w:rsidR="00265E7F" w:rsidRDefault="00265E7F"/>
        </w:tc>
      </w:tr>
      <w:tr w:rsidR="00265E7F" w14:paraId="271CE4BE" w14:textId="77777777">
        <w:trPr>
          <w:cantSplit/>
        </w:trPr>
        <w:tc>
          <w:tcPr>
            <w:tcW w:w="247.55pt" w:type="dxa"/>
            <w:tcBorders>
              <w:top w:val="single" w:sz="4" w:space="0" w:color="000000"/>
              <w:start w:val="single" w:sz="4" w:space="0" w:color="000000"/>
            </w:tcBorders>
          </w:tcPr>
          <w:p w14:paraId="5480DF64" w14:textId="77777777" w:rsidR="00265E7F" w:rsidRDefault="002809BD">
            <w:pPr>
              <w:pStyle w:val="TableContents"/>
            </w:pPr>
            <w:r>
              <w:rPr>
                <w:b/>
                <w:bCs/>
              </w:rPr>
              <w:t>Art.  93</w:t>
            </w:r>
            <w:r>
              <w:br/>
            </w:r>
            <w:r>
              <w:rPr>
                <w:sz w:val="14"/>
              </w:rPr>
              <w:t>Eigener Rechnungsabschnitt</w:t>
            </w:r>
          </w:p>
        </w:tc>
        <w:tc>
          <w:tcPr>
            <w:tcW w:w="247.55pt" w:type="dxa"/>
            <w:tcBorders>
              <w:top w:val="single" w:sz="4" w:space="0" w:color="000000"/>
              <w:start w:val="single" w:sz="4" w:space="0" w:color="000000"/>
            </w:tcBorders>
          </w:tcPr>
          <w:p w14:paraId="6F06F1D1"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877CDBE" w14:textId="77777777" w:rsidR="00265E7F" w:rsidRDefault="00265E7F"/>
        </w:tc>
      </w:tr>
      <w:tr w:rsidR="00265E7F" w14:paraId="62E047D5" w14:textId="77777777">
        <w:trPr>
          <w:cantSplit/>
        </w:trPr>
        <w:tc>
          <w:tcPr>
            <w:tcW w:w="247.55pt" w:type="dxa"/>
            <w:tcBorders>
              <w:start w:val="single" w:sz="4" w:space="0" w:color="000000"/>
            </w:tcBorders>
          </w:tcPr>
          <w:p w14:paraId="1A800419" w14:textId="77777777" w:rsidR="00265E7F" w:rsidRDefault="002809BD">
            <w:pPr>
              <w:pStyle w:val="TableContents"/>
            </w:pPr>
            <w:r>
              <w:rPr>
                <w:vertAlign w:val="superscript"/>
              </w:rPr>
              <w:t>1</w:t>
            </w:r>
            <w:r>
              <w:t> In der Staatsrechnung wird für die Gerichte ein separater Rechnungsabschnitt geführt.</w:t>
            </w:r>
          </w:p>
        </w:tc>
        <w:tc>
          <w:tcPr>
            <w:tcW w:w="247.55pt" w:type="dxa"/>
            <w:tcBorders>
              <w:start w:val="single" w:sz="4" w:space="0" w:color="000000"/>
            </w:tcBorders>
          </w:tcPr>
          <w:p w14:paraId="3C29F9F7" w14:textId="77777777" w:rsidR="00265E7F" w:rsidRDefault="002809BD">
            <w:pPr>
              <w:pStyle w:val="TableContents"/>
            </w:pPr>
            <w:r>
              <w:rPr>
                <w:vertAlign w:val="superscript"/>
              </w:rPr>
              <w:t>1</w:t>
            </w:r>
            <w:r>
              <w:t> In der Staatsrechnung wird für die Gerichte und Schlichtungsbehörden ein separater Rechnungsabschnitt geführt.</w:t>
            </w:r>
          </w:p>
        </w:tc>
        <w:tc>
          <w:tcPr>
            <w:tcW w:w="247.60pt" w:type="dxa"/>
            <w:tcBorders>
              <w:start w:val="single" w:sz="4" w:space="0" w:color="000000"/>
              <w:end w:val="single" w:sz="4" w:space="0" w:color="000000"/>
            </w:tcBorders>
          </w:tcPr>
          <w:p w14:paraId="31674C20" w14:textId="77777777" w:rsidR="00265E7F" w:rsidRDefault="00265E7F"/>
        </w:tc>
      </w:tr>
      <w:tr w:rsidR="00265E7F" w14:paraId="59882437" w14:textId="77777777">
        <w:trPr>
          <w:cantSplit/>
        </w:trPr>
        <w:tc>
          <w:tcPr>
            <w:tcW w:w="247.55pt" w:type="dxa"/>
            <w:tcBorders>
              <w:top w:val="single" w:sz="4" w:space="0" w:color="000000"/>
              <w:start w:val="single" w:sz="4" w:space="0" w:color="000000"/>
            </w:tcBorders>
          </w:tcPr>
          <w:p w14:paraId="513098E9" w14:textId="77777777" w:rsidR="00265E7F" w:rsidRDefault="002809BD">
            <w:pPr>
              <w:pStyle w:val="TableContents"/>
            </w:pPr>
            <w:r>
              <w:rPr>
                <w:b/>
                <w:bCs/>
              </w:rPr>
              <w:t>Art.  97</w:t>
            </w:r>
            <w:r>
              <w:br/>
            </w:r>
            <w:r>
              <w:rPr>
                <w:sz w:val="14"/>
              </w:rPr>
              <w:t>b) Verfahren</w:t>
            </w:r>
          </w:p>
        </w:tc>
        <w:tc>
          <w:tcPr>
            <w:tcW w:w="247.55pt" w:type="dxa"/>
            <w:tcBorders>
              <w:top w:val="single" w:sz="4" w:space="0" w:color="000000"/>
              <w:start w:val="single" w:sz="4" w:space="0" w:color="000000"/>
            </w:tcBorders>
          </w:tcPr>
          <w:p w14:paraId="5066F703"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91F1C2A" w14:textId="77777777" w:rsidR="00265E7F" w:rsidRDefault="00265E7F"/>
        </w:tc>
      </w:tr>
      <w:tr w:rsidR="00265E7F" w14:paraId="1687A515" w14:textId="77777777">
        <w:trPr>
          <w:cantSplit/>
        </w:trPr>
        <w:tc>
          <w:tcPr>
            <w:tcW w:w="247.55pt" w:type="dxa"/>
            <w:tcBorders>
              <w:start w:val="single" w:sz="4" w:space="0" w:color="000000"/>
            </w:tcBorders>
          </w:tcPr>
          <w:p w14:paraId="56E22B38" w14:textId="77777777" w:rsidR="00265E7F" w:rsidRDefault="002809BD">
            <w:pPr>
              <w:pStyle w:val="TableContents"/>
            </w:pPr>
            <w:r>
              <w:rPr>
                <w:vertAlign w:val="superscript"/>
              </w:rPr>
              <w:t>1</w:t>
            </w:r>
            <w:r>
              <w:t> Gesuche um Entschädigung und Genugtuung sind innert fünf Jahren nach der Straftat schriftlich beim zuständigen Departement einzureichen.</w:t>
            </w:r>
          </w:p>
        </w:tc>
        <w:tc>
          <w:tcPr>
            <w:tcW w:w="247.55pt" w:type="dxa"/>
            <w:tcBorders>
              <w:start w:val="single" w:sz="4" w:space="0" w:color="000000"/>
            </w:tcBorders>
          </w:tcPr>
          <w:p w14:paraId="3DA0E9FF" w14:textId="77777777" w:rsidR="00265E7F" w:rsidRDefault="002809BD">
            <w:pPr>
              <w:pStyle w:val="TableContents"/>
            </w:pPr>
            <w:r>
              <w:rPr>
                <w:vertAlign w:val="superscript"/>
              </w:rPr>
              <w:t>1</w:t>
            </w:r>
            <w:r>
              <w:t> Gesuche um Entschädigung und Genugtuung sind schriftlich oder elektronisch beim zuständigen Departement einzureichen.</w:t>
            </w:r>
          </w:p>
        </w:tc>
        <w:tc>
          <w:tcPr>
            <w:tcW w:w="247.60pt" w:type="dxa"/>
            <w:tcBorders>
              <w:start w:val="single" w:sz="4" w:space="0" w:color="000000"/>
              <w:end w:val="single" w:sz="4" w:space="0" w:color="000000"/>
            </w:tcBorders>
          </w:tcPr>
          <w:p w14:paraId="613DAFA1" w14:textId="77777777" w:rsidR="00265E7F" w:rsidRDefault="00265E7F"/>
        </w:tc>
      </w:tr>
      <w:tr w:rsidR="00265E7F" w14:paraId="788BEBFC" w14:textId="77777777">
        <w:trPr>
          <w:cantSplit/>
        </w:trPr>
        <w:tc>
          <w:tcPr>
            <w:tcW w:w="247.55pt" w:type="dxa"/>
            <w:tcBorders>
              <w:start w:val="single" w:sz="4" w:space="0" w:color="000000"/>
            </w:tcBorders>
          </w:tcPr>
          <w:p w14:paraId="6CD4D830" w14:textId="77777777" w:rsidR="00265E7F" w:rsidRDefault="00265E7F">
            <w:pPr>
              <w:pStyle w:val="TableContents"/>
            </w:pPr>
          </w:p>
        </w:tc>
        <w:tc>
          <w:tcPr>
            <w:tcW w:w="247.55pt" w:type="dxa"/>
            <w:tcBorders>
              <w:start w:val="single" w:sz="4" w:space="0" w:color="000000"/>
            </w:tcBorders>
          </w:tcPr>
          <w:p w14:paraId="3C76A72B" w14:textId="77777777" w:rsidR="00265E7F" w:rsidRDefault="002809BD">
            <w:pPr>
              <w:pStyle w:val="TableContents"/>
            </w:pPr>
            <w:r>
              <w:rPr>
                <w:vertAlign w:val="superscript"/>
              </w:rPr>
              <w:t>1bis</w:t>
            </w:r>
            <w:r>
              <w:t> Die Bestimmungen des Opferhilfegesetzes über die elektronische Kommunikation und Aktenführung</w:t>
            </w:r>
            <w:r>
              <w:rPr>
                <w:rStyle w:val="Funotenzeichen"/>
              </w:rPr>
              <w:footnoteReference w:id="49"/>
            </w:r>
            <w:r>
              <w:rPr>
                <w:rStyle w:val="Funotenzeichen"/>
              </w:rPr>
              <w:t>)</w:t>
            </w:r>
            <w:r>
              <w:t xml:space="preserve"> sind sinngemäss auch im Verfahren mit dem zuständigen Departement anwendbar. Für die elektronische Kommunikation wird die Plattform nach Art. 86a genutzt.</w:t>
            </w:r>
          </w:p>
        </w:tc>
        <w:tc>
          <w:tcPr>
            <w:tcW w:w="247.60pt" w:type="dxa"/>
            <w:tcBorders>
              <w:start w:val="single" w:sz="4" w:space="0" w:color="000000"/>
              <w:end w:val="single" w:sz="4" w:space="0" w:color="000000"/>
            </w:tcBorders>
          </w:tcPr>
          <w:p w14:paraId="2EF7EEAB" w14:textId="77777777" w:rsidR="00265E7F" w:rsidRDefault="00265E7F"/>
        </w:tc>
      </w:tr>
      <w:tr w:rsidR="00265E7F" w14:paraId="70D903DD" w14:textId="77777777">
        <w:trPr>
          <w:cantSplit/>
        </w:trPr>
        <w:tc>
          <w:tcPr>
            <w:tcW w:w="247.55pt" w:type="dxa"/>
            <w:tcBorders>
              <w:start w:val="single" w:sz="4" w:space="0" w:color="000000"/>
            </w:tcBorders>
          </w:tcPr>
          <w:p w14:paraId="2AE928E5" w14:textId="77777777" w:rsidR="00265E7F" w:rsidRDefault="002809BD">
            <w:pPr>
              <w:pStyle w:val="TableContents"/>
            </w:pPr>
            <w:r>
              <w:rPr>
                <w:vertAlign w:val="superscript"/>
              </w:rPr>
              <w:lastRenderedPageBreak/>
              <w:t>2</w:t>
            </w:r>
            <w:r>
              <w:t> Soweit dieses Gesetz nichts anderes bestimmt, richtet sich das Verfahren nach den Vorschriften des Gesetzes über die Verwaltungsrechtspflege</w:t>
            </w:r>
            <w:r>
              <w:rPr>
                <w:rStyle w:val="Funotenzeichen"/>
              </w:rPr>
              <w:footnoteReference w:id="50"/>
            </w:r>
            <w:r>
              <w:rPr>
                <w:rStyle w:val="Funotenzeichen"/>
              </w:rPr>
              <w:t>)</w:t>
            </w:r>
            <w:r>
              <w:t>.</w:t>
            </w:r>
          </w:p>
        </w:tc>
        <w:tc>
          <w:tcPr>
            <w:tcW w:w="247.55pt" w:type="dxa"/>
            <w:tcBorders>
              <w:start w:val="single" w:sz="4" w:space="0" w:color="000000"/>
            </w:tcBorders>
          </w:tcPr>
          <w:p w14:paraId="4DD2A6E4" w14:textId="77777777" w:rsidR="00265E7F" w:rsidRDefault="00265E7F">
            <w:pPr>
              <w:pStyle w:val="TableContents"/>
            </w:pPr>
          </w:p>
        </w:tc>
        <w:tc>
          <w:tcPr>
            <w:tcW w:w="247.60pt" w:type="dxa"/>
            <w:tcBorders>
              <w:start w:val="single" w:sz="4" w:space="0" w:color="000000"/>
              <w:end w:val="single" w:sz="4" w:space="0" w:color="000000"/>
            </w:tcBorders>
          </w:tcPr>
          <w:p w14:paraId="25596088" w14:textId="77777777" w:rsidR="00265E7F" w:rsidRDefault="00265E7F"/>
        </w:tc>
      </w:tr>
      <w:tr w:rsidR="00265E7F" w14:paraId="53703EC9" w14:textId="77777777">
        <w:trPr>
          <w:cantSplit/>
        </w:trPr>
        <w:tc>
          <w:tcPr>
            <w:tcW w:w="247.55pt" w:type="dxa"/>
            <w:tcBorders>
              <w:top w:val="single" w:sz="4" w:space="0" w:color="000000"/>
              <w:start w:val="single" w:sz="4" w:space="0" w:color="000000"/>
            </w:tcBorders>
          </w:tcPr>
          <w:p w14:paraId="507639E8" w14:textId="77777777" w:rsidR="00265E7F" w:rsidRDefault="00265E7F">
            <w:pPr>
              <w:pStyle w:val="TableContents"/>
            </w:pPr>
          </w:p>
        </w:tc>
        <w:tc>
          <w:tcPr>
            <w:tcW w:w="247.55pt" w:type="dxa"/>
            <w:tcBorders>
              <w:top w:val="single" w:sz="4" w:space="0" w:color="000000"/>
              <w:start w:val="single" w:sz="4" w:space="0" w:color="000000"/>
            </w:tcBorders>
          </w:tcPr>
          <w:p w14:paraId="6298669A" w14:textId="77777777" w:rsidR="00265E7F" w:rsidRDefault="002809BD">
            <w:pPr>
              <w:pStyle w:val="TableContents"/>
            </w:pPr>
            <w:r>
              <w:rPr>
                <w:b/>
                <w:bCs/>
              </w:rPr>
              <w:t>Art.  102</w:t>
            </w:r>
            <w:r>
              <w:br/>
            </w:r>
            <w:r>
              <w:rPr>
                <w:sz w:val="14"/>
              </w:rPr>
              <w:t>Übergangsbestimmungen zur Teilrevision vom ...</w:t>
            </w:r>
          </w:p>
        </w:tc>
        <w:tc>
          <w:tcPr>
            <w:tcW w:w="247.60pt" w:type="dxa"/>
            <w:tcBorders>
              <w:top w:val="single" w:sz="4" w:space="0" w:color="000000"/>
              <w:start w:val="single" w:sz="4" w:space="0" w:color="000000"/>
              <w:end w:val="single" w:sz="4" w:space="0" w:color="000000"/>
            </w:tcBorders>
          </w:tcPr>
          <w:p w14:paraId="0BA4FC50" w14:textId="77777777" w:rsidR="00265E7F" w:rsidRDefault="00265E7F"/>
        </w:tc>
      </w:tr>
      <w:tr w:rsidR="00265E7F" w14:paraId="746A7E94" w14:textId="77777777">
        <w:trPr>
          <w:cantSplit/>
        </w:trPr>
        <w:tc>
          <w:tcPr>
            <w:tcW w:w="247.55pt" w:type="dxa"/>
            <w:tcBorders>
              <w:start w:val="single" w:sz="4" w:space="0" w:color="000000"/>
            </w:tcBorders>
          </w:tcPr>
          <w:p w14:paraId="142587EE" w14:textId="77777777" w:rsidR="00265E7F" w:rsidRDefault="00265E7F">
            <w:pPr>
              <w:pStyle w:val="TableContents"/>
            </w:pPr>
          </w:p>
        </w:tc>
        <w:tc>
          <w:tcPr>
            <w:tcW w:w="247.55pt" w:type="dxa"/>
            <w:tcBorders>
              <w:start w:val="single" w:sz="4" w:space="0" w:color="000000"/>
            </w:tcBorders>
          </w:tcPr>
          <w:p w14:paraId="7EDC5FF1" w14:textId="77777777" w:rsidR="00265E7F" w:rsidRDefault="002809BD">
            <w:pPr>
              <w:pStyle w:val="TableContents"/>
            </w:pPr>
            <w:r>
              <w:rPr>
                <w:vertAlign w:val="superscript"/>
              </w:rPr>
              <w:t>1</w:t>
            </w:r>
            <w:r>
              <w:t> Die Gerichte entscheiden in altrechtlicher Besetzung, wenn eine Verhandlung vor dem Inkrafttreten der Teilrevision angesetzt worden ist.</w:t>
            </w:r>
          </w:p>
        </w:tc>
        <w:tc>
          <w:tcPr>
            <w:tcW w:w="247.60pt" w:type="dxa"/>
            <w:tcBorders>
              <w:start w:val="single" w:sz="4" w:space="0" w:color="000000"/>
              <w:end w:val="single" w:sz="4" w:space="0" w:color="000000"/>
            </w:tcBorders>
          </w:tcPr>
          <w:p w14:paraId="6759A060" w14:textId="77777777" w:rsidR="00265E7F" w:rsidRDefault="00265E7F"/>
        </w:tc>
      </w:tr>
      <w:tr w:rsidR="00265E7F" w14:paraId="2160B7AB" w14:textId="77777777">
        <w:tc>
          <w:tcPr>
            <w:tcW w:w="247.55pt" w:type="dxa"/>
            <w:tcBorders>
              <w:top w:val="single" w:sz="4" w:space="0" w:color="000000"/>
              <w:start w:val="single" w:sz="4" w:space="0" w:color="000000"/>
            </w:tcBorders>
            <w:shd w:val="clear" w:color="auto" w:fill="FFFFFF"/>
          </w:tcPr>
          <w:p w14:paraId="3486EFB3" w14:textId="77777777" w:rsidR="00265E7F" w:rsidRDefault="00265E7F"/>
        </w:tc>
        <w:tc>
          <w:tcPr>
            <w:tcW w:w="247.55pt" w:type="dxa"/>
            <w:tcBorders>
              <w:top w:val="single" w:sz="4" w:space="0" w:color="000000"/>
              <w:start w:val="single" w:sz="4" w:space="0" w:color="000000"/>
            </w:tcBorders>
            <w:shd w:val="clear" w:color="auto" w:fill="FFFFFF"/>
          </w:tcPr>
          <w:p w14:paraId="37A66A4A" w14:textId="77777777" w:rsidR="00265E7F" w:rsidRDefault="002809BD">
            <w:pPr>
              <w:pStyle w:val="Abschnittstitel"/>
            </w:pPr>
            <w:r>
              <w:t>II.</w:t>
            </w:r>
          </w:p>
        </w:tc>
        <w:tc>
          <w:tcPr>
            <w:tcW w:w="247.60pt" w:type="dxa"/>
            <w:tcBorders>
              <w:top w:val="single" w:sz="4" w:space="0" w:color="000000"/>
              <w:start w:val="single" w:sz="4" w:space="0" w:color="000000"/>
              <w:end w:val="single" w:sz="4" w:space="0" w:color="000000"/>
            </w:tcBorders>
            <w:shd w:val="clear" w:color="auto" w:fill="FFFFFF"/>
          </w:tcPr>
          <w:p w14:paraId="06485E92" w14:textId="77777777" w:rsidR="00265E7F" w:rsidRDefault="00265E7F"/>
        </w:tc>
      </w:tr>
      <w:tr w:rsidR="00265E7F" w14:paraId="576BA2D6" w14:textId="77777777">
        <w:tc>
          <w:tcPr>
            <w:tcW w:w="247.55pt" w:type="dxa"/>
            <w:tcBorders>
              <w:top w:val="single" w:sz="4" w:space="0" w:color="000000"/>
              <w:start w:val="single" w:sz="4" w:space="0" w:color="000000"/>
            </w:tcBorders>
            <w:shd w:val="clear" w:color="auto" w:fill="FFFFFF"/>
          </w:tcPr>
          <w:p w14:paraId="1672F08B" w14:textId="77777777" w:rsidR="00265E7F" w:rsidRDefault="00265E7F"/>
        </w:tc>
        <w:tc>
          <w:tcPr>
            <w:tcW w:w="247.55pt" w:type="dxa"/>
            <w:tcBorders>
              <w:top w:val="single" w:sz="4" w:space="0" w:color="000000"/>
              <w:start w:val="single" w:sz="4" w:space="0" w:color="000000"/>
            </w:tcBorders>
            <w:shd w:val="clear" w:color="auto" w:fill="FFFFFF"/>
          </w:tcPr>
          <w:p w14:paraId="5282BAAB" w14:textId="77777777" w:rsidR="00265E7F" w:rsidRDefault="002809BD">
            <w:pPr>
              <w:keepNext/>
            </w:pPr>
            <w:r>
              <w:rPr>
                <w:b/>
              </w:rPr>
              <w:t>1.</w:t>
            </w:r>
          </w:p>
          <w:p w14:paraId="7C401878" w14:textId="77777777" w:rsidR="00265E7F" w:rsidRDefault="002809BD">
            <w:pPr>
              <w:pStyle w:val="Nebenzitat"/>
            </w:pPr>
            <w:r>
              <w:t>Der Erlass «Gesetz über die politischen Rechte (</w:t>
            </w:r>
            <w:proofErr w:type="spellStart"/>
            <w:r>
              <w:t>bGS</w:t>
            </w:r>
            <w:proofErr w:type="spellEnd"/>
            <w:r>
              <w:t xml:space="preserve"> </w:t>
            </w:r>
            <w:hyperlink r:id="rId7" w:history="1">
              <w:r w:rsidR="00265E7F">
                <w:rPr>
                  <w:rStyle w:val="Hyperlink"/>
                </w:rPr>
                <w:t>131.12</w:t>
              </w:r>
            </w:hyperlink>
            <w:r>
              <w:t>) vom 24. April 1988 (Stand 1. Juni 2019)» wird wie folgt geändert:</w:t>
            </w:r>
          </w:p>
        </w:tc>
        <w:tc>
          <w:tcPr>
            <w:tcW w:w="247.60pt" w:type="dxa"/>
            <w:tcBorders>
              <w:top w:val="single" w:sz="4" w:space="0" w:color="000000"/>
              <w:start w:val="single" w:sz="4" w:space="0" w:color="000000"/>
              <w:end w:val="single" w:sz="4" w:space="0" w:color="000000"/>
            </w:tcBorders>
            <w:shd w:val="clear" w:color="auto" w:fill="FFFFFF"/>
          </w:tcPr>
          <w:p w14:paraId="41F7B871" w14:textId="77777777" w:rsidR="00265E7F" w:rsidRDefault="00265E7F"/>
        </w:tc>
      </w:tr>
      <w:tr w:rsidR="00265E7F" w14:paraId="67C4446E" w14:textId="77777777">
        <w:trPr>
          <w:cantSplit/>
        </w:trPr>
        <w:tc>
          <w:tcPr>
            <w:tcW w:w="247.55pt" w:type="dxa"/>
            <w:tcBorders>
              <w:top w:val="single" w:sz="4" w:space="0" w:color="000000"/>
              <w:start w:val="single" w:sz="4" w:space="0" w:color="000000"/>
            </w:tcBorders>
          </w:tcPr>
          <w:p w14:paraId="5752D923" w14:textId="77777777" w:rsidR="00265E7F" w:rsidRDefault="002809BD">
            <w:pPr>
              <w:pStyle w:val="TableContents"/>
            </w:pPr>
            <w:r>
              <w:rPr>
                <w:b/>
                <w:bCs/>
              </w:rPr>
              <w:t>Art.  30</w:t>
            </w:r>
            <w:r>
              <w:rPr>
                <w:b/>
                <w:bCs/>
                <w:vertAlign w:val="superscript"/>
              </w:rPr>
              <w:t>bis</w:t>
            </w:r>
            <w:r>
              <w:br/>
            </w:r>
            <w:r>
              <w:rPr>
                <w:sz w:val="14"/>
              </w:rPr>
              <w:t>Wahltermin</w:t>
            </w:r>
          </w:p>
        </w:tc>
        <w:tc>
          <w:tcPr>
            <w:tcW w:w="247.55pt" w:type="dxa"/>
            <w:tcBorders>
              <w:top w:val="single" w:sz="4" w:space="0" w:color="000000"/>
              <w:start w:val="single" w:sz="4" w:space="0" w:color="000000"/>
            </w:tcBorders>
          </w:tcPr>
          <w:p w14:paraId="2060F50D" w14:textId="77777777" w:rsidR="00265E7F" w:rsidRDefault="002809BD">
            <w:pPr>
              <w:pStyle w:val="TableContents"/>
            </w:pPr>
            <w:r>
              <w:rPr>
                <w:b/>
                <w:bCs/>
              </w:rPr>
              <w:t>Art.  30</w:t>
            </w:r>
            <w:r>
              <w:rPr>
                <w:b/>
                <w:bCs/>
                <w:vertAlign w:val="superscript"/>
              </w:rPr>
              <w:t>bis</w:t>
            </w:r>
            <w:r>
              <w:br/>
            </w:r>
            <w:r>
              <w:rPr>
                <w:sz w:val="14"/>
              </w:rPr>
              <w:t>Wahl- und Abstimmungstermine</w:t>
            </w:r>
          </w:p>
        </w:tc>
        <w:tc>
          <w:tcPr>
            <w:tcW w:w="247.60pt" w:type="dxa"/>
            <w:tcBorders>
              <w:top w:val="single" w:sz="4" w:space="0" w:color="000000"/>
              <w:start w:val="single" w:sz="4" w:space="0" w:color="000000"/>
              <w:end w:val="single" w:sz="4" w:space="0" w:color="000000"/>
            </w:tcBorders>
          </w:tcPr>
          <w:p w14:paraId="42A5A553" w14:textId="77777777" w:rsidR="00265E7F" w:rsidRDefault="00265E7F"/>
        </w:tc>
      </w:tr>
      <w:tr w:rsidR="00265E7F" w14:paraId="3D318A81" w14:textId="77777777">
        <w:trPr>
          <w:cantSplit/>
        </w:trPr>
        <w:tc>
          <w:tcPr>
            <w:tcW w:w="247.55pt" w:type="dxa"/>
            <w:tcBorders>
              <w:start w:val="single" w:sz="4" w:space="0" w:color="000000"/>
            </w:tcBorders>
          </w:tcPr>
          <w:p w14:paraId="6F8223A6" w14:textId="77777777" w:rsidR="00265E7F" w:rsidRDefault="002809BD">
            <w:pPr>
              <w:pStyle w:val="TableContents"/>
            </w:pPr>
            <w:r>
              <w:rPr>
                <w:vertAlign w:val="superscript"/>
              </w:rPr>
              <w:t>1</w:t>
            </w:r>
            <w:r>
              <w:t xml:space="preserve"> Die Wahlen für den Regierungsrat und das </w:t>
            </w:r>
            <w:proofErr w:type="spellStart"/>
            <w:r>
              <w:t>Landammannamt</w:t>
            </w:r>
            <w:proofErr w:type="spellEnd"/>
            <w:r>
              <w:t xml:space="preserve"> sowie für das Obergericht finden gleichzeitig statt. Der Regierungsrat legt den Wahltermin fest.</w:t>
            </w:r>
          </w:p>
        </w:tc>
        <w:tc>
          <w:tcPr>
            <w:tcW w:w="247.55pt" w:type="dxa"/>
            <w:tcBorders>
              <w:start w:val="single" w:sz="4" w:space="0" w:color="000000"/>
            </w:tcBorders>
          </w:tcPr>
          <w:p w14:paraId="6E9E8286" w14:textId="77777777" w:rsidR="00265E7F" w:rsidRDefault="002809BD">
            <w:pPr>
              <w:pStyle w:val="TableContents"/>
            </w:pPr>
            <w:r>
              <w:rPr>
                <w:vertAlign w:val="superscript"/>
              </w:rPr>
              <w:t>1</w:t>
            </w:r>
            <w:r>
              <w:t> Der Regierungsrat legt die kantonalen Wahl- und Abstimmungstermine fest.</w:t>
            </w:r>
          </w:p>
        </w:tc>
        <w:tc>
          <w:tcPr>
            <w:tcW w:w="247.60pt" w:type="dxa"/>
            <w:tcBorders>
              <w:start w:val="single" w:sz="4" w:space="0" w:color="000000"/>
              <w:end w:val="single" w:sz="4" w:space="0" w:color="000000"/>
            </w:tcBorders>
          </w:tcPr>
          <w:p w14:paraId="52024C2F" w14:textId="77777777" w:rsidR="00265E7F" w:rsidRDefault="00265E7F"/>
        </w:tc>
      </w:tr>
      <w:tr w:rsidR="00265E7F" w14:paraId="534862F8" w14:textId="77777777">
        <w:trPr>
          <w:cantSplit/>
        </w:trPr>
        <w:tc>
          <w:tcPr>
            <w:tcW w:w="247.55pt" w:type="dxa"/>
            <w:tcBorders>
              <w:start w:val="single" w:sz="4" w:space="0" w:color="000000"/>
            </w:tcBorders>
          </w:tcPr>
          <w:p w14:paraId="309B5221" w14:textId="77777777" w:rsidR="00265E7F" w:rsidRDefault="002809BD">
            <w:pPr>
              <w:pStyle w:val="TableContents"/>
            </w:pPr>
            <w:r>
              <w:rPr>
                <w:vertAlign w:val="superscript"/>
              </w:rPr>
              <w:t>2</w:t>
            </w:r>
            <w:r>
              <w:t> Die Wahlen in den Ständerat und in den Nationalrat finden zur gleichen Zeit statt.</w:t>
            </w:r>
          </w:p>
        </w:tc>
        <w:tc>
          <w:tcPr>
            <w:tcW w:w="247.55pt" w:type="dxa"/>
            <w:tcBorders>
              <w:start w:val="single" w:sz="4" w:space="0" w:color="000000"/>
            </w:tcBorders>
          </w:tcPr>
          <w:p w14:paraId="51AA789B" w14:textId="77777777" w:rsidR="00265E7F" w:rsidRDefault="00265E7F">
            <w:pPr>
              <w:pStyle w:val="TableContents"/>
            </w:pPr>
          </w:p>
        </w:tc>
        <w:tc>
          <w:tcPr>
            <w:tcW w:w="247.60pt" w:type="dxa"/>
            <w:tcBorders>
              <w:start w:val="single" w:sz="4" w:space="0" w:color="000000"/>
              <w:end w:val="single" w:sz="4" w:space="0" w:color="000000"/>
            </w:tcBorders>
          </w:tcPr>
          <w:p w14:paraId="13E1AA21" w14:textId="77777777" w:rsidR="00265E7F" w:rsidRDefault="00265E7F"/>
        </w:tc>
      </w:tr>
      <w:tr w:rsidR="00265E7F" w14:paraId="04BF2DB7" w14:textId="77777777">
        <w:trPr>
          <w:cantSplit/>
        </w:trPr>
        <w:tc>
          <w:tcPr>
            <w:tcW w:w="247.55pt" w:type="dxa"/>
            <w:tcBorders>
              <w:top w:val="single" w:sz="4" w:space="0" w:color="000000"/>
              <w:start w:val="single" w:sz="4" w:space="0" w:color="000000"/>
            </w:tcBorders>
          </w:tcPr>
          <w:p w14:paraId="1B0999AA" w14:textId="77777777" w:rsidR="00265E7F" w:rsidRDefault="002809BD">
            <w:pPr>
              <w:pStyle w:val="TableContents"/>
            </w:pPr>
            <w:r>
              <w:rPr>
                <w:b/>
                <w:bCs/>
              </w:rPr>
              <w:t>Art.  41</w:t>
            </w:r>
            <w:r>
              <w:rPr>
                <w:b/>
                <w:bCs/>
                <w:vertAlign w:val="superscript"/>
              </w:rPr>
              <w:t>bis</w:t>
            </w:r>
            <w:r>
              <w:br/>
            </w:r>
            <w:proofErr w:type="spellStart"/>
            <w:r>
              <w:rPr>
                <w:sz w:val="14"/>
              </w:rPr>
              <w:t>c</w:t>
            </w:r>
            <w:r>
              <w:rPr>
                <w:sz w:val="14"/>
                <w:vertAlign w:val="superscript"/>
              </w:rPr>
              <w:t>bis</w:t>
            </w:r>
            <w:proofErr w:type="spellEnd"/>
            <w:r>
              <w:rPr>
                <w:sz w:val="14"/>
              </w:rPr>
              <w:t>) Amtsantritt</w:t>
            </w:r>
          </w:p>
        </w:tc>
        <w:tc>
          <w:tcPr>
            <w:tcW w:w="247.55pt" w:type="dxa"/>
            <w:tcBorders>
              <w:top w:val="single" w:sz="4" w:space="0" w:color="000000"/>
              <w:start w:val="single" w:sz="4" w:space="0" w:color="000000"/>
            </w:tcBorders>
          </w:tcPr>
          <w:p w14:paraId="5A58D2DE"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C9E6CC3" w14:textId="77777777" w:rsidR="00265E7F" w:rsidRDefault="00265E7F"/>
        </w:tc>
      </w:tr>
      <w:tr w:rsidR="00265E7F" w14:paraId="11796266" w14:textId="77777777">
        <w:trPr>
          <w:cantSplit/>
        </w:trPr>
        <w:tc>
          <w:tcPr>
            <w:tcW w:w="247.55pt" w:type="dxa"/>
            <w:tcBorders>
              <w:start w:val="single" w:sz="4" w:space="0" w:color="000000"/>
            </w:tcBorders>
          </w:tcPr>
          <w:p w14:paraId="354973CA" w14:textId="77777777" w:rsidR="00265E7F" w:rsidRDefault="002809BD">
            <w:pPr>
              <w:pStyle w:val="TableContents"/>
            </w:pPr>
            <w:r>
              <w:rPr>
                <w:vertAlign w:val="superscript"/>
              </w:rPr>
              <w:t>1</w:t>
            </w:r>
            <w:r>
              <w:t> Neugewählte Mitglieder kantonaler Behörden treten ihr Amt wie folgt an:</w:t>
            </w:r>
          </w:p>
        </w:tc>
        <w:tc>
          <w:tcPr>
            <w:tcW w:w="247.55pt" w:type="dxa"/>
            <w:tcBorders>
              <w:start w:val="single" w:sz="4" w:space="0" w:color="000000"/>
            </w:tcBorders>
          </w:tcPr>
          <w:p w14:paraId="5DEBC999" w14:textId="77777777" w:rsidR="00265E7F" w:rsidRDefault="00265E7F">
            <w:pPr>
              <w:pStyle w:val="TableContents"/>
            </w:pPr>
          </w:p>
        </w:tc>
        <w:tc>
          <w:tcPr>
            <w:tcW w:w="247.60pt" w:type="dxa"/>
            <w:tcBorders>
              <w:start w:val="single" w:sz="4" w:space="0" w:color="000000"/>
              <w:end w:val="single" w:sz="4" w:space="0" w:color="000000"/>
            </w:tcBorders>
          </w:tcPr>
          <w:p w14:paraId="39A1DBC8" w14:textId="77777777" w:rsidR="00265E7F" w:rsidRDefault="00265E7F"/>
        </w:tc>
      </w:tr>
      <w:tr w:rsidR="00265E7F" w14:paraId="6193F8AE" w14:textId="77777777">
        <w:trPr>
          <w:cantSplit/>
        </w:trPr>
        <w:tc>
          <w:tcPr>
            <w:tcW w:w="247.55pt" w:type="dxa"/>
            <w:tcBorders>
              <w:start w:val="single" w:sz="4" w:space="0" w:color="000000"/>
            </w:tcBorders>
          </w:tcPr>
          <w:p w14:paraId="78C09541" w14:textId="77777777" w:rsidR="00265E7F" w:rsidRDefault="002809BD">
            <w:pPr>
              <w:pStyle w:val="TableContents"/>
              <w:ind w:start="7.45pt" w:end="0.15pt" w:hanging="9.45pt"/>
            </w:pPr>
            <w:r>
              <w:lastRenderedPageBreak/>
              <w:t>a) Mitglieder des Regierungsrates und des Obergerichtes am 1. Juni;</w:t>
            </w:r>
          </w:p>
        </w:tc>
        <w:tc>
          <w:tcPr>
            <w:tcW w:w="247.55pt" w:type="dxa"/>
            <w:tcBorders>
              <w:start w:val="single" w:sz="4" w:space="0" w:color="000000"/>
            </w:tcBorders>
          </w:tcPr>
          <w:p w14:paraId="0F2AD348" w14:textId="77777777" w:rsidR="00265E7F" w:rsidRDefault="002809BD">
            <w:pPr>
              <w:pStyle w:val="TableContents"/>
              <w:ind w:start="7.45pt" w:end="0.15pt" w:hanging="9.45pt"/>
            </w:pPr>
            <w:r>
              <w:t>a) Mitglieder des Regierungsrates am 1. Juni;</w:t>
            </w:r>
          </w:p>
        </w:tc>
        <w:tc>
          <w:tcPr>
            <w:tcW w:w="247.60pt" w:type="dxa"/>
            <w:tcBorders>
              <w:start w:val="single" w:sz="4" w:space="0" w:color="000000"/>
              <w:end w:val="single" w:sz="4" w:space="0" w:color="000000"/>
            </w:tcBorders>
          </w:tcPr>
          <w:p w14:paraId="78F81D96" w14:textId="77777777" w:rsidR="00265E7F" w:rsidRDefault="00265E7F"/>
        </w:tc>
      </w:tr>
      <w:tr w:rsidR="00265E7F" w14:paraId="088C45C8" w14:textId="77777777">
        <w:trPr>
          <w:cantSplit/>
        </w:trPr>
        <w:tc>
          <w:tcPr>
            <w:tcW w:w="247.55pt" w:type="dxa"/>
            <w:tcBorders>
              <w:start w:val="single" w:sz="4" w:space="0" w:color="000000"/>
            </w:tcBorders>
          </w:tcPr>
          <w:p w14:paraId="04B8085A" w14:textId="77777777" w:rsidR="00265E7F" w:rsidRDefault="002809BD">
            <w:pPr>
              <w:pStyle w:val="TableContents"/>
              <w:ind w:start="7.45pt" w:end="0.15pt" w:hanging="9.45pt"/>
            </w:pPr>
            <w:r>
              <w:t>b) Vertretung im Ständerat: Auf den Termin, an welchem das bisherige Mitglied aus dem Rat ausscheidet.</w:t>
            </w:r>
          </w:p>
        </w:tc>
        <w:tc>
          <w:tcPr>
            <w:tcW w:w="247.55pt" w:type="dxa"/>
            <w:tcBorders>
              <w:start w:val="single" w:sz="4" w:space="0" w:color="000000"/>
            </w:tcBorders>
          </w:tcPr>
          <w:p w14:paraId="23250FB5"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5FD85045" w14:textId="77777777" w:rsidR="00265E7F" w:rsidRDefault="00265E7F"/>
        </w:tc>
      </w:tr>
      <w:tr w:rsidR="00265E7F" w14:paraId="2E8568B5" w14:textId="77777777">
        <w:tc>
          <w:tcPr>
            <w:tcW w:w="247.55pt" w:type="dxa"/>
            <w:tcBorders>
              <w:top w:val="single" w:sz="4" w:space="0" w:color="000000"/>
              <w:start w:val="single" w:sz="4" w:space="0" w:color="000000"/>
            </w:tcBorders>
            <w:shd w:val="clear" w:color="auto" w:fill="FFFFFF"/>
          </w:tcPr>
          <w:p w14:paraId="085DAD8D" w14:textId="77777777" w:rsidR="00265E7F" w:rsidRDefault="00265E7F"/>
        </w:tc>
        <w:tc>
          <w:tcPr>
            <w:tcW w:w="247.55pt" w:type="dxa"/>
            <w:tcBorders>
              <w:top w:val="single" w:sz="4" w:space="0" w:color="000000"/>
              <w:start w:val="single" w:sz="4" w:space="0" w:color="000000"/>
            </w:tcBorders>
            <w:shd w:val="clear" w:color="auto" w:fill="FFFFFF"/>
          </w:tcPr>
          <w:p w14:paraId="0CD7ADED" w14:textId="77777777" w:rsidR="00265E7F" w:rsidRDefault="002809BD">
            <w:pPr>
              <w:keepNext/>
            </w:pPr>
            <w:r>
              <w:rPr>
                <w:b/>
              </w:rPr>
              <w:t>2.</w:t>
            </w:r>
          </w:p>
          <w:p w14:paraId="49381D50" w14:textId="77777777" w:rsidR="00265E7F" w:rsidRDefault="002809BD">
            <w:pPr>
              <w:pStyle w:val="Nebenzitat"/>
            </w:pPr>
            <w:r>
              <w:t xml:space="preserve">Der Erlass «Gesetz über die Verwaltungsrechtspflege (VRPG; </w:t>
            </w:r>
            <w:proofErr w:type="spellStart"/>
            <w:r>
              <w:t>bGS</w:t>
            </w:r>
            <w:proofErr w:type="spellEnd"/>
            <w:r>
              <w:t xml:space="preserve"> </w:t>
            </w:r>
            <w:hyperlink r:id="rId8" w:history="1">
              <w:r w:rsidR="00265E7F">
                <w:rPr>
                  <w:rStyle w:val="Hyperlink"/>
                </w:rPr>
                <w:t>143.1</w:t>
              </w:r>
            </w:hyperlink>
            <w:r>
              <w:t>) vom 9. September 2002 (Stand 1. Januar 2020)» wird wie folgt geändert:</w:t>
            </w:r>
          </w:p>
        </w:tc>
        <w:tc>
          <w:tcPr>
            <w:tcW w:w="247.60pt" w:type="dxa"/>
            <w:tcBorders>
              <w:top w:val="single" w:sz="4" w:space="0" w:color="000000"/>
              <w:start w:val="single" w:sz="4" w:space="0" w:color="000000"/>
              <w:end w:val="single" w:sz="4" w:space="0" w:color="000000"/>
            </w:tcBorders>
            <w:shd w:val="clear" w:color="auto" w:fill="FFFFFF"/>
          </w:tcPr>
          <w:p w14:paraId="08C95318" w14:textId="77777777" w:rsidR="00265E7F" w:rsidRDefault="00265E7F"/>
        </w:tc>
      </w:tr>
      <w:tr w:rsidR="00265E7F" w14:paraId="5BEAB0DC" w14:textId="77777777">
        <w:trPr>
          <w:cantSplit/>
        </w:trPr>
        <w:tc>
          <w:tcPr>
            <w:tcW w:w="247.55pt" w:type="dxa"/>
            <w:tcBorders>
              <w:top w:val="single" w:sz="4" w:space="0" w:color="000000"/>
              <w:start w:val="single" w:sz="4" w:space="0" w:color="000000"/>
            </w:tcBorders>
          </w:tcPr>
          <w:p w14:paraId="4F0EA8F1" w14:textId="77777777" w:rsidR="00265E7F" w:rsidRDefault="002809BD">
            <w:pPr>
              <w:pStyle w:val="TableContents"/>
            </w:pPr>
            <w:r>
              <w:rPr>
                <w:b/>
                <w:bCs/>
              </w:rPr>
              <w:t>Art.  2a</w:t>
            </w:r>
            <w:r>
              <w:br/>
            </w:r>
            <w:r>
              <w:rPr>
                <w:sz w:val="14"/>
              </w:rPr>
              <w:t>Elektronischer Geschäftsverkehr</w:t>
            </w:r>
          </w:p>
        </w:tc>
        <w:tc>
          <w:tcPr>
            <w:tcW w:w="247.55pt" w:type="dxa"/>
            <w:tcBorders>
              <w:top w:val="single" w:sz="4" w:space="0" w:color="000000"/>
              <w:start w:val="single" w:sz="4" w:space="0" w:color="000000"/>
            </w:tcBorders>
          </w:tcPr>
          <w:p w14:paraId="00740071"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D41AF30" w14:textId="77777777" w:rsidR="00265E7F" w:rsidRDefault="00265E7F"/>
        </w:tc>
      </w:tr>
      <w:tr w:rsidR="00265E7F" w14:paraId="0FF34A9B" w14:textId="77777777">
        <w:trPr>
          <w:cantSplit/>
        </w:trPr>
        <w:tc>
          <w:tcPr>
            <w:tcW w:w="247.55pt" w:type="dxa"/>
            <w:tcBorders>
              <w:start w:val="single" w:sz="4" w:space="0" w:color="000000"/>
            </w:tcBorders>
          </w:tcPr>
          <w:p w14:paraId="558FC701" w14:textId="77777777" w:rsidR="00265E7F" w:rsidRDefault="002809BD">
            <w:pPr>
              <w:pStyle w:val="TableContents"/>
            </w:pPr>
            <w:r>
              <w:rPr>
                <w:vertAlign w:val="superscript"/>
              </w:rPr>
              <w:t>1</w:t>
            </w:r>
            <w:r>
              <w:t> Der Verkehr mit Parteien, Behörden und Dritten kann elektronisch geführt werden, sofern die Empfängerin oder der Empfänger hierfür einen Zugang eingerichtet hat und die Modalitäten und Sicherheitsanforderungen eingehalten werden.</w:t>
            </w:r>
          </w:p>
        </w:tc>
        <w:tc>
          <w:tcPr>
            <w:tcW w:w="247.55pt" w:type="dxa"/>
            <w:tcBorders>
              <w:start w:val="single" w:sz="4" w:space="0" w:color="000000"/>
            </w:tcBorders>
          </w:tcPr>
          <w:p w14:paraId="07D25E76" w14:textId="77777777" w:rsidR="00265E7F" w:rsidRDefault="00265E7F">
            <w:pPr>
              <w:pStyle w:val="TableContents"/>
            </w:pPr>
          </w:p>
        </w:tc>
        <w:tc>
          <w:tcPr>
            <w:tcW w:w="247.60pt" w:type="dxa"/>
            <w:tcBorders>
              <w:start w:val="single" w:sz="4" w:space="0" w:color="000000"/>
              <w:end w:val="single" w:sz="4" w:space="0" w:color="000000"/>
            </w:tcBorders>
          </w:tcPr>
          <w:p w14:paraId="2C7E9A54" w14:textId="77777777" w:rsidR="00265E7F" w:rsidRDefault="00265E7F"/>
        </w:tc>
      </w:tr>
      <w:tr w:rsidR="00265E7F" w14:paraId="5E4F8805" w14:textId="77777777">
        <w:trPr>
          <w:cantSplit/>
        </w:trPr>
        <w:tc>
          <w:tcPr>
            <w:tcW w:w="247.55pt" w:type="dxa"/>
            <w:tcBorders>
              <w:start w:val="single" w:sz="4" w:space="0" w:color="000000"/>
            </w:tcBorders>
          </w:tcPr>
          <w:p w14:paraId="0381D7BB" w14:textId="77777777" w:rsidR="00265E7F" w:rsidRDefault="002809BD">
            <w:pPr>
              <w:pStyle w:val="TableContents"/>
            </w:pPr>
            <w:r>
              <w:rPr>
                <w:vertAlign w:val="superscript"/>
              </w:rPr>
              <w:t>2</w:t>
            </w:r>
            <w:r>
              <w:t> Eine auf kantonalem Recht beruhende Schriftform kann durch die elektronische Form ersetzt werden, wenn die Identität der Absenderin oder des Absenders und die Integrität der Übermittlung sichergestellt sind.</w:t>
            </w:r>
          </w:p>
        </w:tc>
        <w:tc>
          <w:tcPr>
            <w:tcW w:w="247.55pt" w:type="dxa"/>
            <w:tcBorders>
              <w:start w:val="single" w:sz="4" w:space="0" w:color="000000"/>
            </w:tcBorders>
          </w:tcPr>
          <w:p w14:paraId="273DD5FC" w14:textId="77777777" w:rsidR="00265E7F" w:rsidRDefault="00265E7F">
            <w:pPr>
              <w:pStyle w:val="TableContents"/>
            </w:pPr>
          </w:p>
        </w:tc>
        <w:tc>
          <w:tcPr>
            <w:tcW w:w="247.60pt" w:type="dxa"/>
            <w:tcBorders>
              <w:start w:val="single" w:sz="4" w:space="0" w:color="000000"/>
              <w:end w:val="single" w:sz="4" w:space="0" w:color="000000"/>
            </w:tcBorders>
          </w:tcPr>
          <w:p w14:paraId="0A46EF1B" w14:textId="77777777" w:rsidR="00265E7F" w:rsidRDefault="00265E7F"/>
        </w:tc>
      </w:tr>
      <w:tr w:rsidR="00265E7F" w14:paraId="5CB2D9BE" w14:textId="77777777">
        <w:trPr>
          <w:cantSplit/>
        </w:trPr>
        <w:tc>
          <w:tcPr>
            <w:tcW w:w="247.55pt" w:type="dxa"/>
            <w:tcBorders>
              <w:start w:val="single" w:sz="4" w:space="0" w:color="000000"/>
            </w:tcBorders>
          </w:tcPr>
          <w:p w14:paraId="2C21FDE9" w14:textId="77777777" w:rsidR="00265E7F" w:rsidRDefault="002809BD">
            <w:pPr>
              <w:pStyle w:val="TableContents"/>
            </w:pPr>
            <w:r>
              <w:rPr>
                <w:vertAlign w:val="superscript"/>
              </w:rPr>
              <w:t>3</w:t>
            </w:r>
            <w:r>
              <w:t> Der Regierungsrat erlässt die erforderlichen Ausführungsvorschriften.</w:t>
            </w:r>
          </w:p>
        </w:tc>
        <w:tc>
          <w:tcPr>
            <w:tcW w:w="247.55pt" w:type="dxa"/>
            <w:tcBorders>
              <w:start w:val="single" w:sz="4" w:space="0" w:color="000000"/>
            </w:tcBorders>
          </w:tcPr>
          <w:p w14:paraId="2F16A22C" w14:textId="77777777" w:rsidR="00265E7F" w:rsidRDefault="002809BD">
            <w:pPr>
              <w:pStyle w:val="TableContents"/>
            </w:pPr>
            <w:r>
              <w:rPr>
                <w:vertAlign w:val="superscript"/>
              </w:rPr>
              <w:t>3</w:t>
            </w:r>
            <w:r>
              <w:t> Der Regierungsrat erlässt die erforderlichen Ausführungsvorschriften. Er kann für Verfahren nach diesem Gesetz die elektronische Führung der Akten und ihre Weitergabe über eine bestimmte Plattform vorschreiben; vorbehalten bleiben die Bestimmungen über das verwaltungsgerichtliche Verfahren.</w:t>
            </w:r>
          </w:p>
        </w:tc>
        <w:tc>
          <w:tcPr>
            <w:tcW w:w="247.60pt" w:type="dxa"/>
            <w:tcBorders>
              <w:start w:val="single" w:sz="4" w:space="0" w:color="000000"/>
              <w:end w:val="single" w:sz="4" w:space="0" w:color="000000"/>
            </w:tcBorders>
          </w:tcPr>
          <w:p w14:paraId="12583340" w14:textId="77777777" w:rsidR="00265E7F" w:rsidRDefault="00265E7F"/>
        </w:tc>
      </w:tr>
      <w:tr w:rsidR="00265E7F" w14:paraId="0A2D6209" w14:textId="77777777">
        <w:trPr>
          <w:cantSplit/>
        </w:trPr>
        <w:tc>
          <w:tcPr>
            <w:tcW w:w="247.55pt" w:type="dxa"/>
            <w:tcBorders>
              <w:top w:val="single" w:sz="4" w:space="0" w:color="000000"/>
              <w:start w:val="single" w:sz="4" w:space="0" w:color="000000"/>
            </w:tcBorders>
          </w:tcPr>
          <w:p w14:paraId="54583067" w14:textId="77777777" w:rsidR="00265E7F" w:rsidRDefault="002809BD">
            <w:pPr>
              <w:pStyle w:val="TableContents"/>
            </w:pPr>
            <w:r>
              <w:rPr>
                <w:b/>
                <w:bCs/>
              </w:rPr>
              <w:t>Art.  4</w:t>
            </w:r>
            <w:r>
              <w:br/>
            </w:r>
            <w:r>
              <w:rPr>
                <w:sz w:val="14"/>
              </w:rPr>
              <w:t>Fristen</w:t>
            </w:r>
            <w:r>
              <w:rPr>
                <w:sz w:val="14"/>
              </w:rPr>
              <w:br/>
              <w:t>a) Beginn der Frist</w:t>
            </w:r>
          </w:p>
        </w:tc>
        <w:tc>
          <w:tcPr>
            <w:tcW w:w="247.55pt" w:type="dxa"/>
            <w:tcBorders>
              <w:top w:val="single" w:sz="4" w:space="0" w:color="000000"/>
              <w:start w:val="single" w:sz="4" w:space="0" w:color="000000"/>
            </w:tcBorders>
          </w:tcPr>
          <w:p w14:paraId="5645CC36"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4EB829EE" w14:textId="77777777" w:rsidR="00265E7F" w:rsidRDefault="00265E7F"/>
        </w:tc>
      </w:tr>
      <w:tr w:rsidR="00265E7F" w14:paraId="39F3A6C5" w14:textId="77777777">
        <w:trPr>
          <w:cantSplit/>
        </w:trPr>
        <w:tc>
          <w:tcPr>
            <w:tcW w:w="247.55pt" w:type="dxa"/>
            <w:tcBorders>
              <w:start w:val="single" w:sz="4" w:space="0" w:color="000000"/>
            </w:tcBorders>
          </w:tcPr>
          <w:p w14:paraId="0A16AD31" w14:textId="77777777" w:rsidR="00265E7F" w:rsidRDefault="002809BD">
            <w:pPr>
              <w:pStyle w:val="TableContents"/>
            </w:pPr>
            <w:r>
              <w:rPr>
                <w:vertAlign w:val="superscript"/>
              </w:rPr>
              <w:lastRenderedPageBreak/>
              <w:t>1</w:t>
            </w:r>
            <w:r>
              <w:t> Der Tag der Eröffnung einer Frist oder einer Verfügung wird bei der Fristberechnung nicht mitgezählt.</w:t>
            </w:r>
          </w:p>
        </w:tc>
        <w:tc>
          <w:tcPr>
            <w:tcW w:w="247.55pt" w:type="dxa"/>
            <w:tcBorders>
              <w:start w:val="single" w:sz="4" w:space="0" w:color="000000"/>
            </w:tcBorders>
          </w:tcPr>
          <w:p w14:paraId="22FEF3F0" w14:textId="77777777" w:rsidR="00265E7F" w:rsidRDefault="00265E7F">
            <w:pPr>
              <w:pStyle w:val="TableContents"/>
            </w:pPr>
          </w:p>
        </w:tc>
        <w:tc>
          <w:tcPr>
            <w:tcW w:w="247.60pt" w:type="dxa"/>
            <w:tcBorders>
              <w:start w:val="single" w:sz="4" w:space="0" w:color="000000"/>
              <w:end w:val="single" w:sz="4" w:space="0" w:color="000000"/>
            </w:tcBorders>
          </w:tcPr>
          <w:p w14:paraId="29E10E70" w14:textId="77777777" w:rsidR="00265E7F" w:rsidRDefault="00265E7F"/>
        </w:tc>
      </w:tr>
      <w:tr w:rsidR="00265E7F" w14:paraId="5904E389" w14:textId="77777777">
        <w:trPr>
          <w:cantSplit/>
        </w:trPr>
        <w:tc>
          <w:tcPr>
            <w:tcW w:w="247.55pt" w:type="dxa"/>
            <w:tcBorders>
              <w:start w:val="single" w:sz="4" w:space="0" w:color="000000"/>
            </w:tcBorders>
          </w:tcPr>
          <w:p w14:paraId="5351A35D" w14:textId="77777777" w:rsidR="00265E7F" w:rsidRDefault="00265E7F">
            <w:pPr>
              <w:pStyle w:val="TableContents"/>
            </w:pPr>
          </w:p>
        </w:tc>
        <w:tc>
          <w:tcPr>
            <w:tcW w:w="247.55pt" w:type="dxa"/>
            <w:tcBorders>
              <w:start w:val="single" w:sz="4" w:space="0" w:color="000000"/>
            </w:tcBorders>
          </w:tcPr>
          <w:p w14:paraId="7DF511C8" w14:textId="77777777" w:rsidR="00265E7F" w:rsidRDefault="002809BD">
            <w:pPr>
              <w:pStyle w:val="TableContents"/>
            </w:pPr>
            <w:r>
              <w:rPr>
                <w:vertAlign w:val="superscript"/>
              </w:rPr>
              <w:t>2</w:t>
            </w:r>
            <w:r>
              <w:t> Bei Eröffnung an einem Samstag, Sonntag oder staatlich anerkannten Feiertag gilt der nächstfolgende Werktag als Tag der Eröffnung.</w:t>
            </w:r>
          </w:p>
        </w:tc>
        <w:tc>
          <w:tcPr>
            <w:tcW w:w="247.60pt" w:type="dxa"/>
            <w:tcBorders>
              <w:start w:val="single" w:sz="4" w:space="0" w:color="000000"/>
              <w:end w:val="single" w:sz="4" w:space="0" w:color="000000"/>
            </w:tcBorders>
          </w:tcPr>
          <w:p w14:paraId="3DB80E2F" w14:textId="77777777" w:rsidR="00265E7F" w:rsidRDefault="00265E7F"/>
        </w:tc>
      </w:tr>
      <w:tr w:rsidR="00265E7F" w14:paraId="7C92D29B" w14:textId="77777777">
        <w:trPr>
          <w:cantSplit/>
        </w:trPr>
        <w:tc>
          <w:tcPr>
            <w:tcW w:w="247.55pt" w:type="dxa"/>
            <w:tcBorders>
              <w:top w:val="single" w:sz="4" w:space="0" w:color="000000"/>
              <w:start w:val="single" w:sz="4" w:space="0" w:color="000000"/>
            </w:tcBorders>
          </w:tcPr>
          <w:p w14:paraId="2B99DD08" w14:textId="77777777" w:rsidR="00265E7F" w:rsidRDefault="002809BD">
            <w:pPr>
              <w:pStyle w:val="TableContents"/>
            </w:pPr>
            <w:r>
              <w:rPr>
                <w:b/>
                <w:bCs/>
              </w:rPr>
              <w:t>Art.  5</w:t>
            </w:r>
            <w:r>
              <w:br/>
            </w:r>
            <w:r>
              <w:rPr>
                <w:sz w:val="14"/>
              </w:rPr>
              <w:t>b) Ende der Frist</w:t>
            </w:r>
          </w:p>
        </w:tc>
        <w:tc>
          <w:tcPr>
            <w:tcW w:w="247.55pt" w:type="dxa"/>
            <w:tcBorders>
              <w:top w:val="single" w:sz="4" w:space="0" w:color="000000"/>
              <w:start w:val="single" w:sz="4" w:space="0" w:color="000000"/>
            </w:tcBorders>
          </w:tcPr>
          <w:p w14:paraId="48C142B7"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92932E8" w14:textId="77777777" w:rsidR="00265E7F" w:rsidRDefault="00265E7F"/>
        </w:tc>
      </w:tr>
      <w:tr w:rsidR="00265E7F" w14:paraId="5A90C472" w14:textId="77777777">
        <w:trPr>
          <w:cantSplit/>
        </w:trPr>
        <w:tc>
          <w:tcPr>
            <w:tcW w:w="247.55pt" w:type="dxa"/>
            <w:tcBorders>
              <w:start w:val="single" w:sz="4" w:space="0" w:color="000000"/>
            </w:tcBorders>
          </w:tcPr>
          <w:p w14:paraId="27A68CD4" w14:textId="77777777" w:rsidR="00265E7F" w:rsidRDefault="002809BD">
            <w:pPr>
              <w:pStyle w:val="TableContents"/>
            </w:pPr>
            <w:r>
              <w:rPr>
                <w:vertAlign w:val="superscript"/>
              </w:rPr>
              <w:t>1</w:t>
            </w:r>
            <w:r>
              <w:t> Ist der letzte Tag der Frist ein Samstag, Sonntag oder staatlich anerkannter Feiertag, so endigt sie am nächstfolgenden Werktag.</w:t>
            </w:r>
          </w:p>
        </w:tc>
        <w:tc>
          <w:tcPr>
            <w:tcW w:w="247.55pt" w:type="dxa"/>
            <w:tcBorders>
              <w:start w:val="single" w:sz="4" w:space="0" w:color="000000"/>
            </w:tcBorders>
          </w:tcPr>
          <w:p w14:paraId="3B75790F" w14:textId="77777777" w:rsidR="00265E7F" w:rsidRDefault="00265E7F">
            <w:pPr>
              <w:pStyle w:val="TableContents"/>
            </w:pPr>
          </w:p>
        </w:tc>
        <w:tc>
          <w:tcPr>
            <w:tcW w:w="247.60pt" w:type="dxa"/>
            <w:tcBorders>
              <w:start w:val="single" w:sz="4" w:space="0" w:color="000000"/>
              <w:end w:val="single" w:sz="4" w:space="0" w:color="000000"/>
            </w:tcBorders>
          </w:tcPr>
          <w:p w14:paraId="24B1F856" w14:textId="77777777" w:rsidR="00265E7F" w:rsidRDefault="00265E7F"/>
        </w:tc>
      </w:tr>
      <w:tr w:rsidR="00265E7F" w14:paraId="3BF5D3CC" w14:textId="77777777">
        <w:trPr>
          <w:cantSplit/>
        </w:trPr>
        <w:tc>
          <w:tcPr>
            <w:tcW w:w="247.55pt" w:type="dxa"/>
            <w:tcBorders>
              <w:start w:val="single" w:sz="4" w:space="0" w:color="000000"/>
            </w:tcBorders>
          </w:tcPr>
          <w:p w14:paraId="7ECD3502" w14:textId="77777777" w:rsidR="00265E7F" w:rsidRDefault="002809BD">
            <w:pPr>
              <w:pStyle w:val="TableContents"/>
            </w:pPr>
            <w:r>
              <w:rPr>
                <w:vertAlign w:val="superscript"/>
              </w:rPr>
              <w:t>2</w:t>
            </w:r>
            <w:r>
              <w:t> Eine Frist läuft am letzten Tag um 24 Uhr ab. Sie gilt als eingehalten, wenn bis zu diesem Zeitpunkt die betreffende Handlung vorgenommen oder schriftliche Eingaben der schweizerischen Post oder einer schweizerischen diplomatischen oder konsularischen Vertretung übergeben worden sind.</w:t>
            </w:r>
          </w:p>
        </w:tc>
        <w:tc>
          <w:tcPr>
            <w:tcW w:w="247.55pt" w:type="dxa"/>
            <w:tcBorders>
              <w:start w:val="single" w:sz="4" w:space="0" w:color="000000"/>
            </w:tcBorders>
          </w:tcPr>
          <w:p w14:paraId="217787A3" w14:textId="77777777" w:rsidR="00265E7F" w:rsidRDefault="00265E7F">
            <w:pPr>
              <w:pStyle w:val="TableContents"/>
            </w:pPr>
          </w:p>
        </w:tc>
        <w:tc>
          <w:tcPr>
            <w:tcW w:w="247.60pt" w:type="dxa"/>
            <w:tcBorders>
              <w:start w:val="single" w:sz="4" w:space="0" w:color="000000"/>
              <w:end w:val="single" w:sz="4" w:space="0" w:color="000000"/>
            </w:tcBorders>
          </w:tcPr>
          <w:p w14:paraId="019B4013" w14:textId="77777777" w:rsidR="00265E7F" w:rsidRDefault="00265E7F"/>
        </w:tc>
      </w:tr>
      <w:tr w:rsidR="00265E7F" w14:paraId="4623C3B1" w14:textId="77777777">
        <w:trPr>
          <w:cantSplit/>
        </w:trPr>
        <w:tc>
          <w:tcPr>
            <w:tcW w:w="247.55pt" w:type="dxa"/>
            <w:tcBorders>
              <w:start w:val="single" w:sz="4" w:space="0" w:color="000000"/>
            </w:tcBorders>
          </w:tcPr>
          <w:p w14:paraId="60CB0A1B" w14:textId="77777777" w:rsidR="00265E7F" w:rsidRDefault="00265E7F">
            <w:pPr>
              <w:pStyle w:val="TableContents"/>
            </w:pPr>
          </w:p>
        </w:tc>
        <w:tc>
          <w:tcPr>
            <w:tcW w:w="247.55pt" w:type="dxa"/>
            <w:tcBorders>
              <w:start w:val="single" w:sz="4" w:space="0" w:color="000000"/>
            </w:tcBorders>
          </w:tcPr>
          <w:p w14:paraId="684FA0AC" w14:textId="77777777" w:rsidR="00265E7F" w:rsidRDefault="002809BD">
            <w:pPr>
              <w:pStyle w:val="TableContents"/>
            </w:pPr>
            <w:r>
              <w:rPr>
                <w:vertAlign w:val="superscript"/>
              </w:rPr>
              <w:t>2bis</w:t>
            </w:r>
            <w:r>
              <w:t> Im elektronischen Verkehr ist für die Fristwahrung die Quittung massgebend, die den Eingang beim Empfänger bestätigt. Bei Nichterreichbarkeit einer Plattform ist Art. 26 des Bundesgesetzes über die Plattformen für die elektronische Kommunikation in der Justiz</w:t>
            </w:r>
            <w:r>
              <w:rPr>
                <w:rStyle w:val="Funotenzeichen"/>
              </w:rPr>
              <w:footnoteReference w:id="51"/>
            </w:r>
            <w:r>
              <w:rPr>
                <w:rStyle w:val="Funotenzeichen"/>
              </w:rPr>
              <w:t>)</w:t>
            </w:r>
            <w:r>
              <w:t xml:space="preserve"> massgebend.</w:t>
            </w:r>
          </w:p>
        </w:tc>
        <w:tc>
          <w:tcPr>
            <w:tcW w:w="247.60pt" w:type="dxa"/>
            <w:tcBorders>
              <w:start w:val="single" w:sz="4" w:space="0" w:color="000000"/>
              <w:end w:val="single" w:sz="4" w:space="0" w:color="000000"/>
            </w:tcBorders>
          </w:tcPr>
          <w:p w14:paraId="51D3D1C8" w14:textId="77777777" w:rsidR="00265E7F" w:rsidRDefault="00265E7F"/>
        </w:tc>
      </w:tr>
      <w:tr w:rsidR="00265E7F" w14:paraId="501EDB0B" w14:textId="77777777">
        <w:trPr>
          <w:cantSplit/>
        </w:trPr>
        <w:tc>
          <w:tcPr>
            <w:tcW w:w="247.55pt" w:type="dxa"/>
            <w:tcBorders>
              <w:start w:val="single" w:sz="4" w:space="0" w:color="000000"/>
            </w:tcBorders>
          </w:tcPr>
          <w:p w14:paraId="65173590" w14:textId="77777777" w:rsidR="00265E7F" w:rsidRDefault="002809BD">
            <w:pPr>
              <w:pStyle w:val="TableContents"/>
            </w:pPr>
            <w:r>
              <w:rPr>
                <w:vertAlign w:val="superscript"/>
              </w:rPr>
              <w:t>3</w:t>
            </w:r>
            <w:r>
              <w:t> Gelangt die Partei rechtzeitig an eine unzuständige Behörde im Kanton oder an eine unzuständige eidgenössische Behörde, gilt die Frist als gewahrt.</w:t>
            </w:r>
          </w:p>
        </w:tc>
        <w:tc>
          <w:tcPr>
            <w:tcW w:w="247.55pt" w:type="dxa"/>
            <w:tcBorders>
              <w:start w:val="single" w:sz="4" w:space="0" w:color="000000"/>
            </w:tcBorders>
          </w:tcPr>
          <w:p w14:paraId="466ED477" w14:textId="77777777" w:rsidR="00265E7F" w:rsidRDefault="00265E7F">
            <w:pPr>
              <w:pStyle w:val="TableContents"/>
            </w:pPr>
          </w:p>
        </w:tc>
        <w:tc>
          <w:tcPr>
            <w:tcW w:w="247.60pt" w:type="dxa"/>
            <w:tcBorders>
              <w:start w:val="single" w:sz="4" w:space="0" w:color="000000"/>
              <w:end w:val="single" w:sz="4" w:space="0" w:color="000000"/>
            </w:tcBorders>
          </w:tcPr>
          <w:p w14:paraId="24D9BC70" w14:textId="77777777" w:rsidR="00265E7F" w:rsidRDefault="00265E7F"/>
        </w:tc>
      </w:tr>
      <w:tr w:rsidR="00265E7F" w14:paraId="7C929FF8" w14:textId="77777777">
        <w:trPr>
          <w:cantSplit/>
        </w:trPr>
        <w:tc>
          <w:tcPr>
            <w:tcW w:w="247.55pt" w:type="dxa"/>
            <w:tcBorders>
              <w:top w:val="single" w:sz="4" w:space="0" w:color="000000"/>
              <w:start w:val="single" w:sz="4" w:space="0" w:color="000000"/>
            </w:tcBorders>
          </w:tcPr>
          <w:p w14:paraId="4AC62457" w14:textId="77777777" w:rsidR="00265E7F" w:rsidRDefault="002809BD">
            <w:pPr>
              <w:pStyle w:val="TableContents"/>
            </w:pPr>
            <w:r>
              <w:rPr>
                <w:b/>
                <w:bCs/>
              </w:rPr>
              <w:t>Art.  9</w:t>
            </w:r>
            <w:r>
              <w:br/>
            </w:r>
            <w:r>
              <w:rPr>
                <w:sz w:val="14"/>
              </w:rPr>
              <w:t xml:space="preserve">Vertretung und </w:t>
            </w:r>
            <w:proofErr w:type="spellStart"/>
            <w:r>
              <w:rPr>
                <w:sz w:val="14"/>
              </w:rPr>
              <w:t>Verbeiständung</w:t>
            </w:r>
            <w:proofErr w:type="spellEnd"/>
          </w:p>
        </w:tc>
        <w:tc>
          <w:tcPr>
            <w:tcW w:w="247.55pt" w:type="dxa"/>
            <w:tcBorders>
              <w:top w:val="single" w:sz="4" w:space="0" w:color="000000"/>
              <w:start w:val="single" w:sz="4" w:space="0" w:color="000000"/>
            </w:tcBorders>
          </w:tcPr>
          <w:p w14:paraId="2E6CF44D"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24E4E785" w14:textId="77777777" w:rsidR="00265E7F" w:rsidRDefault="00265E7F"/>
        </w:tc>
      </w:tr>
      <w:tr w:rsidR="00265E7F" w14:paraId="4EE31FAC" w14:textId="77777777">
        <w:trPr>
          <w:cantSplit/>
        </w:trPr>
        <w:tc>
          <w:tcPr>
            <w:tcW w:w="247.55pt" w:type="dxa"/>
            <w:tcBorders>
              <w:start w:val="single" w:sz="4" w:space="0" w:color="000000"/>
            </w:tcBorders>
          </w:tcPr>
          <w:p w14:paraId="200FF850" w14:textId="77777777" w:rsidR="00265E7F" w:rsidRDefault="002809BD">
            <w:pPr>
              <w:pStyle w:val="TableContents"/>
            </w:pPr>
            <w:r>
              <w:rPr>
                <w:vertAlign w:val="superscript"/>
              </w:rPr>
              <w:lastRenderedPageBreak/>
              <w:t>1</w:t>
            </w:r>
            <w:r>
              <w:t> Jede Partei kann sich verbeiständen und, soweit nicht persönliches Handeln oder Erscheinen notwendig ist, vertreten lassen.</w:t>
            </w:r>
          </w:p>
        </w:tc>
        <w:tc>
          <w:tcPr>
            <w:tcW w:w="247.55pt" w:type="dxa"/>
            <w:tcBorders>
              <w:start w:val="single" w:sz="4" w:space="0" w:color="000000"/>
            </w:tcBorders>
          </w:tcPr>
          <w:p w14:paraId="1FB5DB6C" w14:textId="77777777" w:rsidR="00265E7F" w:rsidRDefault="00265E7F">
            <w:pPr>
              <w:pStyle w:val="TableContents"/>
            </w:pPr>
          </w:p>
        </w:tc>
        <w:tc>
          <w:tcPr>
            <w:tcW w:w="247.60pt" w:type="dxa"/>
            <w:tcBorders>
              <w:start w:val="single" w:sz="4" w:space="0" w:color="000000"/>
              <w:end w:val="single" w:sz="4" w:space="0" w:color="000000"/>
            </w:tcBorders>
          </w:tcPr>
          <w:p w14:paraId="1EAF8738" w14:textId="77777777" w:rsidR="00265E7F" w:rsidRDefault="00265E7F"/>
        </w:tc>
      </w:tr>
      <w:tr w:rsidR="00265E7F" w14:paraId="47A5C497" w14:textId="77777777">
        <w:trPr>
          <w:cantSplit/>
        </w:trPr>
        <w:tc>
          <w:tcPr>
            <w:tcW w:w="247.55pt" w:type="dxa"/>
            <w:tcBorders>
              <w:start w:val="single" w:sz="4" w:space="0" w:color="000000"/>
            </w:tcBorders>
          </w:tcPr>
          <w:p w14:paraId="7A42E964" w14:textId="77777777" w:rsidR="00265E7F" w:rsidRDefault="002809BD">
            <w:pPr>
              <w:pStyle w:val="TableContents"/>
            </w:pPr>
            <w:r>
              <w:rPr>
                <w:vertAlign w:val="superscript"/>
              </w:rPr>
              <w:t>2</w:t>
            </w:r>
            <w:r>
              <w:t> Die Vertreterin oder der Vertreter hat sich auf Verlangen der Behörde durch eine schriftliche Vollmacht auszuweisen.</w:t>
            </w:r>
          </w:p>
        </w:tc>
        <w:tc>
          <w:tcPr>
            <w:tcW w:w="247.55pt" w:type="dxa"/>
            <w:tcBorders>
              <w:start w:val="single" w:sz="4" w:space="0" w:color="000000"/>
            </w:tcBorders>
          </w:tcPr>
          <w:p w14:paraId="74008E59" w14:textId="77777777" w:rsidR="00265E7F" w:rsidRDefault="002809BD">
            <w:pPr>
              <w:pStyle w:val="TableContents"/>
            </w:pPr>
            <w:r>
              <w:rPr>
                <w:vertAlign w:val="superscript"/>
              </w:rPr>
              <w:t>2</w:t>
            </w:r>
            <w:r>
              <w:t> Die Vertreterin oder der Vertreter hat sich auf Verlangen der Behörde durch eine Vollmacht auszuweisen.</w:t>
            </w:r>
          </w:p>
        </w:tc>
        <w:tc>
          <w:tcPr>
            <w:tcW w:w="247.60pt" w:type="dxa"/>
            <w:tcBorders>
              <w:start w:val="single" w:sz="4" w:space="0" w:color="000000"/>
              <w:end w:val="single" w:sz="4" w:space="0" w:color="000000"/>
            </w:tcBorders>
          </w:tcPr>
          <w:p w14:paraId="5461D142" w14:textId="77777777" w:rsidR="00265E7F" w:rsidRDefault="00265E7F"/>
        </w:tc>
      </w:tr>
      <w:tr w:rsidR="00265E7F" w14:paraId="09104144" w14:textId="77777777">
        <w:trPr>
          <w:cantSplit/>
        </w:trPr>
        <w:tc>
          <w:tcPr>
            <w:tcW w:w="247.55pt" w:type="dxa"/>
            <w:tcBorders>
              <w:start w:val="single" w:sz="4" w:space="0" w:color="000000"/>
            </w:tcBorders>
          </w:tcPr>
          <w:p w14:paraId="3D73B91C" w14:textId="77777777" w:rsidR="00265E7F" w:rsidRDefault="00265E7F">
            <w:pPr>
              <w:pStyle w:val="TableContents"/>
            </w:pPr>
          </w:p>
        </w:tc>
        <w:tc>
          <w:tcPr>
            <w:tcW w:w="247.55pt" w:type="dxa"/>
            <w:tcBorders>
              <w:start w:val="single" w:sz="4" w:space="0" w:color="000000"/>
            </w:tcBorders>
          </w:tcPr>
          <w:p w14:paraId="1B91425D" w14:textId="77777777" w:rsidR="00265E7F" w:rsidRDefault="002809BD">
            <w:pPr>
              <w:pStyle w:val="TableContents"/>
            </w:pPr>
            <w:r>
              <w:rPr>
                <w:vertAlign w:val="superscript"/>
              </w:rPr>
              <w:t>3</w:t>
            </w:r>
            <w:r>
              <w:t> </w:t>
            </w:r>
            <w:proofErr w:type="gramStart"/>
            <w:r>
              <w:t>Berufsmässig</w:t>
            </w:r>
            <w:proofErr w:type="gramEnd"/>
            <w:r>
              <w:t xml:space="preserve"> handelnde Vertreterinnen und Vertreter können verpflichtet werden, den Austausch von Dokumenten mit den Behörden auf dem elektronischen Weg über eine bestimmte Plattform abzuwickeln. Der Regierungsrat regelt das Nähere; vorbehalten bleiben die Bestimmungen über das verwaltungsgerichtliche Verfahren.</w:t>
            </w:r>
          </w:p>
        </w:tc>
        <w:tc>
          <w:tcPr>
            <w:tcW w:w="247.60pt" w:type="dxa"/>
            <w:tcBorders>
              <w:start w:val="single" w:sz="4" w:space="0" w:color="000000"/>
              <w:end w:val="single" w:sz="4" w:space="0" w:color="000000"/>
            </w:tcBorders>
          </w:tcPr>
          <w:p w14:paraId="2EAB9F6F" w14:textId="77777777" w:rsidR="00265E7F" w:rsidRDefault="00265E7F"/>
        </w:tc>
      </w:tr>
      <w:tr w:rsidR="00265E7F" w14:paraId="33D95452" w14:textId="77777777">
        <w:trPr>
          <w:cantSplit/>
        </w:trPr>
        <w:tc>
          <w:tcPr>
            <w:tcW w:w="247.55pt" w:type="dxa"/>
            <w:tcBorders>
              <w:top w:val="single" w:sz="4" w:space="0" w:color="000000"/>
              <w:start w:val="single" w:sz="4" w:space="0" w:color="000000"/>
            </w:tcBorders>
          </w:tcPr>
          <w:p w14:paraId="4FA47C4F" w14:textId="77777777" w:rsidR="00265E7F" w:rsidRDefault="002809BD">
            <w:pPr>
              <w:pStyle w:val="TableContents"/>
            </w:pPr>
            <w:r>
              <w:rPr>
                <w:b/>
                <w:bCs/>
              </w:rPr>
              <w:t>Art.  16</w:t>
            </w:r>
            <w:r>
              <w:br/>
            </w:r>
            <w:r>
              <w:rPr>
                <w:sz w:val="14"/>
              </w:rPr>
              <w:t>Eröffnung und Zustellung der Verfügung</w:t>
            </w:r>
          </w:p>
        </w:tc>
        <w:tc>
          <w:tcPr>
            <w:tcW w:w="247.55pt" w:type="dxa"/>
            <w:tcBorders>
              <w:top w:val="single" w:sz="4" w:space="0" w:color="000000"/>
              <w:start w:val="single" w:sz="4" w:space="0" w:color="000000"/>
            </w:tcBorders>
          </w:tcPr>
          <w:p w14:paraId="7441BBC9"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8CE0D1A" w14:textId="77777777" w:rsidR="00265E7F" w:rsidRDefault="00265E7F"/>
        </w:tc>
      </w:tr>
      <w:tr w:rsidR="00265E7F" w14:paraId="0C51102F" w14:textId="77777777">
        <w:trPr>
          <w:cantSplit/>
        </w:trPr>
        <w:tc>
          <w:tcPr>
            <w:tcW w:w="247.55pt" w:type="dxa"/>
            <w:tcBorders>
              <w:start w:val="single" w:sz="4" w:space="0" w:color="000000"/>
            </w:tcBorders>
          </w:tcPr>
          <w:p w14:paraId="33849845" w14:textId="77777777" w:rsidR="00265E7F" w:rsidRDefault="002809BD">
            <w:pPr>
              <w:pStyle w:val="TableContents"/>
            </w:pPr>
            <w:r>
              <w:rPr>
                <w:vertAlign w:val="superscript"/>
              </w:rPr>
              <w:t>1</w:t>
            </w:r>
            <w:r>
              <w:t> Verfügungen sind den Parteien und weiteren am Verfahren beteiligten Privaten und Behörden in der Regel schriftlich zu eröffnen. Wird eine Verfügung ausnahmsweise mündlich eröffnet, ist sie umgehend schriftlich zu bestätigen.</w:t>
            </w:r>
          </w:p>
        </w:tc>
        <w:tc>
          <w:tcPr>
            <w:tcW w:w="247.55pt" w:type="dxa"/>
            <w:tcBorders>
              <w:start w:val="single" w:sz="4" w:space="0" w:color="000000"/>
            </w:tcBorders>
          </w:tcPr>
          <w:p w14:paraId="00D257AD" w14:textId="77777777" w:rsidR="00265E7F" w:rsidRDefault="00265E7F">
            <w:pPr>
              <w:pStyle w:val="TableContents"/>
            </w:pPr>
          </w:p>
        </w:tc>
        <w:tc>
          <w:tcPr>
            <w:tcW w:w="247.60pt" w:type="dxa"/>
            <w:tcBorders>
              <w:start w:val="single" w:sz="4" w:space="0" w:color="000000"/>
              <w:end w:val="single" w:sz="4" w:space="0" w:color="000000"/>
            </w:tcBorders>
          </w:tcPr>
          <w:p w14:paraId="207A3BB3" w14:textId="77777777" w:rsidR="00265E7F" w:rsidRDefault="00265E7F"/>
        </w:tc>
      </w:tr>
      <w:tr w:rsidR="00265E7F" w14:paraId="3BC13A77" w14:textId="77777777">
        <w:trPr>
          <w:cantSplit/>
        </w:trPr>
        <w:tc>
          <w:tcPr>
            <w:tcW w:w="247.55pt" w:type="dxa"/>
            <w:tcBorders>
              <w:start w:val="single" w:sz="4" w:space="0" w:color="000000"/>
            </w:tcBorders>
          </w:tcPr>
          <w:p w14:paraId="1CE68500" w14:textId="77777777" w:rsidR="00265E7F" w:rsidRDefault="002809BD">
            <w:pPr>
              <w:pStyle w:val="TableContents"/>
            </w:pPr>
            <w:r>
              <w:rPr>
                <w:vertAlign w:val="superscript"/>
              </w:rPr>
              <w:t>1bis</w:t>
            </w:r>
            <w:r>
              <w:t> Eine Verfügung kann mit dem Einverständnis der Partei elektronisch eröffnet werden. Der Regierungsrat erlässt Ausführungsvorschriften zu den Modalitäten und Sicherheitsanforderungen.</w:t>
            </w:r>
          </w:p>
        </w:tc>
        <w:tc>
          <w:tcPr>
            <w:tcW w:w="247.55pt" w:type="dxa"/>
            <w:tcBorders>
              <w:start w:val="single" w:sz="4" w:space="0" w:color="000000"/>
            </w:tcBorders>
          </w:tcPr>
          <w:p w14:paraId="52890962" w14:textId="77777777" w:rsidR="00265E7F" w:rsidRDefault="002809BD">
            <w:pPr>
              <w:pStyle w:val="TableContents"/>
            </w:pPr>
            <w:r>
              <w:rPr>
                <w:vertAlign w:val="superscript"/>
              </w:rPr>
              <w:t>1bis</w:t>
            </w:r>
            <w:r>
              <w:t> Eine Verfügung kann mit dem Einverständnis der Partei elektronisch eröffnet werden. Die Verfügung gilt mit dem ersten Abruf als eröffnet, spätestens jedoch am Ende des siebten Tages nach der Bereitstellung für den Abruf. Der Regierungsrat regelt das Nähere.</w:t>
            </w:r>
          </w:p>
        </w:tc>
        <w:tc>
          <w:tcPr>
            <w:tcW w:w="247.60pt" w:type="dxa"/>
            <w:tcBorders>
              <w:start w:val="single" w:sz="4" w:space="0" w:color="000000"/>
              <w:end w:val="single" w:sz="4" w:space="0" w:color="000000"/>
            </w:tcBorders>
          </w:tcPr>
          <w:p w14:paraId="6E39D585" w14:textId="77777777" w:rsidR="00265E7F" w:rsidRDefault="00265E7F"/>
        </w:tc>
      </w:tr>
      <w:tr w:rsidR="00265E7F" w14:paraId="1B56B6BE" w14:textId="77777777">
        <w:trPr>
          <w:cantSplit/>
        </w:trPr>
        <w:tc>
          <w:tcPr>
            <w:tcW w:w="247.55pt" w:type="dxa"/>
            <w:tcBorders>
              <w:start w:val="single" w:sz="4" w:space="0" w:color="000000"/>
            </w:tcBorders>
          </w:tcPr>
          <w:p w14:paraId="7EECB77A" w14:textId="77777777" w:rsidR="00265E7F" w:rsidRDefault="002809BD">
            <w:pPr>
              <w:pStyle w:val="TableContents"/>
            </w:pPr>
            <w:r>
              <w:rPr>
                <w:vertAlign w:val="superscript"/>
              </w:rPr>
              <w:t>2</w:t>
            </w:r>
            <w:r>
              <w:t> Die Zustellung einer Verfügung gilt auch dann als erfolgt, wenn die Adressatin oder der Adressat sie verhindert.</w:t>
            </w:r>
          </w:p>
        </w:tc>
        <w:tc>
          <w:tcPr>
            <w:tcW w:w="247.55pt" w:type="dxa"/>
            <w:tcBorders>
              <w:start w:val="single" w:sz="4" w:space="0" w:color="000000"/>
            </w:tcBorders>
          </w:tcPr>
          <w:p w14:paraId="5A47B1C3" w14:textId="77777777" w:rsidR="00265E7F" w:rsidRDefault="00265E7F">
            <w:pPr>
              <w:pStyle w:val="TableContents"/>
            </w:pPr>
          </w:p>
        </w:tc>
        <w:tc>
          <w:tcPr>
            <w:tcW w:w="247.60pt" w:type="dxa"/>
            <w:tcBorders>
              <w:start w:val="single" w:sz="4" w:space="0" w:color="000000"/>
              <w:end w:val="single" w:sz="4" w:space="0" w:color="000000"/>
            </w:tcBorders>
          </w:tcPr>
          <w:p w14:paraId="0B7B7C28" w14:textId="77777777" w:rsidR="00265E7F" w:rsidRDefault="00265E7F"/>
        </w:tc>
      </w:tr>
      <w:tr w:rsidR="00265E7F" w14:paraId="46E6A18A" w14:textId="77777777">
        <w:trPr>
          <w:cantSplit/>
        </w:trPr>
        <w:tc>
          <w:tcPr>
            <w:tcW w:w="247.55pt" w:type="dxa"/>
            <w:tcBorders>
              <w:start w:val="single" w:sz="4" w:space="0" w:color="000000"/>
            </w:tcBorders>
          </w:tcPr>
          <w:p w14:paraId="68AD50F1" w14:textId="77777777" w:rsidR="00265E7F" w:rsidRDefault="002809BD">
            <w:pPr>
              <w:pStyle w:val="TableContents"/>
            </w:pPr>
            <w:r>
              <w:rPr>
                <w:vertAlign w:val="superscript"/>
              </w:rPr>
              <w:lastRenderedPageBreak/>
              <w:t>3</w:t>
            </w:r>
            <w:r>
              <w:t> Ist eine Partei unbekannten Aufenthalts, gilt die Verfügung als eröffnet, wenn sie im kantonalen Amtsblatt publiziert wird.</w:t>
            </w:r>
          </w:p>
        </w:tc>
        <w:tc>
          <w:tcPr>
            <w:tcW w:w="247.55pt" w:type="dxa"/>
            <w:tcBorders>
              <w:start w:val="single" w:sz="4" w:space="0" w:color="000000"/>
            </w:tcBorders>
          </w:tcPr>
          <w:p w14:paraId="5C07170C" w14:textId="77777777" w:rsidR="00265E7F" w:rsidRDefault="00265E7F">
            <w:pPr>
              <w:pStyle w:val="TableContents"/>
            </w:pPr>
          </w:p>
        </w:tc>
        <w:tc>
          <w:tcPr>
            <w:tcW w:w="247.60pt" w:type="dxa"/>
            <w:tcBorders>
              <w:start w:val="single" w:sz="4" w:space="0" w:color="000000"/>
              <w:end w:val="single" w:sz="4" w:space="0" w:color="000000"/>
            </w:tcBorders>
          </w:tcPr>
          <w:p w14:paraId="170C1DF9" w14:textId="77777777" w:rsidR="00265E7F" w:rsidRDefault="00265E7F"/>
        </w:tc>
      </w:tr>
      <w:tr w:rsidR="00265E7F" w14:paraId="6168E15E" w14:textId="77777777">
        <w:trPr>
          <w:cantSplit/>
        </w:trPr>
        <w:tc>
          <w:tcPr>
            <w:tcW w:w="247.55pt" w:type="dxa"/>
            <w:tcBorders>
              <w:start w:val="single" w:sz="4" w:space="0" w:color="000000"/>
            </w:tcBorders>
          </w:tcPr>
          <w:p w14:paraId="18CFFAEF" w14:textId="77777777" w:rsidR="00265E7F" w:rsidRDefault="002809BD">
            <w:pPr>
              <w:pStyle w:val="TableContents"/>
            </w:pPr>
            <w:r>
              <w:rPr>
                <w:vertAlign w:val="superscript"/>
              </w:rPr>
              <w:t>4</w:t>
            </w:r>
            <w:r>
              <w:t> Verfügungen, die sich an eine unbestimmte Zahl von Personen richten (Allgemeinverfügungen), werden durch Publikation im kantonalen Amtsblatt eröffnet.</w:t>
            </w:r>
          </w:p>
        </w:tc>
        <w:tc>
          <w:tcPr>
            <w:tcW w:w="247.55pt" w:type="dxa"/>
            <w:tcBorders>
              <w:start w:val="single" w:sz="4" w:space="0" w:color="000000"/>
            </w:tcBorders>
          </w:tcPr>
          <w:p w14:paraId="7DDA6775" w14:textId="77777777" w:rsidR="00265E7F" w:rsidRDefault="00265E7F">
            <w:pPr>
              <w:pStyle w:val="TableContents"/>
            </w:pPr>
          </w:p>
        </w:tc>
        <w:tc>
          <w:tcPr>
            <w:tcW w:w="247.60pt" w:type="dxa"/>
            <w:tcBorders>
              <w:start w:val="single" w:sz="4" w:space="0" w:color="000000"/>
              <w:end w:val="single" w:sz="4" w:space="0" w:color="000000"/>
            </w:tcBorders>
          </w:tcPr>
          <w:p w14:paraId="3EBFDC07" w14:textId="77777777" w:rsidR="00265E7F" w:rsidRDefault="00265E7F"/>
        </w:tc>
      </w:tr>
      <w:tr w:rsidR="00265E7F" w14:paraId="2E75C082" w14:textId="77777777">
        <w:trPr>
          <w:cantSplit/>
        </w:trPr>
        <w:tc>
          <w:tcPr>
            <w:tcW w:w="247.55pt" w:type="dxa"/>
            <w:tcBorders>
              <w:start w:val="single" w:sz="4" w:space="0" w:color="000000"/>
            </w:tcBorders>
          </w:tcPr>
          <w:p w14:paraId="0F9AB169" w14:textId="77777777" w:rsidR="00265E7F" w:rsidRDefault="002809BD">
            <w:pPr>
              <w:pStyle w:val="TableContents"/>
            </w:pPr>
            <w:r>
              <w:rPr>
                <w:vertAlign w:val="superscript"/>
              </w:rPr>
              <w:t>5</w:t>
            </w:r>
            <w:r>
              <w:t> Ist kein ordentliches Rechtsmittel gegeben, gilt eine Verfügung mit der Zustellung des Dispositivs als eröffnet.</w:t>
            </w:r>
          </w:p>
        </w:tc>
        <w:tc>
          <w:tcPr>
            <w:tcW w:w="247.55pt" w:type="dxa"/>
            <w:tcBorders>
              <w:start w:val="single" w:sz="4" w:space="0" w:color="000000"/>
            </w:tcBorders>
          </w:tcPr>
          <w:p w14:paraId="3C94CFF4" w14:textId="77777777" w:rsidR="00265E7F" w:rsidRDefault="00265E7F">
            <w:pPr>
              <w:pStyle w:val="TableContents"/>
            </w:pPr>
          </w:p>
        </w:tc>
        <w:tc>
          <w:tcPr>
            <w:tcW w:w="247.60pt" w:type="dxa"/>
            <w:tcBorders>
              <w:start w:val="single" w:sz="4" w:space="0" w:color="000000"/>
              <w:end w:val="single" w:sz="4" w:space="0" w:color="000000"/>
            </w:tcBorders>
          </w:tcPr>
          <w:p w14:paraId="33FA9012" w14:textId="77777777" w:rsidR="00265E7F" w:rsidRDefault="00265E7F"/>
        </w:tc>
      </w:tr>
      <w:tr w:rsidR="00265E7F" w14:paraId="2D222B7F" w14:textId="77777777">
        <w:trPr>
          <w:cantSplit/>
        </w:trPr>
        <w:tc>
          <w:tcPr>
            <w:tcW w:w="247.55pt" w:type="dxa"/>
            <w:tcBorders>
              <w:top w:val="single" w:sz="4" w:space="0" w:color="000000"/>
              <w:start w:val="single" w:sz="4" w:space="0" w:color="000000"/>
            </w:tcBorders>
          </w:tcPr>
          <w:p w14:paraId="7666F704" w14:textId="77777777" w:rsidR="00265E7F" w:rsidRDefault="002809BD">
            <w:pPr>
              <w:pStyle w:val="TableContents"/>
            </w:pPr>
            <w:r>
              <w:rPr>
                <w:b/>
                <w:bCs/>
              </w:rPr>
              <w:t>Art.  18</w:t>
            </w:r>
            <w:r>
              <w:br/>
            </w:r>
            <w:r>
              <w:rPr>
                <w:sz w:val="14"/>
              </w:rPr>
              <w:t>Inhalt der Verfügung</w:t>
            </w:r>
          </w:p>
        </w:tc>
        <w:tc>
          <w:tcPr>
            <w:tcW w:w="247.55pt" w:type="dxa"/>
            <w:tcBorders>
              <w:top w:val="single" w:sz="4" w:space="0" w:color="000000"/>
              <w:start w:val="single" w:sz="4" w:space="0" w:color="000000"/>
            </w:tcBorders>
          </w:tcPr>
          <w:p w14:paraId="671F52B5"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7B4C624" w14:textId="77777777" w:rsidR="00265E7F" w:rsidRDefault="00265E7F"/>
        </w:tc>
      </w:tr>
      <w:tr w:rsidR="00265E7F" w14:paraId="563D8B9E" w14:textId="77777777">
        <w:trPr>
          <w:cantSplit/>
        </w:trPr>
        <w:tc>
          <w:tcPr>
            <w:tcW w:w="247.55pt" w:type="dxa"/>
            <w:tcBorders>
              <w:start w:val="single" w:sz="4" w:space="0" w:color="000000"/>
            </w:tcBorders>
          </w:tcPr>
          <w:p w14:paraId="12EB6781" w14:textId="77777777" w:rsidR="00265E7F" w:rsidRDefault="002809BD">
            <w:pPr>
              <w:pStyle w:val="TableContents"/>
            </w:pPr>
            <w:r>
              <w:rPr>
                <w:vertAlign w:val="superscript"/>
              </w:rPr>
              <w:t>1</w:t>
            </w:r>
            <w:r>
              <w:t> Verfügungen haben zu enthalten:</w:t>
            </w:r>
          </w:p>
        </w:tc>
        <w:tc>
          <w:tcPr>
            <w:tcW w:w="247.55pt" w:type="dxa"/>
            <w:tcBorders>
              <w:start w:val="single" w:sz="4" w:space="0" w:color="000000"/>
            </w:tcBorders>
          </w:tcPr>
          <w:p w14:paraId="6BEE7476" w14:textId="77777777" w:rsidR="00265E7F" w:rsidRDefault="00265E7F">
            <w:pPr>
              <w:pStyle w:val="TableContents"/>
            </w:pPr>
          </w:p>
        </w:tc>
        <w:tc>
          <w:tcPr>
            <w:tcW w:w="247.60pt" w:type="dxa"/>
            <w:tcBorders>
              <w:start w:val="single" w:sz="4" w:space="0" w:color="000000"/>
              <w:end w:val="single" w:sz="4" w:space="0" w:color="000000"/>
            </w:tcBorders>
          </w:tcPr>
          <w:p w14:paraId="35F6C057" w14:textId="77777777" w:rsidR="00265E7F" w:rsidRDefault="00265E7F"/>
        </w:tc>
      </w:tr>
      <w:tr w:rsidR="00265E7F" w14:paraId="70DE156D" w14:textId="77777777">
        <w:trPr>
          <w:cantSplit/>
        </w:trPr>
        <w:tc>
          <w:tcPr>
            <w:tcW w:w="247.55pt" w:type="dxa"/>
            <w:tcBorders>
              <w:start w:val="single" w:sz="4" w:space="0" w:color="000000"/>
            </w:tcBorders>
          </w:tcPr>
          <w:p w14:paraId="12220737" w14:textId="77777777" w:rsidR="00265E7F" w:rsidRDefault="002809BD">
            <w:pPr>
              <w:pStyle w:val="TableContents"/>
              <w:ind w:start="7.45pt" w:end="0.15pt" w:hanging="9.45pt"/>
            </w:pPr>
            <w:r>
              <w:t xml:space="preserve">a) die Bezeichnung der Behörde und die Namen der </w:t>
            </w:r>
            <w:proofErr w:type="spellStart"/>
            <w:r>
              <w:t>Behördemitglieder</w:t>
            </w:r>
            <w:proofErr w:type="spellEnd"/>
            <w:r>
              <w:t>, welche in den Ausstand getreten sind;</w:t>
            </w:r>
          </w:p>
        </w:tc>
        <w:tc>
          <w:tcPr>
            <w:tcW w:w="247.55pt" w:type="dxa"/>
            <w:tcBorders>
              <w:start w:val="single" w:sz="4" w:space="0" w:color="000000"/>
            </w:tcBorders>
          </w:tcPr>
          <w:p w14:paraId="3E7B8227"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233CDC59" w14:textId="77777777" w:rsidR="00265E7F" w:rsidRDefault="00265E7F"/>
        </w:tc>
      </w:tr>
      <w:tr w:rsidR="00265E7F" w14:paraId="09F34B6A" w14:textId="77777777">
        <w:trPr>
          <w:cantSplit/>
        </w:trPr>
        <w:tc>
          <w:tcPr>
            <w:tcW w:w="247.55pt" w:type="dxa"/>
            <w:tcBorders>
              <w:start w:val="single" w:sz="4" w:space="0" w:color="000000"/>
            </w:tcBorders>
          </w:tcPr>
          <w:p w14:paraId="12E8E14C" w14:textId="77777777" w:rsidR="00265E7F" w:rsidRDefault="002809BD">
            <w:pPr>
              <w:pStyle w:val="TableContents"/>
              <w:ind w:start="7.45pt" w:end="0.15pt" w:hanging="9.45pt"/>
            </w:pPr>
            <w:r>
              <w:t>b) das Datum der Beschlussfassung;</w:t>
            </w:r>
          </w:p>
        </w:tc>
        <w:tc>
          <w:tcPr>
            <w:tcW w:w="247.55pt" w:type="dxa"/>
            <w:tcBorders>
              <w:start w:val="single" w:sz="4" w:space="0" w:color="000000"/>
            </w:tcBorders>
          </w:tcPr>
          <w:p w14:paraId="0B17ED44"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2FF5F636" w14:textId="77777777" w:rsidR="00265E7F" w:rsidRDefault="00265E7F"/>
        </w:tc>
      </w:tr>
      <w:tr w:rsidR="00265E7F" w14:paraId="6022D24A" w14:textId="77777777">
        <w:trPr>
          <w:cantSplit/>
        </w:trPr>
        <w:tc>
          <w:tcPr>
            <w:tcW w:w="247.55pt" w:type="dxa"/>
            <w:tcBorders>
              <w:start w:val="single" w:sz="4" w:space="0" w:color="000000"/>
            </w:tcBorders>
          </w:tcPr>
          <w:p w14:paraId="55A0D429" w14:textId="77777777" w:rsidR="00265E7F" w:rsidRDefault="002809BD">
            <w:pPr>
              <w:pStyle w:val="TableContents"/>
              <w:ind w:start="7.45pt" w:end="0.15pt" w:hanging="9.45pt"/>
            </w:pPr>
            <w:r>
              <w:t>c) den Sachverhalt und die Begründung unter Angabe der angewendeten Vorschriften;</w:t>
            </w:r>
          </w:p>
        </w:tc>
        <w:tc>
          <w:tcPr>
            <w:tcW w:w="247.55pt" w:type="dxa"/>
            <w:tcBorders>
              <w:start w:val="single" w:sz="4" w:space="0" w:color="000000"/>
            </w:tcBorders>
          </w:tcPr>
          <w:p w14:paraId="15F7FAA5"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655745EF" w14:textId="77777777" w:rsidR="00265E7F" w:rsidRDefault="00265E7F"/>
        </w:tc>
      </w:tr>
      <w:tr w:rsidR="00265E7F" w14:paraId="222EFBED" w14:textId="77777777">
        <w:trPr>
          <w:cantSplit/>
        </w:trPr>
        <w:tc>
          <w:tcPr>
            <w:tcW w:w="247.55pt" w:type="dxa"/>
            <w:tcBorders>
              <w:start w:val="single" w:sz="4" w:space="0" w:color="000000"/>
            </w:tcBorders>
          </w:tcPr>
          <w:p w14:paraId="32EA5360" w14:textId="77777777" w:rsidR="00265E7F" w:rsidRDefault="002809BD">
            <w:pPr>
              <w:pStyle w:val="TableContents"/>
              <w:ind w:start="7.45pt" w:end="0.15pt" w:hanging="9.45pt"/>
            </w:pPr>
            <w:r>
              <w:t>d) das Dispositiv;</w:t>
            </w:r>
          </w:p>
        </w:tc>
        <w:tc>
          <w:tcPr>
            <w:tcW w:w="247.55pt" w:type="dxa"/>
            <w:tcBorders>
              <w:start w:val="single" w:sz="4" w:space="0" w:color="000000"/>
            </w:tcBorders>
          </w:tcPr>
          <w:p w14:paraId="628D5254"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629C5327" w14:textId="77777777" w:rsidR="00265E7F" w:rsidRDefault="00265E7F"/>
        </w:tc>
      </w:tr>
      <w:tr w:rsidR="00265E7F" w14:paraId="43EE313A" w14:textId="77777777">
        <w:trPr>
          <w:cantSplit/>
        </w:trPr>
        <w:tc>
          <w:tcPr>
            <w:tcW w:w="247.55pt" w:type="dxa"/>
            <w:tcBorders>
              <w:start w:val="single" w:sz="4" w:space="0" w:color="000000"/>
            </w:tcBorders>
          </w:tcPr>
          <w:p w14:paraId="7F837721" w14:textId="77777777" w:rsidR="00265E7F" w:rsidRDefault="002809BD">
            <w:pPr>
              <w:pStyle w:val="TableContents"/>
              <w:ind w:start="7.45pt" w:end="0.15pt" w:hanging="9.45pt"/>
            </w:pPr>
            <w:r>
              <w:t>e) die Festlegung der Kosten und der Kostentragungspflicht;</w:t>
            </w:r>
          </w:p>
        </w:tc>
        <w:tc>
          <w:tcPr>
            <w:tcW w:w="247.55pt" w:type="dxa"/>
            <w:tcBorders>
              <w:start w:val="single" w:sz="4" w:space="0" w:color="000000"/>
            </w:tcBorders>
          </w:tcPr>
          <w:p w14:paraId="717E2A7E"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10310735" w14:textId="77777777" w:rsidR="00265E7F" w:rsidRDefault="00265E7F"/>
        </w:tc>
      </w:tr>
      <w:tr w:rsidR="00265E7F" w14:paraId="4C6E56BF" w14:textId="77777777">
        <w:trPr>
          <w:cantSplit/>
        </w:trPr>
        <w:tc>
          <w:tcPr>
            <w:tcW w:w="247.55pt" w:type="dxa"/>
            <w:tcBorders>
              <w:start w:val="single" w:sz="4" w:space="0" w:color="000000"/>
            </w:tcBorders>
          </w:tcPr>
          <w:p w14:paraId="23E36805" w14:textId="77777777" w:rsidR="00265E7F" w:rsidRDefault="002809BD">
            <w:pPr>
              <w:pStyle w:val="TableContents"/>
              <w:ind w:start="7.45pt" w:end="0.15pt" w:hanging="9.45pt"/>
            </w:pPr>
            <w:r>
              <w:t>f) die Rechtsmittelbelehrung;</w:t>
            </w:r>
          </w:p>
        </w:tc>
        <w:tc>
          <w:tcPr>
            <w:tcW w:w="247.55pt" w:type="dxa"/>
            <w:tcBorders>
              <w:start w:val="single" w:sz="4" w:space="0" w:color="000000"/>
            </w:tcBorders>
          </w:tcPr>
          <w:p w14:paraId="661A5B82"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1C35864F" w14:textId="77777777" w:rsidR="00265E7F" w:rsidRDefault="00265E7F"/>
        </w:tc>
      </w:tr>
      <w:tr w:rsidR="00265E7F" w14:paraId="436184FD" w14:textId="77777777">
        <w:trPr>
          <w:cantSplit/>
        </w:trPr>
        <w:tc>
          <w:tcPr>
            <w:tcW w:w="247.55pt" w:type="dxa"/>
            <w:tcBorders>
              <w:start w:val="single" w:sz="4" w:space="0" w:color="000000"/>
            </w:tcBorders>
          </w:tcPr>
          <w:p w14:paraId="4002B341" w14:textId="77777777" w:rsidR="00265E7F" w:rsidRDefault="002809BD">
            <w:pPr>
              <w:pStyle w:val="TableContents"/>
              <w:ind w:start="7.45pt" w:end="0.15pt" w:hanging="9.45pt"/>
            </w:pPr>
            <w:r>
              <w:t>g) das Versanddatum;</w:t>
            </w:r>
          </w:p>
        </w:tc>
        <w:tc>
          <w:tcPr>
            <w:tcW w:w="247.55pt" w:type="dxa"/>
            <w:tcBorders>
              <w:start w:val="single" w:sz="4" w:space="0" w:color="000000"/>
            </w:tcBorders>
          </w:tcPr>
          <w:p w14:paraId="42A3A499"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1AEE4F36" w14:textId="77777777" w:rsidR="00265E7F" w:rsidRDefault="00265E7F"/>
        </w:tc>
      </w:tr>
      <w:tr w:rsidR="00265E7F" w14:paraId="4D754E3D" w14:textId="77777777">
        <w:trPr>
          <w:cantSplit/>
        </w:trPr>
        <w:tc>
          <w:tcPr>
            <w:tcW w:w="247.55pt" w:type="dxa"/>
            <w:tcBorders>
              <w:start w:val="single" w:sz="4" w:space="0" w:color="000000"/>
            </w:tcBorders>
          </w:tcPr>
          <w:p w14:paraId="0F37A47F" w14:textId="77777777" w:rsidR="00265E7F" w:rsidRDefault="002809BD">
            <w:pPr>
              <w:pStyle w:val="TableContents"/>
              <w:ind w:start="7.45pt" w:end="0.15pt" w:hanging="9.45pt"/>
            </w:pPr>
            <w:r>
              <w:t>h) die Unterschrift.</w:t>
            </w:r>
          </w:p>
        </w:tc>
        <w:tc>
          <w:tcPr>
            <w:tcW w:w="247.55pt" w:type="dxa"/>
            <w:tcBorders>
              <w:start w:val="single" w:sz="4" w:space="0" w:color="000000"/>
            </w:tcBorders>
          </w:tcPr>
          <w:p w14:paraId="64AE53A8" w14:textId="77777777" w:rsidR="00265E7F" w:rsidRDefault="002809BD">
            <w:pPr>
              <w:pStyle w:val="TableContents"/>
              <w:ind w:start="7.45pt" w:end="0.15pt" w:hanging="9.45pt"/>
            </w:pPr>
            <w:r>
              <w:t>h) </w:t>
            </w:r>
            <w:r>
              <w:rPr>
                <w:i/>
                <w:iCs/>
              </w:rPr>
              <w:t>Aufgehoben.</w:t>
            </w:r>
          </w:p>
        </w:tc>
        <w:tc>
          <w:tcPr>
            <w:tcW w:w="247.60pt" w:type="dxa"/>
            <w:tcBorders>
              <w:start w:val="single" w:sz="4" w:space="0" w:color="000000"/>
              <w:end w:val="single" w:sz="4" w:space="0" w:color="000000"/>
            </w:tcBorders>
          </w:tcPr>
          <w:p w14:paraId="0ECC44BA" w14:textId="77777777" w:rsidR="00265E7F" w:rsidRDefault="00265E7F"/>
        </w:tc>
      </w:tr>
      <w:tr w:rsidR="00265E7F" w14:paraId="1079E6EC" w14:textId="77777777">
        <w:trPr>
          <w:cantSplit/>
        </w:trPr>
        <w:tc>
          <w:tcPr>
            <w:tcW w:w="247.55pt" w:type="dxa"/>
            <w:tcBorders>
              <w:start w:val="single" w:sz="4" w:space="0" w:color="000000"/>
            </w:tcBorders>
          </w:tcPr>
          <w:p w14:paraId="28475C9E" w14:textId="77777777" w:rsidR="00265E7F" w:rsidRDefault="002809BD">
            <w:pPr>
              <w:pStyle w:val="TableContents"/>
            </w:pPr>
            <w:r>
              <w:rPr>
                <w:vertAlign w:val="superscript"/>
              </w:rPr>
              <w:lastRenderedPageBreak/>
              <w:t>2</w:t>
            </w:r>
            <w:r>
              <w:t> Eine Verfügung kann ohne Begründung eröffnet werden, wenn</w:t>
            </w:r>
          </w:p>
        </w:tc>
        <w:tc>
          <w:tcPr>
            <w:tcW w:w="247.55pt" w:type="dxa"/>
            <w:tcBorders>
              <w:start w:val="single" w:sz="4" w:space="0" w:color="000000"/>
            </w:tcBorders>
          </w:tcPr>
          <w:p w14:paraId="54B8E6CC" w14:textId="77777777" w:rsidR="00265E7F" w:rsidRDefault="00265E7F">
            <w:pPr>
              <w:pStyle w:val="TableContents"/>
            </w:pPr>
          </w:p>
        </w:tc>
        <w:tc>
          <w:tcPr>
            <w:tcW w:w="247.60pt" w:type="dxa"/>
            <w:tcBorders>
              <w:start w:val="single" w:sz="4" w:space="0" w:color="000000"/>
              <w:end w:val="single" w:sz="4" w:space="0" w:color="000000"/>
            </w:tcBorders>
          </w:tcPr>
          <w:p w14:paraId="547B124D" w14:textId="77777777" w:rsidR="00265E7F" w:rsidRDefault="00265E7F"/>
        </w:tc>
      </w:tr>
      <w:tr w:rsidR="00265E7F" w14:paraId="62C0BF90" w14:textId="77777777">
        <w:trPr>
          <w:cantSplit/>
        </w:trPr>
        <w:tc>
          <w:tcPr>
            <w:tcW w:w="247.55pt" w:type="dxa"/>
            <w:tcBorders>
              <w:start w:val="single" w:sz="4" w:space="0" w:color="000000"/>
            </w:tcBorders>
          </w:tcPr>
          <w:p w14:paraId="2F9CA222" w14:textId="77777777" w:rsidR="00265E7F" w:rsidRDefault="002809BD">
            <w:pPr>
              <w:pStyle w:val="TableContents"/>
              <w:ind w:start="7.45pt" w:end="0.15pt" w:hanging="9.45pt"/>
            </w:pPr>
            <w:r>
              <w:t>a) unbestrittenen Begehren voll entsprochen wird oder</w:t>
            </w:r>
          </w:p>
        </w:tc>
        <w:tc>
          <w:tcPr>
            <w:tcW w:w="247.55pt" w:type="dxa"/>
            <w:tcBorders>
              <w:start w:val="single" w:sz="4" w:space="0" w:color="000000"/>
            </w:tcBorders>
          </w:tcPr>
          <w:p w14:paraId="2704C73F"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7D5C8E01" w14:textId="77777777" w:rsidR="00265E7F" w:rsidRDefault="00265E7F"/>
        </w:tc>
      </w:tr>
      <w:tr w:rsidR="00265E7F" w14:paraId="4A9A8F0A" w14:textId="77777777">
        <w:trPr>
          <w:cantSplit/>
        </w:trPr>
        <w:tc>
          <w:tcPr>
            <w:tcW w:w="247.55pt" w:type="dxa"/>
            <w:tcBorders>
              <w:start w:val="single" w:sz="4" w:space="0" w:color="000000"/>
            </w:tcBorders>
          </w:tcPr>
          <w:p w14:paraId="1781D341" w14:textId="77777777" w:rsidR="00265E7F" w:rsidRDefault="002809BD">
            <w:pPr>
              <w:pStyle w:val="TableContents"/>
              <w:ind w:start="7.45pt" w:end="0.15pt" w:hanging="9.45pt"/>
            </w:pPr>
            <w:r>
              <w:t>b) gegen die Verfügung die Einsprache zulässig ist und keine Drittinteressen entgegenstehen.</w:t>
            </w:r>
          </w:p>
        </w:tc>
        <w:tc>
          <w:tcPr>
            <w:tcW w:w="247.55pt" w:type="dxa"/>
            <w:tcBorders>
              <w:start w:val="single" w:sz="4" w:space="0" w:color="000000"/>
            </w:tcBorders>
          </w:tcPr>
          <w:p w14:paraId="6A921337" w14:textId="77777777" w:rsidR="00265E7F" w:rsidRDefault="00265E7F">
            <w:pPr>
              <w:pStyle w:val="TableContents"/>
              <w:ind w:start="7.45pt" w:end="0.15pt" w:hanging="9.45pt"/>
            </w:pPr>
          </w:p>
        </w:tc>
        <w:tc>
          <w:tcPr>
            <w:tcW w:w="247.60pt" w:type="dxa"/>
            <w:tcBorders>
              <w:start w:val="single" w:sz="4" w:space="0" w:color="000000"/>
              <w:end w:val="single" w:sz="4" w:space="0" w:color="000000"/>
            </w:tcBorders>
          </w:tcPr>
          <w:p w14:paraId="00F82470" w14:textId="77777777" w:rsidR="00265E7F" w:rsidRDefault="00265E7F"/>
        </w:tc>
      </w:tr>
      <w:tr w:rsidR="00265E7F" w14:paraId="476D91E0" w14:textId="77777777">
        <w:trPr>
          <w:cantSplit/>
        </w:trPr>
        <w:tc>
          <w:tcPr>
            <w:tcW w:w="247.55pt" w:type="dxa"/>
            <w:tcBorders>
              <w:start w:val="single" w:sz="4" w:space="0" w:color="000000"/>
            </w:tcBorders>
          </w:tcPr>
          <w:p w14:paraId="266E4EDF" w14:textId="77777777" w:rsidR="00265E7F" w:rsidRDefault="002809BD">
            <w:pPr>
              <w:pStyle w:val="TableContents"/>
            </w:pPr>
            <w:r>
              <w:rPr>
                <w:vertAlign w:val="superscript"/>
              </w:rPr>
              <w:t>3</w:t>
            </w:r>
            <w:r>
              <w:t> Bei Massenverfügungen kann auf die Unterschrift verzichtet werden.</w:t>
            </w:r>
          </w:p>
        </w:tc>
        <w:tc>
          <w:tcPr>
            <w:tcW w:w="247.55pt" w:type="dxa"/>
            <w:tcBorders>
              <w:start w:val="single" w:sz="4" w:space="0" w:color="000000"/>
            </w:tcBorders>
          </w:tcPr>
          <w:p w14:paraId="70D496F4" w14:textId="77777777" w:rsidR="00265E7F" w:rsidRDefault="002809BD">
            <w:pPr>
              <w:pStyle w:val="TableContents"/>
            </w:pPr>
            <w:r>
              <w:rPr>
                <w:vertAlign w:val="superscript"/>
              </w:rPr>
              <w:t>3</w:t>
            </w:r>
            <w:r>
              <w:t> </w:t>
            </w:r>
            <w:r>
              <w:rPr>
                <w:i/>
                <w:iCs/>
              </w:rPr>
              <w:t>Aufgehoben.</w:t>
            </w:r>
          </w:p>
        </w:tc>
        <w:tc>
          <w:tcPr>
            <w:tcW w:w="247.60pt" w:type="dxa"/>
            <w:tcBorders>
              <w:start w:val="single" w:sz="4" w:space="0" w:color="000000"/>
              <w:end w:val="single" w:sz="4" w:space="0" w:color="000000"/>
            </w:tcBorders>
          </w:tcPr>
          <w:p w14:paraId="26AFF598" w14:textId="77777777" w:rsidR="00265E7F" w:rsidRDefault="00265E7F"/>
        </w:tc>
      </w:tr>
      <w:tr w:rsidR="00265E7F" w14:paraId="26B3EE3E" w14:textId="77777777">
        <w:tc>
          <w:tcPr>
            <w:tcW w:w="247.55pt" w:type="dxa"/>
            <w:tcBorders>
              <w:top w:val="single" w:sz="4" w:space="0" w:color="000000"/>
              <w:start w:val="single" w:sz="4" w:space="0" w:color="000000"/>
            </w:tcBorders>
          </w:tcPr>
          <w:p w14:paraId="5182070E" w14:textId="77777777" w:rsidR="00265E7F" w:rsidRDefault="00265E7F">
            <w:pPr>
              <w:pStyle w:val="TableContents"/>
            </w:pPr>
          </w:p>
        </w:tc>
        <w:tc>
          <w:tcPr>
            <w:tcW w:w="247.55pt" w:type="dxa"/>
            <w:tcBorders>
              <w:top w:val="single" w:sz="4" w:space="0" w:color="000000"/>
              <w:start w:val="single" w:sz="4" w:space="0" w:color="000000"/>
            </w:tcBorders>
          </w:tcPr>
          <w:p w14:paraId="04558546" w14:textId="77777777" w:rsidR="00265E7F" w:rsidRDefault="002809BD">
            <w:pPr>
              <w:pStyle w:val="TableContents"/>
            </w:pPr>
            <w:proofErr w:type="spellStart"/>
            <w:r>
              <w:rPr>
                <w:b/>
                <w:bCs/>
                <w:sz w:val="22"/>
              </w:rPr>
              <w:t>IIa</w:t>
            </w:r>
            <w:proofErr w:type="spellEnd"/>
            <w:r>
              <w:rPr>
                <w:b/>
                <w:bCs/>
                <w:sz w:val="22"/>
              </w:rPr>
              <w:t>. Elektronische Kommunikation und Aktenführung </w:t>
            </w:r>
            <w:r>
              <w:rPr>
                <w:b/>
                <w:bCs/>
                <w:color w:val="777777"/>
                <w:sz w:val="14"/>
              </w:rPr>
              <w:t>(3.2.1)</w:t>
            </w:r>
          </w:p>
        </w:tc>
        <w:tc>
          <w:tcPr>
            <w:tcW w:w="247.60pt" w:type="dxa"/>
            <w:tcBorders>
              <w:top w:val="single" w:sz="4" w:space="0" w:color="000000"/>
              <w:start w:val="single" w:sz="4" w:space="0" w:color="000000"/>
              <w:end w:val="single" w:sz="4" w:space="0" w:color="000000"/>
            </w:tcBorders>
          </w:tcPr>
          <w:p w14:paraId="5FE67218" w14:textId="77777777" w:rsidR="00265E7F" w:rsidRDefault="00265E7F"/>
        </w:tc>
      </w:tr>
      <w:tr w:rsidR="00265E7F" w14:paraId="748F7386" w14:textId="77777777">
        <w:trPr>
          <w:cantSplit/>
        </w:trPr>
        <w:tc>
          <w:tcPr>
            <w:tcW w:w="247.55pt" w:type="dxa"/>
            <w:tcBorders>
              <w:top w:val="single" w:sz="4" w:space="0" w:color="000000"/>
              <w:start w:val="single" w:sz="4" w:space="0" w:color="000000"/>
            </w:tcBorders>
          </w:tcPr>
          <w:p w14:paraId="5FC78D19" w14:textId="77777777" w:rsidR="00265E7F" w:rsidRDefault="00265E7F">
            <w:pPr>
              <w:pStyle w:val="TableContents"/>
            </w:pPr>
          </w:p>
        </w:tc>
        <w:tc>
          <w:tcPr>
            <w:tcW w:w="247.55pt" w:type="dxa"/>
            <w:tcBorders>
              <w:top w:val="single" w:sz="4" w:space="0" w:color="000000"/>
              <w:start w:val="single" w:sz="4" w:space="0" w:color="000000"/>
            </w:tcBorders>
          </w:tcPr>
          <w:p w14:paraId="057CEA5A" w14:textId="77777777" w:rsidR="00265E7F" w:rsidRDefault="002809BD">
            <w:pPr>
              <w:pStyle w:val="TableContents"/>
            </w:pPr>
            <w:r>
              <w:rPr>
                <w:b/>
                <w:bCs/>
              </w:rPr>
              <w:t>Art.  53a</w:t>
            </w:r>
            <w:r>
              <w:br/>
            </w:r>
            <w:r>
              <w:rPr>
                <w:sz w:val="14"/>
              </w:rPr>
              <w:t>Anwendbare Bestimmungen</w:t>
            </w:r>
          </w:p>
        </w:tc>
        <w:tc>
          <w:tcPr>
            <w:tcW w:w="247.60pt" w:type="dxa"/>
            <w:tcBorders>
              <w:top w:val="single" w:sz="4" w:space="0" w:color="000000"/>
              <w:start w:val="single" w:sz="4" w:space="0" w:color="000000"/>
              <w:end w:val="single" w:sz="4" w:space="0" w:color="000000"/>
            </w:tcBorders>
          </w:tcPr>
          <w:p w14:paraId="2437323F" w14:textId="77777777" w:rsidR="00265E7F" w:rsidRDefault="00265E7F"/>
        </w:tc>
      </w:tr>
      <w:tr w:rsidR="00265E7F" w14:paraId="5828CE6D" w14:textId="77777777">
        <w:trPr>
          <w:cantSplit/>
        </w:trPr>
        <w:tc>
          <w:tcPr>
            <w:tcW w:w="247.55pt" w:type="dxa"/>
            <w:tcBorders>
              <w:start w:val="single" w:sz="4" w:space="0" w:color="000000"/>
            </w:tcBorders>
          </w:tcPr>
          <w:p w14:paraId="3E4FD750" w14:textId="77777777" w:rsidR="00265E7F" w:rsidRDefault="00265E7F">
            <w:pPr>
              <w:pStyle w:val="TableContents"/>
            </w:pPr>
          </w:p>
        </w:tc>
        <w:tc>
          <w:tcPr>
            <w:tcW w:w="247.55pt" w:type="dxa"/>
            <w:tcBorders>
              <w:start w:val="single" w:sz="4" w:space="0" w:color="000000"/>
            </w:tcBorders>
          </w:tcPr>
          <w:p w14:paraId="1803E6D1" w14:textId="77777777" w:rsidR="00265E7F" w:rsidRDefault="002809BD">
            <w:pPr>
              <w:pStyle w:val="TableContents"/>
            </w:pPr>
            <w:r>
              <w:rPr>
                <w:vertAlign w:val="superscript"/>
              </w:rPr>
              <w:t>1</w:t>
            </w:r>
            <w:r>
              <w:t xml:space="preserve"> Im verwaltungsgerichtlichen Verfahren sind die Bestimmungen der </w:t>
            </w:r>
            <w:proofErr w:type="gramStart"/>
            <w:r>
              <w:t>Schweizerischen</w:t>
            </w:r>
            <w:proofErr w:type="gramEnd"/>
            <w:r>
              <w:t xml:space="preserve"> Zivilprozessordnung über die elektronische Kommunikation und Aktenführung</w:t>
            </w:r>
            <w:r>
              <w:rPr>
                <w:rStyle w:val="Funotenzeichen"/>
              </w:rPr>
              <w:footnoteReference w:id="52"/>
            </w:r>
            <w:r>
              <w:rPr>
                <w:rStyle w:val="Funotenzeichen"/>
              </w:rPr>
              <w:t>)</w:t>
            </w:r>
            <w:r>
              <w:t xml:space="preserve"> anwendbar, soweit dieses Gesetz nichts anderes vorsieht.</w:t>
            </w:r>
          </w:p>
        </w:tc>
        <w:tc>
          <w:tcPr>
            <w:tcW w:w="247.60pt" w:type="dxa"/>
            <w:tcBorders>
              <w:start w:val="single" w:sz="4" w:space="0" w:color="000000"/>
              <w:end w:val="single" w:sz="4" w:space="0" w:color="000000"/>
            </w:tcBorders>
          </w:tcPr>
          <w:p w14:paraId="68BA8FBA" w14:textId="77777777" w:rsidR="00265E7F" w:rsidRDefault="00265E7F"/>
        </w:tc>
      </w:tr>
      <w:tr w:rsidR="00265E7F" w14:paraId="51C540F2" w14:textId="77777777">
        <w:trPr>
          <w:cantSplit/>
        </w:trPr>
        <w:tc>
          <w:tcPr>
            <w:tcW w:w="247.55pt" w:type="dxa"/>
            <w:tcBorders>
              <w:top w:val="single" w:sz="4" w:space="0" w:color="000000"/>
              <w:start w:val="single" w:sz="4" w:space="0" w:color="000000"/>
            </w:tcBorders>
          </w:tcPr>
          <w:p w14:paraId="30840F1B" w14:textId="77777777" w:rsidR="00265E7F" w:rsidRDefault="00265E7F">
            <w:pPr>
              <w:pStyle w:val="TableContents"/>
            </w:pPr>
          </w:p>
        </w:tc>
        <w:tc>
          <w:tcPr>
            <w:tcW w:w="247.55pt" w:type="dxa"/>
            <w:tcBorders>
              <w:top w:val="single" w:sz="4" w:space="0" w:color="000000"/>
              <w:start w:val="single" w:sz="4" w:space="0" w:color="000000"/>
            </w:tcBorders>
          </w:tcPr>
          <w:p w14:paraId="55443AAD" w14:textId="77777777" w:rsidR="00265E7F" w:rsidRDefault="002809BD">
            <w:pPr>
              <w:pStyle w:val="TableContents"/>
            </w:pPr>
            <w:r>
              <w:rPr>
                <w:b/>
                <w:bCs/>
              </w:rPr>
              <w:t>Art.  53b</w:t>
            </w:r>
            <w:r>
              <w:br/>
            </w:r>
            <w:r>
              <w:rPr>
                <w:sz w:val="14"/>
              </w:rPr>
              <w:t>Pflicht zur elektronischen Übermittlung</w:t>
            </w:r>
          </w:p>
        </w:tc>
        <w:tc>
          <w:tcPr>
            <w:tcW w:w="247.60pt" w:type="dxa"/>
            <w:tcBorders>
              <w:top w:val="single" w:sz="4" w:space="0" w:color="000000"/>
              <w:start w:val="single" w:sz="4" w:space="0" w:color="000000"/>
              <w:end w:val="single" w:sz="4" w:space="0" w:color="000000"/>
            </w:tcBorders>
          </w:tcPr>
          <w:p w14:paraId="358BDDB5" w14:textId="77777777" w:rsidR="00265E7F" w:rsidRDefault="00265E7F"/>
        </w:tc>
      </w:tr>
      <w:tr w:rsidR="00265E7F" w14:paraId="0D5852AD" w14:textId="77777777">
        <w:trPr>
          <w:cantSplit/>
        </w:trPr>
        <w:tc>
          <w:tcPr>
            <w:tcW w:w="247.55pt" w:type="dxa"/>
            <w:tcBorders>
              <w:start w:val="single" w:sz="4" w:space="0" w:color="000000"/>
            </w:tcBorders>
          </w:tcPr>
          <w:p w14:paraId="175955BD" w14:textId="77777777" w:rsidR="00265E7F" w:rsidRDefault="00265E7F">
            <w:pPr>
              <w:pStyle w:val="TableContents"/>
            </w:pPr>
          </w:p>
        </w:tc>
        <w:tc>
          <w:tcPr>
            <w:tcW w:w="247.55pt" w:type="dxa"/>
            <w:tcBorders>
              <w:start w:val="single" w:sz="4" w:space="0" w:color="000000"/>
            </w:tcBorders>
          </w:tcPr>
          <w:p w14:paraId="593AF49F" w14:textId="77777777" w:rsidR="00265E7F" w:rsidRDefault="002809BD">
            <w:pPr>
              <w:pStyle w:val="TableContents"/>
            </w:pPr>
            <w:r>
              <w:rPr>
                <w:vertAlign w:val="superscript"/>
              </w:rPr>
              <w:t>1</w:t>
            </w:r>
            <w:r>
              <w:t> Amtsstellen sowie berufsmässig handelnde Vertreterinnen und Vertreter müssen den Austausch von Dokumenten mit dem Gericht über die Plattform nach Art. 86a des Justizgesetzes</w:t>
            </w:r>
            <w:r>
              <w:rPr>
                <w:rStyle w:val="Funotenzeichen"/>
              </w:rPr>
              <w:footnoteReference w:id="53"/>
            </w:r>
            <w:r>
              <w:rPr>
                <w:rStyle w:val="Funotenzeichen"/>
              </w:rPr>
              <w:t>)</w:t>
            </w:r>
            <w:r>
              <w:t xml:space="preserve"> abwickeln. Ausgenommen sind Dokumente, die sich aus technischen Gründen nicht dafür eignen.</w:t>
            </w:r>
          </w:p>
        </w:tc>
        <w:tc>
          <w:tcPr>
            <w:tcW w:w="247.60pt" w:type="dxa"/>
            <w:tcBorders>
              <w:start w:val="single" w:sz="4" w:space="0" w:color="000000"/>
              <w:end w:val="single" w:sz="4" w:space="0" w:color="000000"/>
            </w:tcBorders>
          </w:tcPr>
          <w:p w14:paraId="45C7641C" w14:textId="77777777" w:rsidR="00265E7F" w:rsidRDefault="00265E7F"/>
        </w:tc>
      </w:tr>
      <w:tr w:rsidR="00265E7F" w14:paraId="42262677" w14:textId="77777777">
        <w:trPr>
          <w:cantSplit/>
        </w:trPr>
        <w:tc>
          <w:tcPr>
            <w:tcW w:w="247.55pt" w:type="dxa"/>
            <w:tcBorders>
              <w:start w:val="single" w:sz="4" w:space="0" w:color="000000"/>
            </w:tcBorders>
          </w:tcPr>
          <w:p w14:paraId="10687BC9" w14:textId="77777777" w:rsidR="00265E7F" w:rsidRDefault="00265E7F">
            <w:pPr>
              <w:pStyle w:val="TableContents"/>
            </w:pPr>
          </w:p>
        </w:tc>
        <w:tc>
          <w:tcPr>
            <w:tcW w:w="247.55pt" w:type="dxa"/>
            <w:tcBorders>
              <w:start w:val="single" w:sz="4" w:space="0" w:color="000000"/>
            </w:tcBorders>
          </w:tcPr>
          <w:p w14:paraId="136185B2" w14:textId="77777777" w:rsidR="00265E7F" w:rsidRDefault="002809BD">
            <w:pPr>
              <w:pStyle w:val="TableContents"/>
            </w:pPr>
            <w:r>
              <w:rPr>
                <w:vertAlign w:val="superscript"/>
              </w:rPr>
              <w:t>2</w:t>
            </w:r>
            <w:r>
              <w:t> Der Regierungsrat kann Ausnahmen für Amtsstellen vorsehen.</w:t>
            </w:r>
          </w:p>
        </w:tc>
        <w:tc>
          <w:tcPr>
            <w:tcW w:w="247.60pt" w:type="dxa"/>
            <w:tcBorders>
              <w:start w:val="single" w:sz="4" w:space="0" w:color="000000"/>
              <w:end w:val="single" w:sz="4" w:space="0" w:color="000000"/>
            </w:tcBorders>
          </w:tcPr>
          <w:p w14:paraId="1F52AF92" w14:textId="77777777" w:rsidR="00265E7F" w:rsidRDefault="00265E7F"/>
        </w:tc>
      </w:tr>
      <w:tr w:rsidR="00265E7F" w14:paraId="3114E673" w14:textId="77777777">
        <w:trPr>
          <w:cantSplit/>
        </w:trPr>
        <w:tc>
          <w:tcPr>
            <w:tcW w:w="247.55pt" w:type="dxa"/>
            <w:tcBorders>
              <w:top w:val="single" w:sz="4" w:space="0" w:color="000000"/>
              <w:start w:val="single" w:sz="4" w:space="0" w:color="000000"/>
            </w:tcBorders>
          </w:tcPr>
          <w:p w14:paraId="4C9E866F" w14:textId="77777777" w:rsidR="00265E7F" w:rsidRDefault="00265E7F">
            <w:pPr>
              <w:pStyle w:val="TableContents"/>
            </w:pPr>
          </w:p>
        </w:tc>
        <w:tc>
          <w:tcPr>
            <w:tcW w:w="247.55pt" w:type="dxa"/>
            <w:tcBorders>
              <w:top w:val="single" w:sz="4" w:space="0" w:color="000000"/>
              <w:start w:val="single" w:sz="4" w:space="0" w:color="000000"/>
            </w:tcBorders>
          </w:tcPr>
          <w:p w14:paraId="78983D0B" w14:textId="77777777" w:rsidR="00265E7F" w:rsidRDefault="002809BD">
            <w:pPr>
              <w:pStyle w:val="TableContents"/>
            </w:pPr>
            <w:r>
              <w:rPr>
                <w:b/>
                <w:bCs/>
              </w:rPr>
              <w:t>Art.  53c</w:t>
            </w:r>
            <w:r>
              <w:br/>
            </w:r>
            <w:r>
              <w:rPr>
                <w:sz w:val="14"/>
              </w:rPr>
              <w:t>Elektronische Kommunikation auf Verlangen der Partei</w:t>
            </w:r>
          </w:p>
        </w:tc>
        <w:tc>
          <w:tcPr>
            <w:tcW w:w="247.60pt" w:type="dxa"/>
            <w:tcBorders>
              <w:top w:val="single" w:sz="4" w:space="0" w:color="000000"/>
              <w:start w:val="single" w:sz="4" w:space="0" w:color="000000"/>
              <w:end w:val="single" w:sz="4" w:space="0" w:color="000000"/>
            </w:tcBorders>
          </w:tcPr>
          <w:p w14:paraId="036ABE58" w14:textId="77777777" w:rsidR="00265E7F" w:rsidRDefault="00265E7F"/>
        </w:tc>
      </w:tr>
      <w:tr w:rsidR="00265E7F" w14:paraId="2A721C03" w14:textId="77777777">
        <w:trPr>
          <w:cantSplit/>
        </w:trPr>
        <w:tc>
          <w:tcPr>
            <w:tcW w:w="247.55pt" w:type="dxa"/>
            <w:tcBorders>
              <w:start w:val="single" w:sz="4" w:space="0" w:color="000000"/>
            </w:tcBorders>
          </w:tcPr>
          <w:p w14:paraId="09D99143" w14:textId="77777777" w:rsidR="00265E7F" w:rsidRDefault="00265E7F">
            <w:pPr>
              <w:pStyle w:val="TableContents"/>
            </w:pPr>
          </w:p>
        </w:tc>
        <w:tc>
          <w:tcPr>
            <w:tcW w:w="247.55pt" w:type="dxa"/>
            <w:tcBorders>
              <w:start w:val="single" w:sz="4" w:space="0" w:color="000000"/>
            </w:tcBorders>
          </w:tcPr>
          <w:p w14:paraId="7AA675C0" w14:textId="77777777" w:rsidR="00265E7F" w:rsidRDefault="002809BD">
            <w:pPr>
              <w:pStyle w:val="TableContents"/>
            </w:pPr>
            <w:r>
              <w:rPr>
                <w:vertAlign w:val="superscript"/>
              </w:rPr>
              <w:t>1</w:t>
            </w:r>
            <w:r>
              <w:t> Eine nicht berufsmässig vertretene Partei kann verlangen, dass die Kommunikation mit ihr über die Plattform nach Art. 86a des Justizgesetzes</w:t>
            </w:r>
            <w:r>
              <w:rPr>
                <w:rStyle w:val="Funotenzeichen"/>
              </w:rPr>
              <w:footnoteReference w:id="54"/>
            </w:r>
            <w:r>
              <w:rPr>
                <w:rStyle w:val="Funotenzeichen"/>
              </w:rPr>
              <w:t>)</w:t>
            </w:r>
            <w:r>
              <w:t xml:space="preserve"> erfolgt, sofern sie in deren Adressverzeichnis eingetragen ist.</w:t>
            </w:r>
          </w:p>
        </w:tc>
        <w:tc>
          <w:tcPr>
            <w:tcW w:w="247.60pt" w:type="dxa"/>
            <w:tcBorders>
              <w:start w:val="single" w:sz="4" w:space="0" w:color="000000"/>
              <w:end w:val="single" w:sz="4" w:space="0" w:color="000000"/>
            </w:tcBorders>
          </w:tcPr>
          <w:p w14:paraId="5F0052B7" w14:textId="77777777" w:rsidR="00265E7F" w:rsidRDefault="00265E7F"/>
        </w:tc>
      </w:tr>
      <w:tr w:rsidR="00265E7F" w14:paraId="194ABD14" w14:textId="77777777">
        <w:trPr>
          <w:cantSplit/>
        </w:trPr>
        <w:tc>
          <w:tcPr>
            <w:tcW w:w="247.55pt" w:type="dxa"/>
            <w:tcBorders>
              <w:start w:val="single" w:sz="4" w:space="0" w:color="000000"/>
            </w:tcBorders>
          </w:tcPr>
          <w:p w14:paraId="76A95748" w14:textId="77777777" w:rsidR="00265E7F" w:rsidRDefault="00265E7F">
            <w:pPr>
              <w:pStyle w:val="TableContents"/>
            </w:pPr>
          </w:p>
        </w:tc>
        <w:tc>
          <w:tcPr>
            <w:tcW w:w="247.55pt" w:type="dxa"/>
            <w:tcBorders>
              <w:start w:val="single" w:sz="4" w:space="0" w:color="000000"/>
            </w:tcBorders>
          </w:tcPr>
          <w:p w14:paraId="59866E33" w14:textId="77777777" w:rsidR="00265E7F" w:rsidRDefault="002809BD">
            <w:pPr>
              <w:pStyle w:val="TableContents"/>
            </w:pPr>
            <w:r>
              <w:rPr>
                <w:vertAlign w:val="superscript"/>
              </w:rPr>
              <w:t>2</w:t>
            </w:r>
            <w:r>
              <w:t> Sie kann verlangen, dass der Verkehr nicht mehr elektronisch abgewickelt wird, sofern sie ein Zustelldomizil in der Schweiz bezeichnet.</w:t>
            </w:r>
          </w:p>
        </w:tc>
        <w:tc>
          <w:tcPr>
            <w:tcW w:w="247.60pt" w:type="dxa"/>
            <w:tcBorders>
              <w:start w:val="single" w:sz="4" w:space="0" w:color="000000"/>
              <w:end w:val="single" w:sz="4" w:space="0" w:color="000000"/>
            </w:tcBorders>
          </w:tcPr>
          <w:p w14:paraId="153E7CE9" w14:textId="77777777" w:rsidR="00265E7F" w:rsidRDefault="00265E7F"/>
        </w:tc>
      </w:tr>
      <w:tr w:rsidR="00265E7F" w14:paraId="1910835D" w14:textId="77777777">
        <w:trPr>
          <w:cantSplit/>
        </w:trPr>
        <w:tc>
          <w:tcPr>
            <w:tcW w:w="247.55pt" w:type="dxa"/>
            <w:tcBorders>
              <w:top w:val="single" w:sz="4" w:space="0" w:color="000000"/>
              <w:start w:val="single" w:sz="4" w:space="0" w:color="000000"/>
            </w:tcBorders>
          </w:tcPr>
          <w:p w14:paraId="63447836" w14:textId="77777777" w:rsidR="00265E7F" w:rsidRDefault="002809BD">
            <w:pPr>
              <w:pStyle w:val="TableContents"/>
            </w:pPr>
            <w:r>
              <w:rPr>
                <w:b/>
                <w:bCs/>
              </w:rPr>
              <w:t>Art.  55</w:t>
            </w:r>
            <w:r>
              <w:br/>
            </w:r>
            <w:r>
              <w:rPr>
                <w:sz w:val="14"/>
              </w:rPr>
              <w:t>Frist und Form</w:t>
            </w:r>
          </w:p>
        </w:tc>
        <w:tc>
          <w:tcPr>
            <w:tcW w:w="247.55pt" w:type="dxa"/>
            <w:tcBorders>
              <w:top w:val="single" w:sz="4" w:space="0" w:color="000000"/>
              <w:start w:val="single" w:sz="4" w:space="0" w:color="000000"/>
            </w:tcBorders>
          </w:tcPr>
          <w:p w14:paraId="54C4A88D"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17830982" w14:textId="77777777" w:rsidR="00265E7F" w:rsidRDefault="00265E7F"/>
        </w:tc>
      </w:tr>
      <w:tr w:rsidR="00265E7F" w14:paraId="4F2004C5" w14:textId="77777777">
        <w:trPr>
          <w:cantSplit/>
        </w:trPr>
        <w:tc>
          <w:tcPr>
            <w:tcW w:w="247.55pt" w:type="dxa"/>
            <w:tcBorders>
              <w:start w:val="single" w:sz="4" w:space="0" w:color="000000"/>
            </w:tcBorders>
          </w:tcPr>
          <w:p w14:paraId="298C5709" w14:textId="77777777" w:rsidR="00265E7F" w:rsidRDefault="002809BD">
            <w:pPr>
              <w:pStyle w:val="TableContents"/>
            </w:pPr>
            <w:r>
              <w:rPr>
                <w:vertAlign w:val="superscript"/>
              </w:rPr>
              <w:t>1</w:t>
            </w:r>
            <w:r>
              <w:t> Die Beschwerde ist schriftlich innert 30 Tagen beim Obergericht einzureichen.</w:t>
            </w:r>
          </w:p>
        </w:tc>
        <w:tc>
          <w:tcPr>
            <w:tcW w:w="247.55pt" w:type="dxa"/>
            <w:tcBorders>
              <w:start w:val="single" w:sz="4" w:space="0" w:color="000000"/>
            </w:tcBorders>
          </w:tcPr>
          <w:p w14:paraId="07F3BC5B" w14:textId="77777777" w:rsidR="00265E7F" w:rsidRDefault="002809BD">
            <w:pPr>
              <w:pStyle w:val="TableContents"/>
            </w:pPr>
            <w:r>
              <w:rPr>
                <w:vertAlign w:val="superscript"/>
              </w:rPr>
              <w:t>1</w:t>
            </w:r>
            <w:r>
              <w:t> Die Beschwerde ist innert 30 Tagen schriftlich oder elektronisch beim Obergericht einzureichen. Schriftliche Eingaben sind zu unterzeichnen.</w:t>
            </w:r>
          </w:p>
        </w:tc>
        <w:tc>
          <w:tcPr>
            <w:tcW w:w="247.60pt" w:type="dxa"/>
            <w:tcBorders>
              <w:start w:val="single" w:sz="4" w:space="0" w:color="000000"/>
              <w:end w:val="single" w:sz="4" w:space="0" w:color="000000"/>
            </w:tcBorders>
          </w:tcPr>
          <w:p w14:paraId="2C8D987F" w14:textId="77777777" w:rsidR="00265E7F" w:rsidRDefault="00265E7F"/>
        </w:tc>
      </w:tr>
      <w:tr w:rsidR="00265E7F" w14:paraId="7C6F045F" w14:textId="77777777">
        <w:trPr>
          <w:cantSplit/>
        </w:trPr>
        <w:tc>
          <w:tcPr>
            <w:tcW w:w="247.55pt" w:type="dxa"/>
            <w:tcBorders>
              <w:start w:val="single" w:sz="4" w:space="0" w:color="000000"/>
            </w:tcBorders>
          </w:tcPr>
          <w:p w14:paraId="1A63E218" w14:textId="77777777" w:rsidR="00265E7F" w:rsidRDefault="002809BD">
            <w:pPr>
              <w:pStyle w:val="TableContents"/>
            </w:pPr>
            <w:r>
              <w:rPr>
                <w:vertAlign w:val="superscript"/>
              </w:rPr>
              <w:t>2</w:t>
            </w:r>
            <w:r>
              <w:t> Die Beschwerde wegen Rechtsverweigerung oder Rechtsverzögerung ist an keine Frist gebunden.</w:t>
            </w:r>
          </w:p>
        </w:tc>
        <w:tc>
          <w:tcPr>
            <w:tcW w:w="247.55pt" w:type="dxa"/>
            <w:tcBorders>
              <w:start w:val="single" w:sz="4" w:space="0" w:color="000000"/>
            </w:tcBorders>
          </w:tcPr>
          <w:p w14:paraId="04E5751C" w14:textId="77777777" w:rsidR="00265E7F" w:rsidRDefault="00265E7F">
            <w:pPr>
              <w:pStyle w:val="TableContents"/>
            </w:pPr>
          </w:p>
        </w:tc>
        <w:tc>
          <w:tcPr>
            <w:tcW w:w="247.60pt" w:type="dxa"/>
            <w:tcBorders>
              <w:start w:val="single" w:sz="4" w:space="0" w:color="000000"/>
              <w:end w:val="single" w:sz="4" w:space="0" w:color="000000"/>
            </w:tcBorders>
          </w:tcPr>
          <w:p w14:paraId="71CA6419" w14:textId="77777777" w:rsidR="00265E7F" w:rsidRDefault="00265E7F"/>
        </w:tc>
      </w:tr>
      <w:tr w:rsidR="00265E7F" w14:paraId="14A46BC2" w14:textId="77777777">
        <w:trPr>
          <w:cantSplit/>
        </w:trPr>
        <w:tc>
          <w:tcPr>
            <w:tcW w:w="247.55pt" w:type="dxa"/>
            <w:tcBorders>
              <w:top w:val="single" w:sz="4" w:space="0" w:color="000000"/>
              <w:start w:val="single" w:sz="4" w:space="0" w:color="000000"/>
            </w:tcBorders>
          </w:tcPr>
          <w:p w14:paraId="4A07A2ED" w14:textId="77777777" w:rsidR="00265E7F" w:rsidRDefault="002809BD">
            <w:pPr>
              <w:pStyle w:val="TableContents"/>
            </w:pPr>
            <w:r>
              <w:rPr>
                <w:b/>
                <w:bCs/>
              </w:rPr>
              <w:t>Art.  58</w:t>
            </w:r>
            <w:r>
              <w:br/>
            </w:r>
            <w:r>
              <w:rPr>
                <w:sz w:val="14"/>
              </w:rPr>
              <w:t>Verfahren</w:t>
            </w:r>
          </w:p>
        </w:tc>
        <w:tc>
          <w:tcPr>
            <w:tcW w:w="247.55pt" w:type="dxa"/>
            <w:tcBorders>
              <w:top w:val="single" w:sz="4" w:space="0" w:color="000000"/>
              <w:start w:val="single" w:sz="4" w:space="0" w:color="000000"/>
            </w:tcBorders>
          </w:tcPr>
          <w:p w14:paraId="22024606"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4C452B8C" w14:textId="77777777" w:rsidR="00265E7F" w:rsidRDefault="00265E7F"/>
        </w:tc>
      </w:tr>
      <w:tr w:rsidR="00265E7F" w14:paraId="7E6AB2B8" w14:textId="77777777">
        <w:trPr>
          <w:cantSplit/>
        </w:trPr>
        <w:tc>
          <w:tcPr>
            <w:tcW w:w="247.55pt" w:type="dxa"/>
            <w:tcBorders>
              <w:start w:val="single" w:sz="4" w:space="0" w:color="000000"/>
            </w:tcBorders>
          </w:tcPr>
          <w:p w14:paraId="02C6B969" w14:textId="77777777" w:rsidR="00265E7F" w:rsidRDefault="002809BD">
            <w:pPr>
              <w:pStyle w:val="TableContents"/>
            </w:pPr>
            <w:r>
              <w:rPr>
                <w:vertAlign w:val="superscript"/>
              </w:rPr>
              <w:t>1</w:t>
            </w:r>
            <w:r>
              <w:t> Klagen sind ohne Schlichtungsversuch schriftlich einzureichen.</w:t>
            </w:r>
          </w:p>
        </w:tc>
        <w:tc>
          <w:tcPr>
            <w:tcW w:w="247.55pt" w:type="dxa"/>
            <w:tcBorders>
              <w:start w:val="single" w:sz="4" w:space="0" w:color="000000"/>
            </w:tcBorders>
          </w:tcPr>
          <w:p w14:paraId="1CC3B302" w14:textId="77777777" w:rsidR="00265E7F" w:rsidRDefault="002809BD">
            <w:pPr>
              <w:pStyle w:val="TableContents"/>
            </w:pPr>
            <w:r>
              <w:rPr>
                <w:vertAlign w:val="superscript"/>
              </w:rPr>
              <w:t>1</w:t>
            </w:r>
            <w:r>
              <w:t> Klagen sind ohne Schlichtungsversuch schriftlich oder elektronisch beim Obergericht einzureichen. Schriftliche Eingaben sind zu unterzeichnen.</w:t>
            </w:r>
          </w:p>
        </w:tc>
        <w:tc>
          <w:tcPr>
            <w:tcW w:w="247.60pt" w:type="dxa"/>
            <w:tcBorders>
              <w:start w:val="single" w:sz="4" w:space="0" w:color="000000"/>
              <w:end w:val="single" w:sz="4" w:space="0" w:color="000000"/>
            </w:tcBorders>
          </w:tcPr>
          <w:p w14:paraId="1AB7209C" w14:textId="77777777" w:rsidR="00265E7F" w:rsidRDefault="00265E7F"/>
        </w:tc>
      </w:tr>
      <w:tr w:rsidR="00265E7F" w14:paraId="5C03199A" w14:textId="77777777">
        <w:trPr>
          <w:cantSplit/>
        </w:trPr>
        <w:tc>
          <w:tcPr>
            <w:tcW w:w="247.55pt" w:type="dxa"/>
            <w:tcBorders>
              <w:start w:val="single" w:sz="4" w:space="0" w:color="000000"/>
            </w:tcBorders>
          </w:tcPr>
          <w:p w14:paraId="5E5749EF" w14:textId="77777777" w:rsidR="00265E7F" w:rsidRDefault="002809BD">
            <w:pPr>
              <w:pStyle w:val="TableContents"/>
            </w:pPr>
            <w:r>
              <w:rPr>
                <w:vertAlign w:val="superscript"/>
              </w:rPr>
              <w:t>2</w:t>
            </w:r>
            <w:r>
              <w:t> Das Obergericht ermittelt den Sachverhalt. Es ist an die Anträge gebunden.</w:t>
            </w:r>
          </w:p>
        </w:tc>
        <w:tc>
          <w:tcPr>
            <w:tcW w:w="247.55pt" w:type="dxa"/>
            <w:tcBorders>
              <w:start w:val="single" w:sz="4" w:space="0" w:color="000000"/>
            </w:tcBorders>
          </w:tcPr>
          <w:p w14:paraId="55BC30DC" w14:textId="77777777" w:rsidR="00265E7F" w:rsidRDefault="00265E7F">
            <w:pPr>
              <w:pStyle w:val="TableContents"/>
            </w:pPr>
          </w:p>
        </w:tc>
        <w:tc>
          <w:tcPr>
            <w:tcW w:w="247.60pt" w:type="dxa"/>
            <w:tcBorders>
              <w:start w:val="single" w:sz="4" w:space="0" w:color="000000"/>
              <w:end w:val="single" w:sz="4" w:space="0" w:color="000000"/>
            </w:tcBorders>
          </w:tcPr>
          <w:p w14:paraId="2FAB5C5D" w14:textId="77777777" w:rsidR="00265E7F" w:rsidRDefault="00265E7F"/>
        </w:tc>
      </w:tr>
      <w:tr w:rsidR="00265E7F" w14:paraId="5E8EB243" w14:textId="77777777">
        <w:trPr>
          <w:cantSplit/>
        </w:trPr>
        <w:tc>
          <w:tcPr>
            <w:tcW w:w="247.55pt" w:type="dxa"/>
            <w:tcBorders>
              <w:top w:val="single" w:sz="4" w:space="0" w:color="000000"/>
              <w:start w:val="single" w:sz="4" w:space="0" w:color="000000"/>
            </w:tcBorders>
          </w:tcPr>
          <w:p w14:paraId="7DF9FD29" w14:textId="77777777" w:rsidR="00265E7F" w:rsidRDefault="002809BD">
            <w:pPr>
              <w:pStyle w:val="TableContents"/>
            </w:pPr>
            <w:r>
              <w:rPr>
                <w:b/>
                <w:bCs/>
              </w:rPr>
              <w:lastRenderedPageBreak/>
              <w:t>Art.  59</w:t>
            </w:r>
            <w:r>
              <w:br/>
            </w:r>
          </w:p>
        </w:tc>
        <w:tc>
          <w:tcPr>
            <w:tcW w:w="247.55pt" w:type="dxa"/>
            <w:tcBorders>
              <w:top w:val="single" w:sz="4" w:space="0" w:color="000000"/>
              <w:start w:val="single" w:sz="4" w:space="0" w:color="000000"/>
            </w:tcBorders>
          </w:tcPr>
          <w:p w14:paraId="7A721463"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05851BF8" w14:textId="77777777" w:rsidR="00265E7F" w:rsidRDefault="00265E7F"/>
        </w:tc>
      </w:tr>
      <w:tr w:rsidR="00265E7F" w14:paraId="3D3DDFF0" w14:textId="77777777">
        <w:trPr>
          <w:cantSplit/>
        </w:trPr>
        <w:tc>
          <w:tcPr>
            <w:tcW w:w="247.55pt" w:type="dxa"/>
            <w:tcBorders>
              <w:start w:val="single" w:sz="4" w:space="0" w:color="000000"/>
            </w:tcBorders>
          </w:tcPr>
          <w:p w14:paraId="2359A4E2" w14:textId="77777777" w:rsidR="00265E7F" w:rsidRDefault="002809BD">
            <w:pPr>
              <w:pStyle w:val="TableContents"/>
            </w:pPr>
            <w:r>
              <w:rPr>
                <w:vertAlign w:val="superscript"/>
              </w:rPr>
              <w:t>1</w:t>
            </w:r>
            <w:r>
              <w:t> </w:t>
            </w:r>
            <w:proofErr w:type="gramStart"/>
            <w:r>
              <w:t>Soweit</w:t>
            </w:r>
            <w:proofErr w:type="gramEnd"/>
            <w:r>
              <w:t xml:space="preserve"> besondere Bestimmungen fehlen, sind für die Verwaltungsgerichtsbeschwerde und die verwaltungsgerichtliche Klage die Vorschriften über den Rekurs (Art. 30–41) sowie die Artikel 1–26, 28 und 29 sinngemäss anwendbar.</w:t>
            </w:r>
          </w:p>
        </w:tc>
        <w:tc>
          <w:tcPr>
            <w:tcW w:w="247.55pt" w:type="dxa"/>
            <w:tcBorders>
              <w:start w:val="single" w:sz="4" w:space="0" w:color="000000"/>
            </w:tcBorders>
          </w:tcPr>
          <w:p w14:paraId="41174533" w14:textId="77777777" w:rsidR="00265E7F" w:rsidRDefault="00265E7F">
            <w:pPr>
              <w:pStyle w:val="TableContents"/>
            </w:pPr>
          </w:p>
        </w:tc>
        <w:tc>
          <w:tcPr>
            <w:tcW w:w="247.60pt" w:type="dxa"/>
            <w:tcBorders>
              <w:start w:val="single" w:sz="4" w:space="0" w:color="000000"/>
              <w:end w:val="single" w:sz="4" w:space="0" w:color="000000"/>
            </w:tcBorders>
          </w:tcPr>
          <w:p w14:paraId="34C679DD" w14:textId="77777777" w:rsidR="00265E7F" w:rsidRDefault="00265E7F"/>
        </w:tc>
      </w:tr>
      <w:tr w:rsidR="00265E7F" w14:paraId="2FB6B4E2" w14:textId="77777777">
        <w:trPr>
          <w:cantSplit/>
        </w:trPr>
        <w:tc>
          <w:tcPr>
            <w:tcW w:w="247.55pt" w:type="dxa"/>
            <w:tcBorders>
              <w:start w:val="single" w:sz="4" w:space="0" w:color="000000"/>
            </w:tcBorders>
          </w:tcPr>
          <w:p w14:paraId="09C4CD10" w14:textId="77777777" w:rsidR="00265E7F" w:rsidRDefault="002809BD">
            <w:pPr>
              <w:pStyle w:val="TableContents"/>
            </w:pPr>
            <w:r>
              <w:rPr>
                <w:vertAlign w:val="superscript"/>
              </w:rPr>
              <w:t>2</w:t>
            </w:r>
            <w:r>
              <w:t xml:space="preserve"> Der elektronische Geschäftsverkehr richtet sich nach den Bestimmungen der </w:t>
            </w:r>
            <w:proofErr w:type="gramStart"/>
            <w:r>
              <w:t>Schweizerischen</w:t>
            </w:r>
            <w:proofErr w:type="gramEnd"/>
            <w:r>
              <w:t xml:space="preserve"> Zivilprozessordnung.</w:t>
            </w:r>
            <w:r>
              <w:rPr>
                <w:rStyle w:val="Funotenzeichen"/>
              </w:rPr>
              <w:footnoteReference w:id="55"/>
            </w:r>
            <w:r>
              <w:rPr>
                <w:rStyle w:val="Funotenzeichen"/>
              </w:rPr>
              <w:t>)</w:t>
            </w:r>
          </w:p>
        </w:tc>
        <w:tc>
          <w:tcPr>
            <w:tcW w:w="247.55pt" w:type="dxa"/>
            <w:tcBorders>
              <w:start w:val="single" w:sz="4" w:space="0" w:color="000000"/>
            </w:tcBorders>
          </w:tcPr>
          <w:p w14:paraId="5DFB8E3E" w14:textId="77777777" w:rsidR="00265E7F" w:rsidRDefault="002809BD">
            <w:pPr>
              <w:pStyle w:val="TableContents"/>
            </w:pPr>
            <w:r>
              <w:rPr>
                <w:vertAlign w:val="superscript"/>
              </w:rPr>
              <w:t>2</w:t>
            </w:r>
            <w:r>
              <w:t> </w:t>
            </w:r>
            <w:r>
              <w:rPr>
                <w:i/>
                <w:iCs/>
              </w:rPr>
              <w:t>Aufgehoben.</w:t>
            </w:r>
          </w:p>
        </w:tc>
        <w:tc>
          <w:tcPr>
            <w:tcW w:w="247.60pt" w:type="dxa"/>
            <w:tcBorders>
              <w:start w:val="single" w:sz="4" w:space="0" w:color="000000"/>
              <w:end w:val="single" w:sz="4" w:space="0" w:color="000000"/>
            </w:tcBorders>
          </w:tcPr>
          <w:p w14:paraId="168CB98B" w14:textId="77777777" w:rsidR="00265E7F" w:rsidRDefault="00265E7F"/>
        </w:tc>
      </w:tr>
      <w:tr w:rsidR="00265E7F" w14:paraId="5B6989A1" w14:textId="77777777">
        <w:tc>
          <w:tcPr>
            <w:tcW w:w="247.55pt" w:type="dxa"/>
            <w:tcBorders>
              <w:top w:val="single" w:sz="4" w:space="0" w:color="000000"/>
              <w:start w:val="single" w:sz="4" w:space="0" w:color="000000"/>
            </w:tcBorders>
            <w:shd w:val="clear" w:color="auto" w:fill="FFFFFF"/>
          </w:tcPr>
          <w:p w14:paraId="0F45FC19" w14:textId="77777777" w:rsidR="00265E7F" w:rsidRDefault="00265E7F"/>
        </w:tc>
        <w:tc>
          <w:tcPr>
            <w:tcW w:w="247.55pt" w:type="dxa"/>
            <w:tcBorders>
              <w:top w:val="single" w:sz="4" w:space="0" w:color="000000"/>
              <w:start w:val="single" w:sz="4" w:space="0" w:color="000000"/>
            </w:tcBorders>
            <w:shd w:val="clear" w:color="auto" w:fill="FFFFFF"/>
          </w:tcPr>
          <w:p w14:paraId="0AE51531" w14:textId="77777777" w:rsidR="00265E7F" w:rsidRDefault="002809BD">
            <w:pPr>
              <w:keepNext/>
            </w:pPr>
            <w:r>
              <w:rPr>
                <w:b/>
              </w:rPr>
              <w:t>3.</w:t>
            </w:r>
          </w:p>
          <w:p w14:paraId="116A9E91" w14:textId="77777777" w:rsidR="00265E7F" w:rsidRDefault="002809BD">
            <w:pPr>
              <w:pStyle w:val="Nebenzitat"/>
            </w:pPr>
            <w:r>
              <w:t xml:space="preserve">Der Erlass «Gesetz über die Ausübung des Anwaltsberufes (Anwaltsgesetz; </w:t>
            </w:r>
            <w:proofErr w:type="spellStart"/>
            <w:r>
              <w:t>bGS</w:t>
            </w:r>
            <w:proofErr w:type="spellEnd"/>
            <w:r>
              <w:t xml:space="preserve"> </w:t>
            </w:r>
            <w:hyperlink r:id="rId9" w:history="1">
              <w:r w:rsidR="00265E7F">
                <w:rPr>
                  <w:rStyle w:val="Hyperlink"/>
                </w:rPr>
                <w:t>145.52</w:t>
              </w:r>
            </w:hyperlink>
            <w:r>
              <w:t>) vom 11. April 2005 (Stand 1. Januar 2022)» wird wie folgt geändert:</w:t>
            </w:r>
          </w:p>
        </w:tc>
        <w:tc>
          <w:tcPr>
            <w:tcW w:w="247.60pt" w:type="dxa"/>
            <w:tcBorders>
              <w:top w:val="single" w:sz="4" w:space="0" w:color="000000"/>
              <w:start w:val="single" w:sz="4" w:space="0" w:color="000000"/>
              <w:end w:val="single" w:sz="4" w:space="0" w:color="000000"/>
            </w:tcBorders>
            <w:shd w:val="clear" w:color="auto" w:fill="FFFFFF"/>
          </w:tcPr>
          <w:p w14:paraId="4251E922" w14:textId="77777777" w:rsidR="00265E7F" w:rsidRDefault="00265E7F"/>
        </w:tc>
      </w:tr>
      <w:tr w:rsidR="00265E7F" w14:paraId="24452EEA" w14:textId="77777777">
        <w:trPr>
          <w:cantSplit/>
        </w:trPr>
        <w:tc>
          <w:tcPr>
            <w:tcW w:w="247.55pt" w:type="dxa"/>
            <w:tcBorders>
              <w:top w:val="single" w:sz="4" w:space="0" w:color="000000"/>
              <w:start w:val="single" w:sz="4" w:space="0" w:color="000000"/>
            </w:tcBorders>
          </w:tcPr>
          <w:p w14:paraId="7AD1BBE1" w14:textId="77777777" w:rsidR="00265E7F" w:rsidRDefault="002809BD">
            <w:pPr>
              <w:pStyle w:val="TableContents"/>
            </w:pPr>
            <w:r>
              <w:rPr>
                <w:b/>
                <w:bCs/>
              </w:rPr>
              <w:t>Art.  4</w:t>
            </w:r>
            <w:r>
              <w:br/>
            </w:r>
            <w:r>
              <w:rPr>
                <w:sz w:val="14"/>
              </w:rPr>
              <w:t>Prüfungskommission</w:t>
            </w:r>
            <w:r>
              <w:rPr>
                <w:sz w:val="14"/>
              </w:rPr>
              <w:br/>
              <w:t>a) Wahl</w:t>
            </w:r>
          </w:p>
        </w:tc>
        <w:tc>
          <w:tcPr>
            <w:tcW w:w="247.55pt" w:type="dxa"/>
            <w:tcBorders>
              <w:top w:val="single" w:sz="4" w:space="0" w:color="000000"/>
              <w:start w:val="single" w:sz="4" w:space="0" w:color="000000"/>
            </w:tcBorders>
          </w:tcPr>
          <w:p w14:paraId="5B219123"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1C9C2DC" w14:textId="77777777" w:rsidR="00265E7F" w:rsidRDefault="00265E7F"/>
        </w:tc>
      </w:tr>
      <w:tr w:rsidR="00265E7F" w14:paraId="485EB8E9" w14:textId="77777777">
        <w:trPr>
          <w:cantSplit/>
        </w:trPr>
        <w:tc>
          <w:tcPr>
            <w:tcW w:w="247.55pt" w:type="dxa"/>
            <w:tcBorders>
              <w:start w:val="single" w:sz="4" w:space="0" w:color="000000"/>
            </w:tcBorders>
          </w:tcPr>
          <w:p w14:paraId="0D259B4E" w14:textId="77777777" w:rsidR="00265E7F" w:rsidRDefault="002809BD">
            <w:pPr>
              <w:pStyle w:val="TableContents"/>
            </w:pPr>
            <w:r>
              <w:rPr>
                <w:vertAlign w:val="superscript"/>
              </w:rPr>
              <w:t>1</w:t>
            </w:r>
            <w:r>
              <w:t> Die Prüfungskommission besteht aus fünf Mitgliedern sowie mindestens drei Ersatzmitgliedern, die vom Obergericht jeweils für eine Amtsdauer von vier Jahren gewählt werden.</w:t>
            </w:r>
          </w:p>
        </w:tc>
        <w:tc>
          <w:tcPr>
            <w:tcW w:w="247.55pt" w:type="dxa"/>
            <w:tcBorders>
              <w:start w:val="single" w:sz="4" w:space="0" w:color="000000"/>
            </w:tcBorders>
          </w:tcPr>
          <w:p w14:paraId="76C3C012" w14:textId="77777777" w:rsidR="00265E7F" w:rsidRDefault="00265E7F">
            <w:pPr>
              <w:pStyle w:val="TableContents"/>
            </w:pPr>
          </w:p>
        </w:tc>
        <w:tc>
          <w:tcPr>
            <w:tcW w:w="247.60pt" w:type="dxa"/>
            <w:tcBorders>
              <w:start w:val="single" w:sz="4" w:space="0" w:color="000000"/>
              <w:end w:val="single" w:sz="4" w:space="0" w:color="000000"/>
            </w:tcBorders>
          </w:tcPr>
          <w:p w14:paraId="4EAC7058" w14:textId="77777777" w:rsidR="00265E7F" w:rsidRDefault="00265E7F"/>
        </w:tc>
      </w:tr>
      <w:tr w:rsidR="00265E7F" w14:paraId="0C451124" w14:textId="77777777">
        <w:trPr>
          <w:cantSplit/>
        </w:trPr>
        <w:tc>
          <w:tcPr>
            <w:tcW w:w="247.55pt" w:type="dxa"/>
            <w:tcBorders>
              <w:start w:val="single" w:sz="4" w:space="0" w:color="000000"/>
            </w:tcBorders>
          </w:tcPr>
          <w:p w14:paraId="74E88D6C" w14:textId="77777777" w:rsidR="00265E7F" w:rsidRDefault="002809BD">
            <w:pPr>
              <w:pStyle w:val="TableContents"/>
            </w:pPr>
            <w:r>
              <w:rPr>
                <w:vertAlign w:val="superscript"/>
              </w:rPr>
              <w:t>2</w:t>
            </w:r>
            <w:r>
              <w:t> </w:t>
            </w:r>
            <w:proofErr w:type="gramStart"/>
            <w:r>
              <w:t>Mindestens</w:t>
            </w:r>
            <w:proofErr w:type="gramEnd"/>
            <w:r>
              <w:t xml:space="preserve"> zwei Mitglieder der Prüfungskommission sind in einem kantonalen Register eingetragene und im Kanton wohnhafte Anwältinnen oder Anwälte. Dem kantonalen Anwaltsverband steht ein Antragsrecht für diese Mitglieder zuhanden des Obergerichts zu.</w:t>
            </w:r>
          </w:p>
        </w:tc>
        <w:tc>
          <w:tcPr>
            <w:tcW w:w="247.55pt" w:type="dxa"/>
            <w:tcBorders>
              <w:start w:val="single" w:sz="4" w:space="0" w:color="000000"/>
            </w:tcBorders>
          </w:tcPr>
          <w:p w14:paraId="18864CB7" w14:textId="77777777" w:rsidR="00265E7F" w:rsidRDefault="002809BD">
            <w:pPr>
              <w:pStyle w:val="TableContents"/>
            </w:pPr>
            <w:r>
              <w:rPr>
                <w:vertAlign w:val="superscript"/>
              </w:rPr>
              <w:t>2</w:t>
            </w:r>
            <w:r>
              <w:t> </w:t>
            </w:r>
            <w:proofErr w:type="gramStart"/>
            <w:r>
              <w:t>Mindestens</w:t>
            </w:r>
            <w:proofErr w:type="gramEnd"/>
            <w:r>
              <w:t xml:space="preserve"> zwei Mitglieder der Prüfungskommission sind in einem kantonalen Register eingetragene Anwältinnen oder Anwälte. Dem kantonalen Anwaltsverband steht ein Antragsrecht für diese Mitglieder zuhanden des Obergerichts zu.</w:t>
            </w:r>
          </w:p>
        </w:tc>
        <w:tc>
          <w:tcPr>
            <w:tcW w:w="247.60pt" w:type="dxa"/>
            <w:tcBorders>
              <w:start w:val="single" w:sz="4" w:space="0" w:color="000000"/>
              <w:end w:val="single" w:sz="4" w:space="0" w:color="000000"/>
            </w:tcBorders>
          </w:tcPr>
          <w:p w14:paraId="7339D248" w14:textId="77777777" w:rsidR="00265E7F" w:rsidRDefault="00265E7F"/>
        </w:tc>
      </w:tr>
      <w:tr w:rsidR="00265E7F" w14:paraId="2C66C504" w14:textId="77777777">
        <w:trPr>
          <w:cantSplit/>
        </w:trPr>
        <w:tc>
          <w:tcPr>
            <w:tcW w:w="247.55pt" w:type="dxa"/>
            <w:tcBorders>
              <w:start w:val="single" w:sz="4" w:space="0" w:color="000000"/>
            </w:tcBorders>
          </w:tcPr>
          <w:p w14:paraId="50AF44A7" w14:textId="77777777" w:rsidR="00265E7F" w:rsidRDefault="002809BD">
            <w:pPr>
              <w:pStyle w:val="TableContents"/>
            </w:pPr>
            <w:r>
              <w:rPr>
                <w:vertAlign w:val="superscript"/>
              </w:rPr>
              <w:lastRenderedPageBreak/>
              <w:t>3</w:t>
            </w:r>
            <w:r>
              <w:t xml:space="preserve"> Für sie sind die </w:t>
            </w:r>
            <w:proofErr w:type="spellStart"/>
            <w:r>
              <w:t>Ausstandsgründe</w:t>
            </w:r>
            <w:proofErr w:type="spellEnd"/>
            <w:r>
              <w:t xml:space="preserve"> des Gesetzes über die Verwaltungsrechtspflege sinngemäss anwendbar.</w:t>
            </w:r>
            <w:r>
              <w:rPr>
                <w:rStyle w:val="Funotenzeichen"/>
              </w:rPr>
              <w:footnoteReference w:id="56"/>
            </w:r>
            <w:r>
              <w:rPr>
                <w:rStyle w:val="Funotenzeichen"/>
              </w:rPr>
              <w:t>)</w:t>
            </w:r>
          </w:p>
        </w:tc>
        <w:tc>
          <w:tcPr>
            <w:tcW w:w="247.55pt" w:type="dxa"/>
            <w:tcBorders>
              <w:start w:val="single" w:sz="4" w:space="0" w:color="000000"/>
            </w:tcBorders>
          </w:tcPr>
          <w:p w14:paraId="6EE9ABCF" w14:textId="77777777" w:rsidR="00265E7F" w:rsidRDefault="00265E7F">
            <w:pPr>
              <w:pStyle w:val="TableContents"/>
            </w:pPr>
          </w:p>
        </w:tc>
        <w:tc>
          <w:tcPr>
            <w:tcW w:w="247.60pt" w:type="dxa"/>
            <w:tcBorders>
              <w:start w:val="single" w:sz="4" w:space="0" w:color="000000"/>
              <w:end w:val="single" w:sz="4" w:space="0" w:color="000000"/>
            </w:tcBorders>
          </w:tcPr>
          <w:p w14:paraId="157108AE" w14:textId="77777777" w:rsidR="00265E7F" w:rsidRDefault="00265E7F"/>
        </w:tc>
      </w:tr>
      <w:tr w:rsidR="00265E7F" w14:paraId="15AF5038" w14:textId="77777777">
        <w:trPr>
          <w:cantSplit/>
        </w:trPr>
        <w:tc>
          <w:tcPr>
            <w:tcW w:w="247.55pt" w:type="dxa"/>
            <w:tcBorders>
              <w:top w:val="single" w:sz="4" w:space="0" w:color="000000"/>
              <w:start w:val="single" w:sz="4" w:space="0" w:color="000000"/>
            </w:tcBorders>
          </w:tcPr>
          <w:p w14:paraId="7DA10111" w14:textId="77777777" w:rsidR="00265E7F" w:rsidRDefault="002809BD">
            <w:pPr>
              <w:pStyle w:val="TableContents"/>
            </w:pPr>
            <w:r>
              <w:rPr>
                <w:b/>
                <w:bCs/>
              </w:rPr>
              <w:t>Art.  7</w:t>
            </w:r>
            <w:r>
              <w:br/>
            </w:r>
            <w:r>
              <w:rPr>
                <w:sz w:val="14"/>
              </w:rPr>
              <w:t>b) Wahl</w:t>
            </w:r>
          </w:p>
        </w:tc>
        <w:tc>
          <w:tcPr>
            <w:tcW w:w="247.55pt" w:type="dxa"/>
            <w:tcBorders>
              <w:top w:val="single" w:sz="4" w:space="0" w:color="000000"/>
              <w:start w:val="single" w:sz="4" w:space="0" w:color="000000"/>
            </w:tcBorders>
          </w:tcPr>
          <w:p w14:paraId="24B2E87B"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E8D8189" w14:textId="77777777" w:rsidR="00265E7F" w:rsidRDefault="00265E7F"/>
        </w:tc>
      </w:tr>
      <w:tr w:rsidR="00265E7F" w14:paraId="34558FA4" w14:textId="77777777">
        <w:trPr>
          <w:cantSplit/>
        </w:trPr>
        <w:tc>
          <w:tcPr>
            <w:tcW w:w="247.55pt" w:type="dxa"/>
            <w:tcBorders>
              <w:start w:val="single" w:sz="4" w:space="0" w:color="000000"/>
            </w:tcBorders>
          </w:tcPr>
          <w:p w14:paraId="01A53A1B" w14:textId="77777777" w:rsidR="00265E7F" w:rsidRDefault="002809BD">
            <w:pPr>
              <w:pStyle w:val="TableContents"/>
            </w:pPr>
            <w:r>
              <w:rPr>
                <w:vertAlign w:val="superscript"/>
              </w:rPr>
              <w:t>1</w:t>
            </w:r>
            <w:r>
              <w:t> Die Aufsichtskommission besteht aus fünf Mitgliedern sowie mindestens drei Ersatzmitgliedern, die vom Obergericht jeweils für eine Amtsdauer von vier Jahren gewählt werden.</w:t>
            </w:r>
          </w:p>
        </w:tc>
        <w:tc>
          <w:tcPr>
            <w:tcW w:w="247.55pt" w:type="dxa"/>
            <w:tcBorders>
              <w:start w:val="single" w:sz="4" w:space="0" w:color="000000"/>
            </w:tcBorders>
          </w:tcPr>
          <w:p w14:paraId="3AB2D568" w14:textId="77777777" w:rsidR="00265E7F" w:rsidRDefault="00265E7F">
            <w:pPr>
              <w:pStyle w:val="TableContents"/>
            </w:pPr>
          </w:p>
        </w:tc>
        <w:tc>
          <w:tcPr>
            <w:tcW w:w="247.60pt" w:type="dxa"/>
            <w:tcBorders>
              <w:start w:val="single" w:sz="4" w:space="0" w:color="000000"/>
              <w:end w:val="single" w:sz="4" w:space="0" w:color="000000"/>
            </w:tcBorders>
          </w:tcPr>
          <w:p w14:paraId="79B1C814" w14:textId="77777777" w:rsidR="00265E7F" w:rsidRDefault="00265E7F"/>
        </w:tc>
      </w:tr>
      <w:tr w:rsidR="00265E7F" w14:paraId="0324189C" w14:textId="77777777">
        <w:trPr>
          <w:cantSplit/>
        </w:trPr>
        <w:tc>
          <w:tcPr>
            <w:tcW w:w="247.55pt" w:type="dxa"/>
            <w:tcBorders>
              <w:start w:val="single" w:sz="4" w:space="0" w:color="000000"/>
            </w:tcBorders>
          </w:tcPr>
          <w:p w14:paraId="51746177" w14:textId="77777777" w:rsidR="00265E7F" w:rsidRDefault="002809BD">
            <w:pPr>
              <w:pStyle w:val="TableContents"/>
            </w:pPr>
            <w:r>
              <w:rPr>
                <w:vertAlign w:val="superscript"/>
              </w:rPr>
              <w:t>2</w:t>
            </w:r>
            <w:r>
              <w:t> </w:t>
            </w:r>
            <w:proofErr w:type="gramStart"/>
            <w:r>
              <w:t>Mindestens</w:t>
            </w:r>
            <w:proofErr w:type="gramEnd"/>
            <w:r>
              <w:t xml:space="preserve"> zwei Mitglieder der Aufsichtskommission sind in einem kantonalen Register eingetragene und im Kanton wohnhafte Anwältinnen oder Anwälte. Dem kantonalen Anwaltsverband steht ein Antragsrecht für diese Mitglieder zuhanden des Obergerichts zu.</w:t>
            </w:r>
          </w:p>
        </w:tc>
        <w:tc>
          <w:tcPr>
            <w:tcW w:w="247.55pt" w:type="dxa"/>
            <w:tcBorders>
              <w:start w:val="single" w:sz="4" w:space="0" w:color="000000"/>
            </w:tcBorders>
          </w:tcPr>
          <w:p w14:paraId="78CBF8BB" w14:textId="77777777" w:rsidR="00265E7F" w:rsidRDefault="002809BD">
            <w:pPr>
              <w:pStyle w:val="TableContents"/>
            </w:pPr>
            <w:r>
              <w:rPr>
                <w:vertAlign w:val="superscript"/>
              </w:rPr>
              <w:t>2</w:t>
            </w:r>
            <w:r>
              <w:t> </w:t>
            </w:r>
            <w:proofErr w:type="gramStart"/>
            <w:r>
              <w:t>Mindestens</w:t>
            </w:r>
            <w:proofErr w:type="gramEnd"/>
            <w:r>
              <w:t xml:space="preserve"> zwei Mitglieder der Aufsichtskommission sind in einem kantonalen Register eingetragene Anwältinnen oder Anwälte. Dem kantonalen Anwaltsverband steht ein Antragsrecht für diese Mitglieder zuhanden des Obergerichts zu.</w:t>
            </w:r>
          </w:p>
        </w:tc>
        <w:tc>
          <w:tcPr>
            <w:tcW w:w="247.60pt" w:type="dxa"/>
            <w:tcBorders>
              <w:start w:val="single" w:sz="4" w:space="0" w:color="000000"/>
              <w:end w:val="single" w:sz="4" w:space="0" w:color="000000"/>
            </w:tcBorders>
          </w:tcPr>
          <w:p w14:paraId="44120A5B" w14:textId="77777777" w:rsidR="00265E7F" w:rsidRDefault="00265E7F"/>
        </w:tc>
      </w:tr>
      <w:tr w:rsidR="00265E7F" w14:paraId="6FABDFC5" w14:textId="77777777">
        <w:trPr>
          <w:cantSplit/>
        </w:trPr>
        <w:tc>
          <w:tcPr>
            <w:tcW w:w="247.55pt" w:type="dxa"/>
            <w:tcBorders>
              <w:start w:val="single" w:sz="4" w:space="0" w:color="000000"/>
            </w:tcBorders>
          </w:tcPr>
          <w:p w14:paraId="1AD0BA18" w14:textId="77777777" w:rsidR="00265E7F" w:rsidRDefault="002809BD">
            <w:pPr>
              <w:pStyle w:val="TableContents"/>
            </w:pPr>
            <w:r>
              <w:rPr>
                <w:vertAlign w:val="superscript"/>
              </w:rPr>
              <w:t>3</w:t>
            </w:r>
            <w:r>
              <w:t xml:space="preserve"> Für sie sind die </w:t>
            </w:r>
            <w:proofErr w:type="spellStart"/>
            <w:r>
              <w:t>Ausstandsgründe</w:t>
            </w:r>
            <w:proofErr w:type="spellEnd"/>
            <w:r>
              <w:t xml:space="preserve"> des Gesetzes über die Verwaltungsrechtspflege sinngemäss anwendbar.</w:t>
            </w:r>
            <w:r>
              <w:rPr>
                <w:rStyle w:val="Funotenzeichen"/>
              </w:rPr>
              <w:footnoteReference w:id="57"/>
            </w:r>
            <w:r>
              <w:rPr>
                <w:rStyle w:val="Funotenzeichen"/>
              </w:rPr>
              <w:t>)</w:t>
            </w:r>
          </w:p>
        </w:tc>
        <w:tc>
          <w:tcPr>
            <w:tcW w:w="247.55pt" w:type="dxa"/>
            <w:tcBorders>
              <w:start w:val="single" w:sz="4" w:space="0" w:color="000000"/>
            </w:tcBorders>
          </w:tcPr>
          <w:p w14:paraId="547FDEA5" w14:textId="77777777" w:rsidR="00265E7F" w:rsidRDefault="00265E7F">
            <w:pPr>
              <w:pStyle w:val="TableContents"/>
            </w:pPr>
          </w:p>
        </w:tc>
        <w:tc>
          <w:tcPr>
            <w:tcW w:w="247.60pt" w:type="dxa"/>
            <w:tcBorders>
              <w:start w:val="single" w:sz="4" w:space="0" w:color="000000"/>
              <w:end w:val="single" w:sz="4" w:space="0" w:color="000000"/>
            </w:tcBorders>
          </w:tcPr>
          <w:p w14:paraId="488D4C10" w14:textId="77777777" w:rsidR="00265E7F" w:rsidRDefault="00265E7F"/>
        </w:tc>
      </w:tr>
      <w:tr w:rsidR="00265E7F" w14:paraId="388BA2AB" w14:textId="77777777">
        <w:tc>
          <w:tcPr>
            <w:tcW w:w="247.55pt" w:type="dxa"/>
            <w:tcBorders>
              <w:top w:val="single" w:sz="4" w:space="0" w:color="000000"/>
              <w:start w:val="single" w:sz="4" w:space="0" w:color="000000"/>
            </w:tcBorders>
            <w:shd w:val="clear" w:color="auto" w:fill="FFFFFF"/>
          </w:tcPr>
          <w:p w14:paraId="2FB4803A" w14:textId="77777777" w:rsidR="00265E7F" w:rsidRDefault="00265E7F"/>
        </w:tc>
        <w:tc>
          <w:tcPr>
            <w:tcW w:w="247.55pt" w:type="dxa"/>
            <w:tcBorders>
              <w:top w:val="single" w:sz="4" w:space="0" w:color="000000"/>
              <w:start w:val="single" w:sz="4" w:space="0" w:color="000000"/>
            </w:tcBorders>
            <w:shd w:val="clear" w:color="auto" w:fill="FFFFFF"/>
          </w:tcPr>
          <w:p w14:paraId="3AA80E0F" w14:textId="77777777" w:rsidR="00265E7F" w:rsidRDefault="002809BD">
            <w:pPr>
              <w:keepNext/>
            </w:pPr>
            <w:r>
              <w:rPr>
                <w:b/>
              </w:rPr>
              <w:t>4.</w:t>
            </w:r>
          </w:p>
          <w:p w14:paraId="5C3018E2" w14:textId="77777777" w:rsidR="00265E7F" w:rsidRDefault="002809BD">
            <w:pPr>
              <w:pStyle w:val="Nebenzitat"/>
            </w:pPr>
            <w:r>
              <w:t>Der Erlass «Verordnung zum Bundesgesetz über das bäuerliche Bodenrecht (</w:t>
            </w:r>
            <w:proofErr w:type="spellStart"/>
            <w:r>
              <w:t>bGS</w:t>
            </w:r>
            <w:proofErr w:type="spellEnd"/>
            <w:r>
              <w:t xml:space="preserve"> </w:t>
            </w:r>
            <w:hyperlink r:id="rId10" w:history="1">
              <w:r w:rsidR="00265E7F">
                <w:rPr>
                  <w:rStyle w:val="Hyperlink"/>
                </w:rPr>
                <w:t>213.113</w:t>
              </w:r>
            </w:hyperlink>
            <w:r>
              <w:t>) vom 6. Dezember 1993 (Stand 1. Januar 2017)» wird wie folgt geändert:</w:t>
            </w:r>
          </w:p>
        </w:tc>
        <w:tc>
          <w:tcPr>
            <w:tcW w:w="247.60pt" w:type="dxa"/>
            <w:tcBorders>
              <w:top w:val="single" w:sz="4" w:space="0" w:color="000000"/>
              <w:start w:val="single" w:sz="4" w:space="0" w:color="000000"/>
              <w:end w:val="single" w:sz="4" w:space="0" w:color="000000"/>
            </w:tcBorders>
            <w:shd w:val="clear" w:color="auto" w:fill="FFFFFF"/>
          </w:tcPr>
          <w:p w14:paraId="3C378239" w14:textId="77777777" w:rsidR="00265E7F" w:rsidRDefault="00265E7F"/>
        </w:tc>
      </w:tr>
      <w:tr w:rsidR="00265E7F" w14:paraId="1B29584B" w14:textId="77777777">
        <w:trPr>
          <w:cantSplit/>
        </w:trPr>
        <w:tc>
          <w:tcPr>
            <w:tcW w:w="247.55pt" w:type="dxa"/>
            <w:tcBorders>
              <w:top w:val="single" w:sz="4" w:space="0" w:color="000000"/>
              <w:start w:val="single" w:sz="4" w:space="0" w:color="000000"/>
            </w:tcBorders>
          </w:tcPr>
          <w:p w14:paraId="5FEC4B6B" w14:textId="77777777" w:rsidR="00265E7F" w:rsidRDefault="002809BD">
            <w:pPr>
              <w:pStyle w:val="TableContents"/>
            </w:pPr>
            <w:r>
              <w:rPr>
                <w:b/>
                <w:bCs/>
              </w:rPr>
              <w:t>Art.  7a</w:t>
            </w:r>
            <w:r>
              <w:br/>
            </w:r>
          </w:p>
        </w:tc>
        <w:tc>
          <w:tcPr>
            <w:tcW w:w="247.55pt" w:type="dxa"/>
            <w:tcBorders>
              <w:top w:val="single" w:sz="4" w:space="0" w:color="000000"/>
              <w:start w:val="single" w:sz="4" w:space="0" w:color="000000"/>
            </w:tcBorders>
          </w:tcPr>
          <w:p w14:paraId="071624C9"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778DEF7C" w14:textId="77777777" w:rsidR="00265E7F" w:rsidRDefault="00265E7F"/>
        </w:tc>
      </w:tr>
      <w:tr w:rsidR="00265E7F" w14:paraId="20D999C3" w14:textId="77777777">
        <w:trPr>
          <w:cantSplit/>
        </w:trPr>
        <w:tc>
          <w:tcPr>
            <w:tcW w:w="247.55pt" w:type="dxa"/>
            <w:tcBorders>
              <w:start w:val="single" w:sz="4" w:space="0" w:color="000000"/>
            </w:tcBorders>
          </w:tcPr>
          <w:p w14:paraId="1C2CEC9F" w14:textId="77777777" w:rsidR="00265E7F" w:rsidRDefault="002809BD">
            <w:pPr>
              <w:pStyle w:val="TableContents"/>
            </w:pPr>
            <w:r>
              <w:rPr>
                <w:vertAlign w:val="superscript"/>
              </w:rPr>
              <w:lastRenderedPageBreak/>
              <w:t>1</w:t>
            </w:r>
            <w:r>
              <w:t> Der Einzelrichter oder die Einzelrichterin des Kantonsgerichts beurteilt Begehren betreffend Ermächtigung zur Veräusserung eines landwirtschaftlichen Gewerbes oder eines Miteigentumsanteils davon (Art. 40 Abs. 2 BGBB).</w:t>
            </w:r>
          </w:p>
        </w:tc>
        <w:tc>
          <w:tcPr>
            <w:tcW w:w="247.55pt" w:type="dxa"/>
            <w:tcBorders>
              <w:start w:val="single" w:sz="4" w:space="0" w:color="000000"/>
            </w:tcBorders>
          </w:tcPr>
          <w:p w14:paraId="027E4C28" w14:textId="77777777" w:rsidR="00265E7F" w:rsidRDefault="002809BD">
            <w:pPr>
              <w:pStyle w:val="TableContents"/>
            </w:pPr>
            <w:r>
              <w:rPr>
                <w:vertAlign w:val="superscript"/>
              </w:rPr>
              <w:t>1</w:t>
            </w:r>
            <w:r>
              <w:t> </w:t>
            </w:r>
            <w:r>
              <w:rPr>
                <w:i/>
                <w:iCs/>
              </w:rPr>
              <w:t>Aufgehoben.</w:t>
            </w:r>
          </w:p>
        </w:tc>
        <w:tc>
          <w:tcPr>
            <w:tcW w:w="247.60pt" w:type="dxa"/>
            <w:tcBorders>
              <w:start w:val="single" w:sz="4" w:space="0" w:color="000000"/>
              <w:end w:val="single" w:sz="4" w:space="0" w:color="000000"/>
            </w:tcBorders>
          </w:tcPr>
          <w:p w14:paraId="423C5D71" w14:textId="77777777" w:rsidR="00265E7F" w:rsidRDefault="00265E7F"/>
        </w:tc>
      </w:tr>
      <w:tr w:rsidR="00265E7F" w14:paraId="3FB72C9E" w14:textId="77777777">
        <w:tc>
          <w:tcPr>
            <w:tcW w:w="247.55pt" w:type="dxa"/>
            <w:tcBorders>
              <w:top w:val="single" w:sz="4" w:space="0" w:color="000000"/>
              <w:start w:val="single" w:sz="4" w:space="0" w:color="000000"/>
            </w:tcBorders>
            <w:shd w:val="clear" w:color="auto" w:fill="FFFFFF"/>
          </w:tcPr>
          <w:p w14:paraId="56EC92EC" w14:textId="77777777" w:rsidR="00265E7F" w:rsidRDefault="00265E7F"/>
        </w:tc>
        <w:tc>
          <w:tcPr>
            <w:tcW w:w="247.55pt" w:type="dxa"/>
            <w:tcBorders>
              <w:top w:val="single" w:sz="4" w:space="0" w:color="000000"/>
              <w:start w:val="single" w:sz="4" w:space="0" w:color="000000"/>
            </w:tcBorders>
            <w:shd w:val="clear" w:color="auto" w:fill="FFFFFF"/>
          </w:tcPr>
          <w:p w14:paraId="4CCD53B5" w14:textId="77777777" w:rsidR="00265E7F" w:rsidRDefault="002809BD">
            <w:pPr>
              <w:keepNext/>
            </w:pPr>
            <w:r>
              <w:rPr>
                <w:b/>
              </w:rPr>
              <w:t>5.</w:t>
            </w:r>
          </w:p>
          <w:p w14:paraId="7C1116C6" w14:textId="77777777" w:rsidR="00265E7F" w:rsidRDefault="002809BD">
            <w:pPr>
              <w:pStyle w:val="Nebenzitat"/>
            </w:pPr>
            <w:r>
              <w:t>Der Erlass «Gesetz über das kantonale Strafrecht (</w:t>
            </w:r>
            <w:proofErr w:type="spellStart"/>
            <w:r>
              <w:t>bGS</w:t>
            </w:r>
            <w:proofErr w:type="spellEnd"/>
            <w:r>
              <w:t xml:space="preserve"> </w:t>
            </w:r>
            <w:hyperlink r:id="rId11" w:history="1">
              <w:r w:rsidR="00265E7F">
                <w:rPr>
                  <w:rStyle w:val="Hyperlink"/>
                </w:rPr>
                <w:t>311</w:t>
              </w:r>
            </w:hyperlink>
            <w:r>
              <w:t>) vom 25. April 1982 (Stand 1. Januar 2011)» wird wie folgt geändert:</w:t>
            </w:r>
          </w:p>
        </w:tc>
        <w:tc>
          <w:tcPr>
            <w:tcW w:w="247.60pt" w:type="dxa"/>
            <w:tcBorders>
              <w:top w:val="single" w:sz="4" w:space="0" w:color="000000"/>
              <w:start w:val="single" w:sz="4" w:space="0" w:color="000000"/>
              <w:end w:val="single" w:sz="4" w:space="0" w:color="000000"/>
            </w:tcBorders>
            <w:shd w:val="clear" w:color="auto" w:fill="FFFFFF"/>
          </w:tcPr>
          <w:p w14:paraId="36A3A9D5" w14:textId="77777777" w:rsidR="00265E7F" w:rsidRDefault="00265E7F"/>
        </w:tc>
      </w:tr>
      <w:tr w:rsidR="00265E7F" w14:paraId="4DF81A2B" w14:textId="77777777">
        <w:trPr>
          <w:cantSplit/>
        </w:trPr>
        <w:tc>
          <w:tcPr>
            <w:tcW w:w="247.55pt" w:type="dxa"/>
            <w:tcBorders>
              <w:top w:val="single" w:sz="4" w:space="0" w:color="000000"/>
              <w:start w:val="single" w:sz="4" w:space="0" w:color="000000"/>
            </w:tcBorders>
          </w:tcPr>
          <w:p w14:paraId="713773E0" w14:textId="77777777" w:rsidR="00265E7F" w:rsidRDefault="002809BD">
            <w:pPr>
              <w:pStyle w:val="TableContents"/>
            </w:pPr>
            <w:r>
              <w:rPr>
                <w:b/>
                <w:bCs/>
              </w:rPr>
              <w:t>Art.  6</w:t>
            </w:r>
            <w:r>
              <w:br/>
            </w:r>
            <w:r>
              <w:rPr>
                <w:sz w:val="14"/>
              </w:rPr>
              <w:t>Befugnis der Gemeinden</w:t>
            </w:r>
          </w:p>
        </w:tc>
        <w:tc>
          <w:tcPr>
            <w:tcW w:w="247.55pt" w:type="dxa"/>
            <w:tcBorders>
              <w:top w:val="single" w:sz="4" w:space="0" w:color="000000"/>
              <w:start w:val="single" w:sz="4" w:space="0" w:color="000000"/>
            </w:tcBorders>
          </w:tcPr>
          <w:p w14:paraId="77654757"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036ED543" w14:textId="77777777" w:rsidR="00265E7F" w:rsidRDefault="00265E7F"/>
        </w:tc>
      </w:tr>
      <w:tr w:rsidR="00265E7F" w14:paraId="5BF76573" w14:textId="77777777">
        <w:trPr>
          <w:cantSplit/>
        </w:trPr>
        <w:tc>
          <w:tcPr>
            <w:tcW w:w="247.55pt" w:type="dxa"/>
            <w:tcBorders>
              <w:start w:val="single" w:sz="4" w:space="0" w:color="000000"/>
            </w:tcBorders>
          </w:tcPr>
          <w:p w14:paraId="4210D19E" w14:textId="77777777" w:rsidR="00265E7F" w:rsidRDefault="002809BD">
            <w:pPr>
              <w:pStyle w:val="TableContents"/>
            </w:pPr>
            <w:r>
              <w:rPr>
                <w:vertAlign w:val="superscript"/>
              </w:rPr>
              <w:t>1</w:t>
            </w:r>
            <w:r>
              <w:t> Die Gemeinden sind befugt, zur Durchsetzung der von ihnen erlassenen Reglemente und Verordnungen Bussen anzudrohen.</w:t>
            </w:r>
          </w:p>
        </w:tc>
        <w:tc>
          <w:tcPr>
            <w:tcW w:w="247.55pt" w:type="dxa"/>
            <w:tcBorders>
              <w:start w:val="single" w:sz="4" w:space="0" w:color="000000"/>
            </w:tcBorders>
          </w:tcPr>
          <w:p w14:paraId="1A4666C1" w14:textId="77777777" w:rsidR="00265E7F" w:rsidRDefault="00265E7F">
            <w:pPr>
              <w:pStyle w:val="TableContents"/>
            </w:pPr>
          </w:p>
        </w:tc>
        <w:tc>
          <w:tcPr>
            <w:tcW w:w="247.60pt" w:type="dxa"/>
            <w:tcBorders>
              <w:start w:val="single" w:sz="4" w:space="0" w:color="000000"/>
              <w:end w:val="single" w:sz="4" w:space="0" w:color="000000"/>
            </w:tcBorders>
          </w:tcPr>
          <w:p w14:paraId="19E0B11D" w14:textId="77777777" w:rsidR="00265E7F" w:rsidRDefault="00265E7F"/>
        </w:tc>
      </w:tr>
      <w:tr w:rsidR="00265E7F" w14:paraId="703FD666" w14:textId="77777777">
        <w:trPr>
          <w:cantSplit/>
        </w:trPr>
        <w:tc>
          <w:tcPr>
            <w:tcW w:w="247.55pt" w:type="dxa"/>
            <w:tcBorders>
              <w:start w:val="single" w:sz="4" w:space="0" w:color="000000"/>
            </w:tcBorders>
          </w:tcPr>
          <w:p w14:paraId="3CFBC44B" w14:textId="77777777" w:rsidR="00265E7F" w:rsidRDefault="002809BD">
            <w:pPr>
              <w:pStyle w:val="TableContents"/>
            </w:pPr>
            <w:r>
              <w:rPr>
                <w:vertAlign w:val="superscript"/>
              </w:rPr>
              <w:t>2</w:t>
            </w:r>
            <w:r>
              <w:t xml:space="preserve"> Für die Anwendung solcher Bestimmungen gelten die Vorschriften dieses Gesetzes und der </w:t>
            </w:r>
            <w:proofErr w:type="gramStart"/>
            <w:r>
              <w:t>Schweizerischen</w:t>
            </w:r>
            <w:proofErr w:type="gramEnd"/>
            <w:r>
              <w:t xml:space="preserve"> Strafprozessordnung</w:t>
            </w:r>
            <w:r>
              <w:rPr>
                <w:rStyle w:val="Funotenzeichen"/>
              </w:rPr>
              <w:footnoteReference w:id="58"/>
            </w:r>
            <w:r>
              <w:rPr>
                <w:rStyle w:val="Funotenzeichen"/>
              </w:rPr>
              <w:t>)</w:t>
            </w:r>
            <w:r>
              <w:t>. Zuwiderhandlungen werden nur auf Anzeige der Gemeindebehörden verfolgt.</w:t>
            </w:r>
          </w:p>
        </w:tc>
        <w:tc>
          <w:tcPr>
            <w:tcW w:w="247.55pt" w:type="dxa"/>
            <w:tcBorders>
              <w:start w:val="single" w:sz="4" w:space="0" w:color="000000"/>
            </w:tcBorders>
          </w:tcPr>
          <w:p w14:paraId="21A65115" w14:textId="77777777" w:rsidR="00265E7F" w:rsidRDefault="002809BD">
            <w:pPr>
              <w:pStyle w:val="TableContents"/>
            </w:pPr>
            <w:r>
              <w:rPr>
                <w:vertAlign w:val="superscript"/>
              </w:rPr>
              <w:t>2</w:t>
            </w:r>
            <w:r>
              <w:t> Für die Anwendung solcher Bestimmungen gelten die Vorschriften dieses Gesetzes. Zuwiderhandlungen werden nur auf Anzeige der Gemeindebehörden verfolgt.</w:t>
            </w:r>
          </w:p>
        </w:tc>
        <w:tc>
          <w:tcPr>
            <w:tcW w:w="247.60pt" w:type="dxa"/>
            <w:tcBorders>
              <w:start w:val="single" w:sz="4" w:space="0" w:color="000000"/>
              <w:end w:val="single" w:sz="4" w:space="0" w:color="000000"/>
            </w:tcBorders>
          </w:tcPr>
          <w:p w14:paraId="04815252" w14:textId="77777777" w:rsidR="00265E7F" w:rsidRDefault="00265E7F"/>
        </w:tc>
      </w:tr>
      <w:tr w:rsidR="00265E7F" w14:paraId="12FC49C1" w14:textId="77777777">
        <w:trPr>
          <w:cantSplit/>
        </w:trPr>
        <w:tc>
          <w:tcPr>
            <w:tcW w:w="247.55pt" w:type="dxa"/>
            <w:tcBorders>
              <w:top w:val="single" w:sz="4" w:space="0" w:color="000000"/>
              <w:start w:val="single" w:sz="4" w:space="0" w:color="000000"/>
            </w:tcBorders>
          </w:tcPr>
          <w:p w14:paraId="5C10F340" w14:textId="77777777" w:rsidR="00265E7F" w:rsidRDefault="00265E7F">
            <w:pPr>
              <w:pStyle w:val="TableContents"/>
            </w:pPr>
          </w:p>
        </w:tc>
        <w:tc>
          <w:tcPr>
            <w:tcW w:w="247.55pt" w:type="dxa"/>
            <w:tcBorders>
              <w:top w:val="single" w:sz="4" w:space="0" w:color="000000"/>
              <w:start w:val="single" w:sz="4" w:space="0" w:color="000000"/>
            </w:tcBorders>
          </w:tcPr>
          <w:p w14:paraId="1150C32E" w14:textId="77777777" w:rsidR="00265E7F" w:rsidRDefault="002809BD">
            <w:pPr>
              <w:pStyle w:val="TableContents"/>
            </w:pPr>
            <w:r>
              <w:rPr>
                <w:b/>
                <w:bCs/>
              </w:rPr>
              <w:t>Art.  8a</w:t>
            </w:r>
            <w:r>
              <w:br/>
            </w:r>
            <w:r>
              <w:rPr>
                <w:sz w:val="14"/>
              </w:rPr>
              <w:t>Anwendbares Verfahrensrecht</w:t>
            </w:r>
          </w:p>
        </w:tc>
        <w:tc>
          <w:tcPr>
            <w:tcW w:w="247.60pt" w:type="dxa"/>
            <w:tcBorders>
              <w:top w:val="single" w:sz="4" w:space="0" w:color="000000"/>
              <w:start w:val="single" w:sz="4" w:space="0" w:color="000000"/>
              <w:end w:val="single" w:sz="4" w:space="0" w:color="000000"/>
            </w:tcBorders>
          </w:tcPr>
          <w:p w14:paraId="625C88E3" w14:textId="77777777" w:rsidR="00265E7F" w:rsidRDefault="00265E7F"/>
        </w:tc>
      </w:tr>
      <w:tr w:rsidR="00265E7F" w14:paraId="123CA93A" w14:textId="77777777">
        <w:trPr>
          <w:cantSplit/>
        </w:trPr>
        <w:tc>
          <w:tcPr>
            <w:tcW w:w="247.55pt" w:type="dxa"/>
            <w:tcBorders>
              <w:start w:val="single" w:sz="4" w:space="0" w:color="000000"/>
            </w:tcBorders>
          </w:tcPr>
          <w:p w14:paraId="73A62A0E" w14:textId="77777777" w:rsidR="00265E7F" w:rsidRDefault="00265E7F">
            <w:pPr>
              <w:pStyle w:val="TableContents"/>
            </w:pPr>
          </w:p>
        </w:tc>
        <w:tc>
          <w:tcPr>
            <w:tcW w:w="247.55pt" w:type="dxa"/>
            <w:tcBorders>
              <w:start w:val="single" w:sz="4" w:space="0" w:color="000000"/>
            </w:tcBorders>
          </w:tcPr>
          <w:p w14:paraId="48A85D16" w14:textId="77777777" w:rsidR="00265E7F" w:rsidRDefault="002809BD">
            <w:pPr>
              <w:pStyle w:val="TableContents"/>
            </w:pPr>
            <w:r>
              <w:rPr>
                <w:vertAlign w:val="superscript"/>
              </w:rPr>
              <w:t>1</w:t>
            </w:r>
            <w:r>
              <w:t xml:space="preserve"> Auf die Verfolgung und Beurteilung von Straftaten des kantonalen Rechts und des Gemeinderechts sind die Bestimmungen der </w:t>
            </w:r>
            <w:proofErr w:type="gramStart"/>
            <w:r>
              <w:t>Schweizerischen</w:t>
            </w:r>
            <w:proofErr w:type="gramEnd"/>
            <w:r>
              <w:t xml:space="preserve"> Strafprozessordnung</w:t>
            </w:r>
            <w:r>
              <w:rPr>
                <w:rStyle w:val="Funotenzeichen"/>
              </w:rPr>
              <w:footnoteReference w:id="59"/>
            </w:r>
            <w:r>
              <w:rPr>
                <w:rStyle w:val="Funotenzeichen"/>
              </w:rPr>
              <w:t>)</w:t>
            </w:r>
            <w:r>
              <w:t xml:space="preserve"> und der Jugendstrafprozessordnung</w:t>
            </w:r>
            <w:r>
              <w:rPr>
                <w:rStyle w:val="Funotenzeichen"/>
              </w:rPr>
              <w:footnoteReference w:id="60"/>
            </w:r>
            <w:r>
              <w:rPr>
                <w:rStyle w:val="Funotenzeichen"/>
              </w:rPr>
              <w:t>)</w:t>
            </w:r>
            <w:r>
              <w:t xml:space="preserve"> anwendbar.</w:t>
            </w:r>
          </w:p>
        </w:tc>
        <w:tc>
          <w:tcPr>
            <w:tcW w:w="247.60pt" w:type="dxa"/>
            <w:tcBorders>
              <w:start w:val="single" w:sz="4" w:space="0" w:color="000000"/>
              <w:end w:val="single" w:sz="4" w:space="0" w:color="000000"/>
            </w:tcBorders>
          </w:tcPr>
          <w:p w14:paraId="7E07F486" w14:textId="77777777" w:rsidR="00265E7F" w:rsidRDefault="00265E7F"/>
        </w:tc>
      </w:tr>
      <w:tr w:rsidR="00265E7F" w14:paraId="4CD2F97E" w14:textId="77777777">
        <w:trPr>
          <w:cantSplit/>
        </w:trPr>
        <w:tc>
          <w:tcPr>
            <w:tcW w:w="247.55pt" w:type="dxa"/>
            <w:tcBorders>
              <w:start w:val="single" w:sz="4" w:space="0" w:color="000000"/>
            </w:tcBorders>
          </w:tcPr>
          <w:p w14:paraId="3C34C2F4" w14:textId="77777777" w:rsidR="00265E7F" w:rsidRDefault="00265E7F">
            <w:pPr>
              <w:pStyle w:val="TableContents"/>
            </w:pPr>
          </w:p>
        </w:tc>
        <w:tc>
          <w:tcPr>
            <w:tcW w:w="247.55pt" w:type="dxa"/>
            <w:tcBorders>
              <w:start w:val="single" w:sz="4" w:space="0" w:color="000000"/>
            </w:tcBorders>
          </w:tcPr>
          <w:p w14:paraId="4F27DCE9" w14:textId="77777777" w:rsidR="00265E7F" w:rsidRDefault="002809BD">
            <w:pPr>
              <w:pStyle w:val="TableContents"/>
            </w:pPr>
            <w:r>
              <w:rPr>
                <w:vertAlign w:val="superscript"/>
              </w:rPr>
              <w:t>2</w:t>
            </w:r>
            <w:r>
              <w:t> Die Organisation der Strafrechtspflege richtet sich nach dem Justizgesetz</w:t>
            </w:r>
            <w:r>
              <w:rPr>
                <w:rStyle w:val="Funotenzeichen"/>
              </w:rPr>
              <w:footnoteReference w:id="61"/>
            </w:r>
            <w:r>
              <w:rPr>
                <w:rStyle w:val="Funotenzeichen"/>
              </w:rPr>
              <w:t>)</w:t>
            </w:r>
            <w:r>
              <w:t>.</w:t>
            </w:r>
          </w:p>
        </w:tc>
        <w:tc>
          <w:tcPr>
            <w:tcW w:w="247.60pt" w:type="dxa"/>
            <w:tcBorders>
              <w:start w:val="single" w:sz="4" w:space="0" w:color="000000"/>
              <w:end w:val="single" w:sz="4" w:space="0" w:color="000000"/>
            </w:tcBorders>
          </w:tcPr>
          <w:p w14:paraId="4752C16B" w14:textId="77777777" w:rsidR="00265E7F" w:rsidRDefault="00265E7F"/>
        </w:tc>
      </w:tr>
      <w:tr w:rsidR="00265E7F" w14:paraId="7B08A742" w14:textId="77777777">
        <w:tc>
          <w:tcPr>
            <w:tcW w:w="247.55pt" w:type="dxa"/>
            <w:tcBorders>
              <w:top w:val="single" w:sz="4" w:space="0" w:color="000000"/>
              <w:start w:val="single" w:sz="4" w:space="0" w:color="000000"/>
            </w:tcBorders>
            <w:shd w:val="clear" w:color="auto" w:fill="FFFFFF"/>
          </w:tcPr>
          <w:p w14:paraId="54BA2586" w14:textId="77777777" w:rsidR="00265E7F" w:rsidRDefault="00265E7F"/>
        </w:tc>
        <w:tc>
          <w:tcPr>
            <w:tcW w:w="247.55pt" w:type="dxa"/>
            <w:tcBorders>
              <w:top w:val="single" w:sz="4" w:space="0" w:color="000000"/>
              <w:start w:val="single" w:sz="4" w:space="0" w:color="000000"/>
            </w:tcBorders>
            <w:shd w:val="clear" w:color="auto" w:fill="FFFFFF"/>
          </w:tcPr>
          <w:p w14:paraId="043E5BDA" w14:textId="77777777" w:rsidR="00265E7F" w:rsidRDefault="002809BD">
            <w:pPr>
              <w:keepNext/>
            </w:pPr>
            <w:r>
              <w:rPr>
                <w:b/>
              </w:rPr>
              <w:t>6.</w:t>
            </w:r>
          </w:p>
          <w:p w14:paraId="67566953" w14:textId="77777777" w:rsidR="00265E7F" w:rsidRDefault="002809BD">
            <w:pPr>
              <w:pStyle w:val="Nebenzitat"/>
            </w:pPr>
            <w:r>
              <w:t xml:space="preserve">Der Erlass «Gesetz über den Justizvollzug (JVG; </w:t>
            </w:r>
            <w:proofErr w:type="spellStart"/>
            <w:r>
              <w:t>bGS</w:t>
            </w:r>
            <w:proofErr w:type="spellEnd"/>
            <w:r>
              <w:t xml:space="preserve"> </w:t>
            </w:r>
            <w:hyperlink r:id="rId12" w:history="1">
              <w:r w:rsidR="00265E7F">
                <w:rPr>
                  <w:rStyle w:val="Hyperlink"/>
                </w:rPr>
                <w:t>341.1</w:t>
              </w:r>
            </w:hyperlink>
            <w:r>
              <w:t>) vom 22. September 2014 (Stand 1. Januar 2015)» wird wie folgt geändert:</w:t>
            </w:r>
          </w:p>
        </w:tc>
        <w:tc>
          <w:tcPr>
            <w:tcW w:w="247.60pt" w:type="dxa"/>
            <w:tcBorders>
              <w:top w:val="single" w:sz="4" w:space="0" w:color="000000"/>
              <w:start w:val="single" w:sz="4" w:space="0" w:color="000000"/>
              <w:end w:val="single" w:sz="4" w:space="0" w:color="000000"/>
            </w:tcBorders>
            <w:shd w:val="clear" w:color="auto" w:fill="FFFFFF"/>
          </w:tcPr>
          <w:p w14:paraId="791378A7" w14:textId="77777777" w:rsidR="00265E7F" w:rsidRDefault="00265E7F"/>
        </w:tc>
      </w:tr>
      <w:tr w:rsidR="00265E7F" w14:paraId="159AAF55" w14:textId="77777777">
        <w:trPr>
          <w:cantSplit/>
        </w:trPr>
        <w:tc>
          <w:tcPr>
            <w:tcW w:w="247.55pt" w:type="dxa"/>
            <w:tcBorders>
              <w:top w:val="single" w:sz="4" w:space="0" w:color="000000"/>
              <w:start w:val="single" w:sz="4" w:space="0" w:color="000000"/>
            </w:tcBorders>
          </w:tcPr>
          <w:p w14:paraId="16059447" w14:textId="77777777" w:rsidR="00265E7F" w:rsidRDefault="002809BD">
            <w:pPr>
              <w:pStyle w:val="TableContents"/>
            </w:pPr>
            <w:r>
              <w:rPr>
                <w:b/>
                <w:bCs/>
              </w:rPr>
              <w:t>Art.  6</w:t>
            </w:r>
            <w:r>
              <w:br/>
            </w:r>
            <w:r>
              <w:rPr>
                <w:sz w:val="14"/>
              </w:rPr>
              <w:t>Datenaustausch unter Behörden und Vollzugseinrichtungen</w:t>
            </w:r>
          </w:p>
        </w:tc>
        <w:tc>
          <w:tcPr>
            <w:tcW w:w="247.55pt" w:type="dxa"/>
            <w:tcBorders>
              <w:top w:val="single" w:sz="4" w:space="0" w:color="000000"/>
              <w:start w:val="single" w:sz="4" w:space="0" w:color="000000"/>
            </w:tcBorders>
          </w:tcPr>
          <w:p w14:paraId="6F1620A9" w14:textId="77777777" w:rsidR="00265E7F" w:rsidRDefault="00265E7F">
            <w:pPr>
              <w:pStyle w:val="TableContents"/>
            </w:pPr>
          </w:p>
        </w:tc>
        <w:tc>
          <w:tcPr>
            <w:tcW w:w="247.60pt" w:type="dxa"/>
            <w:tcBorders>
              <w:top w:val="single" w:sz="4" w:space="0" w:color="000000"/>
              <w:start w:val="single" w:sz="4" w:space="0" w:color="000000"/>
              <w:end w:val="single" w:sz="4" w:space="0" w:color="000000"/>
            </w:tcBorders>
          </w:tcPr>
          <w:p w14:paraId="3EEFEE6D" w14:textId="77777777" w:rsidR="00265E7F" w:rsidRDefault="00265E7F"/>
        </w:tc>
      </w:tr>
      <w:tr w:rsidR="00265E7F" w14:paraId="4D147BD8" w14:textId="77777777">
        <w:trPr>
          <w:cantSplit/>
        </w:trPr>
        <w:tc>
          <w:tcPr>
            <w:tcW w:w="247.55pt" w:type="dxa"/>
            <w:tcBorders>
              <w:start w:val="single" w:sz="4" w:space="0" w:color="000000"/>
            </w:tcBorders>
          </w:tcPr>
          <w:p w14:paraId="6A44FA49" w14:textId="77777777" w:rsidR="00265E7F" w:rsidRDefault="002809BD">
            <w:pPr>
              <w:pStyle w:val="TableContents"/>
            </w:pPr>
            <w:r>
              <w:rPr>
                <w:vertAlign w:val="superscript"/>
              </w:rPr>
              <w:t>1</w:t>
            </w:r>
            <w:r>
              <w:t> Die Gerichte und Strafverfolgungsbehörden teilen dem zuständigen Departement die in Rechtskraft erwachsenen strafrechtlichen Sanktionen mit. Auf Verlangen sind dem zuständigen Departement sämtliche für den Vollzug erforderlichen Akten zuzustellen.</w:t>
            </w:r>
          </w:p>
        </w:tc>
        <w:tc>
          <w:tcPr>
            <w:tcW w:w="247.55pt" w:type="dxa"/>
            <w:tcBorders>
              <w:start w:val="single" w:sz="4" w:space="0" w:color="000000"/>
            </w:tcBorders>
          </w:tcPr>
          <w:p w14:paraId="7342BB60" w14:textId="77777777" w:rsidR="00265E7F" w:rsidRDefault="00265E7F">
            <w:pPr>
              <w:pStyle w:val="TableContents"/>
            </w:pPr>
          </w:p>
        </w:tc>
        <w:tc>
          <w:tcPr>
            <w:tcW w:w="247.60pt" w:type="dxa"/>
            <w:tcBorders>
              <w:start w:val="single" w:sz="4" w:space="0" w:color="000000"/>
              <w:end w:val="single" w:sz="4" w:space="0" w:color="000000"/>
            </w:tcBorders>
          </w:tcPr>
          <w:p w14:paraId="621B518D" w14:textId="77777777" w:rsidR="00265E7F" w:rsidRDefault="00265E7F"/>
        </w:tc>
      </w:tr>
      <w:tr w:rsidR="00265E7F" w14:paraId="23B9CD2D" w14:textId="77777777">
        <w:trPr>
          <w:cantSplit/>
        </w:trPr>
        <w:tc>
          <w:tcPr>
            <w:tcW w:w="247.55pt" w:type="dxa"/>
            <w:tcBorders>
              <w:start w:val="single" w:sz="4" w:space="0" w:color="000000"/>
            </w:tcBorders>
          </w:tcPr>
          <w:p w14:paraId="25DFDD58" w14:textId="77777777" w:rsidR="00265E7F" w:rsidRDefault="002809BD">
            <w:pPr>
              <w:pStyle w:val="TableContents"/>
            </w:pPr>
            <w:r>
              <w:rPr>
                <w:vertAlign w:val="superscript"/>
              </w:rPr>
              <w:t>2</w:t>
            </w:r>
            <w:r>
              <w:t> Die Gerichte und Strafverfolgungsbehörden erstatten dem zuständigen Departement sofort Mitteilung unter Vorlage der erforderlichen Unterlagen, wenn bei einer Straftäterin oder einem Straftäter Gemeingefährlichkeit im Sinne von Art. 75a StGB vorliegt oder Anhaltspunkte dafür bestehen.</w:t>
            </w:r>
          </w:p>
        </w:tc>
        <w:tc>
          <w:tcPr>
            <w:tcW w:w="247.55pt" w:type="dxa"/>
            <w:tcBorders>
              <w:start w:val="single" w:sz="4" w:space="0" w:color="000000"/>
            </w:tcBorders>
          </w:tcPr>
          <w:p w14:paraId="183B4493" w14:textId="77777777" w:rsidR="00265E7F" w:rsidRDefault="00265E7F">
            <w:pPr>
              <w:pStyle w:val="TableContents"/>
            </w:pPr>
          </w:p>
        </w:tc>
        <w:tc>
          <w:tcPr>
            <w:tcW w:w="247.60pt" w:type="dxa"/>
            <w:tcBorders>
              <w:start w:val="single" w:sz="4" w:space="0" w:color="000000"/>
              <w:end w:val="single" w:sz="4" w:space="0" w:color="000000"/>
            </w:tcBorders>
          </w:tcPr>
          <w:p w14:paraId="34C27972" w14:textId="77777777" w:rsidR="00265E7F" w:rsidRDefault="00265E7F"/>
        </w:tc>
      </w:tr>
      <w:tr w:rsidR="00265E7F" w14:paraId="5D0AB11D" w14:textId="77777777">
        <w:trPr>
          <w:cantSplit/>
        </w:trPr>
        <w:tc>
          <w:tcPr>
            <w:tcW w:w="247.55pt" w:type="dxa"/>
            <w:tcBorders>
              <w:start w:val="single" w:sz="4" w:space="0" w:color="000000"/>
            </w:tcBorders>
          </w:tcPr>
          <w:p w14:paraId="2A010B1F" w14:textId="77777777" w:rsidR="00265E7F" w:rsidRDefault="002809BD">
            <w:pPr>
              <w:pStyle w:val="TableContents"/>
            </w:pPr>
            <w:r>
              <w:rPr>
                <w:vertAlign w:val="superscript"/>
              </w:rPr>
              <w:t>3</w:t>
            </w:r>
            <w:r>
              <w:t> Das zuständige Departement, die Vollzugseinrichtungen und weitere betroffene Behörden, insbesondere die Migrationsbehörden und die Kantonspolizei, erteilen einander alle Auskünfte, die sie zur Erfüllung ihrer Aufgaben benötigen. Vorbehalten bleiben die Bestimmungen über den Schutz besonders schützenswerter Personendaten.</w:t>
            </w:r>
            <w:r>
              <w:rPr>
                <w:rStyle w:val="Funotenzeichen"/>
              </w:rPr>
              <w:footnoteReference w:id="62"/>
            </w:r>
            <w:r>
              <w:rPr>
                <w:rStyle w:val="Funotenzeichen"/>
              </w:rPr>
              <w:t>)</w:t>
            </w:r>
          </w:p>
        </w:tc>
        <w:tc>
          <w:tcPr>
            <w:tcW w:w="247.55pt" w:type="dxa"/>
            <w:tcBorders>
              <w:start w:val="single" w:sz="4" w:space="0" w:color="000000"/>
            </w:tcBorders>
          </w:tcPr>
          <w:p w14:paraId="05145A97" w14:textId="77777777" w:rsidR="00265E7F" w:rsidRDefault="00265E7F">
            <w:pPr>
              <w:pStyle w:val="TableContents"/>
            </w:pPr>
          </w:p>
        </w:tc>
        <w:tc>
          <w:tcPr>
            <w:tcW w:w="247.60pt" w:type="dxa"/>
            <w:tcBorders>
              <w:start w:val="single" w:sz="4" w:space="0" w:color="000000"/>
              <w:end w:val="single" w:sz="4" w:space="0" w:color="000000"/>
            </w:tcBorders>
          </w:tcPr>
          <w:p w14:paraId="78E3FA6A" w14:textId="77777777" w:rsidR="00265E7F" w:rsidRDefault="00265E7F"/>
        </w:tc>
      </w:tr>
      <w:tr w:rsidR="00265E7F" w14:paraId="2BB0BF98" w14:textId="77777777">
        <w:trPr>
          <w:cantSplit/>
        </w:trPr>
        <w:tc>
          <w:tcPr>
            <w:tcW w:w="247.55pt" w:type="dxa"/>
            <w:tcBorders>
              <w:start w:val="single" w:sz="4" w:space="0" w:color="000000"/>
            </w:tcBorders>
          </w:tcPr>
          <w:p w14:paraId="7E398211" w14:textId="77777777" w:rsidR="00265E7F" w:rsidRDefault="00265E7F">
            <w:pPr>
              <w:pStyle w:val="TableContents"/>
            </w:pPr>
          </w:p>
        </w:tc>
        <w:tc>
          <w:tcPr>
            <w:tcW w:w="247.55pt" w:type="dxa"/>
            <w:tcBorders>
              <w:start w:val="single" w:sz="4" w:space="0" w:color="000000"/>
            </w:tcBorders>
          </w:tcPr>
          <w:p w14:paraId="7F3FD2E3" w14:textId="77777777" w:rsidR="00265E7F" w:rsidRDefault="002809BD">
            <w:pPr>
              <w:pStyle w:val="TableContents"/>
            </w:pPr>
            <w:r>
              <w:rPr>
                <w:vertAlign w:val="superscript"/>
              </w:rPr>
              <w:t>4</w:t>
            </w:r>
            <w:r>
              <w:t> Für den Datenaustausch wird die Plattform nach Art. 86a des Justizgesetzes</w:t>
            </w:r>
            <w:r>
              <w:rPr>
                <w:rStyle w:val="Funotenzeichen"/>
              </w:rPr>
              <w:footnoteReference w:id="63"/>
            </w:r>
            <w:r>
              <w:rPr>
                <w:rStyle w:val="Funotenzeichen"/>
              </w:rPr>
              <w:t>)</w:t>
            </w:r>
            <w:r>
              <w:t xml:space="preserve"> genutzt.</w:t>
            </w:r>
          </w:p>
        </w:tc>
        <w:tc>
          <w:tcPr>
            <w:tcW w:w="247.60pt" w:type="dxa"/>
            <w:tcBorders>
              <w:start w:val="single" w:sz="4" w:space="0" w:color="000000"/>
              <w:end w:val="single" w:sz="4" w:space="0" w:color="000000"/>
            </w:tcBorders>
          </w:tcPr>
          <w:p w14:paraId="4E8A5376" w14:textId="77777777" w:rsidR="00265E7F" w:rsidRDefault="00265E7F"/>
        </w:tc>
      </w:tr>
      <w:tr w:rsidR="00265E7F" w14:paraId="67ACF3BC" w14:textId="77777777">
        <w:tc>
          <w:tcPr>
            <w:tcW w:w="247.55pt" w:type="dxa"/>
            <w:tcBorders>
              <w:top w:val="single" w:sz="4" w:space="0" w:color="000000"/>
              <w:start w:val="single" w:sz="4" w:space="0" w:color="000000"/>
            </w:tcBorders>
            <w:shd w:val="clear" w:color="auto" w:fill="FFFFFF"/>
          </w:tcPr>
          <w:p w14:paraId="36B2E902" w14:textId="77777777" w:rsidR="00265E7F" w:rsidRDefault="00265E7F"/>
        </w:tc>
        <w:tc>
          <w:tcPr>
            <w:tcW w:w="247.55pt" w:type="dxa"/>
            <w:tcBorders>
              <w:top w:val="single" w:sz="4" w:space="0" w:color="000000"/>
              <w:start w:val="single" w:sz="4" w:space="0" w:color="000000"/>
            </w:tcBorders>
            <w:shd w:val="clear" w:color="auto" w:fill="FFFFFF"/>
          </w:tcPr>
          <w:p w14:paraId="08A1D3D0" w14:textId="77777777" w:rsidR="00265E7F" w:rsidRDefault="002809BD">
            <w:pPr>
              <w:keepNext/>
            </w:pPr>
            <w:r>
              <w:rPr>
                <w:b/>
              </w:rPr>
              <w:t>7.</w:t>
            </w:r>
          </w:p>
          <w:p w14:paraId="43477D1F" w14:textId="77777777" w:rsidR="00265E7F" w:rsidRDefault="002809BD">
            <w:pPr>
              <w:pStyle w:val="Nebenzitat"/>
            </w:pPr>
            <w:r>
              <w:t>Der Erlass «Verordnung zum Bundesgesetz über die landwirtschaftliche Pacht (</w:t>
            </w:r>
            <w:proofErr w:type="spellStart"/>
            <w:r>
              <w:t>bGS</w:t>
            </w:r>
            <w:proofErr w:type="spellEnd"/>
            <w:r>
              <w:t xml:space="preserve"> </w:t>
            </w:r>
            <w:hyperlink r:id="rId13" w:history="1">
              <w:r w:rsidR="00265E7F">
                <w:rPr>
                  <w:rStyle w:val="Hyperlink"/>
                </w:rPr>
                <w:t>921.3</w:t>
              </w:r>
            </w:hyperlink>
            <w:r>
              <w:t>) vom 27. Oktober 1986 (Stand 1. Januar 2016)» wird wie folgt geändert:</w:t>
            </w:r>
          </w:p>
        </w:tc>
        <w:tc>
          <w:tcPr>
            <w:tcW w:w="247.60pt" w:type="dxa"/>
            <w:tcBorders>
              <w:top w:val="single" w:sz="4" w:space="0" w:color="000000"/>
              <w:start w:val="single" w:sz="4" w:space="0" w:color="000000"/>
              <w:end w:val="single" w:sz="4" w:space="0" w:color="000000"/>
            </w:tcBorders>
            <w:shd w:val="clear" w:color="auto" w:fill="FFFFFF"/>
          </w:tcPr>
          <w:p w14:paraId="2897EEB2" w14:textId="77777777" w:rsidR="00265E7F" w:rsidRDefault="00265E7F"/>
        </w:tc>
      </w:tr>
      <w:tr w:rsidR="00265E7F" w14:paraId="3F43ECEB" w14:textId="77777777">
        <w:trPr>
          <w:cantSplit/>
        </w:trPr>
        <w:tc>
          <w:tcPr>
            <w:tcW w:w="247.55pt" w:type="dxa"/>
            <w:tcBorders>
              <w:top w:val="single" w:sz="4" w:space="0" w:color="000000"/>
              <w:start w:val="single" w:sz="4" w:space="0" w:color="000000"/>
            </w:tcBorders>
          </w:tcPr>
          <w:p w14:paraId="710F61AA" w14:textId="77777777" w:rsidR="00265E7F" w:rsidRDefault="002809BD">
            <w:pPr>
              <w:pStyle w:val="TableContents"/>
            </w:pPr>
            <w:r>
              <w:rPr>
                <w:b/>
                <w:bCs/>
              </w:rPr>
              <w:t>Art.  6</w:t>
            </w:r>
            <w:r>
              <w:br/>
            </w:r>
            <w:r>
              <w:rPr>
                <w:sz w:val="14"/>
              </w:rPr>
              <w:t>Zuständigkeit der Gerichte und Verfahren</w:t>
            </w:r>
          </w:p>
        </w:tc>
        <w:tc>
          <w:tcPr>
            <w:tcW w:w="247.55pt" w:type="dxa"/>
            <w:tcBorders>
              <w:top w:val="single" w:sz="4" w:space="0" w:color="000000"/>
              <w:start w:val="single" w:sz="4" w:space="0" w:color="000000"/>
            </w:tcBorders>
          </w:tcPr>
          <w:p w14:paraId="7622A5F3" w14:textId="77777777" w:rsidR="00265E7F" w:rsidRDefault="002809BD">
            <w:pPr>
              <w:pStyle w:val="TableContents"/>
            </w:pPr>
            <w:r>
              <w:rPr>
                <w:b/>
                <w:bCs/>
              </w:rPr>
              <w:t>Art.  6</w:t>
            </w:r>
            <w:r>
              <w:t> </w:t>
            </w:r>
            <w:r>
              <w:rPr>
                <w:i/>
                <w:iCs/>
              </w:rPr>
              <w:t>Aufgehoben.</w:t>
            </w:r>
          </w:p>
        </w:tc>
        <w:tc>
          <w:tcPr>
            <w:tcW w:w="247.60pt" w:type="dxa"/>
            <w:tcBorders>
              <w:top w:val="single" w:sz="4" w:space="0" w:color="000000"/>
              <w:start w:val="single" w:sz="4" w:space="0" w:color="000000"/>
              <w:end w:val="single" w:sz="4" w:space="0" w:color="000000"/>
            </w:tcBorders>
          </w:tcPr>
          <w:p w14:paraId="2A454A66" w14:textId="77777777" w:rsidR="00265E7F" w:rsidRDefault="00265E7F"/>
        </w:tc>
      </w:tr>
      <w:tr w:rsidR="00265E7F" w14:paraId="62E73A94" w14:textId="77777777">
        <w:trPr>
          <w:cantSplit/>
        </w:trPr>
        <w:tc>
          <w:tcPr>
            <w:tcW w:w="247.55pt" w:type="dxa"/>
            <w:tcBorders>
              <w:start w:val="single" w:sz="4" w:space="0" w:color="000000"/>
            </w:tcBorders>
          </w:tcPr>
          <w:p w14:paraId="2BE4C040" w14:textId="77777777" w:rsidR="00265E7F" w:rsidRDefault="002809BD">
            <w:pPr>
              <w:pStyle w:val="TableContents"/>
            </w:pPr>
            <w:r>
              <w:rPr>
                <w:vertAlign w:val="superscript"/>
              </w:rPr>
              <w:t>1</w:t>
            </w:r>
            <w:r>
              <w:t> Für Streitigkeiten über Geldforderungen gilt die Zuständigkeit nach Art. 7 Ziff. 2 und Art. 8 Ziff. 2 der Zivilprozessordnung</w:t>
            </w:r>
            <w:r>
              <w:rPr>
                <w:rStyle w:val="Funotenzeichen"/>
              </w:rPr>
              <w:footnoteReference w:id="64"/>
            </w:r>
            <w:r>
              <w:rPr>
                <w:rStyle w:val="Funotenzeichen"/>
              </w:rPr>
              <w:t>)</w:t>
            </w:r>
            <w:r>
              <w:t>.</w:t>
            </w:r>
          </w:p>
        </w:tc>
        <w:tc>
          <w:tcPr>
            <w:tcW w:w="247.55pt" w:type="dxa"/>
            <w:tcBorders>
              <w:start w:val="single" w:sz="4" w:space="0" w:color="000000"/>
            </w:tcBorders>
          </w:tcPr>
          <w:p w14:paraId="01B018AB" w14:textId="77777777" w:rsidR="00265E7F" w:rsidRDefault="00265E7F">
            <w:pPr>
              <w:pStyle w:val="TableContents"/>
            </w:pPr>
          </w:p>
        </w:tc>
        <w:tc>
          <w:tcPr>
            <w:tcW w:w="247.60pt" w:type="dxa"/>
            <w:tcBorders>
              <w:start w:val="single" w:sz="4" w:space="0" w:color="000000"/>
              <w:end w:val="single" w:sz="4" w:space="0" w:color="000000"/>
            </w:tcBorders>
          </w:tcPr>
          <w:p w14:paraId="5BAEFB30" w14:textId="77777777" w:rsidR="00265E7F" w:rsidRDefault="00265E7F"/>
        </w:tc>
      </w:tr>
      <w:tr w:rsidR="00265E7F" w14:paraId="0AF4FF64" w14:textId="77777777">
        <w:trPr>
          <w:cantSplit/>
        </w:trPr>
        <w:tc>
          <w:tcPr>
            <w:tcW w:w="247.55pt" w:type="dxa"/>
            <w:tcBorders>
              <w:start w:val="single" w:sz="4" w:space="0" w:color="000000"/>
            </w:tcBorders>
          </w:tcPr>
          <w:p w14:paraId="5BBF1DF3" w14:textId="77777777" w:rsidR="00265E7F" w:rsidRDefault="002809BD">
            <w:pPr>
              <w:pStyle w:val="TableContents"/>
            </w:pPr>
            <w:r>
              <w:rPr>
                <w:vertAlign w:val="superscript"/>
              </w:rPr>
              <w:t>2</w:t>
            </w:r>
            <w:r>
              <w:t> Für die Pachterstreckung gemäss Art. 26–28 LPG ist in jedem Fall der Einzelrichter des Kantonsgerichtes erstinstanzlich zuständig.</w:t>
            </w:r>
          </w:p>
        </w:tc>
        <w:tc>
          <w:tcPr>
            <w:tcW w:w="247.55pt" w:type="dxa"/>
            <w:tcBorders>
              <w:start w:val="single" w:sz="4" w:space="0" w:color="000000"/>
            </w:tcBorders>
          </w:tcPr>
          <w:p w14:paraId="4DECD97B" w14:textId="77777777" w:rsidR="00265E7F" w:rsidRDefault="00265E7F">
            <w:pPr>
              <w:pStyle w:val="TableContents"/>
            </w:pPr>
          </w:p>
        </w:tc>
        <w:tc>
          <w:tcPr>
            <w:tcW w:w="247.60pt" w:type="dxa"/>
            <w:tcBorders>
              <w:start w:val="single" w:sz="4" w:space="0" w:color="000000"/>
              <w:end w:val="single" w:sz="4" w:space="0" w:color="000000"/>
            </w:tcBorders>
          </w:tcPr>
          <w:p w14:paraId="1260143C" w14:textId="77777777" w:rsidR="00265E7F" w:rsidRDefault="00265E7F"/>
        </w:tc>
      </w:tr>
      <w:tr w:rsidR="00265E7F" w14:paraId="7B9149A8" w14:textId="77777777">
        <w:trPr>
          <w:cantSplit/>
        </w:trPr>
        <w:tc>
          <w:tcPr>
            <w:tcW w:w="247.55pt" w:type="dxa"/>
            <w:tcBorders>
              <w:start w:val="single" w:sz="4" w:space="0" w:color="000000"/>
            </w:tcBorders>
          </w:tcPr>
          <w:p w14:paraId="73F65EA4" w14:textId="77777777" w:rsidR="00265E7F" w:rsidRDefault="002809BD">
            <w:pPr>
              <w:pStyle w:val="TableContents"/>
            </w:pPr>
            <w:r>
              <w:rPr>
                <w:vertAlign w:val="superscript"/>
              </w:rPr>
              <w:t>3</w:t>
            </w:r>
            <w:r>
              <w:t> Im Übrigen entscheidet das Kantonsgericht erstinstanzlich (Art. 12 Abs. 1 ZPO</w:t>
            </w:r>
            <w:r>
              <w:rPr>
                <w:rStyle w:val="Funotenzeichen"/>
              </w:rPr>
              <w:footnoteReference w:id="65"/>
            </w:r>
            <w:r>
              <w:rPr>
                <w:rStyle w:val="Funotenzeichen"/>
              </w:rPr>
              <w:t>)</w:t>
            </w:r>
            <w:r>
              <w:t>).</w:t>
            </w:r>
          </w:p>
        </w:tc>
        <w:tc>
          <w:tcPr>
            <w:tcW w:w="247.55pt" w:type="dxa"/>
            <w:tcBorders>
              <w:start w:val="single" w:sz="4" w:space="0" w:color="000000"/>
            </w:tcBorders>
          </w:tcPr>
          <w:p w14:paraId="4D99A613" w14:textId="77777777" w:rsidR="00265E7F" w:rsidRDefault="00265E7F">
            <w:pPr>
              <w:pStyle w:val="TableContents"/>
            </w:pPr>
          </w:p>
        </w:tc>
        <w:tc>
          <w:tcPr>
            <w:tcW w:w="247.60pt" w:type="dxa"/>
            <w:tcBorders>
              <w:start w:val="single" w:sz="4" w:space="0" w:color="000000"/>
              <w:end w:val="single" w:sz="4" w:space="0" w:color="000000"/>
            </w:tcBorders>
          </w:tcPr>
          <w:p w14:paraId="1A850158" w14:textId="77777777" w:rsidR="00265E7F" w:rsidRDefault="00265E7F"/>
        </w:tc>
      </w:tr>
      <w:tr w:rsidR="00265E7F" w14:paraId="07A5AE0D" w14:textId="77777777">
        <w:trPr>
          <w:cantSplit/>
        </w:trPr>
        <w:tc>
          <w:tcPr>
            <w:tcW w:w="247.55pt" w:type="dxa"/>
            <w:tcBorders>
              <w:start w:val="single" w:sz="4" w:space="0" w:color="000000"/>
            </w:tcBorders>
          </w:tcPr>
          <w:p w14:paraId="0FC3B72F" w14:textId="77777777" w:rsidR="00265E7F" w:rsidRDefault="002809BD">
            <w:pPr>
              <w:pStyle w:val="TableContents"/>
            </w:pPr>
            <w:r>
              <w:rPr>
                <w:vertAlign w:val="superscript"/>
              </w:rPr>
              <w:t>4</w:t>
            </w:r>
            <w:r>
              <w:t> Der Richter prüft den Sachverhalt von Amtes wegen. Die Bestimmungen über die Gerichtsferien im Sinne von Art. 76 Abs. 1 ZPO</w:t>
            </w:r>
            <w:r>
              <w:rPr>
                <w:rStyle w:val="Funotenzeichen"/>
              </w:rPr>
              <w:footnoteReference w:id="66"/>
            </w:r>
            <w:r>
              <w:rPr>
                <w:rStyle w:val="Funotenzeichen"/>
              </w:rPr>
              <w:t>)</w:t>
            </w:r>
            <w:r>
              <w:t xml:space="preserve"> finden keine Anwendung.</w:t>
            </w:r>
          </w:p>
        </w:tc>
        <w:tc>
          <w:tcPr>
            <w:tcW w:w="247.55pt" w:type="dxa"/>
            <w:tcBorders>
              <w:start w:val="single" w:sz="4" w:space="0" w:color="000000"/>
            </w:tcBorders>
          </w:tcPr>
          <w:p w14:paraId="62573102" w14:textId="77777777" w:rsidR="00265E7F" w:rsidRDefault="00265E7F">
            <w:pPr>
              <w:pStyle w:val="TableContents"/>
            </w:pPr>
          </w:p>
        </w:tc>
        <w:tc>
          <w:tcPr>
            <w:tcW w:w="247.60pt" w:type="dxa"/>
            <w:tcBorders>
              <w:start w:val="single" w:sz="4" w:space="0" w:color="000000"/>
              <w:end w:val="single" w:sz="4" w:space="0" w:color="000000"/>
            </w:tcBorders>
          </w:tcPr>
          <w:p w14:paraId="45FFF6A3" w14:textId="77777777" w:rsidR="00265E7F" w:rsidRDefault="00265E7F"/>
        </w:tc>
      </w:tr>
      <w:tr w:rsidR="00265E7F" w14:paraId="18208548" w14:textId="77777777">
        <w:tc>
          <w:tcPr>
            <w:tcW w:w="247.55pt" w:type="dxa"/>
            <w:tcBorders>
              <w:top w:val="single" w:sz="4" w:space="0" w:color="000000"/>
              <w:start w:val="single" w:sz="4" w:space="0" w:color="000000"/>
            </w:tcBorders>
            <w:shd w:val="clear" w:color="auto" w:fill="FFFFFF"/>
          </w:tcPr>
          <w:p w14:paraId="7A12CC3C" w14:textId="77777777" w:rsidR="00265E7F" w:rsidRDefault="00265E7F"/>
        </w:tc>
        <w:tc>
          <w:tcPr>
            <w:tcW w:w="247.55pt" w:type="dxa"/>
            <w:tcBorders>
              <w:top w:val="single" w:sz="4" w:space="0" w:color="000000"/>
              <w:start w:val="single" w:sz="4" w:space="0" w:color="000000"/>
            </w:tcBorders>
            <w:shd w:val="clear" w:color="auto" w:fill="FFFFFF"/>
          </w:tcPr>
          <w:p w14:paraId="3E321DBF" w14:textId="77777777" w:rsidR="00265E7F" w:rsidRDefault="002809BD">
            <w:pPr>
              <w:pStyle w:val="Abschnittstitel"/>
            </w:pPr>
            <w:r>
              <w:t>III.</w:t>
            </w:r>
          </w:p>
        </w:tc>
        <w:tc>
          <w:tcPr>
            <w:tcW w:w="247.60pt" w:type="dxa"/>
            <w:tcBorders>
              <w:top w:val="single" w:sz="4" w:space="0" w:color="000000"/>
              <w:start w:val="single" w:sz="4" w:space="0" w:color="000000"/>
              <w:end w:val="single" w:sz="4" w:space="0" w:color="000000"/>
            </w:tcBorders>
            <w:shd w:val="clear" w:color="auto" w:fill="FFFFFF"/>
          </w:tcPr>
          <w:p w14:paraId="23ABFD48" w14:textId="77777777" w:rsidR="00265E7F" w:rsidRDefault="00265E7F"/>
        </w:tc>
      </w:tr>
      <w:tr w:rsidR="00265E7F" w14:paraId="0E36D5B8" w14:textId="77777777">
        <w:tc>
          <w:tcPr>
            <w:tcW w:w="247.55pt" w:type="dxa"/>
            <w:tcBorders>
              <w:top w:val="single" w:sz="4" w:space="0" w:color="000000"/>
              <w:start w:val="single" w:sz="4" w:space="0" w:color="000000"/>
            </w:tcBorders>
            <w:shd w:val="clear" w:color="auto" w:fill="FFFFFF"/>
          </w:tcPr>
          <w:p w14:paraId="32A5D1A1" w14:textId="77777777" w:rsidR="00265E7F" w:rsidRDefault="00265E7F"/>
        </w:tc>
        <w:tc>
          <w:tcPr>
            <w:tcW w:w="247.55pt" w:type="dxa"/>
            <w:tcBorders>
              <w:top w:val="single" w:sz="4" w:space="0" w:color="000000"/>
              <w:start w:val="single" w:sz="4" w:space="0" w:color="000000"/>
            </w:tcBorders>
            <w:shd w:val="clear" w:color="auto" w:fill="FFFFFF"/>
          </w:tcPr>
          <w:p w14:paraId="1E67E95A" w14:textId="77777777" w:rsidR="00265E7F" w:rsidRDefault="002809BD">
            <w:pPr>
              <w:keepNext/>
            </w:pPr>
            <w:r>
              <w:rPr>
                <w:b/>
              </w:rPr>
              <w:t>1.</w:t>
            </w:r>
          </w:p>
          <w:p w14:paraId="136FEFB3" w14:textId="77777777" w:rsidR="00265E7F" w:rsidRDefault="002809BD">
            <w:pPr>
              <w:pStyle w:val="Nebenzitat"/>
            </w:pPr>
            <w:r>
              <w:t>Der Erlass «Beschluss über die Zahl der Vizepräsidenten oder Vizepräsidentinnen des Kantonsgerichts (</w:t>
            </w:r>
            <w:proofErr w:type="spellStart"/>
            <w:r>
              <w:t>bGS</w:t>
            </w:r>
            <w:proofErr w:type="spellEnd"/>
            <w:r>
              <w:t xml:space="preserve"> </w:t>
            </w:r>
            <w:hyperlink r:id="rId14" w:history="1">
              <w:r w:rsidR="00265E7F">
                <w:rPr>
                  <w:rStyle w:val="Hyperlink"/>
                </w:rPr>
                <w:t>145.311</w:t>
              </w:r>
            </w:hyperlink>
            <w:r>
              <w:t>) vom 6. Mai 2024 (Stand 1. November 2025)» wird aufgehoben.</w:t>
            </w:r>
          </w:p>
        </w:tc>
        <w:tc>
          <w:tcPr>
            <w:tcW w:w="247.60pt" w:type="dxa"/>
            <w:tcBorders>
              <w:top w:val="single" w:sz="4" w:space="0" w:color="000000"/>
              <w:start w:val="single" w:sz="4" w:space="0" w:color="000000"/>
              <w:end w:val="single" w:sz="4" w:space="0" w:color="000000"/>
            </w:tcBorders>
            <w:shd w:val="clear" w:color="auto" w:fill="FFFFFF"/>
          </w:tcPr>
          <w:p w14:paraId="484B5CE0" w14:textId="77777777" w:rsidR="00265E7F" w:rsidRDefault="00265E7F"/>
        </w:tc>
      </w:tr>
      <w:tr w:rsidR="00265E7F" w14:paraId="629273CC" w14:textId="77777777">
        <w:tc>
          <w:tcPr>
            <w:tcW w:w="247.55pt" w:type="dxa"/>
            <w:tcBorders>
              <w:top w:val="single" w:sz="4" w:space="0" w:color="000000"/>
              <w:start w:val="single" w:sz="4" w:space="0" w:color="000000"/>
            </w:tcBorders>
            <w:shd w:val="clear" w:color="auto" w:fill="FFFFFF"/>
          </w:tcPr>
          <w:p w14:paraId="68B1AD3D" w14:textId="77777777" w:rsidR="00265E7F" w:rsidRDefault="00265E7F"/>
        </w:tc>
        <w:tc>
          <w:tcPr>
            <w:tcW w:w="247.55pt" w:type="dxa"/>
            <w:tcBorders>
              <w:top w:val="single" w:sz="4" w:space="0" w:color="000000"/>
              <w:start w:val="single" w:sz="4" w:space="0" w:color="000000"/>
            </w:tcBorders>
            <w:shd w:val="clear" w:color="auto" w:fill="FFFFFF"/>
          </w:tcPr>
          <w:p w14:paraId="034FDC40" w14:textId="77777777" w:rsidR="00265E7F" w:rsidRDefault="002809BD">
            <w:pPr>
              <w:keepNext/>
            </w:pPr>
            <w:r>
              <w:rPr>
                <w:b/>
              </w:rPr>
              <w:t>2.</w:t>
            </w:r>
          </w:p>
          <w:p w14:paraId="29C1239F" w14:textId="77777777" w:rsidR="00265E7F" w:rsidRDefault="002809BD">
            <w:pPr>
              <w:pStyle w:val="Nebenzitat"/>
            </w:pPr>
            <w:r>
              <w:t>Der Erlass «Beschluss über die Zahl der nebenamtlichen Richter am Obergericht (</w:t>
            </w:r>
            <w:proofErr w:type="spellStart"/>
            <w:r>
              <w:t>bGS</w:t>
            </w:r>
            <w:proofErr w:type="spellEnd"/>
            <w:r>
              <w:t xml:space="preserve"> </w:t>
            </w:r>
            <w:hyperlink r:id="rId15" w:history="1">
              <w:r w:rsidR="00265E7F">
                <w:rPr>
                  <w:rStyle w:val="Hyperlink"/>
                </w:rPr>
                <w:t>145.312</w:t>
              </w:r>
            </w:hyperlink>
            <w:r>
              <w:t>) vom 23. September 2024 (Stand 1. Juni 2025)» wird aufgehoben.</w:t>
            </w:r>
          </w:p>
        </w:tc>
        <w:tc>
          <w:tcPr>
            <w:tcW w:w="247.60pt" w:type="dxa"/>
            <w:tcBorders>
              <w:top w:val="single" w:sz="4" w:space="0" w:color="000000"/>
              <w:start w:val="single" w:sz="4" w:space="0" w:color="000000"/>
              <w:end w:val="single" w:sz="4" w:space="0" w:color="000000"/>
            </w:tcBorders>
            <w:shd w:val="clear" w:color="auto" w:fill="FFFFFF"/>
          </w:tcPr>
          <w:p w14:paraId="71805038" w14:textId="77777777" w:rsidR="00265E7F" w:rsidRDefault="00265E7F"/>
        </w:tc>
      </w:tr>
      <w:tr w:rsidR="00265E7F" w14:paraId="2252E4EC" w14:textId="77777777">
        <w:tc>
          <w:tcPr>
            <w:tcW w:w="247.55pt" w:type="dxa"/>
            <w:tcBorders>
              <w:top w:val="single" w:sz="4" w:space="0" w:color="000000"/>
              <w:start w:val="single" w:sz="4" w:space="0" w:color="000000"/>
            </w:tcBorders>
            <w:shd w:val="clear" w:color="auto" w:fill="FFFFFF"/>
          </w:tcPr>
          <w:p w14:paraId="277131E7" w14:textId="77777777" w:rsidR="00265E7F" w:rsidRDefault="00265E7F"/>
        </w:tc>
        <w:tc>
          <w:tcPr>
            <w:tcW w:w="247.55pt" w:type="dxa"/>
            <w:tcBorders>
              <w:top w:val="single" w:sz="4" w:space="0" w:color="000000"/>
              <w:start w:val="single" w:sz="4" w:space="0" w:color="000000"/>
            </w:tcBorders>
            <w:shd w:val="clear" w:color="auto" w:fill="FFFFFF"/>
          </w:tcPr>
          <w:p w14:paraId="3C9427C3" w14:textId="77777777" w:rsidR="00265E7F" w:rsidRDefault="002809BD">
            <w:pPr>
              <w:keepNext/>
            </w:pPr>
            <w:r>
              <w:rPr>
                <w:b/>
              </w:rPr>
              <w:t>3.</w:t>
            </w:r>
          </w:p>
          <w:p w14:paraId="1AC62A33" w14:textId="77777777" w:rsidR="00265E7F" w:rsidRDefault="002809BD">
            <w:pPr>
              <w:pStyle w:val="Nebenzitat"/>
            </w:pPr>
            <w:r>
              <w:t>Der Erlass «Vorläufige Verordnung zum Mietrecht (</w:t>
            </w:r>
            <w:proofErr w:type="spellStart"/>
            <w:r>
              <w:t>bGS</w:t>
            </w:r>
            <w:proofErr w:type="spellEnd"/>
            <w:r>
              <w:t xml:space="preserve"> </w:t>
            </w:r>
            <w:hyperlink r:id="rId16" w:history="1">
              <w:r w:rsidR="00265E7F">
                <w:rPr>
                  <w:rStyle w:val="Hyperlink"/>
                </w:rPr>
                <w:t>222.11</w:t>
              </w:r>
            </w:hyperlink>
            <w:r>
              <w:t>) vom 12. Januar 2016 (Stand 15. Januar 2016)» wird aufgehoben.</w:t>
            </w:r>
          </w:p>
        </w:tc>
        <w:tc>
          <w:tcPr>
            <w:tcW w:w="247.60pt" w:type="dxa"/>
            <w:tcBorders>
              <w:top w:val="single" w:sz="4" w:space="0" w:color="000000"/>
              <w:start w:val="single" w:sz="4" w:space="0" w:color="000000"/>
              <w:end w:val="single" w:sz="4" w:space="0" w:color="000000"/>
            </w:tcBorders>
            <w:shd w:val="clear" w:color="auto" w:fill="FFFFFF"/>
          </w:tcPr>
          <w:p w14:paraId="3F4DAF82" w14:textId="77777777" w:rsidR="00265E7F" w:rsidRDefault="00265E7F"/>
        </w:tc>
      </w:tr>
      <w:tr w:rsidR="00265E7F" w14:paraId="0D9F4615" w14:textId="77777777">
        <w:tc>
          <w:tcPr>
            <w:tcW w:w="247.55pt" w:type="dxa"/>
            <w:tcBorders>
              <w:top w:val="single" w:sz="4" w:space="0" w:color="000000"/>
              <w:start w:val="single" w:sz="4" w:space="0" w:color="000000"/>
            </w:tcBorders>
            <w:shd w:val="clear" w:color="auto" w:fill="FFFFFF"/>
          </w:tcPr>
          <w:p w14:paraId="6124EB47" w14:textId="77777777" w:rsidR="00265E7F" w:rsidRDefault="00265E7F"/>
        </w:tc>
        <w:tc>
          <w:tcPr>
            <w:tcW w:w="247.55pt" w:type="dxa"/>
            <w:tcBorders>
              <w:top w:val="single" w:sz="4" w:space="0" w:color="000000"/>
              <w:start w:val="single" w:sz="4" w:space="0" w:color="000000"/>
            </w:tcBorders>
            <w:shd w:val="clear" w:color="auto" w:fill="FFFFFF"/>
          </w:tcPr>
          <w:p w14:paraId="6062EFD0" w14:textId="77777777" w:rsidR="00265E7F" w:rsidRDefault="002809BD">
            <w:pPr>
              <w:pStyle w:val="Abschnittstitel"/>
            </w:pPr>
            <w:r>
              <w:t>IV.</w:t>
            </w:r>
          </w:p>
        </w:tc>
        <w:tc>
          <w:tcPr>
            <w:tcW w:w="247.60pt" w:type="dxa"/>
            <w:tcBorders>
              <w:top w:val="single" w:sz="4" w:space="0" w:color="000000"/>
              <w:start w:val="single" w:sz="4" w:space="0" w:color="000000"/>
              <w:end w:val="single" w:sz="4" w:space="0" w:color="000000"/>
            </w:tcBorders>
            <w:shd w:val="clear" w:color="auto" w:fill="FFFFFF"/>
          </w:tcPr>
          <w:p w14:paraId="4E96E36A" w14:textId="77777777" w:rsidR="00265E7F" w:rsidRDefault="00265E7F"/>
        </w:tc>
      </w:tr>
      <w:tr w:rsidR="00265E7F" w14:paraId="35A85B9C" w14:textId="77777777">
        <w:tc>
          <w:tcPr>
            <w:tcW w:w="247.55pt" w:type="dxa"/>
            <w:tcBorders>
              <w:start w:val="single" w:sz="4" w:space="0" w:color="000000"/>
              <w:bottom w:val="single" w:sz="4" w:space="0" w:color="000000"/>
            </w:tcBorders>
          </w:tcPr>
          <w:p w14:paraId="32504EAC" w14:textId="77777777" w:rsidR="00265E7F" w:rsidRDefault="00265E7F"/>
        </w:tc>
        <w:tc>
          <w:tcPr>
            <w:tcW w:w="247.55pt" w:type="dxa"/>
            <w:tcBorders>
              <w:start w:val="single" w:sz="4" w:space="0" w:color="000000"/>
              <w:bottom w:val="single" w:sz="4" w:space="0" w:color="000000"/>
            </w:tcBorders>
          </w:tcPr>
          <w:p w14:paraId="4DE6FB6B" w14:textId="77777777" w:rsidR="00265E7F" w:rsidRDefault="002809BD">
            <w:pPr>
              <w:pStyle w:val="TableContents"/>
            </w:pPr>
            <w:r>
              <w:t>Diese Änderung untersteht dem fakultativen Referendum.</w:t>
            </w:r>
            <w:r>
              <w:br/>
              <w:t>Der Regierungsrat bestimmt das Inkrafttreten.</w:t>
            </w:r>
          </w:p>
        </w:tc>
        <w:tc>
          <w:tcPr>
            <w:tcW w:w="247.60pt" w:type="dxa"/>
            <w:tcBorders>
              <w:start w:val="single" w:sz="4" w:space="0" w:color="000000"/>
              <w:bottom w:val="single" w:sz="4" w:space="0" w:color="000000"/>
              <w:end w:val="single" w:sz="4" w:space="0" w:color="000000"/>
            </w:tcBorders>
          </w:tcPr>
          <w:p w14:paraId="31481708" w14:textId="77777777" w:rsidR="00265E7F" w:rsidRDefault="00265E7F"/>
        </w:tc>
      </w:tr>
    </w:tbl>
    <w:p w14:paraId="16CF3103" w14:textId="77777777" w:rsidR="00265E7F" w:rsidRDefault="00265E7F"/>
    <w:sectPr w:rsidR="00265E7F">
      <w:headerReference w:type="even" r:id="rId17"/>
      <w:headerReference w:type="default" r:id="rId18"/>
      <w:footerReference w:type="even" r:id="rId19"/>
      <w:footerReference w:type="default" r:id="rId20"/>
      <w:headerReference w:type="first" r:id="rId21"/>
      <w:footerReference w:type="first" r:id="rId22"/>
      <w:pgSz w:w="841.90pt" w:h="595.30pt" w:orient="landscape"/>
      <w:pgMar w:top="56.65pt" w:right="42.50pt" w:bottom="42.50pt" w:left="56.70pt" w:header="42.50pt" w:footer="28.35pt" w:gutter="0pt"/>
      <w:cols w:space="36pt"/>
      <w:titlePg/>
      <w:docGrid w:linePitch="245" w:charSpace="9215"/>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64CF1662" w14:textId="77777777" w:rsidR="002809BD" w:rsidRDefault="002809BD">
      <w:r>
        <w:separator/>
      </w:r>
    </w:p>
  </w:endnote>
  <w:endnote w:type="continuationSeparator" w:id="0">
    <w:p w14:paraId="017B2700" w14:textId="77777777" w:rsidR="002809BD" w:rsidRDefault="002809B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Cambria">
    <w:panose1 w:val="02040503050406030204"/>
    <w:charset w:characterSet="iso-8859-1"/>
    <w:family w:val="roman"/>
    <w:pitch w:val="variable"/>
    <w:sig w:usb0="E00006FF" w:usb1="420024FF" w:usb2="02000000" w:usb3="00000000" w:csb0="0000019F" w:csb1="00000000"/>
  </w:font>
  <w:font w:name="Calibri">
    <w:panose1 w:val="020F0502020204030204"/>
    <w:charset w:characterSet="iso-8859-1"/>
    <w:family w:val="swiss"/>
    <w:pitch w:val="variable"/>
    <w:sig w:usb0="E5002EFF" w:usb1="C200ACFF"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56B2C8B" w14:textId="77777777" w:rsidR="00265E7F" w:rsidRDefault="00265E7F">
    <w:pPr>
      <w:pStyle w:val="Fuzeile"/>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F3803F7" w14:textId="77777777" w:rsidR="00265E7F" w:rsidRDefault="00265E7F">
    <w:pPr>
      <w:pStyle w:val="Fuzeile"/>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0A58780" w14:textId="77777777" w:rsidR="00265E7F" w:rsidRDefault="00265E7F">
    <w:pPr>
      <w:pStyle w:val="Fuzeile"/>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229215E" w14:textId="77777777" w:rsidR="002809BD" w:rsidRDefault="002809BD">
      <w:r>
        <w:separator/>
      </w:r>
    </w:p>
  </w:footnote>
  <w:footnote w:type="continuationSeparator" w:id="0">
    <w:p w14:paraId="631A6C33" w14:textId="77777777" w:rsidR="002809BD" w:rsidRDefault="002809BD">
      <w:r>
        <w:continuationSeparator/>
      </w:r>
    </w:p>
  </w:footnote>
  <w:footnote w:id="1">
    <w:p w14:paraId="06E7CF99" w14:textId="77777777" w:rsidR="00265E7F" w:rsidRDefault="002809BD">
      <w:pPr>
        <w:pStyle w:val="Funotentext"/>
      </w:pPr>
      <w:r>
        <w:rPr>
          <w:rStyle w:val="FootnoteCharacters"/>
        </w:rPr>
        <w:footnoteRef/>
      </w:r>
      <w:r>
        <w:rPr>
          <w:vertAlign w:val="superscript"/>
        </w:rPr>
        <w:t>)</w:t>
      </w:r>
      <w:r>
        <w:tab/>
        <w:t xml:space="preserve">Zivilprozessordnung (ZPO; SR </w:t>
      </w:r>
      <w:hyperlink r:id="rId1" w:history="1">
        <w:r w:rsidR="00265E7F">
          <w:rPr>
            <w:rStyle w:val="Hyperlink"/>
          </w:rPr>
          <w:t>272</w:t>
        </w:r>
      </w:hyperlink>
      <w:r>
        <w:t>)</w:t>
      </w:r>
    </w:p>
  </w:footnote>
  <w:footnote w:id="2">
    <w:p w14:paraId="0613C9DF" w14:textId="77777777" w:rsidR="00265E7F" w:rsidRDefault="002809BD">
      <w:pPr>
        <w:pStyle w:val="Funotentext"/>
      </w:pPr>
      <w:r>
        <w:rPr>
          <w:rStyle w:val="FootnoteCharacters"/>
        </w:rPr>
        <w:footnoteRef/>
      </w:r>
      <w:r>
        <w:rPr>
          <w:vertAlign w:val="superscript"/>
        </w:rPr>
        <w:t>)</w:t>
      </w:r>
      <w:r>
        <w:tab/>
        <w:t xml:space="preserve">Strafprozessordnung (StPO; SR </w:t>
      </w:r>
      <w:hyperlink r:id="rId2" w:history="1">
        <w:r w:rsidR="00265E7F">
          <w:rPr>
            <w:rStyle w:val="Hyperlink"/>
          </w:rPr>
          <w:t>312.0</w:t>
        </w:r>
      </w:hyperlink>
      <w:r>
        <w:t>)</w:t>
      </w:r>
    </w:p>
  </w:footnote>
  <w:footnote w:id="3">
    <w:p w14:paraId="403426B6" w14:textId="77777777" w:rsidR="00265E7F" w:rsidRDefault="002809BD">
      <w:pPr>
        <w:pStyle w:val="Funotentext"/>
      </w:pPr>
      <w:r>
        <w:rPr>
          <w:rStyle w:val="FootnoteCharacters"/>
        </w:rPr>
        <w:footnoteRef/>
      </w:r>
      <w:r>
        <w:rPr>
          <w:vertAlign w:val="superscript"/>
        </w:rPr>
        <w:t>)</w:t>
      </w:r>
      <w:r>
        <w:tab/>
        <w:t>Jugendstrafprozessordnung (</w:t>
      </w:r>
      <w:proofErr w:type="spellStart"/>
      <w:r>
        <w:t>JStPO</w:t>
      </w:r>
      <w:proofErr w:type="spellEnd"/>
      <w:r>
        <w:t xml:space="preserve">; SR </w:t>
      </w:r>
      <w:hyperlink r:id="rId3" w:history="1">
        <w:r w:rsidR="00265E7F">
          <w:rPr>
            <w:rStyle w:val="Hyperlink"/>
          </w:rPr>
          <w:t>312.1</w:t>
        </w:r>
      </w:hyperlink>
      <w:r>
        <w:t>)</w:t>
      </w:r>
    </w:p>
  </w:footnote>
  <w:footnote w:id="4">
    <w:p w14:paraId="2BBDDE86" w14:textId="77777777" w:rsidR="00265E7F" w:rsidRDefault="002809BD">
      <w:pPr>
        <w:pStyle w:val="Funotentext"/>
      </w:pPr>
      <w:r>
        <w:rPr>
          <w:rStyle w:val="FootnoteCharacters"/>
        </w:rPr>
        <w:footnoteRef/>
      </w:r>
      <w:r>
        <w:rPr>
          <w:vertAlign w:val="superscript"/>
        </w:rPr>
        <w:t>)</w:t>
      </w:r>
      <w:r>
        <w:tab/>
        <w:t>KV (</w:t>
      </w:r>
      <w:proofErr w:type="spellStart"/>
      <w:r>
        <w:t>bGS</w:t>
      </w:r>
      <w:proofErr w:type="spellEnd"/>
      <w:r>
        <w:t xml:space="preserve"> </w:t>
      </w:r>
      <w:hyperlink r:id="rId4" w:history="1">
        <w:r w:rsidR="00265E7F">
          <w:rPr>
            <w:rStyle w:val="Hyperlink"/>
          </w:rPr>
          <w:t>111.1</w:t>
        </w:r>
      </w:hyperlink>
      <w:r>
        <w:t>)</w:t>
      </w:r>
    </w:p>
  </w:footnote>
  <w:footnote w:id="5">
    <w:p w14:paraId="2E0E7C51" w14:textId="77777777" w:rsidR="00265E7F" w:rsidRDefault="002809BD">
      <w:pPr>
        <w:pStyle w:val="Funotentext"/>
      </w:pPr>
      <w:r>
        <w:rPr>
          <w:rStyle w:val="FootnoteCharacters"/>
        </w:rPr>
        <w:footnoteRef/>
      </w:r>
      <w:r>
        <w:rPr>
          <w:vertAlign w:val="superscript"/>
        </w:rPr>
        <w:t>)</w:t>
      </w:r>
      <w:r>
        <w:tab/>
        <w:t xml:space="preserve">Art. 274a und 301 OR (SR </w:t>
      </w:r>
      <w:hyperlink r:id="rId5" w:history="1">
        <w:r w:rsidR="00265E7F">
          <w:rPr>
            <w:rStyle w:val="Hyperlink"/>
          </w:rPr>
          <w:t>220</w:t>
        </w:r>
      </w:hyperlink>
      <w:r>
        <w:t>), Art. 11 Gleichstellungsgesetz (</w:t>
      </w:r>
      <w:proofErr w:type="spellStart"/>
      <w:r>
        <w:t>GlG</w:t>
      </w:r>
      <w:proofErr w:type="spellEnd"/>
      <w:r>
        <w:t xml:space="preserve">; SR </w:t>
      </w:r>
      <w:hyperlink r:id="rId6" w:history="1">
        <w:r w:rsidR="00265E7F">
          <w:rPr>
            <w:rStyle w:val="Hyperlink"/>
          </w:rPr>
          <w:t>151.1</w:t>
        </w:r>
      </w:hyperlink>
      <w:r>
        <w:t>)</w:t>
      </w:r>
    </w:p>
  </w:footnote>
  <w:footnote w:id="6">
    <w:p w14:paraId="7CC40DC2" w14:textId="77777777" w:rsidR="00265E7F" w:rsidRDefault="002809BD">
      <w:pPr>
        <w:pStyle w:val="Funotentext"/>
      </w:pPr>
      <w:r>
        <w:rPr>
          <w:rStyle w:val="FootnoteCharacters"/>
        </w:rPr>
        <w:footnoteRef/>
      </w:r>
      <w:r>
        <w:rPr>
          <w:vertAlign w:val="superscript"/>
        </w:rPr>
        <w:t>)</w:t>
      </w:r>
      <w:r>
        <w:tab/>
        <w:t>Art. 201 Abs. 2 ZPO</w:t>
      </w:r>
    </w:p>
  </w:footnote>
  <w:footnote w:id="7">
    <w:p w14:paraId="0850BF9F" w14:textId="77777777" w:rsidR="00265E7F" w:rsidRDefault="002809BD">
      <w:pPr>
        <w:pStyle w:val="Funotentext"/>
      </w:pPr>
      <w:r>
        <w:rPr>
          <w:rStyle w:val="FootnoteCharacters"/>
        </w:rPr>
        <w:footnoteRef/>
      </w:r>
      <w:r>
        <w:rPr>
          <w:vertAlign w:val="superscript"/>
        </w:rPr>
        <w:t>)</w:t>
      </w:r>
      <w:r>
        <w:tab/>
        <w:t>Art. 243 ff. ZPO</w:t>
      </w:r>
    </w:p>
  </w:footnote>
  <w:footnote w:id="8">
    <w:p w14:paraId="1CD3D8DB" w14:textId="77777777" w:rsidR="00265E7F" w:rsidRDefault="002809BD">
      <w:pPr>
        <w:pStyle w:val="Funotentext"/>
      </w:pPr>
      <w:r>
        <w:rPr>
          <w:rStyle w:val="FootnoteCharacters"/>
        </w:rPr>
        <w:footnoteRef/>
      </w:r>
      <w:r>
        <w:rPr>
          <w:vertAlign w:val="superscript"/>
        </w:rPr>
        <w:t>)</w:t>
      </w:r>
      <w:r>
        <w:tab/>
        <w:t xml:space="preserve">Art. 111 ZGB (SR </w:t>
      </w:r>
      <w:hyperlink r:id="rId7" w:history="1">
        <w:r w:rsidR="00265E7F">
          <w:rPr>
            <w:rStyle w:val="Hyperlink"/>
          </w:rPr>
          <w:t>210</w:t>
        </w:r>
      </w:hyperlink>
      <w:r>
        <w:t>)</w:t>
      </w:r>
    </w:p>
  </w:footnote>
  <w:footnote w:id="9">
    <w:p w14:paraId="063315D7" w14:textId="77777777" w:rsidR="00265E7F" w:rsidRDefault="002809BD">
      <w:pPr>
        <w:pStyle w:val="Funotentext"/>
      </w:pPr>
      <w:r>
        <w:rPr>
          <w:rStyle w:val="FootnoteCharacters"/>
        </w:rPr>
        <w:footnoteRef/>
      </w:r>
      <w:r>
        <w:rPr>
          <w:vertAlign w:val="superscript"/>
        </w:rPr>
        <w:t>)</w:t>
      </w:r>
      <w:r>
        <w:tab/>
        <w:t>Art. 248 ff. ZPO</w:t>
      </w:r>
    </w:p>
  </w:footnote>
  <w:footnote w:id="10">
    <w:p w14:paraId="70D98922" w14:textId="77777777" w:rsidR="00265E7F" w:rsidRDefault="002809BD">
      <w:pPr>
        <w:pStyle w:val="Funotentext"/>
      </w:pPr>
      <w:r>
        <w:rPr>
          <w:rStyle w:val="FootnoteCharacters"/>
        </w:rPr>
        <w:footnoteRef/>
      </w:r>
      <w:r>
        <w:rPr>
          <w:vertAlign w:val="superscript"/>
        </w:rPr>
        <w:t>)</w:t>
      </w:r>
      <w:r>
        <w:tab/>
        <w:t>Art. 335 ff. und Art. 347 ff. ZPO</w:t>
      </w:r>
    </w:p>
  </w:footnote>
  <w:footnote w:id="11">
    <w:p w14:paraId="646EC7BF" w14:textId="77777777" w:rsidR="00265E7F" w:rsidRDefault="002809BD">
      <w:pPr>
        <w:pStyle w:val="Funotentext"/>
      </w:pPr>
      <w:r>
        <w:rPr>
          <w:rStyle w:val="FootnoteCharacters"/>
        </w:rPr>
        <w:footnoteRef/>
      </w:r>
      <w:r>
        <w:rPr>
          <w:vertAlign w:val="superscript"/>
        </w:rPr>
        <w:t>)</w:t>
      </w:r>
      <w:r>
        <w:tab/>
        <w:t xml:space="preserve">IPRG (SR </w:t>
      </w:r>
      <w:hyperlink r:id="rId8" w:history="1">
        <w:r w:rsidR="00265E7F">
          <w:rPr>
            <w:rStyle w:val="Hyperlink"/>
          </w:rPr>
          <w:t>291</w:t>
        </w:r>
      </w:hyperlink>
      <w:r>
        <w:t>)</w:t>
      </w:r>
    </w:p>
  </w:footnote>
  <w:footnote w:id="12">
    <w:p w14:paraId="08F1E7E5" w14:textId="77777777" w:rsidR="00265E7F" w:rsidRDefault="002809BD">
      <w:pPr>
        <w:pStyle w:val="Funotentext"/>
      </w:pPr>
      <w:r>
        <w:rPr>
          <w:rStyle w:val="FootnoteCharacters"/>
        </w:rPr>
        <w:footnoteRef/>
      </w:r>
      <w:r>
        <w:rPr>
          <w:vertAlign w:val="superscript"/>
        </w:rPr>
        <w:t>)</w:t>
      </w:r>
      <w:r>
        <w:tab/>
        <w:t xml:space="preserve">IPRG (SR </w:t>
      </w:r>
      <w:hyperlink r:id="rId9" w:history="1">
        <w:r w:rsidR="00265E7F">
          <w:rPr>
            <w:rStyle w:val="Hyperlink"/>
          </w:rPr>
          <w:t>291</w:t>
        </w:r>
      </w:hyperlink>
      <w:r>
        <w:t>)</w:t>
      </w:r>
    </w:p>
  </w:footnote>
  <w:footnote w:id="13">
    <w:p w14:paraId="4359F92F" w14:textId="77777777" w:rsidR="00265E7F" w:rsidRDefault="002809BD">
      <w:pPr>
        <w:pStyle w:val="Funotentext"/>
      </w:pPr>
      <w:r>
        <w:rPr>
          <w:rStyle w:val="FootnoteCharacters"/>
        </w:rPr>
        <w:footnoteRef/>
      </w:r>
      <w:r>
        <w:rPr>
          <w:vertAlign w:val="superscript"/>
        </w:rPr>
        <w:t>)</w:t>
      </w:r>
      <w:r>
        <w:tab/>
        <w:t xml:space="preserve">BBGB (SR </w:t>
      </w:r>
      <w:hyperlink r:id="rId10" w:history="1">
        <w:r w:rsidR="00265E7F">
          <w:rPr>
            <w:rStyle w:val="Hyperlink"/>
          </w:rPr>
          <w:t>211.412.11</w:t>
        </w:r>
      </w:hyperlink>
      <w:r>
        <w:t>)</w:t>
      </w:r>
    </w:p>
  </w:footnote>
  <w:footnote w:id="14">
    <w:p w14:paraId="6DB9545E" w14:textId="77777777" w:rsidR="00265E7F" w:rsidRDefault="002809BD">
      <w:pPr>
        <w:pStyle w:val="Funotentext"/>
      </w:pPr>
      <w:r>
        <w:rPr>
          <w:rStyle w:val="FootnoteCharacters"/>
        </w:rPr>
        <w:footnoteRef/>
      </w:r>
      <w:r>
        <w:rPr>
          <w:vertAlign w:val="superscript"/>
        </w:rPr>
        <w:t>)</w:t>
      </w:r>
      <w:r>
        <w:tab/>
      </w:r>
      <w:r>
        <w:t>vgl. Art. 19 Abs. 2 </w:t>
      </w:r>
      <w:proofErr w:type="spellStart"/>
      <w:r>
        <w:t>lit</w:t>
      </w:r>
      <w:proofErr w:type="spellEnd"/>
      <w:r>
        <w:t>. b StPO</w:t>
      </w:r>
    </w:p>
  </w:footnote>
  <w:footnote w:id="15">
    <w:p w14:paraId="79E6813F" w14:textId="77777777" w:rsidR="00265E7F" w:rsidRDefault="002809BD">
      <w:pPr>
        <w:pStyle w:val="Funotentext"/>
      </w:pPr>
      <w:r>
        <w:rPr>
          <w:rStyle w:val="FootnoteCharacters"/>
        </w:rPr>
        <w:footnoteRef/>
      </w:r>
      <w:r>
        <w:rPr>
          <w:vertAlign w:val="superscript"/>
        </w:rPr>
        <w:t>)</w:t>
      </w:r>
      <w:r>
        <w:tab/>
        <w:t xml:space="preserve">SR </w:t>
      </w:r>
      <w:hyperlink r:id="rId11" w:history="1">
        <w:r w:rsidR="00265E7F">
          <w:rPr>
            <w:rStyle w:val="Hyperlink"/>
          </w:rPr>
          <w:t>311.0</w:t>
        </w:r>
      </w:hyperlink>
    </w:p>
  </w:footnote>
  <w:footnote w:id="16">
    <w:p w14:paraId="1AF94BB2" w14:textId="77777777" w:rsidR="00265E7F" w:rsidRDefault="002809BD">
      <w:pPr>
        <w:pStyle w:val="Funotentext"/>
      </w:pPr>
      <w:r>
        <w:rPr>
          <w:rStyle w:val="FootnoteCharacters"/>
        </w:rPr>
        <w:footnoteRef/>
      </w:r>
      <w:r>
        <w:rPr>
          <w:vertAlign w:val="superscript"/>
        </w:rPr>
        <w:t>)</w:t>
      </w:r>
      <w:r>
        <w:tab/>
        <w:t>vgl. Art. 19 Abs. 2 </w:t>
      </w:r>
      <w:proofErr w:type="spellStart"/>
      <w:r>
        <w:t>lit</w:t>
      </w:r>
      <w:proofErr w:type="spellEnd"/>
      <w:r>
        <w:t>. b StPO</w:t>
      </w:r>
    </w:p>
  </w:footnote>
  <w:footnote w:id="17">
    <w:p w14:paraId="68D99E3D" w14:textId="77777777" w:rsidR="00265E7F" w:rsidRDefault="002809BD">
      <w:pPr>
        <w:pStyle w:val="Funotentext"/>
      </w:pPr>
      <w:r>
        <w:rPr>
          <w:rStyle w:val="FootnoteCharacters"/>
        </w:rPr>
        <w:footnoteRef/>
      </w:r>
      <w:r>
        <w:rPr>
          <w:vertAlign w:val="superscript"/>
        </w:rPr>
        <w:t>)</w:t>
      </w:r>
      <w:r>
        <w:tab/>
        <w:t xml:space="preserve">SR </w:t>
      </w:r>
      <w:hyperlink r:id="rId12" w:history="1">
        <w:r w:rsidR="00265E7F">
          <w:rPr>
            <w:rStyle w:val="Hyperlink"/>
          </w:rPr>
          <w:t>311.0</w:t>
        </w:r>
      </w:hyperlink>
    </w:p>
  </w:footnote>
  <w:footnote w:id="18">
    <w:p w14:paraId="7F987B4C" w14:textId="77777777" w:rsidR="00265E7F" w:rsidRDefault="002809BD">
      <w:pPr>
        <w:pStyle w:val="Funotentext"/>
      </w:pPr>
      <w:r>
        <w:rPr>
          <w:rStyle w:val="FootnoteCharacters"/>
        </w:rPr>
        <w:footnoteRef/>
      </w:r>
      <w:r>
        <w:rPr>
          <w:vertAlign w:val="superscript"/>
        </w:rPr>
        <w:t>)</w:t>
      </w:r>
      <w:r>
        <w:tab/>
        <w:t>Art. 5–8 ZPO</w:t>
      </w:r>
    </w:p>
  </w:footnote>
  <w:footnote w:id="19">
    <w:p w14:paraId="17BF1D74" w14:textId="77777777" w:rsidR="00265E7F" w:rsidRDefault="002809BD">
      <w:pPr>
        <w:pStyle w:val="Funotentext"/>
      </w:pPr>
      <w:r>
        <w:rPr>
          <w:rStyle w:val="FootnoteCharacters"/>
        </w:rPr>
        <w:footnoteRef/>
      </w:r>
      <w:r>
        <w:rPr>
          <w:vertAlign w:val="superscript"/>
        </w:rPr>
        <w:t>)</w:t>
      </w:r>
      <w:r>
        <w:tab/>
        <w:t>Art. 5–8 ZPO</w:t>
      </w:r>
    </w:p>
  </w:footnote>
  <w:footnote w:id="20">
    <w:p w14:paraId="19D9B4F3" w14:textId="77777777" w:rsidR="00265E7F" w:rsidRDefault="002809BD">
      <w:pPr>
        <w:pStyle w:val="Funotentext"/>
      </w:pPr>
      <w:r>
        <w:rPr>
          <w:rStyle w:val="FootnoteCharacters"/>
        </w:rPr>
        <w:footnoteRef/>
      </w:r>
      <w:r>
        <w:rPr>
          <w:vertAlign w:val="superscript"/>
        </w:rPr>
        <w:t>)</w:t>
      </w:r>
      <w:r>
        <w:tab/>
        <w:t>Art. 308 ff., Art. 319 ff. ZPO</w:t>
      </w:r>
    </w:p>
  </w:footnote>
  <w:footnote w:id="21">
    <w:p w14:paraId="4FFF7E88" w14:textId="77777777" w:rsidR="00265E7F" w:rsidRDefault="002809BD">
      <w:pPr>
        <w:pStyle w:val="Funotentext"/>
      </w:pPr>
      <w:r>
        <w:rPr>
          <w:rStyle w:val="FootnoteCharacters"/>
        </w:rPr>
        <w:footnoteRef/>
      </w:r>
      <w:r>
        <w:rPr>
          <w:vertAlign w:val="superscript"/>
        </w:rPr>
        <w:t>)</w:t>
      </w:r>
      <w:r>
        <w:tab/>
        <w:t xml:space="preserve">Art. 356 Abs. 1 </w:t>
      </w:r>
      <w:proofErr w:type="spellStart"/>
      <w:r>
        <w:t>lit</w:t>
      </w:r>
      <w:proofErr w:type="spellEnd"/>
      <w:r>
        <w:t>. a ZPO</w:t>
      </w:r>
    </w:p>
  </w:footnote>
  <w:footnote w:id="22">
    <w:p w14:paraId="17A60059" w14:textId="77777777" w:rsidR="00265E7F" w:rsidRDefault="002809BD">
      <w:pPr>
        <w:pStyle w:val="Funotentext"/>
      </w:pPr>
      <w:r>
        <w:rPr>
          <w:rStyle w:val="FootnoteCharacters"/>
        </w:rPr>
        <w:footnoteRef/>
      </w:r>
      <w:r>
        <w:rPr>
          <w:vertAlign w:val="superscript"/>
        </w:rPr>
        <w:t>)</w:t>
      </w:r>
      <w:r>
        <w:tab/>
        <w:t xml:space="preserve">SR </w:t>
      </w:r>
      <w:hyperlink r:id="rId13" w:history="1">
        <w:r w:rsidR="00265E7F">
          <w:rPr>
            <w:rStyle w:val="Hyperlink"/>
          </w:rPr>
          <w:t>281.1</w:t>
        </w:r>
      </w:hyperlink>
    </w:p>
  </w:footnote>
  <w:footnote w:id="23">
    <w:p w14:paraId="5668211C" w14:textId="77777777" w:rsidR="00265E7F" w:rsidRDefault="002809BD">
      <w:pPr>
        <w:pStyle w:val="Funotentext"/>
      </w:pPr>
      <w:r>
        <w:rPr>
          <w:rStyle w:val="FootnoteCharacters"/>
        </w:rPr>
        <w:footnoteRef/>
      </w:r>
      <w:r>
        <w:rPr>
          <w:vertAlign w:val="superscript"/>
        </w:rPr>
        <w:t>)</w:t>
      </w:r>
      <w:r>
        <w:tab/>
        <w:t xml:space="preserve">SR </w:t>
      </w:r>
      <w:hyperlink r:id="rId14" w:history="1">
        <w:r w:rsidR="00265E7F">
          <w:rPr>
            <w:rStyle w:val="Hyperlink"/>
          </w:rPr>
          <w:t>282.11</w:t>
        </w:r>
      </w:hyperlink>
    </w:p>
  </w:footnote>
  <w:footnote w:id="24">
    <w:p w14:paraId="73CB13A6" w14:textId="77777777" w:rsidR="00265E7F" w:rsidRDefault="002809BD">
      <w:pPr>
        <w:pStyle w:val="Funotentext"/>
      </w:pPr>
      <w:r>
        <w:rPr>
          <w:rStyle w:val="FootnoteCharacters"/>
        </w:rPr>
        <w:footnoteRef/>
      </w:r>
      <w:r>
        <w:rPr>
          <w:vertAlign w:val="superscript"/>
        </w:rPr>
        <w:t>)</w:t>
      </w:r>
      <w:r>
        <w:tab/>
        <w:t>Art. 257 ZPO</w:t>
      </w:r>
    </w:p>
  </w:footnote>
  <w:footnote w:id="25">
    <w:p w14:paraId="50BDB766" w14:textId="77777777" w:rsidR="00265E7F" w:rsidRDefault="002809BD">
      <w:pPr>
        <w:pStyle w:val="Funotentext"/>
      </w:pPr>
      <w:r>
        <w:rPr>
          <w:rStyle w:val="FootnoteCharacters"/>
        </w:rPr>
        <w:footnoteRef/>
      </w:r>
      <w:r>
        <w:rPr>
          <w:vertAlign w:val="superscript"/>
        </w:rPr>
        <w:t>)</w:t>
      </w:r>
      <w:r>
        <w:tab/>
        <w:t xml:space="preserve">Art. 356 Abs. 1 </w:t>
      </w:r>
      <w:proofErr w:type="spellStart"/>
      <w:r>
        <w:t>lit</w:t>
      </w:r>
      <w:proofErr w:type="spellEnd"/>
      <w:r>
        <w:t>. b ZPO</w:t>
      </w:r>
    </w:p>
  </w:footnote>
  <w:footnote w:id="26">
    <w:p w14:paraId="193193B5" w14:textId="77777777" w:rsidR="00265E7F" w:rsidRDefault="002809BD">
      <w:pPr>
        <w:pStyle w:val="Funotentext"/>
      </w:pPr>
      <w:r>
        <w:rPr>
          <w:rStyle w:val="FootnoteCharacters"/>
        </w:rPr>
        <w:footnoteRef/>
      </w:r>
      <w:r>
        <w:rPr>
          <w:vertAlign w:val="superscript"/>
        </w:rPr>
        <w:t>)</w:t>
      </w:r>
      <w:r>
        <w:tab/>
        <w:t xml:space="preserve">Art. 356 Abs. 1 </w:t>
      </w:r>
      <w:proofErr w:type="spellStart"/>
      <w:r>
        <w:t>lit</w:t>
      </w:r>
      <w:proofErr w:type="spellEnd"/>
      <w:r>
        <w:t>. b ZPO</w:t>
      </w:r>
    </w:p>
  </w:footnote>
  <w:footnote w:id="27">
    <w:p w14:paraId="1DFC3D74" w14:textId="77777777" w:rsidR="00265E7F" w:rsidRDefault="002809BD">
      <w:pPr>
        <w:pStyle w:val="Funotentext"/>
      </w:pPr>
      <w:r>
        <w:rPr>
          <w:rStyle w:val="FootnoteCharacters"/>
        </w:rPr>
        <w:footnoteRef/>
      </w:r>
      <w:r>
        <w:rPr>
          <w:vertAlign w:val="superscript"/>
        </w:rPr>
        <w:t>)</w:t>
      </w:r>
      <w:r>
        <w:tab/>
      </w:r>
      <w:r>
        <w:t xml:space="preserve">BG-KKE (SR </w:t>
      </w:r>
      <w:hyperlink r:id="rId15" w:history="1">
        <w:r w:rsidR="00265E7F">
          <w:rPr>
            <w:rStyle w:val="Hyperlink"/>
          </w:rPr>
          <w:t>211.222.32</w:t>
        </w:r>
      </w:hyperlink>
      <w:r>
        <w:t>)</w:t>
      </w:r>
    </w:p>
  </w:footnote>
  <w:footnote w:id="28">
    <w:p w14:paraId="70CE558B" w14:textId="77777777" w:rsidR="00265E7F" w:rsidRDefault="002809BD">
      <w:pPr>
        <w:pStyle w:val="Funotentext"/>
      </w:pPr>
      <w:r>
        <w:rPr>
          <w:rStyle w:val="FootnoteCharacters"/>
        </w:rPr>
        <w:footnoteRef/>
      </w:r>
      <w:r>
        <w:rPr>
          <w:vertAlign w:val="superscript"/>
        </w:rPr>
        <w:t>)</w:t>
      </w:r>
      <w:r>
        <w:tab/>
        <w:t>Art. 393 ff. und Art. 398 ff. StPO, Art. 7 </w:t>
      </w:r>
      <w:proofErr w:type="spellStart"/>
      <w:r>
        <w:t>lit</w:t>
      </w:r>
      <w:proofErr w:type="spellEnd"/>
      <w:r>
        <w:t xml:space="preserve">. c und d </w:t>
      </w:r>
      <w:proofErr w:type="spellStart"/>
      <w:r>
        <w:t>JStPO</w:t>
      </w:r>
      <w:proofErr w:type="spellEnd"/>
    </w:p>
  </w:footnote>
  <w:footnote w:id="29">
    <w:p w14:paraId="36B49D7F" w14:textId="77777777" w:rsidR="00265E7F" w:rsidRDefault="002809BD">
      <w:pPr>
        <w:pStyle w:val="Funotentext"/>
      </w:pPr>
      <w:r>
        <w:rPr>
          <w:rStyle w:val="FootnoteCharacters"/>
        </w:rPr>
        <w:footnoteRef/>
      </w:r>
      <w:r>
        <w:rPr>
          <w:vertAlign w:val="superscript"/>
        </w:rPr>
        <w:t>)</w:t>
      </w:r>
      <w:r>
        <w:tab/>
        <w:t>vgl. Art. 3 V zur Bundesgesetzgebung über Ausländerinnen und Ausländer (</w:t>
      </w:r>
      <w:proofErr w:type="spellStart"/>
      <w:r>
        <w:t>bGS</w:t>
      </w:r>
      <w:proofErr w:type="spellEnd"/>
      <w:r>
        <w:t xml:space="preserve"> </w:t>
      </w:r>
      <w:hyperlink r:id="rId16" w:history="1">
        <w:r w:rsidR="00265E7F">
          <w:rPr>
            <w:rStyle w:val="Hyperlink"/>
          </w:rPr>
          <w:t>122.21</w:t>
        </w:r>
      </w:hyperlink>
      <w:r>
        <w:t>)</w:t>
      </w:r>
    </w:p>
  </w:footnote>
  <w:footnote w:id="30">
    <w:p w14:paraId="4A0AEF79" w14:textId="77777777" w:rsidR="00265E7F" w:rsidRDefault="002809BD">
      <w:pPr>
        <w:pStyle w:val="Funotentext"/>
      </w:pPr>
      <w:r>
        <w:rPr>
          <w:rStyle w:val="FootnoteCharacters"/>
        </w:rPr>
        <w:footnoteRef/>
      </w:r>
      <w:r>
        <w:rPr>
          <w:vertAlign w:val="superscript"/>
        </w:rPr>
        <w:t>)</w:t>
      </w:r>
      <w:r>
        <w:tab/>
        <w:t>Art. 16 StPO</w:t>
      </w:r>
    </w:p>
  </w:footnote>
  <w:footnote w:id="31">
    <w:p w14:paraId="2091C2BC" w14:textId="77777777" w:rsidR="00265E7F" w:rsidRDefault="002809BD">
      <w:pPr>
        <w:pStyle w:val="Funotentext"/>
      </w:pPr>
      <w:r>
        <w:rPr>
          <w:rStyle w:val="FootnoteCharacters"/>
        </w:rPr>
        <w:footnoteRef/>
      </w:r>
      <w:r>
        <w:rPr>
          <w:vertAlign w:val="superscript"/>
        </w:rPr>
        <w:t>)</w:t>
      </w:r>
      <w:r>
        <w:tab/>
        <w:t>Art. 6 Abs. 2 </w:t>
      </w:r>
      <w:proofErr w:type="spellStart"/>
      <w:r>
        <w:t>lit</w:t>
      </w:r>
      <w:proofErr w:type="spellEnd"/>
      <w:r>
        <w:t>. b, Art. 33 Abs. 2 </w:t>
      </w:r>
      <w:proofErr w:type="spellStart"/>
      <w:r>
        <w:t>lit</w:t>
      </w:r>
      <w:proofErr w:type="spellEnd"/>
      <w:r>
        <w:t>. b, Art. 42 Abs. 1 </w:t>
      </w:r>
      <w:proofErr w:type="spellStart"/>
      <w:r>
        <w:t>JStPO</w:t>
      </w:r>
      <w:proofErr w:type="spellEnd"/>
    </w:p>
  </w:footnote>
  <w:footnote w:id="32">
    <w:p w14:paraId="12E86E9B" w14:textId="77777777" w:rsidR="00265E7F" w:rsidRDefault="002809BD">
      <w:pPr>
        <w:pStyle w:val="Funotentext"/>
      </w:pPr>
      <w:r>
        <w:rPr>
          <w:rStyle w:val="FootnoteCharacters"/>
        </w:rPr>
        <w:footnoteRef/>
      </w:r>
      <w:r>
        <w:rPr>
          <w:vertAlign w:val="superscript"/>
        </w:rPr>
        <w:t>)</w:t>
      </w:r>
      <w:r>
        <w:tab/>
        <w:t>KV (</w:t>
      </w:r>
      <w:proofErr w:type="spellStart"/>
      <w:r>
        <w:t>bGS</w:t>
      </w:r>
      <w:proofErr w:type="spellEnd"/>
      <w:r>
        <w:t xml:space="preserve"> ...)</w:t>
      </w:r>
    </w:p>
  </w:footnote>
  <w:footnote w:id="33">
    <w:p w14:paraId="79E7EEA5" w14:textId="77777777" w:rsidR="00265E7F" w:rsidRDefault="002809BD">
      <w:pPr>
        <w:pStyle w:val="Funotentext"/>
      </w:pPr>
      <w:r>
        <w:rPr>
          <w:rStyle w:val="FootnoteCharacters"/>
        </w:rPr>
        <w:footnoteRef/>
      </w:r>
      <w:r>
        <w:rPr>
          <w:vertAlign w:val="superscript"/>
        </w:rPr>
        <w:t>)</w:t>
      </w:r>
      <w:r>
        <w:tab/>
        <w:t>vgl. Art. 45 ff. ZPO, Art. 56 ff. StPO, Art. 3 </w:t>
      </w:r>
      <w:proofErr w:type="spellStart"/>
      <w:r>
        <w:t>JStPO</w:t>
      </w:r>
      <w:proofErr w:type="spellEnd"/>
      <w:r>
        <w:t xml:space="preserve">, Art. 8 G über die Verwaltungsrechtspflege (VRPG; </w:t>
      </w:r>
      <w:proofErr w:type="spellStart"/>
      <w:r>
        <w:t>bGS</w:t>
      </w:r>
      <w:proofErr w:type="spellEnd"/>
      <w:r>
        <w:t xml:space="preserve"> </w:t>
      </w:r>
      <w:hyperlink r:id="rId17" w:history="1">
        <w:r w:rsidR="00265E7F">
          <w:rPr>
            <w:rStyle w:val="Hyperlink"/>
          </w:rPr>
          <w:t>143.1</w:t>
        </w:r>
      </w:hyperlink>
      <w:r>
        <w:t>)</w:t>
      </w:r>
    </w:p>
  </w:footnote>
  <w:footnote w:id="34">
    <w:p w14:paraId="51BB34F0" w14:textId="77777777" w:rsidR="00265E7F" w:rsidRDefault="002809BD">
      <w:pPr>
        <w:pStyle w:val="Funotentext"/>
      </w:pPr>
      <w:r>
        <w:rPr>
          <w:rStyle w:val="FootnoteCharacters"/>
        </w:rPr>
        <w:footnoteRef/>
      </w:r>
      <w:r>
        <w:rPr>
          <w:vertAlign w:val="superscript"/>
        </w:rPr>
        <w:t>)</w:t>
      </w:r>
      <w:r>
        <w:tab/>
        <w:t>vgl. Art. 47 ff. ZPO, Art. 56 ff. StPO, Art. 3 </w:t>
      </w:r>
      <w:proofErr w:type="spellStart"/>
      <w:r>
        <w:t>JStPO</w:t>
      </w:r>
      <w:proofErr w:type="spellEnd"/>
      <w:r>
        <w:t xml:space="preserve">, Art. 8 G über die Verwaltungsrechtspflege (VRPG; </w:t>
      </w:r>
      <w:proofErr w:type="spellStart"/>
      <w:r>
        <w:t>bGS</w:t>
      </w:r>
      <w:proofErr w:type="spellEnd"/>
      <w:r>
        <w:t xml:space="preserve"> </w:t>
      </w:r>
      <w:hyperlink r:id="rId18" w:history="1">
        <w:r w:rsidR="00265E7F">
          <w:rPr>
            <w:rStyle w:val="Hyperlink"/>
          </w:rPr>
          <w:t>143.1</w:t>
        </w:r>
      </w:hyperlink>
      <w:r>
        <w:t>)</w:t>
      </w:r>
    </w:p>
  </w:footnote>
  <w:footnote w:id="35">
    <w:p w14:paraId="15EAC4EA" w14:textId="77777777" w:rsidR="00265E7F" w:rsidRDefault="002809BD">
      <w:pPr>
        <w:pStyle w:val="Funotentext"/>
      </w:pPr>
      <w:r>
        <w:rPr>
          <w:rStyle w:val="FootnoteCharacters"/>
        </w:rPr>
        <w:footnoteRef/>
      </w:r>
      <w:r>
        <w:rPr>
          <w:vertAlign w:val="superscript"/>
        </w:rPr>
        <w:t>)</w:t>
      </w:r>
      <w:r>
        <w:tab/>
        <w:t>vgl. Art. 67 Abs. 3 KV</w:t>
      </w:r>
    </w:p>
  </w:footnote>
  <w:footnote w:id="36">
    <w:p w14:paraId="6A9103CC" w14:textId="77777777" w:rsidR="00265E7F" w:rsidRDefault="002809BD">
      <w:pPr>
        <w:pStyle w:val="Funotentext"/>
      </w:pPr>
      <w:r>
        <w:rPr>
          <w:rStyle w:val="FootnoteCharacters"/>
        </w:rPr>
        <w:footnoteRef/>
      </w:r>
      <w:r>
        <w:rPr>
          <w:vertAlign w:val="superscript"/>
        </w:rPr>
        <w:t>)</w:t>
      </w:r>
      <w:r>
        <w:tab/>
      </w:r>
      <w:proofErr w:type="spellStart"/>
      <w:r>
        <w:t>JStG</w:t>
      </w:r>
      <w:proofErr w:type="spellEnd"/>
      <w:r>
        <w:t xml:space="preserve"> (SR </w:t>
      </w:r>
      <w:hyperlink r:id="rId19" w:history="1">
        <w:r w:rsidR="00265E7F">
          <w:rPr>
            <w:rStyle w:val="Hyperlink"/>
          </w:rPr>
          <w:t>311.1</w:t>
        </w:r>
      </w:hyperlink>
      <w:r>
        <w:t>)</w:t>
      </w:r>
    </w:p>
  </w:footnote>
  <w:footnote w:id="37">
    <w:p w14:paraId="584B8B30" w14:textId="77777777" w:rsidR="00265E7F" w:rsidRDefault="002809BD">
      <w:pPr>
        <w:pStyle w:val="Funotentext"/>
      </w:pPr>
      <w:r>
        <w:rPr>
          <w:rStyle w:val="FootnoteCharacters"/>
        </w:rPr>
        <w:footnoteRef/>
      </w:r>
      <w:r>
        <w:rPr>
          <w:vertAlign w:val="superscript"/>
        </w:rPr>
        <w:t>)</w:t>
      </w:r>
      <w:r>
        <w:tab/>
        <w:t>Art. 444 StPO</w:t>
      </w:r>
    </w:p>
  </w:footnote>
  <w:footnote w:id="38">
    <w:p w14:paraId="6527A7B9" w14:textId="77777777" w:rsidR="00265E7F" w:rsidRDefault="002809BD">
      <w:pPr>
        <w:pStyle w:val="Funotentext"/>
      </w:pPr>
      <w:r>
        <w:rPr>
          <w:rStyle w:val="FootnoteCharacters"/>
        </w:rPr>
        <w:footnoteRef/>
      </w:r>
      <w:r>
        <w:rPr>
          <w:vertAlign w:val="superscript"/>
        </w:rPr>
        <w:t>)</w:t>
      </w:r>
      <w:r>
        <w:tab/>
        <w:t>VRPG (</w:t>
      </w:r>
      <w:proofErr w:type="spellStart"/>
      <w:r>
        <w:t>bGS</w:t>
      </w:r>
      <w:proofErr w:type="spellEnd"/>
      <w:r>
        <w:t xml:space="preserve"> </w:t>
      </w:r>
      <w:hyperlink r:id="rId20" w:history="1">
        <w:r w:rsidR="00265E7F">
          <w:rPr>
            <w:rStyle w:val="Hyperlink"/>
          </w:rPr>
          <w:t>143.1</w:t>
        </w:r>
      </w:hyperlink>
      <w:r>
        <w:t>)</w:t>
      </w:r>
    </w:p>
  </w:footnote>
  <w:footnote w:id="39">
    <w:p w14:paraId="3D5A44A4" w14:textId="77777777" w:rsidR="00265E7F" w:rsidRDefault="002809BD">
      <w:pPr>
        <w:pStyle w:val="Funotentext"/>
      </w:pPr>
      <w:r>
        <w:rPr>
          <w:rStyle w:val="FootnoteCharacters"/>
        </w:rPr>
        <w:footnoteRef/>
      </w:r>
      <w:r>
        <w:rPr>
          <w:vertAlign w:val="superscript"/>
        </w:rPr>
        <w:t>)</w:t>
      </w:r>
      <w:r>
        <w:tab/>
        <w:t xml:space="preserve">ATSG (SR </w:t>
      </w:r>
      <w:hyperlink r:id="rId21" w:history="1">
        <w:r w:rsidR="00265E7F">
          <w:rPr>
            <w:rStyle w:val="Hyperlink"/>
          </w:rPr>
          <w:t>830.1</w:t>
        </w:r>
      </w:hyperlink>
      <w:r>
        <w:t>)</w:t>
      </w:r>
    </w:p>
  </w:footnote>
  <w:footnote w:id="40">
    <w:p w14:paraId="4B0818A6" w14:textId="77777777" w:rsidR="00265E7F" w:rsidRDefault="002809BD">
      <w:pPr>
        <w:pStyle w:val="Funotentext"/>
      </w:pPr>
      <w:r>
        <w:rPr>
          <w:rStyle w:val="FootnoteCharacters"/>
        </w:rPr>
        <w:footnoteRef/>
      </w:r>
      <w:r>
        <w:rPr>
          <w:vertAlign w:val="superscript"/>
        </w:rPr>
        <w:t>)</w:t>
      </w:r>
      <w:r>
        <w:tab/>
        <w:t>Art. 442 Abs. 3 StPO</w:t>
      </w:r>
    </w:p>
  </w:footnote>
  <w:footnote w:id="41">
    <w:p w14:paraId="10A686AD" w14:textId="77777777" w:rsidR="00265E7F" w:rsidRDefault="002809BD">
      <w:pPr>
        <w:pStyle w:val="Funotentext"/>
      </w:pPr>
      <w:r>
        <w:rPr>
          <w:rStyle w:val="FootnoteCharacters"/>
        </w:rPr>
        <w:footnoteRef/>
      </w:r>
      <w:r>
        <w:rPr>
          <w:vertAlign w:val="superscript"/>
        </w:rPr>
        <w:t>)</w:t>
      </w:r>
      <w:r>
        <w:tab/>
      </w:r>
      <w:r>
        <w:t>Art. 442 Abs. 3 StPO</w:t>
      </w:r>
    </w:p>
  </w:footnote>
  <w:footnote w:id="42">
    <w:p w14:paraId="5F8963AD" w14:textId="77777777" w:rsidR="00265E7F" w:rsidRDefault="002809BD">
      <w:pPr>
        <w:pStyle w:val="Funotentext"/>
      </w:pPr>
      <w:r>
        <w:rPr>
          <w:rStyle w:val="FootnoteCharacters"/>
        </w:rPr>
        <w:footnoteRef/>
      </w:r>
      <w:r>
        <w:rPr>
          <w:vertAlign w:val="superscript"/>
        </w:rPr>
        <w:t>)</w:t>
      </w:r>
      <w:r>
        <w:tab/>
        <w:t>Art. 142 Abs. 1 StPO</w:t>
      </w:r>
    </w:p>
  </w:footnote>
  <w:footnote w:id="43">
    <w:p w14:paraId="34C1D2F8" w14:textId="77777777" w:rsidR="00265E7F" w:rsidRDefault="002809BD">
      <w:pPr>
        <w:pStyle w:val="Funotentext"/>
      </w:pPr>
      <w:r>
        <w:rPr>
          <w:rStyle w:val="FootnoteCharacters"/>
        </w:rPr>
        <w:footnoteRef/>
      </w:r>
      <w:r>
        <w:rPr>
          <w:vertAlign w:val="superscript"/>
        </w:rPr>
        <w:t>)</w:t>
      </w:r>
      <w:r>
        <w:tab/>
        <w:t>Art. 142 Abs. 2 StPO</w:t>
      </w:r>
    </w:p>
  </w:footnote>
  <w:footnote w:id="44">
    <w:p w14:paraId="0AC735E2" w14:textId="77777777" w:rsidR="00265E7F" w:rsidRDefault="002809BD">
      <w:pPr>
        <w:pStyle w:val="Funotentext"/>
      </w:pPr>
      <w:r>
        <w:rPr>
          <w:rStyle w:val="FootnoteCharacters"/>
        </w:rPr>
        <w:footnoteRef/>
      </w:r>
      <w:r>
        <w:rPr>
          <w:vertAlign w:val="superscript"/>
        </w:rPr>
        <w:t>)</w:t>
      </w:r>
      <w:r>
        <w:tab/>
        <w:t>Art. 142 Abs. 2 StPO</w:t>
      </w:r>
    </w:p>
  </w:footnote>
  <w:footnote w:id="45">
    <w:p w14:paraId="176AE503" w14:textId="77777777" w:rsidR="00265E7F" w:rsidRDefault="002809BD">
      <w:pPr>
        <w:pStyle w:val="Funotentext"/>
      </w:pPr>
      <w:r>
        <w:rPr>
          <w:rStyle w:val="FootnoteCharacters"/>
        </w:rPr>
        <w:footnoteRef/>
      </w:r>
      <w:r>
        <w:rPr>
          <w:vertAlign w:val="superscript"/>
        </w:rPr>
        <w:t>)</w:t>
      </w:r>
      <w:r>
        <w:tab/>
        <w:t>Art. 363 Abs. 3 StPO</w:t>
      </w:r>
    </w:p>
  </w:footnote>
  <w:footnote w:id="46">
    <w:p w14:paraId="7AE0699F" w14:textId="77777777" w:rsidR="00265E7F" w:rsidRDefault="002809BD">
      <w:pPr>
        <w:pStyle w:val="Funotentext"/>
      </w:pPr>
      <w:r>
        <w:rPr>
          <w:rStyle w:val="FootnoteCharacters"/>
        </w:rPr>
        <w:footnoteRef/>
      </w:r>
      <w:r>
        <w:rPr>
          <w:vertAlign w:val="superscript"/>
        </w:rPr>
        <w:t>)</w:t>
      </w:r>
      <w:r>
        <w:tab/>
        <w:t>Art. 363 Abs. 3 StPO</w:t>
      </w:r>
    </w:p>
  </w:footnote>
  <w:footnote w:id="47">
    <w:p w14:paraId="0E40E82F" w14:textId="77777777" w:rsidR="00265E7F" w:rsidRDefault="002809BD">
      <w:pPr>
        <w:pStyle w:val="Funotentext"/>
      </w:pPr>
      <w:r>
        <w:rPr>
          <w:rStyle w:val="FootnoteCharacters"/>
        </w:rPr>
        <w:footnoteRef/>
      </w:r>
      <w:r>
        <w:rPr>
          <w:vertAlign w:val="superscript"/>
        </w:rPr>
        <w:t>)</w:t>
      </w:r>
      <w:r>
        <w:tab/>
        <w:t>Bussenkatalog für die Bussenerhebung auf der Stelle durch die Kantonspolizei (</w:t>
      </w:r>
      <w:proofErr w:type="spellStart"/>
      <w:r>
        <w:t>bGS</w:t>
      </w:r>
      <w:proofErr w:type="spellEnd"/>
      <w:r>
        <w:t xml:space="preserve"> </w:t>
      </w:r>
      <w:hyperlink r:id="rId22" w:history="1">
        <w:r w:rsidR="00265E7F">
          <w:rPr>
            <w:rStyle w:val="Hyperlink"/>
          </w:rPr>
          <w:t>323.1</w:t>
        </w:r>
      </w:hyperlink>
      <w:r>
        <w:t>)</w:t>
      </w:r>
    </w:p>
  </w:footnote>
  <w:footnote w:id="48">
    <w:p w14:paraId="6B180A72" w14:textId="77777777" w:rsidR="00265E7F" w:rsidRDefault="002809BD">
      <w:pPr>
        <w:pStyle w:val="Funotentext"/>
      </w:pPr>
      <w:r>
        <w:rPr>
          <w:rStyle w:val="FootnoteCharacters"/>
        </w:rPr>
        <w:footnoteRef/>
      </w:r>
      <w:r>
        <w:rPr>
          <w:vertAlign w:val="superscript"/>
        </w:rPr>
        <w:t>)</w:t>
      </w:r>
      <w:r>
        <w:tab/>
        <w:t xml:space="preserve">BEKJ (SR </w:t>
      </w:r>
      <w:hyperlink r:id="rId23" w:history="1">
        <w:r w:rsidR="00265E7F">
          <w:rPr>
            <w:rStyle w:val="Hyperlink"/>
          </w:rPr>
          <w:t>172.023</w:t>
        </w:r>
      </w:hyperlink>
      <w:r>
        <w:t>)</w:t>
      </w:r>
    </w:p>
  </w:footnote>
  <w:footnote w:id="49">
    <w:p w14:paraId="14559A2C" w14:textId="77777777" w:rsidR="00265E7F" w:rsidRDefault="002809BD">
      <w:pPr>
        <w:pStyle w:val="Funotentext"/>
      </w:pPr>
      <w:r>
        <w:rPr>
          <w:rStyle w:val="FootnoteCharacters"/>
        </w:rPr>
        <w:footnoteRef/>
      </w:r>
      <w:r>
        <w:rPr>
          <w:vertAlign w:val="superscript"/>
        </w:rPr>
        <w:t>)</w:t>
      </w:r>
      <w:r>
        <w:tab/>
        <w:t xml:space="preserve">Art. 8b ff. OHG (SR </w:t>
      </w:r>
      <w:hyperlink r:id="rId24" w:history="1">
        <w:r w:rsidR="00265E7F">
          <w:rPr>
            <w:rStyle w:val="Hyperlink"/>
          </w:rPr>
          <w:t>312.5</w:t>
        </w:r>
      </w:hyperlink>
      <w:r>
        <w:t>)</w:t>
      </w:r>
    </w:p>
  </w:footnote>
  <w:footnote w:id="50">
    <w:p w14:paraId="33084D0C" w14:textId="77777777" w:rsidR="00265E7F" w:rsidRDefault="002809BD">
      <w:pPr>
        <w:pStyle w:val="Funotentext"/>
      </w:pPr>
      <w:r>
        <w:rPr>
          <w:rStyle w:val="FootnoteCharacters"/>
        </w:rPr>
        <w:footnoteRef/>
      </w:r>
      <w:r>
        <w:rPr>
          <w:vertAlign w:val="superscript"/>
        </w:rPr>
        <w:t>)</w:t>
      </w:r>
      <w:r>
        <w:tab/>
        <w:t>VRPG (</w:t>
      </w:r>
      <w:proofErr w:type="spellStart"/>
      <w:r>
        <w:t>bGS</w:t>
      </w:r>
      <w:proofErr w:type="spellEnd"/>
      <w:r>
        <w:t xml:space="preserve"> </w:t>
      </w:r>
      <w:hyperlink r:id="rId25" w:history="1">
        <w:r w:rsidR="00265E7F">
          <w:rPr>
            <w:rStyle w:val="Hyperlink"/>
          </w:rPr>
          <w:t>143.1</w:t>
        </w:r>
      </w:hyperlink>
      <w:r>
        <w:t>)</w:t>
      </w:r>
    </w:p>
  </w:footnote>
  <w:footnote w:id="51">
    <w:p w14:paraId="60808EA3" w14:textId="77777777" w:rsidR="00265E7F" w:rsidRDefault="002809BD">
      <w:pPr>
        <w:pStyle w:val="Funotentext"/>
      </w:pPr>
      <w:r>
        <w:rPr>
          <w:rStyle w:val="FootnoteCharacters"/>
        </w:rPr>
        <w:footnoteRef/>
      </w:r>
      <w:r>
        <w:rPr>
          <w:vertAlign w:val="superscript"/>
        </w:rPr>
        <w:t>)</w:t>
      </w:r>
      <w:r>
        <w:tab/>
      </w:r>
      <w:r>
        <w:t xml:space="preserve">BEKJ (SR </w:t>
      </w:r>
      <w:hyperlink r:id="rId26" w:history="1">
        <w:r w:rsidR="00265E7F">
          <w:rPr>
            <w:rStyle w:val="Hyperlink"/>
          </w:rPr>
          <w:t>172.023</w:t>
        </w:r>
      </w:hyperlink>
      <w:r>
        <w:t>)</w:t>
      </w:r>
    </w:p>
  </w:footnote>
  <w:footnote w:id="52">
    <w:p w14:paraId="3EECF5C8" w14:textId="77777777" w:rsidR="00265E7F" w:rsidRDefault="002809BD">
      <w:pPr>
        <w:pStyle w:val="Funotentext"/>
      </w:pPr>
      <w:r>
        <w:rPr>
          <w:rStyle w:val="FootnoteCharacters"/>
        </w:rPr>
        <w:footnoteRef/>
      </w:r>
      <w:r>
        <w:rPr>
          <w:vertAlign w:val="superscript"/>
        </w:rPr>
        <w:t>)</w:t>
      </w:r>
      <w:r>
        <w:tab/>
        <w:t xml:space="preserve">Art. 128a ff. ZPO (SR </w:t>
      </w:r>
      <w:hyperlink r:id="rId27" w:history="1">
        <w:r w:rsidR="00265E7F">
          <w:rPr>
            <w:rStyle w:val="Hyperlink"/>
          </w:rPr>
          <w:t>272</w:t>
        </w:r>
      </w:hyperlink>
      <w:r>
        <w:t>)</w:t>
      </w:r>
    </w:p>
  </w:footnote>
  <w:footnote w:id="53">
    <w:p w14:paraId="239DC915" w14:textId="77777777" w:rsidR="00265E7F" w:rsidRDefault="002809BD">
      <w:pPr>
        <w:pStyle w:val="Funotentext"/>
      </w:pPr>
      <w:r>
        <w:rPr>
          <w:rStyle w:val="FootnoteCharacters"/>
        </w:rPr>
        <w:footnoteRef/>
      </w:r>
      <w:r>
        <w:rPr>
          <w:vertAlign w:val="superscript"/>
        </w:rPr>
        <w:t>)</w:t>
      </w:r>
      <w:r>
        <w:tab/>
        <w:t>JG (</w:t>
      </w:r>
      <w:proofErr w:type="spellStart"/>
      <w:r>
        <w:t>bGS</w:t>
      </w:r>
      <w:proofErr w:type="spellEnd"/>
      <w:r>
        <w:t xml:space="preserve"> </w:t>
      </w:r>
      <w:hyperlink r:id="rId28" w:history="1">
        <w:r w:rsidR="00265E7F">
          <w:rPr>
            <w:rStyle w:val="Hyperlink"/>
          </w:rPr>
          <w:t>145.21</w:t>
        </w:r>
      </w:hyperlink>
      <w:r>
        <w:t>)</w:t>
      </w:r>
    </w:p>
  </w:footnote>
  <w:footnote w:id="54">
    <w:p w14:paraId="7737F2C8" w14:textId="77777777" w:rsidR="00265E7F" w:rsidRDefault="002809BD">
      <w:pPr>
        <w:pStyle w:val="Funotentext"/>
      </w:pPr>
      <w:r>
        <w:rPr>
          <w:rStyle w:val="FootnoteCharacters"/>
        </w:rPr>
        <w:footnoteRef/>
      </w:r>
      <w:r>
        <w:rPr>
          <w:vertAlign w:val="superscript"/>
        </w:rPr>
        <w:t>)</w:t>
      </w:r>
      <w:r>
        <w:tab/>
        <w:t>JG (</w:t>
      </w:r>
      <w:proofErr w:type="spellStart"/>
      <w:r>
        <w:t>bGS</w:t>
      </w:r>
      <w:proofErr w:type="spellEnd"/>
      <w:r>
        <w:t xml:space="preserve"> </w:t>
      </w:r>
      <w:hyperlink r:id="rId29" w:history="1">
        <w:r w:rsidR="00265E7F">
          <w:rPr>
            <w:rStyle w:val="Hyperlink"/>
          </w:rPr>
          <w:t>145.21</w:t>
        </w:r>
      </w:hyperlink>
      <w:r>
        <w:t>)</w:t>
      </w:r>
    </w:p>
  </w:footnote>
  <w:footnote w:id="55">
    <w:p w14:paraId="3869DFCA" w14:textId="77777777" w:rsidR="00265E7F" w:rsidRDefault="002809BD">
      <w:pPr>
        <w:pStyle w:val="Funotentext"/>
      </w:pPr>
      <w:r>
        <w:rPr>
          <w:rStyle w:val="FootnoteCharacters"/>
        </w:rPr>
        <w:footnoteRef/>
      </w:r>
      <w:r>
        <w:rPr>
          <w:vertAlign w:val="superscript"/>
        </w:rPr>
        <w:t>)</w:t>
      </w:r>
      <w:r>
        <w:tab/>
        <w:t xml:space="preserve">Zivilprozessordnung (ZPO; SR </w:t>
      </w:r>
      <w:hyperlink r:id="rId30" w:history="1">
        <w:r w:rsidR="00265E7F">
          <w:rPr>
            <w:rStyle w:val="Hyperlink"/>
          </w:rPr>
          <w:t>272</w:t>
        </w:r>
      </w:hyperlink>
      <w:r>
        <w:t>)</w:t>
      </w:r>
    </w:p>
  </w:footnote>
  <w:footnote w:id="56">
    <w:p w14:paraId="50BB090C" w14:textId="77777777" w:rsidR="00265E7F" w:rsidRDefault="002809BD">
      <w:pPr>
        <w:pStyle w:val="Funotentext"/>
      </w:pPr>
      <w:r>
        <w:rPr>
          <w:rStyle w:val="FootnoteCharacters"/>
        </w:rPr>
        <w:footnoteRef/>
      </w:r>
      <w:r>
        <w:rPr>
          <w:vertAlign w:val="superscript"/>
        </w:rPr>
        <w:t>)</w:t>
      </w:r>
      <w:r>
        <w:tab/>
        <w:t>Art. 8 VRPG (</w:t>
      </w:r>
      <w:proofErr w:type="spellStart"/>
      <w:r>
        <w:t>bGS</w:t>
      </w:r>
      <w:proofErr w:type="spellEnd"/>
      <w:r>
        <w:t xml:space="preserve"> </w:t>
      </w:r>
      <w:hyperlink r:id="rId31" w:history="1">
        <w:r w:rsidR="00265E7F">
          <w:rPr>
            <w:rStyle w:val="Hyperlink"/>
          </w:rPr>
          <w:t>143.1</w:t>
        </w:r>
      </w:hyperlink>
      <w:r>
        <w:t>)</w:t>
      </w:r>
    </w:p>
  </w:footnote>
  <w:footnote w:id="57">
    <w:p w14:paraId="3256E1D5" w14:textId="77777777" w:rsidR="00265E7F" w:rsidRDefault="002809BD">
      <w:pPr>
        <w:pStyle w:val="Funotentext"/>
      </w:pPr>
      <w:r>
        <w:rPr>
          <w:rStyle w:val="FootnoteCharacters"/>
        </w:rPr>
        <w:footnoteRef/>
      </w:r>
      <w:r>
        <w:rPr>
          <w:vertAlign w:val="superscript"/>
        </w:rPr>
        <w:t>)</w:t>
      </w:r>
      <w:r>
        <w:tab/>
        <w:t>Art. 8 VRPG (</w:t>
      </w:r>
      <w:proofErr w:type="spellStart"/>
      <w:r>
        <w:t>bGS</w:t>
      </w:r>
      <w:proofErr w:type="spellEnd"/>
      <w:r>
        <w:t xml:space="preserve"> </w:t>
      </w:r>
      <w:hyperlink r:id="rId32" w:history="1">
        <w:r w:rsidR="00265E7F">
          <w:rPr>
            <w:rStyle w:val="Hyperlink"/>
          </w:rPr>
          <w:t>143.1</w:t>
        </w:r>
      </w:hyperlink>
      <w:r>
        <w:t>)</w:t>
      </w:r>
    </w:p>
  </w:footnote>
  <w:footnote w:id="58">
    <w:p w14:paraId="4A22855D" w14:textId="77777777" w:rsidR="00265E7F" w:rsidRDefault="002809BD">
      <w:pPr>
        <w:pStyle w:val="Funotentext"/>
      </w:pPr>
      <w:r>
        <w:rPr>
          <w:rStyle w:val="FootnoteCharacters"/>
        </w:rPr>
        <w:footnoteRef/>
      </w:r>
      <w:r>
        <w:rPr>
          <w:vertAlign w:val="superscript"/>
        </w:rPr>
        <w:t>)</w:t>
      </w:r>
      <w:r>
        <w:tab/>
        <w:t xml:space="preserve">Strafprozessordnung (StPO; SR </w:t>
      </w:r>
      <w:hyperlink r:id="rId33" w:history="1">
        <w:r w:rsidR="00265E7F">
          <w:rPr>
            <w:rStyle w:val="Hyperlink"/>
          </w:rPr>
          <w:t>312.0</w:t>
        </w:r>
      </w:hyperlink>
      <w:r>
        <w:t>)</w:t>
      </w:r>
    </w:p>
  </w:footnote>
  <w:footnote w:id="59">
    <w:p w14:paraId="29632A96" w14:textId="77777777" w:rsidR="00265E7F" w:rsidRDefault="002809BD">
      <w:pPr>
        <w:pStyle w:val="Funotentext"/>
      </w:pPr>
      <w:r>
        <w:rPr>
          <w:rStyle w:val="FootnoteCharacters"/>
        </w:rPr>
        <w:footnoteRef/>
      </w:r>
      <w:r>
        <w:rPr>
          <w:vertAlign w:val="superscript"/>
        </w:rPr>
        <w:t>)</w:t>
      </w:r>
      <w:r>
        <w:tab/>
        <w:t xml:space="preserve">StPO (SR </w:t>
      </w:r>
      <w:hyperlink r:id="rId34" w:history="1">
        <w:r w:rsidR="00265E7F">
          <w:rPr>
            <w:rStyle w:val="Hyperlink"/>
          </w:rPr>
          <w:t>312.0</w:t>
        </w:r>
      </w:hyperlink>
      <w:r>
        <w:t>)</w:t>
      </w:r>
    </w:p>
  </w:footnote>
  <w:footnote w:id="60">
    <w:p w14:paraId="5C658240" w14:textId="77777777" w:rsidR="00265E7F" w:rsidRDefault="002809BD">
      <w:pPr>
        <w:pStyle w:val="Funotentext"/>
      </w:pPr>
      <w:r>
        <w:rPr>
          <w:rStyle w:val="FootnoteCharacters"/>
        </w:rPr>
        <w:footnoteRef/>
      </w:r>
      <w:r>
        <w:rPr>
          <w:vertAlign w:val="superscript"/>
        </w:rPr>
        <w:t>)</w:t>
      </w:r>
      <w:r>
        <w:tab/>
      </w:r>
      <w:proofErr w:type="spellStart"/>
      <w:r>
        <w:t>JStPO</w:t>
      </w:r>
      <w:proofErr w:type="spellEnd"/>
      <w:r>
        <w:t xml:space="preserve"> (SR </w:t>
      </w:r>
      <w:hyperlink r:id="rId35" w:history="1">
        <w:r w:rsidR="00265E7F">
          <w:rPr>
            <w:rStyle w:val="Hyperlink"/>
          </w:rPr>
          <w:t>312.1</w:t>
        </w:r>
      </w:hyperlink>
      <w:r>
        <w:t>)</w:t>
      </w:r>
    </w:p>
  </w:footnote>
  <w:footnote w:id="61">
    <w:p w14:paraId="3D42AF36" w14:textId="77777777" w:rsidR="00265E7F" w:rsidRDefault="002809BD">
      <w:pPr>
        <w:pStyle w:val="Funotentext"/>
      </w:pPr>
      <w:r>
        <w:rPr>
          <w:rStyle w:val="FootnoteCharacters"/>
        </w:rPr>
        <w:footnoteRef/>
      </w:r>
      <w:r>
        <w:rPr>
          <w:vertAlign w:val="superscript"/>
        </w:rPr>
        <w:t>)</w:t>
      </w:r>
      <w:r>
        <w:tab/>
        <w:t>JG (</w:t>
      </w:r>
      <w:proofErr w:type="spellStart"/>
      <w:r>
        <w:t>bGS</w:t>
      </w:r>
      <w:proofErr w:type="spellEnd"/>
      <w:r>
        <w:t xml:space="preserve"> </w:t>
      </w:r>
      <w:hyperlink r:id="rId36" w:history="1">
        <w:r w:rsidR="00265E7F">
          <w:rPr>
            <w:rStyle w:val="Hyperlink"/>
          </w:rPr>
          <w:t>145.31</w:t>
        </w:r>
      </w:hyperlink>
      <w:r>
        <w:t>)</w:t>
      </w:r>
    </w:p>
  </w:footnote>
  <w:footnote w:id="62">
    <w:p w14:paraId="42487BEA" w14:textId="77777777" w:rsidR="00265E7F" w:rsidRDefault="002809BD">
      <w:pPr>
        <w:pStyle w:val="Funotentext"/>
      </w:pPr>
      <w:r>
        <w:rPr>
          <w:rStyle w:val="FootnoteCharacters"/>
        </w:rPr>
        <w:footnoteRef/>
      </w:r>
      <w:r>
        <w:rPr>
          <w:vertAlign w:val="superscript"/>
        </w:rPr>
        <w:t>)</w:t>
      </w:r>
      <w:r>
        <w:tab/>
        <w:t>Art. 8 Abs. 2 Datenschutzgesetz (</w:t>
      </w:r>
      <w:proofErr w:type="spellStart"/>
      <w:r>
        <w:t>bGS</w:t>
      </w:r>
      <w:proofErr w:type="spellEnd"/>
      <w:r>
        <w:t xml:space="preserve"> </w:t>
      </w:r>
      <w:hyperlink r:id="rId37" w:history="1">
        <w:r w:rsidR="00265E7F">
          <w:rPr>
            <w:rStyle w:val="Hyperlink"/>
          </w:rPr>
          <w:t>146.1</w:t>
        </w:r>
      </w:hyperlink>
      <w:r>
        <w:t>)</w:t>
      </w:r>
    </w:p>
  </w:footnote>
  <w:footnote w:id="63">
    <w:p w14:paraId="71C69CEB" w14:textId="77777777" w:rsidR="00265E7F" w:rsidRDefault="002809BD">
      <w:pPr>
        <w:pStyle w:val="Funotentext"/>
      </w:pPr>
      <w:r>
        <w:rPr>
          <w:rStyle w:val="FootnoteCharacters"/>
        </w:rPr>
        <w:footnoteRef/>
      </w:r>
      <w:r>
        <w:rPr>
          <w:vertAlign w:val="superscript"/>
        </w:rPr>
        <w:t>)</w:t>
      </w:r>
      <w:r>
        <w:tab/>
        <w:t>JG (</w:t>
      </w:r>
      <w:proofErr w:type="spellStart"/>
      <w:r>
        <w:t>bGS</w:t>
      </w:r>
      <w:proofErr w:type="spellEnd"/>
      <w:r>
        <w:t xml:space="preserve"> </w:t>
      </w:r>
      <w:hyperlink r:id="rId38" w:history="1">
        <w:r w:rsidR="00265E7F">
          <w:rPr>
            <w:rStyle w:val="Hyperlink"/>
          </w:rPr>
          <w:t>145.31</w:t>
        </w:r>
      </w:hyperlink>
      <w:r>
        <w:t>)</w:t>
      </w:r>
    </w:p>
  </w:footnote>
  <w:footnote w:id="64">
    <w:p w14:paraId="6B7EC633" w14:textId="77777777" w:rsidR="00265E7F" w:rsidRDefault="002809BD">
      <w:pPr>
        <w:pStyle w:val="Funotentext"/>
      </w:pPr>
      <w:r>
        <w:rPr>
          <w:rStyle w:val="FootnoteCharacters"/>
        </w:rPr>
        <w:footnoteRef/>
      </w:r>
      <w:r>
        <w:rPr>
          <w:vertAlign w:val="superscript"/>
        </w:rPr>
        <w:t>)</w:t>
      </w:r>
      <w:r>
        <w:tab/>
        <w:t>ZPO (</w:t>
      </w:r>
      <w:proofErr w:type="spellStart"/>
      <w:r>
        <w:t>bGS</w:t>
      </w:r>
      <w:proofErr w:type="spellEnd"/>
      <w:r>
        <w:t xml:space="preserve"> </w:t>
      </w:r>
      <w:hyperlink r:id="rId39" w:history="1">
        <w:r w:rsidR="00265E7F">
          <w:rPr>
            <w:rStyle w:val="Hyperlink"/>
          </w:rPr>
          <w:t>231.1</w:t>
        </w:r>
      </w:hyperlink>
      <w:r>
        <w:t>)</w:t>
      </w:r>
    </w:p>
  </w:footnote>
  <w:footnote w:id="65">
    <w:p w14:paraId="798682D7" w14:textId="77777777" w:rsidR="00265E7F" w:rsidRDefault="002809BD">
      <w:pPr>
        <w:pStyle w:val="Funotentext"/>
      </w:pPr>
      <w:r>
        <w:rPr>
          <w:rStyle w:val="FootnoteCharacters"/>
        </w:rPr>
        <w:footnoteRef/>
      </w:r>
      <w:r>
        <w:rPr>
          <w:vertAlign w:val="superscript"/>
        </w:rPr>
        <w:t>)</w:t>
      </w:r>
      <w:r>
        <w:tab/>
      </w:r>
      <w:proofErr w:type="spellStart"/>
      <w:r>
        <w:t>bGS</w:t>
      </w:r>
      <w:proofErr w:type="spellEnd"/>
      <w:r>
        <w:t xml:space="preserve"> </w:t>
      </w:r>
      <w:hyperlink r:id="rId40" w:history="1">
        <w:r w:rsidR="00265E7F">
          <w:rPr>
            <w:rStyle w:val="Hyperlink"/>
          </w:rPr>
          <w:t>231.1</w:t>
        </w:r>
      </w:hyperlink>
    </w:p>
  </w:footnote>
  <w:footnote w:id="66">
    <w:p w14:paraId="38567D19" w14:textId="77777777" w:rsidR="00265E7F" w:rsidRDefault="002809BD">
      <w:pPr>
        <w:pStyle w:val="Funotentext"/>
      </w:pPr>
      <w:r>
        <w:rPr>
          <w:rStyle w:val="FootnoteCharacters"/>
        </w:rPr>
        <w:footnoteRef/>
      </w:r>
      <w:r>
        <w:rPr>
          <w:vertAlign w:val="superscript"/>
        </w:rPr>
        <w:t>)</w:t>
      </w:r>
      <w:r>
        <w:tab/>
      </w:r>
      <w:proofErr w:type="spellStart"/>
      <w:r>
        <w:t>bGS</w:t>
      </w:r>
      <w:proofErr w:type="spellEnd"/>
      <w:r>
        <w:t xml:space="preserve"> </w:t>
      </w:r>
      <w:hyperlink r:id="rId41" w:history="1">
        <w:r w:rsidR="00265E7F">
          <w:rPr>
            <w:rStyle w:val="Hyperlink"/>
          </w:rPr>
          <w:t>231.1</w:t>
        </w:r>
      </w:hyperlink>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939BA0A" w14:textId="77777777" w:rsidR="00265E7F" w:rsidRDefault="002809BD">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38</w:t>
    </w:r>
    <w:r>
      <w:rPr>
        <w:sz w:val="16"/>
      </w:rPr>
      <w:fldChar w:fldCharType="end"/>
    </w:r>
    <w:r>
      <w:rPr>
        <w:sz w:val="16"/>
      </w:rPr>
      <w:t xml:space="preserve"> -</w:t>
    </w:r>
  </w:p>
  <w:p w14:paraId="76A2EC25" w14:textId="77777777" w:rsidR="00265E7F" w:rsidRDefault="00265E7F">
    <w:pPr>
      <w:pStyle w:val="Kopfzeile"/>
      <w:spacing w:line="12pt" w:lineRule="exact"/>
      <w:jc w:val="center"/>
      <w:rPr>
        <w:sz w:val="22"/>
      </w:rPr>
    </w:pPr>
  </w:p>
  <w:p w14:paraId="634A3177" w14:textId="77777777" w:rsidR="00265E7F" w:rsidRDefault="00265E7F">
    <w:pPr>
      <w:pStyle w:val="Kopfzeile"/>
      <w:spacing w:line="12pt" w:lineRule="exact"/>
      <w:jc w:val="center"/>
      <w:rPr>
        <w:sz w:val="22"/>
      </w:rP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DBF0EA9" w14:textId="77777777" w:rsidR="00265E7F" w:rsidRDefault="002809BD">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37</w:t>
    </w:r>
    <w:r>
      <w:rPr>
        <w:sz w:val="16"/>
      </w:rPr>
      <w:fldChar w:fldCharType="end"/>
    </w:r>
    <w:r>
      <w:rPr>
        <w:sz w:val="16"/>
      </w:rPr>
      <w:t xml:space="preserve"> -</w:t>
    </w:r>
  </w:p>
  <w:p w14:paraId="35A237B2" w14:textId="77777777" w:rsidR="00265E7F" w:rsidRDefault="00265E7F">
    <w:pPr>
      <w:pStyle w:val="Kopfzeile"/>
      <w:spacing w:line="12pt" w:lineRule="exact"/>
      <w:jc w:val="center"/>
      <w:rPr>
        <w:sz w:val="22"/>
      </w:rPr>
    </w:pPr>
  </w:p>
  <w:p w14:paraId="2B3F7A63" w14:textId="77777777" w:rsidR="00265E7F" w:rsidRDefault="00265E7F">
    <w:pPr>
      <w:pStyle w:val="Kopfzeile"/>
      <w:spacing w:line="12pt" w:lineRule="exact"/>
      <w:jc w:val="center"/>
      <w:rPr>
        <w:sz w:val="22"/>
      </w:rP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5912F2B" w14:textId="77777777" w:rsidR="00265E7F" w:rsidRDefault="00265E7F">
    <w:pPr>
      <w:pStyle w:val="Kopfzeile"/>
      <w:spacing w:line="12pt" w:lineRule="exact"/>
      <w:jc w:val="center"/>
      <w:rPr>
        <w:sz w:val="16"/>
      </w:rPr>
    </w:pP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5pt"/>
  <w:autoHyphenation/>
  <w:hyphenationZone w:val="21.25pt"/>
  <w:defaultTableStyle w:val="Standard"/>
  <w:evenAndOddHeaders/>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E7F"/>
    <w:rsid w:val="000152CA"/>
    <w:rsid w:val="00265E7F"/>
    <w:rsid w:val="002809BD"/>
    <w:rsid w:val="00296D10"/>
    <w:rsid w:val="00451769"/>
    <w:rsid w:val="00503303"/>
    <w:rsid w:val="00567EDF"/>
    <w:rsid w:val="009B566A"/>
    <w:rsid w:val="00C6565B"/>
    <w:rsid w:val="00CB394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EmbedSmartTags/>
  <w:decimalSymbol w:val="."/>
  <w:listSeparator w:val=";"/>
  <w14:docId w14:val="2D7BB63C"/>
  <w15:docId w15:val="{59F4CFA9-41EC-4FF8-A005-EA93736EFD48}"/>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keepLines/>
      <w:widowControl w:val="0"/>
      <w:tabs>
        <w:tab w:val="end" w:pos="742.70pt"/>
      </w:tabs>
    </w:pPr>
    <w:rPr>
      <w:rFonts w:ascii="Arial" w:hAnsi="Arial"/>
      <w:lang w:val="de-CH"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pt" w:type="dxa"/>
      <w:tblCellMar>
        <w:top w:w="0pt" w:type="dxa"/>
        <w:start w:w="5.40pt" w:type="dxa"/>
        <w:bottom w:w="0pt" w:type="dxa"/>
        <w:end w:w="5.40pt" w:type="dxa"/>
      </w:tblCellMar>
    </w:tblPr>
    <w:trPr>
      <w:hidden/>
    </w:trPr>
  </w:style>
  <w:style w:type="numbering" w:default="1" w:styleId="KeineListe">
    <w:name w:val="No List"/>
    <w:uiPriority w:val="99"/>
    <w:semiHidden/>
    <w:unhideWhenUsed/>
  </w:style>
  <w:style w:type="character" w:customStyle="1" w:styleId="ZusammenfassungHauptnderung">
    <w:name w:val="Zusammenfassung Hauptänderung"/>
    <w:rPr>
      <w:b/>
    </w:rPr>
  </w:style>
  <w:style w:type="character" w:customStyle="1" w:styleId="Zusammenfassungnderung">
    <w:name w:val="Zusammenfassung Änderung"/>
  </w:style>
  <w:style w:type="character" w:customStyle="1" w:styleId="Absatz-Standardschriftart1">
    <w:name w:val="Absatz-Standardschriftart1"/>
  </w:style>
  <w:style w:type="character" w:styleId="Funotenzeichen">
    <w:name w:val="footnote reference"/>
    <w:rPr>
      <w:b w:val="0"/>
      <w:shd w:val="clear" w:color="auto" w:fill="auto"/>
      <w:vertAlign w:val="superscript"/>
    </w:rPr>
  </w:style>
  <w:style w:type="character" w:customStyle="1" w:styleId="FootnoteCharacters">
    <w:name w:val="Footnote Characters"/>
    <w:rPr>
      <w:rFonts w:ascii="Arial" w:hAnsi="Arial"/>
      <w:vertAlign w:val="superscript"/>
    </w:rPr>
  </w:style>
  <w:style w:type="character" w:styleId="Hyperlink">
    <w:name w:val="Hyperlink"/>
    <w:rPr>
      <w:color w:val="000080"/>
      <w:u w:val="single"/>
    </w:rPr>
  </w:style>
  <w:style w:type="character" w:styleId="Endnotenzeichen">
    <w:name w:val="endnote reference"/>
    <w:rPr>
      <w:vertAlign w:val="superscript"/>
    </w:rPr>
  </w:style>
  <w:style w:type="character" w:customStyle="1" w:styleId="EndnoteCharacters">
    <w:name w:val="Endnote Characters"/>
  </w:style>
  <w:style w:type="paragraph" w:customStyle="1" w:styleId="ZusammenfassungEinleitung">
    <w:name w:val="Zusammenfassung Einleitung"/>
    <w:basedOn w:val="Standard"/>
    <w:pPr>
      <w:keepNext/>
      <w:pBdr>
        <w:top w:val="single" w:sz="4" w:space="7" w:color="000000"/>
        <w:left w:val="none" w:sz="0" w:space="0" w:color="000000"/>
        <w:bottom w:val="none" w:sz="0" w:space="0" w:color="000000"/>
        <w:right w:val="none" w:sz="0" w:space="0" w:color="000000"/>
      </w:pBdr>
      <w:spacing w:after="4.25pt"/>
      <w:ind w:start="62.95pt" w:hanging="62.95pt"/>
    </w:pPr>
    <w:rPr>
      <w:position w:val="2"/>
    </w:rPr>
  </w:style>
  <w:style w:type="paragraph" w:customStyle="1" w:styleId="ZusammenfassungneueErlasse">
    <w:name w:val="Zusammenfassung neue Erlasse"/>
    <w:basedOn w:val="Standard"/>
    <w:pPr>
      <w:keepNext/>
      <w:tabs>
        <w:tab w:val="clear" w:pos="742.70pt"/>
        <w:tab w:val="start" w:pos="125.90pt"/>
      </w:tabs>
      <w:spacing w:line="11.60pt" w:lineRule="exact"/>
      <w:ind w:start="62.95pt" w:hanging="62.95pt"/>
    </w:pPr>
    <w:rPr>
      <w:position w:val="2"/>
    </w:rPr>
  </w:style>
  <w:style w:type="paragraph" w:customStyle="1" w:styleId="ZusammenfassunggenderteErlasse">
    <w:name w:val="Zusammenfassung geänderte Erlasse"/>
    <w:basedOn w:val="ZusammenfassungneueErlasse"/>
  </w:style>
  <w:style w:type="paragraph" w:customStyle="1" w:styleId="ZusammenfassungaufgehobeneErlasse">
    <w:name w:val="Zusammenfassung aufgehobene Erlasse"/>
    <w:basedOn w:val="ZusammenfassungneueErlasse"/>
    <w:pPr>
      <w:pBdr>
        <w:top w:val="none" w:sz="0" w:space="0" w:color="000000"/>
        <w:left w:val="none" w:sz="0" w:space="0" w:color="000000"/>
        <w:bottom w:val="single" w:sz="4" w:space="7" w:color="000000"/>
        <w:right w:val="none" w:sz="0" w:space="0" w:color="000000"/>
      </w:pBdr>
      <w:spacing w:after="6.50pt"/>
    </w:pPr>
  </w:style>
  <w:style w:type="paragraph" w:customStyle="1" w:styleId="Autor">
    <w:name w:val="Autor"/>
    <w:basedOn w:val="Standard"/>
    <w:rPr>
      <w:i/>
      <w:iCs/>
    </w:rPr>
  </w:style>
  <w:style w:type="paragraph" w:customStyle="1" w:styleId="Aktion">
    <w:name w:val="Aktion"/>
    <w:basedOn w:val="Standard"/>
    <w:rPr>
      <w:i/>
      <w:iCs/>
    </w:rPr>
  </w:style>
  <w:style w:type="paragraph" w:customStyle="1" w:styleId="EmptySectionRemark">
    <w:name w:val="Empty_Section_Remark"/>
    <w:basedOn w:val="Standard"/>
    <w:rPr>
      <w:i/>
      <w:iCs/>
    </w:rPr>
  </w:style>
  <w:style w:type="paragraph" w:customStyle="1" w:styleId="StandardvorAufzhlung">
    <w:name w:val="Standard vor Aufzählung"/>
    <w:basedOn w:val="Standard"/>
  </w:style>
  <w:style w:type="paragraph" w:customStyle="1" w:styleId="StandardvorTabelle">
    <w:name w:val="Standard vor Tabelle"/>
    <w:basedOn w:val="Standard"/>
  </w:style>
  <w:style w:type="paragraph" w:customStyle="1" w:styleId="StandardvorBild">
    <w:name w:val="Standard vor Bild"/>
    <w:basedOn w:val="Standard"/>
  </w:style>
  <w:style w:type="paragraph" w:customStyle="1" w:styleId="StandardBild">
    <w:name w:val="Standard Bild"/>
    <w:basedOn w:val="Standard"/>
    <w:pPr>
      <w:jc w:val="center"/>
    </w:pPr>
  </w:style>
  <w:style w:type="paragraph" w:customStyle="1" w:styleId="HeaderandFooter">
    <w:name w:val="Header and Footer"/>
    <w:basedOn w:val="Standard"/>
    <w:pPr>
      <w:suppressLineNumbers/>
      <w:tabs>
        <w:tab w:val="clear" w:pos="742.70pt"/>
        <w:tab w:val="center" w:pos="249.30pt"/>
        <w:tab w:val="end" w:pos="498.60pt"/>
      </w:tabs>
    </w:pPr>
  </w:style>
  <w:style w:type="paragraph" w:styleId="Kopfzeile">
    <w:name w:val="header"/>
    <w:pPr>
      <w:widowControl w:val="0"/>
      <w:tabs>
        <w:tab w:val="end" w:pos="742.70pt"/>
      </w:tabs>
      <w:suppressAutoHyphens/>
    </w:pPr>
    <w:rPr>
      <w:rFonts w:ascii="Arial" w:hAnsi="Arial"/>
      <w:sz w:val="18"/>
      <w:lang w:val="de-CH" w:eastAsia="zh-CN" w:bidi="hi-IN"/>
    </w:rPr>
  </w:style>
  <w:style w:type="paragraph" w:styleId="Fuzeile">
    <w:name w:val="footer"/>
    <w:basedOn w:val="Kopfzeile"/>
  </w:style>
  <w:style w:type="paragraph" w:customStyle="1" w:styleId="Erlasstitel">
    <w:name w:val="Erlasstitel"/>
    <w:basedOn w:val="Standard"/>
    <w:next w:val="Datum1"/>
    <w:pPr>
      <w:keepNext/>
      <w:suppressAutoHyphens/>
      <w:spacing w:before="12pt" w:after="12pt"/>
    </w:pPr>
    <w:rPr>
      <w:b/>
      <w:sz w:val="24"/>
    </w:rPr>
  </w:style>
  <w:style w:type="paragraph" w:customStyle="1" w:styleId="Datum1">
    <w:name w:val="Datum1"/>
    <w:basedOn w:val="Standard"/>
    <w:next w:val="Autor"/>
    <w:pPr>
      <w:keepNext/>
      <w:pBdr>
        <w:top w:val="none" w:sz="0" w:space="0" w:color="000000"/>
        <w:left w:val="none" w:sz="0" w:space="0" w:color="000000"/>
        <w:bottom w:val="single" w:sz="4" w:space="10" w:color="000000"/>
        <w:right w:val="none" w:sz="0" w:space="0" w:color="000000"/>
      </w:pBdr>
      <w:spacing w:after="12pt"/>
      <w:ind w:start="1.40pt" w:end="1.40pt"/>
    </w:pPr>
    <w:rPr>
      <w:position w:val="2"/>
    </w:rPr>
  </w:style>
  <w:style w:type="paragraph" w:customStyle="1" w:styleId="Grundlage">
    <w:name w:val="Grundlage"/>
    <w:basedOn w:val="Standard"/>
    <w:next w:val="Aktion"/>
    <w:pPr>
      <w:spacing w:before="12pt" w:after="2pt"/>
    </w:pPr>
  </w:style>
  <w:style w:type="paragraph" w:customStyle="1" w:styleId="Schluss">
    <w:name w:val="Schluss"/>
    <w:basedOn w:val="Standard"/>
    <w:pPr>
      <w:tabs>
        <w:tab w:val="clear" w:pos="742.70pt"/>
        <w:tab w:val="start" w:pos="306.20pt"/>
      </w:tabs>
      <w:spacing w:before="24pt" w:after="2pt"/>
      <w:ind w:start="153.10pt" w:hanging="153.10pt"/>
    </w:pPr>
  </w:style>
  <w:style w:type="paragraph" w:customStyle="1" w:styleId="Nebenzitat">
    <w:name w:val="Nebenzitat"/>
    <w:basedOn w:val="Standard"/>
  </w:style>
  <w:style w:type="paragraph" w:customStyle="1" w:styleId="Abschnittstitel">
    <w:name w:val="Abschnittstitel"/>
    <w:basedOn w:val="Standard"/>
    <w:pPr>
      <w:keepNext/>
      <w:suppressAutoHyphens/>
    </w:pPr>
    <w:rPr>
      <w:b/>
      <w:sz w:val="22"/>
    </w:rPr>
  </w:style>
  <w:style w:type="paragraph" w:customStyle="1" w:styleId="TitelStufe1">
    <w:name w:val="Titel Stufe 1"/>
    <w:basedOn w:val="Standard"/>
    <w:next w:val="Artikel"/>
    <w:pPr>
      <w:keepNext/>
      <w:suppressAutoHyphens/>
      <w:spacing w:before="18pt"/>
    </w:pPr>
    <w:rPr>
      <w:b/>
      <w:sz w:val="22"/>
    </w:rPr>
  </w:style>
  <w:style w:type="paragraph" w:customStyle="1" w:styleId="TitelStufe2">
    <w:name w:val="Titel Stufe 2"/>
    <w:basedOn w:val="TitelStufe1"/>
    <w:next w:val="Artikel"/>
    <w:rPr>
      <w:b w:val="0"/>
      <w:i/>
    </w:rPr>
  </w:style>
  <w:style w:type="paragraph" w:customStyle="1" w:styleId="TitelStufe3">
    <w:name w:val="Titel Stufe 3"/>
    <w:basedOn w:val="TitelStufe2"/>
    <w:next w:val="Artikel"/>
  </w:style>
  <w:style w:type="paragraph" w:customStyle="1" w:styleId="TitelStufe4">
    <w:name w:val="Titel Stufe 4"/>
    <w:basedOn w:val="TitelStufe2"/>
    <w:next w:val="Artikel"/>
  </w:style>
  <w:style w:type="paragraph" w:customStyle="1" w:styleId="TitelStufe5">
    <w:name w:val="Titel Stufe 5"/>
    <w:basedOn w:val="TitelStufe2"/>
    <w:next w:val="Artikel"/>
  </w:style>
  <w:style w:type="paragraph" w:customStyle="1" w:styleId="TitelStufe1nachTitel">
    <w:name w:val="Titel Stufe 1 nach Titel"/>
    <w:basedOn w:val="TitelStufe1"/>
    <w:next w:val="Artikel"/>
  </w:style>
  <w:style w:type="paragraph" w:customStyle="1" w:styleId="TitelStufe2nachTitel">
    <w:name w:val="Titel Stufe 2 nach Titel"/>
    <w:basedOn w:val="TitelStufe2"/>
    <w:next w:val="Artikel"/>
  </w:style>
  <w:style w:type="paragraph" w:customStyle="1" w:styleId="TitelStufe3nachTitel">
    <w:name w:val="Titel Stufe 3 nach Titel"/>
    <w:basedOn w:val="TitelStufe3"/>
    <w:next w:val="Artikel"/>
  </w:style>
  <w:style w:type="paragraph" w:customStyle="1" w:styleId="TitelStufe4nachTitel">
    <w:name w:val="Titel Stufe 4 nach Titel"/>
    <w:basedOn w:val="TitelStufe4"/>
    <w:next w:val="Artikel"/>
  </w:style>
  <w:style w:type="paragraph" w:customStyle="1" w:styleId="TitelStufe5nachTitel">
    <w:name w:val="Titel Stufe 5 nach Titel"/>
    <w:basedOn w:val="TitelStufe5"/>
    <w:next w:val="Artikel"/>
  </w:style>
  <w:style w:type="paragraph" w:styleId="Textkrper">
    <w:name w:val="Body Text"/>
    <w:basedOn w:val="Standard"/>
    <w:pPr>
      <w:spacing w:after="7pt" w:line="13.80pt" w:lineRule="auto"/>
    </w:pPr>
  </w:style>
  <w:style w:type="paragraph" w:styleId="Kommentartext">
    <w:name w:val="annotation text"/>
    <w:basedOn w:val="Standard"/>
    <w:pPr>
      <w:keepNext/>
      <w:spacing w:line="7.20pt" w:lineRule="exact"/>
    </w:pPr>
    <w:rPr>
      <w:sz w:val="14"/>
    </w:rPr>
  </w:style>
  <w:style w:type="paragraph" w:customStyle="1" w:styleId="Artikel">
    <w:name w:val="Artikel"/>
    <w:basedOn w:val="Standard"/>
    <w:next w:val="Standard"/>
    <w:pPr>
      <w:keepNext/>
      <w:tabs>
        <w:tab w:val="clear" w:pos="742.70pt"/>
        <w:tab w:val="start" w:pos="68pt"/>
      </w:tabs>
      <w:spacing w:before="12pt" w:after="3pt"/>
      <w:ind w:start="34pt" w:hanging="34pt"/>
    </w:pPr>
  </w:style>
  <w:style w:type="paragraph" w:customStyle="1" w:styleId="Artikelaufgehoben">
    <w:name w:val="Artikel (aufgehoben)"/>
    <w:basedOn w:val="Artikel"/>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Liste1">
    <w:name w:val="Liste 1"/>
    <w:basedOn w:val="Standard"/>
    <w:pPr>
      <w:ind w:start="17pt" w:hanging="17pt"/>
    </w:pPr>
  </w:style>
  <w:style w:type="paragraph" w:customStyle="1" w:styleId="Liste1mitUnterelementen">
    <w:name w:val="Liste 1 mit Unterelementen"/>
    <w:basedOn w:val="Liste1"/>
  </w:style>
  <w:style w:type="paragraph" w:customStyle="1" w:styleId="Liste1mitaufeinanderfolgendenAufhebungen">
    <w:name w:val="Liste 1 mit aufeinanderfolgenden Aufhebungen"/>
    <w:basedOn w:val="Liste1"/>
  </w:style>
  <w:style w:type="paragraph" w:customStyle="1" w:styleId="Liste21">
    <w:name w:val="Liste 21"/>
    <w:basedOn w:val="Liste1"/>
    <w:pPr>
      <w:ind w:start="34pt"/>
    </w:pPr>
  </w:style>
  <w:style w:type="paragraph" w:customStyle="1" w:styleId="Liste2mitaufeinanderfolgendenAufhebungen">
    <w:name w:val="Liste 2 mit aufeinanderfolgenden Aufhebungen"/>
    <w:basedOn w:val="Liste21"/>
  </w:style>
  <w:style w:type="paragraph" w:customStyle="1" w:styleId="Liste31">
    <w:name w:val="Liste 31"/>
    <w:basedOn w:val="Liste21"/>
    <w:pPr>
      <w:ind w:start="51.05pt"/>
    </w:pPr>
  </w:style>
  <w:style w:type="paragraph" w:styleId="Funotentext">
    <w:name w:val="footnote text"/>
    <w:basedOn w:val="Standard"/>
    <w:pPr>
      <w:spacing w:line="9.40pt" w:lineRule="exact"/>
      <w:ind w:start="10.50pt" w:hanging="10.50pt"/>
    </w:pPr>
    <w:rPr>
      <w:sz w:val="16"/>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hyperlink" Target="https://ar.clex.ch/data/143.1/de" TargetMode="External"/><Relationship Id="rId13" Type="http://purl.oclc.org/ooxml/officeDocument/relationships/hyperlink" Target="https://ar.clex.ch/data/921.3/de" TargetMode="External"/><Relationship Id="rId18" Type="http://purl.oclc.org/ooxml/officeDocument/relationships/header" Target="header2.xml"/><Relationship Id="rId3" Type="http://purl.oclc.org/ooxml/officeDocument/relationships/webSettings" Target="webSettings.xml"/><Relationship Id="rId21" Type="http://purl.oclc.org/ooxml/officeDocument/relationships/header" Target="header3.xml"/><Relationship Id="rId7" Type="http://purl.oclc.org/ooxml/officeDocument/relationships/hyperlink" Target="https://ar.clex.ch/data/131.12/de" TargetMode="External"/><Relationship Id="rId12" Type="http://purl.oclc.org/ooxml/officeDocument/relationships/hyperlink" Target="https://ar.clex.ch/data/341.1/de" TargetMode="External"/><Relationship Id="rId17" Type="http://purl.oclc.org/ooxml/officeDocument/relationships/header" Target="header1.xml"/><Relationship Id="rId2" Type="http://purl.oclc.org/ooxml/officeDocument/relationships/settings" Target="settings.xml"/><Relationship Id="rId16" Type="http://purl.oclc.org/ooxml/officeDocument/relationships/hyperlink" Target="https://ar.clex.ch/data/222.11/de" TargetMode="External"/><Relationship Id="rId20" Type="http://purl.oclc.org/ooxml/officeDocument/relationships/footer" Target="footer2.xml"/><Relationship Id="rId1" Type="http://purl.oclc.org/ooxml/officeDocument/relationships/styles" Target="styles.xml"/><Relationship Id="rId6" Type="http://purl.oclc.org/ooxml/officeDocument/relationships/hyperlink" Target="https://ar.clex.ch/data/145.31/de" TargetMode="External"/><Relationship Id="rId11" Type="http://purl.oclc.org/ooxml/officeDocument/relationships/hyperlink" Target="https://ar.clex.ch/data/311/de" TargetMode="External"/><Relationship Id="rId24" Type="http://purl.oclc.org/ooxml/officeDocument/relationships/theme" Target="theme/theme1.xml"/><Relationship Id="rId5" Type="http://purl.oclc.org/ooxml/officeDocument/relationships/endnotes" Target="endnotes.xml"/><Relationship Id="rId15" Type="http://purl.oclc.org/ooxml/officeDocument/relationships/hyperlink" Target="https://ar.clex.ch/data/145.312/de" TargetMode="External"/><Relationship Id="rId23" Type="http://purl.oclc.org/ooxml/officeDocument/relationships/fontTable" Target="fontTable.xml"/><Relationship Id="rId10" Type="http://purl.oclc.org/ooxml/officeDocument/relationships/hyperlink" Target="https://ar.clex.ch/data/213.113/de" TargetMode="External"/><Relationship Id="rId19" Type="http://purl.oclc.org/ooxml/officeDocument/relationships/footer" Target="footer1.xml"/><Relationship Id="rId4" Type="http://purl.oclc.org/ooxml/officeDocument/relationships/footnotes" Target="footnotes.xml"/><Relationship Id="rId9" Type="http://purl.oclc.org/ooxml/officeDocument/relationships/hyperlink" Target="https://ar.clex.ch/data/145.52/de" TargetMode="External"/><Relationship Id="rId14" Type="http://purl.oclc.org/ooxml/officeDocument/relationships/hyperlink" Target="https://ar.clex.ch/data/145.311/de" TargetMode="External"/><Relationship Id="rId22" Type="http://purl.oclc.org/ooxml/officeDocument/relationships/footer" Target="footer3.xml"/></Relationships>
</file>

<file path=word/_rels/footnotes.xml.rels><?xml version="1.0" encoding="UTF-8" standalone="yes"?>
<Relationships xmlns="http://schemas.openxmlformats.org/package/2006/relationships"><Relationship Id="rId13" Type="http://purl.oclc.org/ooxml/officeDocument/relationships/hyperlink" Target="https://db.clex.ch/link/Bund/281.1/de" TargetMode="External"/><Relationship Id="rId18" Type="http://purl.oclc.org/ooxml/officeDocument/relationships/hyperlink" Target="https://ar.clex.ch/data/143.1/de" TargetMode="External"/><Relationship Id="rId26" Type="http://purl.oclc.org/ooxml/officeDocument/relationships/hyperlink" Target="https://db.clex.ch/link/Bund/172.023/de" TargetMode="External"/><Relationship Id="rId39" Type="http://purl.oclc.org/ooxml/officeDocument/relationships/hyperlink" Target="https://ar.clex.ch/data/231.1/de" TargetMode="External"/><Relationship Id="rId21" Type="http://purl.oclc.org/ooxml/officeDocument/relationships/hyperlink" Target="https://db.clex.ch/link/Bund/830.1/de" TargetMode="External"/><Relationship Id="rId34" Type="http://purl.oclc.org/ooxml/officeDocument/relationships/hyperlink" Target="https://db.clex.ch/link/Bund/312.0/de" TargetMode="External"/><Relationship Id="rId7" Type="http://purl.oclc.org/ooxml/officeDocument/relationships/hyperlink" Target="https://db.clex.ch/link/Bund/210/de" TargetMode="External"/><Relationship Id="rId2" Type="http://purl.oclc.org/ooxml/officeDocument/relationships/hyperlink" Target="https://db.clex.ch/link/Bund/312.0/de" TargetMode="External"/><Relationship Id="rId16" Type="http://purl.oclc.org/ooxml/officeDocument/relationships/hyperlink" Target="https://ar.clex.ch/data/122.21/de" TargetMode="External"/><Relationship Id="rId20" Type="http://purl.oclc.org/ooxml/officeDocument/relationships/hyperlink" Target="https://ar.clex.ch/data/143.1/de" TargetMode="External"/><Relationship Id="rId29" Type="http://purl.oclc.org/ooxml/officeDocument/relationships/hyperlink" Target="https://ar.clex.ch/data/145.21/de" TargetMode="External"/><Relationship Id="rId41" Type="http://purl.oclc.org/ooxml/officeDocument/relationships/hyperlink" Target="https://ar.clex.ch/data/231.1/de" TargetMode="External"/><Relationship Id="rId1" Type="http://purl.oclc.org/ooxml/officeDocument/relationships/hyperlink" Target="https://db.clex.ch/link/Bund/272/de" TargetMode="External"/><Relationship Id="rId6" Type="http://purl.oclc.org/ooxml/officeDocument/relationships/hyperlink" Target="https://db.clex.ch/link/Bund/151.1/de" TargetMode="External"/><Relationship Id="rId11" Type="http://purl.oclc.org/ooxml/officeDocument/relationships/hyperlink" Target="https://db.clex.ch/link/Bund/311.0/de" TargetMode="External"/><Relationship Id="rId24" Type="http://purl.oclc.org/ooxml/officeDocument/relationships/hyperlink" Target="https://db.clex.ch/link/Bund/312.5/de" TargetMode="External"/><Relationship Id="rId32" Type="http://purl.oclc.org/ooxml/officeDocument/relationships/hyperlink" Target="https://ar.clex.ch/data/143.1/de" TargetMode="External"/><Relationship Id="rId37" Type="http://purl.oclc.org/ooxml/officeDocument/relationships/hyperlink" Target="https://ar.clex.ch/data/146.1/de" TargetMode="External"/><Relationship Id="rId40" Type="http://purl.oclc.org/ooxml/officeDocument/relationships/hyperlink" Target="https://ar.clex.ch/data/231.1/de" TargetMode="External"/><Relationship Id="rId5" Type="http://purl.oclc.org/ooxml/officeDocument/relationships/hyperlink" Target="https://db.clex.ch/link/Bund/220/de" TargetMode="External"/><Relationship Id="rId15" Type="http://purl.oclc.org/ooxml/officeDocument/relationships/hyperlink" Target="https://db.clex.ch/link/Bund/211.222.32/de" TargetMode="External"/><Relationship Id="rId23" Type="http://purl.oclc.org/ooxml/officeDocument/relationships/hyperlink" Target="https://db.clex.ch/link/Bund/172.023/de" TargetMode="External"/><Relationship Id="rId28" Type="http://purl.oclc.org/ooxml/officeDocument/relationships/hyperlink" Target="https://ar.clex.ch/data/145.21/de" TargetMode="External"/><Relationship Id="rId36" Type="http://purl.oclc.org/ooxml/officeDocument/relationships/hyperlink" Target="https://ar.clex.ch/data/145.31/de" TargetMode="External"/><Relationship Id="rId10" Type="http://purl.oclc.org/ooxml/officeDocument/relationships/hyperlink" Target="https://db.clex.ch/link/Bund/211.412.11/de" TargetMode="External"/><Relationship Id="rId19" Type="http://purl.oclc.org/ooxml/officeDocument/relationships/hyperlink" Target="https://db.clex.ch/link/Bund/311.1/de" TargetMode="External"/><Relationship Id="rId31" Type="http://purl.oclc.org/ooxml/officeDocument/relationships/hyperlink" Target="https://ar.clex.ch/data/143.1/de" TargetMode="External"/><Relationship Id="rId4" Type="http://purl.oclc.org/ooxml/officeDocument/relationships/hyperlink" Target="https://ar.clex.ch/data/111.1/de" TargetMode="External"/><Relationship Id="rId9" Type="http://purl.oclc.org/ooxml/officeDocument/relationships/hyperlink" Target="https://db.clex.ch/link/Bund/291/de" TargetMode="External"/><Relationship Id="rId14" Type="http://purl.oclc.org/ooxml/officeDocument/relationships/hyperlink" Target="https://db.clex.ch/link/Bund/282.11/de" TargetMode="External"/><Relationship Id="rId22" Type="http://purl.oclc.org/ooxml/officeDocument/relationships/hyperlink" Target="https://ar.clex.ch/data/323.1/de" TargetMode="External"/><Relationship Id="rId27" Type="http://purl.oclc.org/ooxml/officeDocument/relationships/hyperlink" Target="https://db.clex.ch/link/Bund/272/de" TargetMode="External"/><Relationship Id="rId30" Type="http://purl.oclc.org/ooxml/officeDocument/relationships/hyperlink" Target="https://db.clex.ch/link/Bund/272/de" TargetMode="External"/><Relationship Id="rId35" Type="http://purl.oclc.org/ooxml/officeDocument/relationships/hyperlink" Target="https://db.clex.ch/link/Bund/312.1/de" TargetMode="External"/><Relationship Id="rId8" Type="http://purl.oclc.org/ooxml/officeDocument/relationships/hyperlink" Target="https://db.clex.ch/link/Bund/291/de" TargetMode="External"/><Relationship Id="rId3" Type="http://purl.oclc.org/ooxml/officeDocument/relationships/hyperlink" Target="https://db.clex.ch/link/Bund/312.1/de" TargetMode="External"/><Relationship Id="rId12" Type="http://purl.oclc.org/ooxml/officeDocument/relationships/hyperlink" Target="https://db.clex.ch/link/Bund/311.0/de" TargetMode="External"/><Relationship Id="rId17" Type="http://purl.oclc.org/ooxml/officeDocument/relationships/hyperlink" Target="https://ar.clex.ch/data/143.1/de" TargetMode="External"/><Relationship Id="rId25" Type="http://purl.oclc.org/ooxml/officeDocument/relationships/hyperlink" Target="https://ar.clex.ch/data/143.1/de" TargetMode="External"/><Relationship Id="rId33" Type="http://purl.oclc.org/ooxml/officeDocument/relationships/hyperlink" Target="https://db.clex.ch/link/Bund/312.0/de" TargetMode="External"/><Relationship Id="rId38" Type="http://purl.oclc.org/ooxml/officeDocument/relationships/hyperlink" Target="https://ar.clex.ch/data/145.31/de"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Tibt" typeface="Microsoft Himalaya"/>
        <a:font script="Khmr" typeface="MoolBoran"/>
        <a:font script="Beng" typeface="Vrinda"/>
        <a:font script="Taml" typeface="Latha"/>
        <a:font script="Hebr" typeface="Times New Roman"/>
        <a:font script="Syrc" typeface="Estrangelo Edessa"/>
        <a:font script="Laoo" typeface="DokChampa"/>
        <a:font script="Cher" typeface="Plantagenet Cherokee"/>
        <a:font script="Thaa" typeface="MV Boli"/>
        <a:font script="Sinh" typeface="Iskoola Pota"/>
        <a:font script="Thai" typeface="Angsana New"/>
        <a:font script="Cans" typeface="Euphemia"/>
        <a:font script="Mong" typeface="Mongolian Baiti"/>
        <a:font script="Knda" typeface="Tunga"/>
        <a:font script="Viet" typeface="Times New Roman"/>
        <a:font script="Deva" typeface="Mangal"/>
        <a:font script="Arab" typeface="Times New Roman"/>
        <a:font script="Orya" typeface="Kalinga"/>
        <a:font script="Jpan" typeface="ＭＳ ゴシック"/>
        <a:font script="Hang" typeface="맑은 고딕"/>
        <a:font script="Ethi" typeface="Nyala"/>
        <a:font script="Guru" typeface="Raavi"/>
        <a:font script="Gujr" typeface="Shruti"/>
        <a:font script="Mlym" typeface="Kartika"/>
        <a:font script="Yiii" typeface="Microsoft Yi Baiti"/>
        <a:font script="Hans" typeface="宋体"/>
        <a:font script="Hant" typeface="新細明體"/>
        <a:font script="Telu" typeface="Gautami"/>
        <a:font script="Uigh" typeface="Microsoft Uighur"/>
      </a:majorFont>
      <a:minorFont>
        <a:latin typeface="Calibri"/>
        <a:ea typeface=""/>
        <a:cs typeface=""/>
        <a:font script="Tibt" typeface="Microsoft Himalaya"/>
        <a:font script="Khmr" typeface="DaunPenh"/>
        <a:font script="Beng" typeface="Vrinda"/>
        <a:font script="Taml" typeface="Latha"/>
        <a:font script="Hebr" typeface="Arial"/>
        <a:font script="Syrc" typeface="Estrangelo Edessa"/>
        <a:font script="Laoo" typeface="DokChampa"/>
        <a:font script="Cher" typeface="Plantagenet Cherokee"/>
        <a:font script="Thaa" typeface="MV Boli"/>
        <a:font script="Sinh" typeface="Iskoola Pota"/>
        <a:font script="Thai" typeface="Cordia New"/>
        <a:font script="Cans" typeface="Euphemia"/>
        <a:font script="Mong" typeface="Mongolian Baiti"/>
        <a:font script="Knda" typeface="Tunga"/>
        <a:font script="Viet" typeface="Arial"/>
        <a:font script="Deva" typeface="Mangal"/>
        <a:font script="Arab" typeface="Arial"/>
        <a:font script="Orya" typeface="Kalinga"/>
        <a:font script="Jpan" typeface="ＭＳ 明朝"/>
        <a:font script="Hang" typeface="맑은 고딕"/>
        <a:font script="Ethi" typeface="Nyala"/>
        <a:font script="Guru" typeface="Raavi"/>
        <a:font script="Gujr" typeface="Shruti"/>
        <a:font script="Mlym" typeface="Kartika"/>
        <a:font script="Yiii" typeface="Microsoft Yi Baiti"/>
        <a:font script="Hans" typeface="宋体"/>
        <a:font script="Hant" typeface="新細明體"/>
        <a:font script="Telu" typeface="Gautami"/>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docProps/app.xml><?xml version="1.0" encoding="utf-8"?>
<Properties xmlns="http://purl.oclc.org/ooxml/officeDocument/extendedProperties" xmlns:vt="http://purl.oclc.org/ooxml/officeDocument/docPropsVTypes">
  <Template>Normal.dotm</Template>
  <TotalTime>0</TotalTime>
  <Pages>38</Pages>
  <Words>6321</Words>
  <Characters>39826</Characters>
  <Application>Microsoft Office Word</Application>
  <DocSecurity>0</DocSecurity>
  <Lines>331</Lines>
  <Paragraphs>92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Frey Thomas</dc:creator>
  <cp:lastModifiedBy>Hartmann Sandra</cp:lastModifiedBy>
  <cp:revision>6</cp:revision>
  <dcterms:created xsi:type="dcterms:W3CDTF">2026-09-09T09:22:00Z</dcterms:created>
  <dcterms:modified xsi:type="dcterms:W3CDTF">2026-09-10T13:50:00Z</dcterms:modified>
</cp:coreProperties>
</file>

<file path=docProps/custom.xml><?xml version="1.0" encoding="utf-8"?>
<Properties xmlns="http://purl.oclc.org/ooxml/officeDocument/customProperties" xmlns:vt="http://purl.oclc.org/ooxml/officeDocument/docPropsVTypes">
  <property fmtid="{D5CDD505-2E9C-101B-9397-08002B2CF9AE}" pid="2" name="DocumentType">
    <vt:lpwstr>Synopse</vt:lpwstr>
  </property>
</Properties>
</file>