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BFB" w:rsidRDefault="00776BFB" w:rsidP="00776BFB">
      <w:pPr>
        <w:rPr>
          <w:b/>
          <w:lang w:val="de-CH"/>
        </w:rPr>
      </w:pPr>
      <w:bookmarkStart w:id="0" w:name="_GoBack"/>
      <w:bookmarkEnd w:id="0"/>
    </w:p>
    <w:p w:rsidR="00CC59CD" w:rsidRPr="004917FF" w:rsidRDefault="00CC59CD" w:rsidP="00776BFB">
      <w:pPr>
        <w:rPr>
          <w:b/>
          <w:lang w:val="de-CH"/>
        </w:rPr>
      </w:pPr>
    </w:p>
    <w:p w:rsidR="00E331E0" w:rsidRPr="00E331E0" w:rsidRDefault="00B16E38" w:rsidP="00E331E0">
      <w:pPr>
        <w:ind w:left="1134"/>
        <w:jc w:val="center"/>
        <w:rPr>
          <w:b/>
          <w:sz w:val="36"/>
          <w:szCs w:val="28"/>
          <w:lang w:val="de-CH"/>
        </w:rPr>
      </w:pPr>
      <w:r>
        <w:rPr>
          <w:b/>
          <w:sz w:val="36"/>
          <w:szCs w:val="28"/>
          <w:lang w:val="de-CH"/>
        </w:rPr>
        <w:t>Rechnungsabschluss 201</w:t>
      </w:r>
      <w:r w:rsidR="00E2403F">
        <w:rPr>
          <w:b/>
          <w:sz w:val="36"/>
          <w:szCs w:val="28"/>
          <w:lang w:val="de-CH"/>
        </w:rPr>
        <w:t>9</w:t>
      </w:r>
      <w:r>
        <w:rPr>
          <w:b/>
          <w:sz w:val="36"/>
          <w:szCs w:val="28"/>
          <w:lang w:val="de-CH"/>
        </w:rPr>
        <w:t xml:space="preserve"> </w:t>
      </w:r>
      <w:r w:rsidR="00155635" w:rsidRPr="00E331E0">
        <w:rPr>
          <w:b/>
          <w:sz w:val="36"/>
          <w:szCs w:val="28"/>
          <w:lang w:val="de-CH"/>
        </w:rPr>
        <w:t>W</w:t>
      </w:r>
      <w:r w:rsidR="006D5A32" w:rsidRPr="00E331E0">
        <w:rPr>
          <w:b/>
          <w:sz w:val="36"/>
          <w:szCs w:val="28"/>
          <w:lang w:val="de-CH"/>
        </w:rPr>
        <w:t>ettinge</w:t>
      </w:r>
      <w:r w:rsidR="008D0652" w:rsidRPr="00E331E0">
        <w:rPr>
          <w:b/>
          <w:sz w:val="36"/>
          <w:szCs w:val="28"/>
          <w:lang w:val="de-CH"/>
        </w:rPr>
        <w:t>n</w:t>
      </w:r>
      <w:r w:rsidR="00E331E0" w:rsidRPr="00E331E0">
        <w:rPr>
          <w:b/>
          <w:sz w:val="36"/>
          <w:szCs w:val="28"/>
          <w:lang w:val="de-CH"/>
        </w:rPr>
        <w:t>:</w:t>
      </w:r>
    </w:p>
    <w:p w:rsidR="0051062C" w:rsidRDefault="0051062C" w:rsidP="00E331E0">
      <w:pPr>
        <w:ind w:left="1134"/>
        <w:jc w:val="center"/>
        <w:rPr>
          <w:b/>
          <w:sz w:val="28"/>
          <w:szCs w:val="28"/>
          <w:lang w:val="de-CH"/>
        </w:rPr>
      </w:pPr>
    </w:p>
    <w:p w:rsidR="0053402C" w:rsidRDefault="0053402C" w:rsidP="00E331E0">
      <w:pPr>
        <w:ind w:left="1134"/>
        <w:jc w:val="center"/>
        <w:rPr>
          <w:b/>
          <w:sz w:val="28"/>
          <w:szCs w:val="28"/>
          <w:lang w:val="de-CH"/>
        </w:rPr>
      </w:pPr>
    </w:p>
    <w:p w:rsidR="00CB5B52" w:rsidRDefault="00CB5B52" w:rsidP="00BC7822">
      <w:pPr>
        <w:pStyle w:val="Listenabsatz"/>
        <w:numPr>
          <w:ilvl w:val="0"/>
          <w:numId w:val="9"/>
        </w:numPr>
        <w:ind w:left="1276" w:hanging="503"/>
        <w:rPr>
          <w:rFonts w:ascii="Arial" w:hAnsi="Arial" w:cs="Arial"/>
          <w:b/>
          <w:color w:val="FF0000"/>
          <w:sz w:val="28"/>
          <w:szCs w:val="28"/>
          <w:lang w:val="de-CH"/>
        </w:rPr>
      </w:pPr>
      <w:r>
        <w:rPr>
          <w:rFonts w:ascii="Arial" w:hAnsi="Arial" w:cs="Arial"/>
          <w:b/>
          <w:color w:val="FF0000"/>
          <w:sz w:val="28"/>
          <w:szCs w:val="28"/>
          <w:lang w:val="de-CH"/>
        </w:rPr>
        <w:t>Positives operatives Ergebnis von rund 2 Mio</w:t>
      </w:r>
      <w:r w:rsidR="006247EF">
        <w:rPr>
          <w:rFonts w:ascii="Arial" w:hAnsi="Arial" w:cs="Arial"/>
          <w:b/>
          <w:color w:val="FF0000"/>
          <w:sz w:val="28"/>
          <w:szCs w:val="28"/>
          <w:lang w:val="de-CH"/>
        </w:rPr>
        <w:t>.</w:t>
      </w:r>
      <w:r>
        <w:rPr>
          <w:rFonts w:ascii="Arial" w:hAnsi="Arial" w:cs="Arial"/>
          <w:b/>
          <w:color w:val="FF0000"/>
          <w:sz w:val="28"/>
          <w:szCs w:val="28"/>
          <w:lang w:val="de-CH"/>
        </w:rPr>
        <w:t xml:space="preserve"> Franken</w:t>
      </w:r>
    </w:p>
    <w:p w:rsidR="004F2C39" w:rsidRPr="00BC7822" w:rsidRDefault="00B16E38" w:rsidP="00BC7822">
      <w:pPr>
        <w:pStyle w:val="Listenabsatz"/>
        <w:numPr>
          <w:ilvl w:val="0"/>
          <w:numId w:val="9"/>
        </w:numPr>
        <w:ind w:left="1276" w:hanging="503"/>
        <w:rPr>
          <w:rFonts w:ascii="Arial" w:hAnsi="Arial" w:cs="Arial"/>
          <w:b/>
          <w:color w:val="FF0000"/>
          <w:sz w:val="28"/>
          <w:szCs w:val="28"/>
          <w:lang w:val="de-CH"/>
        </w:rPr>
      </w:pPr>
      <w:r w:rsidRPr="00BC7822">
        <w:rPr>
          <w:rFonts w:ascii="Arial" w:hAnsi="Arial" w:cs="Arial"/>
          <w:b/>
          <w:color w:val="FF0000"/>
          <w:sz w:val="28"/>
          <w:szCs w:val="28"/>
          <w:lang w:val="de-CH"/>
        </w:rPr>
        <w:t xml:space="preserve">Finanzhaushalt </w:t>
      </w:r>
      <w:r w:rsidR="00B67349" w:rsidRPr="00BC7822">
        <w:rPr>
          <w:rFonts w:ascii="Arial" w:hAnsi="Arial" w:cs="Arial"/>
          <w:b/>
          <w:color w:val="FF0000"/>
          <w:sz w:val="28"/>
          <w:szCs w:val="28"/>
          <w:lang w:val="de-CH"/>
        </w:rPr>
        <w:t xml:space="preserve">und Strategie </w:t>
      </w:r>
      <w:r w:rsidR="00E2403F" w:rsidRPr="00BC7822">
        <w:rPr>
          <w:rFonts w:ascii="Arial" w:hAnsi="Arial" w:cs="Arial"/>
          <w:b/>
          <w:color w:val="FF0000"/>
          <w:sz w:val="28"/>
          <w:szCs w:val="28"/>
          <w:lang w:val="de-CH"/>
        </w:rPr>
        <w:t xml:space="preserve">weiter </w:t>
      </w:r>
      <w:r w:rsidR="00B67349" w:rsidRPr="00BC7822">
        <w:rPr>
          <w:rFonts w:ascii="Arial" w:hAnsi="Arial" w:cs="Arial"/>
          <w:b/>
          <w:color w:val="FF0000"/>
          <w:sz w:val="28"/>
          <w:szCs w:val="28"/>
          <w:lang w:val="de-CH"/>
        </w:rPr>
        <w:t>auf Kurs</w:t>
      </w:r>
    </w:p>
    <w:p w:rsidR="0096111D" w:rsidRPr="00BC7822" w:rsidRDefault="00EB0115" w:rsidP="00BC7822">
      <w:pPr>
        <w:pStyle w:val="Listenabsatz"/>
        <w:numPr>
          <w:ilvl w:val="0"/>
          <w:numId w:val="9"/>
        </w:numPr>
        <w:ind w:left="1276" w:hanging="503"/>
        <w:rPr>
          <w:rFonts w:ascii="Arial" w:hAnsi="Arial" w:cs="Arial"/>
          <w:b/>
          <w:color w:val="FF0000"/>
          <w:sz w:val="28"/>
          <w:szCs w:val="28"/>
          <w:lang w:val="de-CH"/>
        </w:rPr>
      </w:pPr>
      <w:r w:rsidRPr="00BC7822">
        <w:rPr>
          <w:rFonts w:ascii="Arial" w:hAnsi="Arial" w:cs="Arial"/>
          <w:b/>
          <w:color w:val="FF0000"/>
          <w:sz w:val="28"/>
          <w:szCs w:val="28"/>
          <w:lang w:val="de-CH"/>
        </w:rPr>
        <w:t>Buchgewinne auf Finanzanlagen</w:t>
      </w:r>
      <w:r w:rsidR="00BC7822">
        <w:rPr>
          <w:rFonts w:ascii="Arial" w:hAnsi="Arial" w:cs="Arial"/>
          <w:b/>
          <w:color w:val="FF0000"/>
          <w:sz w:val="28"/>
          <w:szCs w:val="28"/>
          <w:lang w:val="de-CH"/>
        </w:rPr>
        <w:t xml:space="preserve"> führten </w:t>
      </w:r>
      <w:r w:rsidR="0074495B">
        <w:rPr>
          <w:rFonts w:ascii="Arial" w:hAnsi="Arial" w:cs="Arial"/>
          <w:b/>
          <w:color w:val="FF0000"/>
          <w:sz w:val="28"/>
          <w:szCs w:val="28"/>
          <w:lang w:val="de-CH"/>
        </w:rPr>
        <w:t xml:space="preserve">zu </w:t>
      </w:r>
      <w:r w:rsidR="00BC7822">
        <w:rPr>
          <w:rFonts w:ascii="Arial" w:hAnsi="Arial" w:cs="Arial"/>
          <w:b/>
          <w:color w:val="FF0000"/>
          <w:sz w:val="28"/>
          <w:szCs w:val="28"/>
          <w:lang w:val="de-CH"/>
        </w:rPr>
        <w:t xml:space="preserve">unerwartetem Ergebnis </w:t>
      </w:r>
      <w:r w:rsidR="006D6E26">
        <w:rPr>
          <w:rFonts w:ascii="Arial" w:hAnsi="Arial" w:cs="Arial"/>
          <w:b/>
          <w:color w:val="FF0000"/>
          <w:sz w:val="28"/>
          <w:szCs w:val="28"/>
          <w:lang w:val="de-CH"/>
        </w:rPr>
        <w:t>– allerdings durch aktuelle Entwicklung infolge CORONOA-Krise relativiert</w:t>
      </w:r>
      <w:r w:rsidR="00BC7822">
        <w:rPr>
          <w:rFonts w:ascii="Arial" w:hAnsi="Arial" w:cs="Arial"/>
          <w:b/>
          <w:color w:val="FF0000"/>
          <w:sz w:val="28"/>
          <w:szCs w:val="28"/>
          <w:lang w:val="de-CH"/>
        </w:rPr>
        <w:t>.</w:t>
      </w:r>
    </w:p>
    <w:p w:rsidR="002149AC" w:rsidRPr="00744821" w:rsidRDefault="002149AC" w:rsidP="00E331E0">
      <w:pPr>
        <w:ind w:left="1134"/>
        <w:jc w:val="center"/>
        <w:rPr>
          <w:b/>
          <w:sz w:val="28"/>
          <w:szCs w:val="28"/>
          <w:lang w:val="de-CH"/>
        </w:rPr>
      </w:pPr>
    </w:p>
    <w:p w:rsidR="00C3569F" w:rsidRDefault="00DB6E89" w:rsidP="00E331E0">
      <w:pPr>
        <w:pStyle w:val="MedienberichtTextblock"/>
        <w:ind w:left="1134"/>
        <w:rPr>
          <w:b/>
        </w:rPr>
      </w:pPr>
      <w:r w:rsidRPr="00DB6E89">
        <w:rPr>
          <w:b/>
        </w:rPr>
        <w:t>Die Jahresrechnung 201</w:t>
      </w:r>
      <w:r w:rsidR="00EB0115">
        <w:rPr>
          <w:b/>
        </w:rPr>
        <w:t>9</w:t>
      </w:r>
      <w:r w:rsidRPr="00DB6E89">
        <w:rPr>
          <w:b/>
        </w:rPr>
        <w:t xml:space="preserve"> schliesst bei einem Umsatz von 10</w:t>
      </w:r>
      <w:r w:rsidR="00EB0115">
        <w:rPr>
          <w:b/>
        </w:rPr>
        <w:t>6,5</w:t>
      </w:r>
      <w:r w:rsidRPr="00DB6E89">
        <w:rPr>
          <w:b/>
        </w:rPr>
        <w:t xml:space="preserve"> Mio. Franken mit einem </w:t>
      </w:r>
      <w:r w:rsidR="00BE24EC">
        <w:rPr>
          <w:b/>
        </w:rPr>
        <w:t xml:space="preserve">positiven operativen Ergebnis von </w:t>
      </w:r>
      <w:r w:rsidR="004F2C39">
        <w:rPr>
          <w:b/>
        </w:rPr>
        <w:t>rund 2</w:t>
      </w:r>
      <w:r w:rsidR="00BE24EC">
        <w:rPr>
          <w:b/>
        </w:rPr>
        <w:t xml:space="preserve"> Mio. Franken und einem Gesamtergebnis von knapp 3</w:t>
      </w:r>
      <w:r w:rsidR="004F2C39">
        <w:rPr>
          <w:b/>
        </w:rPr>
        <w:t>,1</w:t>
      </w:r>
      <w:r w:rsidR="00BE24EC">
        <w:rPr>
          <w:b/>
        </w:rPr>
        <w:t xml:space="preserve"> Mio. Franken </w:t>
      </w:r>
      <w:r w:rsidR="0032645F">
        <w:rPr>
          <w:b/>
        </w:rPr>
        <w:t>Ertragsüberschuss</w:t>
      </w:r>
      <w:r w:rsidR="006D6E26">
        <w:rPr>
          <w:b/>
        </w:rPr>
        <w:t xml:space="preserve"> ab</w:t>
      </w:r>
      <w:r w:rsidR="00C642D2">
        <w:rPr>
          <w:b/>
        </w:rPr>
        <w:t>.</w:t>
      </w:r>
    </w:p>
    <w:p w:rsidR="00B16EA0" w:rsidRPr="00744821" w:rsidRDefault="00B16EA0" w:rsidP="00B16EA0">
      <w:pPr>
        <w:pStyle w:val="MedienberichtTextblock"/>
        <w:spacing w:line="240" w:lineRule="auto"/>
        <w:ind w:left="1134"/>
        <w:rPr>
          <w:b/>
        </w:rPr>
      </w:pPr>
    </w:p>
    <w:p w:rsidR="00A66BC0" w:rsidRDefault="00C642D2" w:rsidP="00E331E0">
      <w:pPr>
        <w:pStyle w:val="MedienberichtTextblock"/>
        <w:ind w:left="1134"/>
      </w:pPr>
      <w:r>
        <w:t>Das Budget 201</w:t>
      </w:r>
      <w:r w:rsidR="004F2C39">
        <w:t>9</w:t>
      </w:r>
      <w:r>
        <w:t xml:space="preserve"> sah </w:t>
      </w:r>
      <w:r w:rsidR="00FC2085">
        <w:t>ein ausgeglichenes operatives Ergebnis vo</w:t>
      </w:r>
      <w:r>
        <w:t xml:space="preserve">r. </w:t>
      </w:r>
      <w:r w:rsidR="004F2C39" w:rsidRPr="003914AA">
        <w:rPr>
          <w:rFonts w:cs="Arial"/>
          <w:bCs/>
        </w:rPr>
        <w:t xml:space="preserve">Die strategischen Vorgaben und politischen Erwartungen konnten dank </w:t>
      </w:r>
      <w:r w:rsidR="004F2C39">
        <w:rPr>
          <w:rFonts w:cs="Arial"/>
          <w:bCs/>
        </w:rPr>
        <w:t>ausserordentlicher Erträge</w:t>
      </w:r>
      <w:r w:rsidR="004F2C39" w:rsidRPr="003914AA">
        <w:rPr>
          <w:rFonts w:cs="Arial"/>
          <w:bCs/>
        </w:rPr>
        <w:t xml:space="preserve"> beim Finanzertrag deutlich übertroffen werden.</w:t>
      </w:r>
      <w:r w:rsidR="00BE6A89">
        <w:t xml:space="preserve"> </w:t>
      </w:r>
      <w:r w:rsidR="00A66BC0">
        <w:t xml:space="preserve">Die Entwicklung des operativen Ergebnisses und </w:t>
      </w:r>
      <w:r w:rsidR="007A5792">
        <w:t xml:space="preserve">der </w:t>
      </w:r>
      <w:r w:rsidR="00A66BC0">
        <w:t>ausserordentlichen Faktoren k</w:t>
      </w:r>
      <w:r w:rsidR="007A5792">
        <w:t>ann</w:t>
      </w:r>
      <w:r w:rsidR="00A66BC0">
        <w:t xml:space="preserve"> wie folgt dargestellt werden.</w:t>
      </w:r>
    </w:p>
    <w:p w:rsidR="0050305F" w:rsidRDefault="00EB0115" w:rsidP="00E331E0">
      <w:pPr>
        <w:pStyle w:val="MedienberichtTextblock"/>
        <w:ind w:left="1134"/>
      </w:pPr>
      <w:r>
        <w:rPr>
          <w:noProof/>
        </w:rPr>
        <w:drawing>
          <wp:inline distT="0" distB="0" distL="0" distR="0" wp14:anchorId="0BBF98DF" wp14:editId="505861A7">
            <wp:extent cx="5379068" cy="2839013"/>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9391" cy="2855017"/>
                    </a:xfrm>
                    <a:prstGeom prst="rect">
                      <a:avLst/>
                    </a:prstGeom>
                    <a:noFill/>
                  </pic:spPr>
                </pic:pic>
              </a:graphicData>
            </a:graphic>
          </wp:inline>
        </w:drawing>
      </w:r>
    </w:p>
    <w:p w:rsidR="00A66BC0" w:rsidRDefault="00A66BC0" w:rsidP="00E331E0">
      <w:pPr>
        <w:pStyle w:val="MedienberichtTextblock"/>
        <w:ind w:left="1134"/>
      </w:pPr>
    </w:p>
    <w:p w:rsidR="00CB5B52" w:rsidRDefault="00EB0115" w:rsidP="00CB5B52">
      <w:pPr>
        <w:pStyle w:val="MedienberichtTextblock"/>
        <w:ind w:left="1134"/>
      </w:pPr>
      <w:r w:rsidRPr="00EB0115">
        <w:t xml:space="preserve">Die Grafik zeigt die </w:t>
      </w:r>
      <w:r w:rsidRPr="004F2C39">
        <w:rPr>
          <w:b/>
        </w:rPr>
        <w:t>Trendwende</w:t>
      </w:r>
      <w:r w:rsidRPr="00EB0115">
        <w:t xml:space="preserve"> im operativen Ergebnis ab der Rechnung 2018 auf, wo ohne Sondereffekte ein positives operatives Ergebnis erzielt werden konnte. Das operative Ergebnis (oder eben Betriebs- und Finanzierungsergebnis) gehört zu den wichtigsten betriebswirtschaftlichen Kennzahlen. Ein Minusergebnis wie in den Jahren 2016 und 2017 bedeutet, dass die Gemeinde für die Aufgabenerfüllung nicht genügend eigene Mittel bereitstellen kann, um die Ausgaben und den Kapitaldienst zu finanzieren. Mit der Herstellung des Haushaltsgleichgewichts ab 2018 konnten die strategischen Vorgaben </w:t>
      </w:r>
      <w:r w:rsidRPr="00EB0115">
        <w:lastRenderedPageBreak/>
        <w:t>umgesetzt und die politischen Erwartungen erfüllt werden. Dieser Turnaround hat sich mit dem Rechnungsergebnis 2019 bestätigt.</w:t>
      </w:r>
      <w:r w:rsidR="00CB5B52" w:rsidRPr="00CB5B52">
        <w:t xml:space="preserve"> </w:t>
      </w:r>
    </w:p>
    <w:p w:rsidR="00EB0115" w:rsidRDefault="00EB0115" w:rsidP="009074BE">
      <w:pPr>
        <w:ind w:left="1134"/>
        <w:rPr>
          <w:rFonts w:cs="Arial"/>
        </w:rPr>
      </w:pPr>
    </w:p>
    <w:p w:rsidR="00CB5B52" w:rsidRDefault="003C26A0" w:rsidP="00CB5B52">
      <w:pPr>
        <w:pStyle w:val="MedienberichtTextblock"/>
        <w:ind w:left="1134"/>
      </w:pPr>
      <w:r w:rsidRPr="006919A8">
        <w:t>Zum Rechnungsergebnis 201</w:t>
      </w:r>
      <w:r w:rsidR="00EB0115">
        <w:t>9</w:t>
      </w:r>
      <w:r w:rsidRPr="006919A8">
        <w:t xml:space="preserve"> </w:t>
      </w:r>
      <w:r w:rsidR="006D6E26">
        <w:t>können</w:t>
      </w:r>
      <w:r w:rsidR="006D6E26" w:rsidRPr="006919A8">
        <w:t xml:space="preserve"> </w:t>
      </w:r>
      <w:r w:rsidRPr="006919A8">
        <w:t>stichwortartig folgende Botschaft</w:t>
      </w:r>
      <w:r w:rsidR="006D6E26">
        <w:t>en</w:t>
      </w:r>
      <w:r w:rsidRPr="006919A8">
        <w:t xml:space="preserve"> festgehalten werden:</w:t>
      </w:r>
      <w:r w:rsidR="00CB5B52" w:rsidRPr="00CB5B52">
        <w:t xml:space="preserve"> </w:t>
      </w:r>
    </w:p>
    <w:p w:rsidR="003C26A0" w:rsidRPr="006919A8" w:rsidRDefault="003C26A0" w:rsidP="009074BE">
      <w:pPr>
        <w:ind w:left="1418" w:hanging="284"/>
        <w:rPr>
          <w:lang w:val="de-CH"/>
        </w:rPr>
      </w:pPr>
    </w:p>
    <w:p w:rsidR="0074495B" w:rsidRPr="0074495B" w:rsidRDefault="0074495B" w:rsidP="0074495B">
      <w:pPr>
        <w:pStyle w:val="Listenabsatz"/>
        <w:numPr>
          <w:ilvl w:val="0"/>
          <w:numId w:val="10"/>
        </w:numPr>
        <w:ind w:left="1418" w:hanging="284"/>
        <w:rPr>
          <w:rFonts w:ascii="Arial" w:hAnsi="Arial" w:cs="Arial"/>
          <w:color w:val="0070C0"/>
          <w:sz w:val="22"/>
          <w:szCs w:val="22"/>
          <w:lang w:val="de-CH"/>
        </w:rPr>
      </w:pPr>
      <w:r w:rsidRPr="0074495B">
        <w:rPr>
          <w:rFonts w:ascii="Arial" w:hAnsi="Arial" w:cs="Arial"/>
          <w:color w:val="0070C0"/>
          <w:sz w:val="22"/>
          <w:szCs w:val="22"/>
          <w:lang w:val="de-CH"/>
        </w:rPr>
        <w:t>Die beeinflussbaren Bereiche auf der Aufwand- und Ertragsseite sind im G</w:t>
      </w:r>
      <w:r>
        <w:rPr>
          <w:rFonts w:ascii="Arial" w:hAnsi="Arial" w:cs="Arial"/>
          <w:color w:val="0070C0"/>
          <w:sz w:val="22"/>
          <w:szCs w:val="22"/>
          <w:lang w:val="de-CH"/>
        </w:rPr>
        <w:t>riff und wurden im Ergebnis auf</w:t>
      </w:r>
      <w:r w:rsidRPr="0074495B">
        <w:rPr>
          <w:rFonts w:ascii="Arial" w:hAnsi="Arial" w:cs="Arial"/>
          <w:color w:val="0070C0"/>
          <w:sz w:val="22"/>
          <w:szCs w:val="22"/>
          <w:lang w:val="de-CH"/>
        </w:rPr>
        <w:t>grund der Zwischenabschlüsse mit den Controllingberichten in dieser Höhe prognostiziert.</w:t>
      </w:r>
    </w:p>
    <w:p w:rsidR="0074495B" w:rsidRPr="0074495B" w:rsidRDefault="0074495B" w:rsidP="0074495B">
      <w:pPr>
        <w:ind w:left="1418" w:hanging="284"/>
        <w:rPr>
          <w:rFonts w:cs="Arial"/>
          <w:color w:val="0070C0"/>
          <w:szCs w:val="22"/>
          <w:lang w:val="de-CH"/>
        </w:rPr>
      </w:pPr>
    </w:p>
    <w:p w:rsidR="0074495B" w:rsidRPr="0074495B" w:rsidRDefault="0074495B" w:rsidP="0074495B">
      <w:pPr>
        <w:pStyle w:val="Listenabsatz"/>
        <w:numPr>
          <w:ilvl w:val="0"/>
          <w:numId w:val="10"/>
        </w:numPr>
        <w:ind w:left="1418" w:hanging="284"/>
        <w:rPr>
          <w:rFonts w:ascii="Arial" w:hAnsi="Arial" w:cs="Arial"/>
          <w:color w:val="0070C0"/>
          <w:sz w:val="22"/>
          <w:szCs w:val="22"/>
          <w:lang w:val="de-CH"/>
        </w:rPr>
      </w:pPr>
      <w:r w:rsidRPr="0074495B">
        <w:rPr>
          <w:rFonts w:ascii="Arial" w:hAnsi="Arial" w:cs="Arial"/>
          <w:color w:val="0070C0"/>
          <w:sz w:val="22"/>
          <w:szCs w:val="22"/>
          <w:lang w:val="de-CH"/>
        </w:rPr>
        <w:t xml:space="preserve">Beim betrieblichen Aufwand ist gegenüber dem Budget eine Punktlandung zu verzeichnen. Das Gleiche gilt auch für den betrieblichen Ertrag. Innerhalb der Ertragspositionen ergeben sich diverse Abweichungen, die sich insgesamt wieder ausgleichen. </w:t>
      </w:r>
    </w:p>
    <w:p w:rsidR="0074495B" w:rsidRPr="0074495B" w:rsidRDefault="0074495B" w:rsidP="0074495B">
      <w:pPr>
        <w:ind w:left="1418" w:hanging="284"/>
        <w:rPr>
          <w:rFonts w:cs="Arial"/>
          <w:color w:val="0070C0"/>
          <w:szCs w:val="22"/>
          <w:lang w:val="de-CH"/>
        </w:rPr>
      </w:pPr>
    </w:p>
    <w:p w:rsidR="0074495B" w:rsidRPr="0074495B" w:rsidRDefault="0074495B" w:rsidP="0074495B">
      <w:pPr>
        <w:pStyle w:val="Listenabsatz"/>
        <w:numPr>
          <w:ilvl w:val="0"/>
          <w:numId w:val="10"/>
        </w:numPr>
        <w:ind w:left="1418" w:hanging="284"/>
        <w:rPr>
          <w:rFonts w:ascii="Arial" w:hAnsi="Arial" w:cs="Arial"/>
          <w:color w:val="0070C0"/>
          <w:sz w:val="22"/>
          <w:szCs w:val="22"/>
          <w:lang w:val="de-CH"/>
        </w:rPr>
      </w:pPr>
      <w:r w:rsidRPr="0074495B">
        <w:rPr>
          <w:rFonts w:ascii="Arial" w:hAnsi="Arial" w:cs="Arial"/>
          <w:color w:val="0070C0"/>
          <w:sz w:val="22"/>
          <w:szCs w:val="22"/>
          <w:lang w:val="de-CH"/>
        </w:rPr>
        <w:t>Die Gemeindesteuern weisen insgesamt eine Ergebn</w:t>
      </w:r>
      <w:r w:rsidR="008C37C4">
        <w:rPr>
          <w:rFonts w:ascii="Arial" w:hAnsi="Arial" w:cs="Arial"/>
          <w:color w:val="0070C0"/>
          <w:sz w:val="22"/>
          <w:szCs w:val="22"/>
          <w:lang w:val="de-CH"/>
        </w:rPr>
        <w:t>isverschlechterung von rund 1.3 </w:t>
      </w:r>
      <w:r w:rsidRPr="0074495B">
        <w:rPr>
          <w:rFonts w:ascii="Arial" w:hAnsi="Arial" w:cs="Arial"/>
          <w:color w:val="0070C0"/>
          <w:sz w:val="22"/>
          <w:szCs w:val="22"/>
          <w:lang w:val="de-CH"/>
        </w:rPr>
        <w:t>Mio. Franken aus, welche hauptsächlich auf die Mindererträge bei den Aktiensteuern zurückzuführen ist. Dank der sehr erfreulichen Mehrerträge bei den Sondersteuern von rund 0.84 Mio. Franken konnte der Minderertrag bei den Steuereinnahmen zu einem grossen Teil kompensiert werden. Der Gesamtsteuerertrag 2019 liegt um knapp 0.5 Mio. Franken unter dem Budget.</w:t>
      </w:r>
    </w:p>
    <w:p w:rsidR="0074495B" w:rsidRPr="0074495B" w:rsidRDefault="0074495B" w:rsidP="0074495B">
      <w:pPr>
        <w:ind w:left="1418" w:hanging="284"/>
        <w:rPr>
          <w:rFonts w:cs="Arial"/>
          <w:color w:val="0070C0"/>
          <w:szCs w:val="22"/>
          <w:lang w:val="de-CH"/>
        </w:rPr>
      </w:pPr>
    </w:p>
    <w:p w:rsidR="0074495B" w:rsidRPr="0074495B" w:rsidRDefault="0074495B" w:rsidP="0074495B">
      <w:pPr>
        <w:pStyle w:val="Listenabsatz"/>
        <w:numPr>
          <w:ilvl w:val="0"/>
          <w:numId w:val="10"/>
        </w:numPr>
        <w:ind w:left="1418" w:hanging="284"/>
        <w:rPr>
          <w:rFonts w:ascii="Arial" w:hAnsi="Arial" w:cs="Arial"/>
          <w:color w:val="0070C0"/>
          <w:sz w:val="22"/>
          <w:szCs w:val="22"/>
          <w:lang w:val="de-CH"/>
        </w:rPr>
      </w:pPr>
      <w:r w:rsidRPr="0074495B">
        <w:rPr>
          <w:rFonts w:ascii="Arial" w:hAnsi="Arial" w:cs="Arial"/>
          <w:color w:val="0070C0"/>
          <w:sz w:val="22"/>
          <w:szCs w:val="22"/>
          <w:lang w:val="de-CH"/>
        </w:rPr>
        <w:t>Rund 1.0 Mio. Franken Mehraufwand aus den nicht beeinflussbaren Bereichen Pflegefinanzierung (+ Fr. 0.75 Mio.) sowie Spitex- und MiGel-Kosten (+ Fr. 0.25 Mio.) sowie die Mindereinnahmen bei den Steuern (- Fr. 0.5 Mio.) konnte</w:t>
      </w:r>
      <w:r w:rsidR="008C37C4">
        <w:rPr>
          <w:rFonts w:ascii="Arial" w:hAnsi="Arial" w:cs="Arial"/>
          <w:color w:val="0070C0"/>
          <w:sz w:val="22"/>
          <w:szCs w:val="22"/>
          <w:lang w:val="de-CH"/>
        </w:rPr>
        <w:t>n</w:t>
      </w:r>
      <w:r w:rsidRPr="0074495B">
        <w:rPr>
          <w:rFonts w:ascii="Arial" w:hAnsi="Arial" w:cs="Arial"/>
          <w:color w:val="0070C0"/>
          <w:sz w:val="22"/>
          <w:szCs w:val="22"/>
          <w:lang w:val="de-CH"/>
        </w:rPr>
        <w:t xml:space="preserve"> durch eine signifikante Verbesserung des Sozialhilfeergebnisses kompensiert werden.</w:t>
      </w:r>
    </w:p>
    <w:p w:rsidR="0074495B" w:rsidRPr="0074495B" w:rsidRDefault="0074495B" w:rsidP="0074495B">
      <w:pPr>
        <w:ind w:left="1418" w:hanging="284"/>
        <w:rPr>
          <w:rFonts w:cs="Arial"/>
          <w:color w:val="0070C0"/>
          <w:szCs w:val="22"/>
          <w:lang w:val="de-CH"/>
        </w:rPr>
      </w:pPr>
    </w:p>
    <w:p w:rsidR="0074495B" w:rsidRPr="0074495B" w:rsidRDefault="0074495B" w:rsidP="0074495B">
      <w:pPr>
        <w:pStyle w:val="Listenabsatz"/>
        <w:numPr>
          <w:ilvl w:val="0"/>
          <w:numId w:val="10"/>
        </w:numPr>
        <w:ind w:left="1418" w:hanging="284"/>
        <w:rPr>
          <w:rFonts w:ascii="Arial" w:hAnsi="Arial" w:cs="Arial"/>
          <w:color w:val="0070C0"/>
          <w:sz w:val="22"/>
          <w:szCs w:val="22"/>
          <w:lang w:val="de-CH"/>
        </w:rPr>
      </w:pPr>
      <w:r w:rsidRPr="0074495B">
        <w:rPr>
          <w:rFonts w:ascii="Arial" w:hAnsi="Arial" w:cs="Arial"/>
          <w:color w:val="0070C0"/>
          <w:sz w:val="22"/>
          <w:szCs w:val="22"/>
          <w:lang w:val="de-CH"/>
        </w:rPr>
        <w:t xml:space="preserve">Die Einsparungen beim Personalaufwand von rund 0.25 Mio. Franken sind auf Stellenvakanzen bei der Regionalpolizei und der Bauverwaltung zurückzuführen. </w:t>
      </w:r>
    </w:p>
    <w:p w:rsidR="0074495B" w:rsidRPr="0074495B" w:rsidRDefault="0074495B" w:rsidP="0074495B">
      <w:pPr>
        <w:ind w:left="1418" w:hanging="284"/>
        <w:rPr>
          <w:rFonts w:cs="Arial"/>
          <w:color w:val="0070C0"/>
          <w:szCs w:val="22"/>
          <w:lang w:val="de-CH"/>
        </w:rPr>
      </w:pPr>
    </w:p>
    <w:p w:rsidR="0074495B" w:rsidRPr="0074495B" w:rsidRDefault="0074495B" w:rsidP="0074495B">
      <w:pPr>
        <w:pStyle w:val="Listenabsatz"/>
        <w:numPr>
          <w:ilvl w:val="0"/>
          <w:numId w:val="10"/>
        </w:numPr>
        <w:ind w:left="1418" w:hanging="284"/>
        <w:rPr>
          <w:rFonts w:ascii="Arial" w:hAnsi="Arial" w:cs="Arial"/>
          <w:color w:val="0070C0"/>
          <w:sz w:val="22"/>
          <w:szCs w:val="22"/>
          <w:lang w:val="de-CH"/>
        </w:rPr>
      </w:pPr>
      <w:r w:rsidRPr="0074495B">
        <w:rPr>
          <w:rFonts w:ascii="Arial" w:hAnsi="Arial" w:cs="Arial"/>
          <w:color w:val="0070C0"/>
          <w:sz w:val="22"/>
          <w:szCs w:val="22"/>
          <w:lang w:val="de-CH"/>
        </w:rPr>
        <w:t>Beim Sachaufwand konnten im Bereich Verwaltung (Büromaterial, Drucksachen, Verbrauchsmaterial usw.) diverse Einsparungen erzielt werden. Indessen ist bei den Energiekosten aufgrund des gestiegenen Unterhalts eine Steigerung zu verzeichnen. Beim Erhalt der baulichen Substanz wurde nicht gespart. Die baulichen und betrieblichen Unterhaltskosten liegen rund 0.1 Mio. Franken über dem Budget. Insgesamt schliesst auch der Sachaufwand mit einer Punktlandung ab.</w:t>
      </w:r>
    </w:p>
    <w:p w:rsidR="0074495B" w:rsidRPr="0074495B" w:rsidRDefault="0074495B" w:rsidP="0074495B">
      <w:pPr>
        <w:ind w:left="1418" w:hanging="284"/>
        <w:rPr>
          <w:rFonts w:cs="Arial"/>
          <w:color w:val="0070C0"/>
          <w:szCs w:val="22"/>
          <w:lang w:val="de-CH"/>
        </w:rPr>
      </w:pPr>
    </w:p>
    <w:p w:rsidR="00374B04" w:rsidRPr="00154FAD" w:rsidRDefault="0074495B" w:rsidP="005E50B2">
      <w:pPr>
        <w:pStyle w:val="Listenabsatz"/>
        <w:numPr>
          <w:ilvl w:val="0"/>
          <w:numId w:val="10"/>
        </w:numPr>
        <w:ind w:left="1418" w:hanging="284"/>
        <w:rPr>
          <w:rFonts w:ascii="Arial" w:hAnsi="Arial" w:cs="Arial"/>
          <w:sz w:val="22"/>
          <w:szCs w:val="22"/>
        </w:rPr>
      </w:pPr>
      <w:r w:rsidRPr="00154FAD">
        <w:rPr>
          <w:rFonts w:ascii="Arial" w:hAnsi="Arial" w:cs="Arial"/>
          <w:color w:val="0070C0"/>
          <w:sz w:val="22"/>
          <w:szCs w:val="22"/>
          <w:lang w:val="de-CH"/>
        </w:rPr>
        <w:t>Die Verbesserung des operativen Ergebnisses von rund 2.0 Mio. Franken ist hauptsächlich auf die Steigerung des Finanzertrags und die Senkung des Finanzaufwands zurückzuführen. Bei den Finanzanlagen (Vermögensverwaltungsmandat) kann ein nicht budgetierter Buchgewinn von rund 1.6 Mio. Franken ausgewiesen werden. Ferner konnten die Erträge aus den Liegenschaften um 0.2 Mio. Franken gesteigert und die Finanzierungskosten (Zinsen) um rund 0.2 Mio. Franken gesenkt werden</w:t>
      </w:r>
      <w:r w:rsidR="006D6E26">
        <w:rPr>
          <w:rFonts w:ascii="Arial" w:hAnsi="Arial" w:cs="Arial"/>
          <w:color w:val="0070C0"/>
          <w:sz w:val="22"/>
          <w:szCs w:val="22"/>
          <w:lang w:val="de-CH"/>
        </w:rPr>
        <w:t>.</w:t>
      </w:r>
      <w:r w:rsidR="00374B04" w:rsidRPr="00154FAD">
        <w:rPr>
          <w:rFonts w:ascii="Arial" w:hAnsi="Arial" w:cs="Arial"/>
          <w:color w:val="0070C0"/>
          <w:sz w:val="22"/>
          <w:szCs w:val="22"/>
          <w:lang w:val="de-CH"/>
        </w:rPr>
        <w:br/>
      </w:r>
    </w:p>
    <w:p w:rsidR="00387B1D" w:rsidRPr="00154FAD" w:rsidRDefault="00154FAD" w:rsidP="005B7DF5">
      <w:pPr>
        <w:pStyle w:val="Listenabsatz"/>
        <w:numPr>
          <w:ilvl w:val="0"/>
          <w:numId w:val="10"/>
        </w:numPr>
        <w:ind w:left="1418" w:hanging="284"/>
        <w:rPr>
          <w:rFonts w:cs="Arial"/>
        </w:rPr>
      </w:pPr>
      <w:r w:rsidRPr="00154FAD">
        <w:rPr>
          <w:rFonts w:ascii="Arial" w:hAnsi="Arial" w:cs="Arial"/>
          <w:color w:val="0070C0"/>
          <w:sz w:val="22"/>
          <w:szCs w:val="22"/>
          <w:lang w:val="de-CH"/>
        </w:rPr>
        <w:t xml:space="preserve">Leider ist der ausgewiesene und nicht realisierte Buchgewinn bei den Finanzanlagen bereits wieder zerronnen. Seit dem 19. Februar </w:t>
      </w:r>
      <w:r w:rsidR="004B6BDA">
        <w:rPr>
          <w:rFonts w:ascii="Arial" w:hAnsi="Arial" w:cs="Arial"/>
          <w:color w:val="0070C0"/>
          <w:sz w:val="22"/>
          <w:szCs w:val="22"/>
          <w:lang w:val="de-CH"/>
        </w:rPr>
        <w:t xml:space="preserve">2020 </w:t>
      </w:r>
      <w:r w:rsidRPr="00154FAD">
        <w:rPr>
          <w:rFonts w:ascii="Arial" w:hAnsi="Arial" w:cs="Arial"/>
          <w:color w:val="0070C0"/>
          <w:sz w:val="22"/>
          <w:szCs w:val="22"/>
          <w:lang w:val="de-CH"/>
        </w:rPr>
        <w:t>haben die Börsenind</w:t>
      </w:r>
      <w:r w:rsidR="006D6E26">
        <w:rPr>
          <w:rFonts w:ascii="Arial" w:hAnsi="Arial" w:cs="Arial"/>
          <w:color w:val="0070C0"/>
          <w:sz w:val="22"/>
          <w:szCs w:val="22"/>
          <w:lang w:val="de-CH"/>
        </w:rPr>
        <w:t>izes</w:t>
      </w:r>
      <w:r w:rsidRPr="00154FAD">
        <w:rPr>
          <w:rFonts w:ascii="Arial" w:hAnsi="Arial" w:cs="Arial"/>
          <w:color w:val="0070C0"/>
          <w:sz w:val="22"/>
          <w:szCs w:val="22"/>
          <w:lang w:val="de-CH"/>
        </w:rPr>
        <w:t xml:space="preserve"> rund ein</w:t>
      </w:r>
      <w:r w:rsidR="004B6BDA">
        <w:rPr>
          <w:rFonts w:ascii="Arial" w:hAnsi="Arial" w:cs="Arial"/>
          <w:color w:val="0070C0"/>
          <w:sz w:val="22"/>
          <w:szCs w:val="22"/>
          <w:lang w:val="de-CH"/>
        </w:rPr>
        <w:t>en</w:t>
      </w:r>
      <w:r w:rsidRPr="00154FAD">
        <w:rPr>
          <w:rFonts w:ascii="Arial" w:hAnsi="Arial" w:cs="Arial"/>
          <w:color w:val="0070C0"/>
          <w:sz w:val="22"/>
          <w:szCs w:val="22"/>
          <w:lang w:val="de-CH"/>
        </w:rPr>
        <w:t xml:space="preserve"> Drittel ihrer Werte verloren. Im Vergleich zu früheren Börsencrashs ist das der schnellste Verlust, den es je gab. Doch der Ursprung der derzeitigen Krise bietet auch Anlass zu der Hoffnung, dass es zumindest nicht so lange dauert, bis die Talfahrt an den Börsen überstanden ist. </w:t>
      </w:r>
      <w:r w:rsidR="00387B1D" w:rsidRPr="00154FAD">
        <w:rPr>
          <w:rFonts w:cs="Arial"/>
        </w:rPr>
        <w:br w:type="page"/>
      </w:r>
    </w:p>
    <w:p w:rsidR="002D790E" w:rsidRPr="003C26A0" w:rsidRDefault="002D790E" w:rsidP="009074BE">
      <w:pPr>
        <w:ind w:left="1418" w:hanging="284"/>
        <w:rPr>
          <w:rFonts w:cs="Arial"/>
        </w:rPr>
      </w:pPr>
    </w:p>
    <w:p w:rsidR="00804130" w:rsidRPr="00B614EE" w:rsidRDefault="00804130" w:rsidP="00B614EE">
      <w:pPr>
        <w:pStyle w:val="MedienberichtTextblock"/>
        <w:ind w:left="1134"/>
        <w:rPr>
          <w:b/>
        </w:rPr>
      </w:pPr>
      <w:r w:rsidRPr="00B614EE">
        <w:rPr>
          <w:b/>
        </w:rPr>
        <w:t>E</w:t>
      </w:r>
      <w:r w:rsidR="00E116BA">
        <w:rPr>
          <w:b/>
        </w:rPr>
        <w:t>rtragse</w:t>
      </w:r>
      <w:r w:rsidRPr="00B614EE">
        <w:rPr>
          <w:b/>
        </w:rPr>
        <w:t xml:space="preserve">ntwicklung der </w:t>
      </w:r>
      <w:r w:rsidR="00E116BA">
        <w:rPr>
          <w:b/>
        </w:rPr>
        <w:t>Einkommens- und Vermögenssteuern</w:t>
      </w:r>
    </w:p>
    <w:p w:rsidR="00BA7E15" w:rsidRDefault="00BA7E15" w:rsidP="00B614EE">
      <w:pPr>
        <w:pStyle w:val="MedienberichtTextblock"/>
        <w:ind w:left="1134"/>
      </w:pPr>
    </w:p>
    <w:p w:rsidR="001F3F60" w:rsidRDefault="00302658" w:rsidP="001F3F60">
      <w:pPr>
        <w:ind w:left="1134" w:right="1984"/>
        <w:rPr>
          <w:rFonts w:eastAsiaTheme="minorHAnsi" w:cstheme="minorBidi"/>
          <w:b/>
          <w:szCs w:val="22"/>
          <w:lang w:val="de-CH" w:eastAsia="en-US"/>
        </w:rPr>
      </w:pPr>
      <w:r>
        <w:rPr>
          <w:rFonts w:eastAsiaTheme="minorHAnsi" w:cstheme="minorBidi"/>
          <w:b/>
          <w:noProof/>
          <w:szCs w:val="22"/>
          <w:lang w:val="de-CH"/>
        </w:rPr>
        <w:drawing>
          <wp:inline distT="0" distB="0" distL="0" distR="0" wp14:anchorId="69A717CF" wp14:editId="4A495FBA">
            <wp:extent cx="5253715" cy="3080371"/>
            <wp:effectExtent l="0" t="0" r="4445" b="635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0224" cy="3101777"/>
                    </a:xfrm>
                    <a:prstGeom prst="rect">
                      <a:avLst/>
                    </a:prstGeom>
                    <a:noFill/>
                  </pic:spPr>
                </pic:pic>
              </a:graphicData>
            </a:graphic>
          </wp:inline>
        </w:drawing>
      </w:r>
    </w:p>
    <w:p w:rsidR="000F1F50" w:rsidRDefault="000F1F50" w:rsidP="001F3F60">
      <w:pPr>
        <w:ind w:left="1134" w:right="1984"/>
        <w:rPr>
          <w:rFonts w:eastAsiaTheme="minorHAnsi" w:cstheme="minorBidi"/>
          <w:b/>
          <w:szCs w:val="22"/>
          <w:lang w:val="de-CH" w:eastAsia="en-US"/>
        </w:rPr>
      </w:pPr>
    </w:p>
    <w:p w:rsidR="006D6E26" w:rsidRPr="00796149" w:rsidRDefault="006D6E26" w:rsidP="001F3F60">
      <w:pPr>
        <w:ind w:left="1134" w:right="1984"/>
        <w:rPr>
          <w:rFonts w:eastAsiaTheme="minorHAnsi" w:cstheme="minorBidi"/>
          <w:b/>
          <w:szCs w:val="22"/>
          <w:lang w:val="de-CH" w:eastAsia="en-US"/>
        </w:rPr>
      </w:pPr>
    </w:p>
    <w:p w:rsidR="00C7429F" w:rsidRPr="00C7429F" w:rsidRDefault="00C7429F" w:rsidP="00387B1D">
      <w:pPr>
        <w:pStyle w:val="MedienberichtTextblock"/>
        <w:ind w:left="1134"/>
        <w:rPr>
          <w:b/>
        </w:rPr>
      </w:pPr>
      <w:r w:rsidRPr="00C7429F">
        <w:rPr>
          <w:b/>
        </w:rPr>
        <w:t>Entwicklung gebundene Ausgaben</w:t>
      </w:r>
    </w:p>
    <w:p w:rsidR="00C7429F" w:rsidRDefault="00C7429F" w:rsidP="00387B1D">
      <w:pPr>
        <w:pStyle w:val="MedienberichtTextblock"/>
        <w:ind w:left="1134"/>
      </w:pPr>
      <w:r w:rsidRPr="003914AA">
        <w:rPr>
          <w:rFonts w:eastAsiaTheme="minorHAnsi" w:cs="Arial"/>
          <w:lang w:eastAsia="en-US"/>
        </w:rPr>
        <w:t>Aufgrund der Artengliederung ist nachweisbar, dass rund 85</w:t>
      </w:r>
      <w:r>
        <w:rPr>
          <w:rFonts w:eastAsiaTheme="minorHAnsi" w:cs="Arial"/>
          <w:lang w:eastAsia="en-US"/>
        </w:rPr>
        <w:t> </w:t>
      </w:r>
      <w:r w:rsidRPr="003914AA">
        <w:rPr>
          <w:rFonts w:eastAsiaTheme="minorHAnsi" w:cs="Arial"/>
          <w:lang w:eastAsia="en-US"/>
        </w:rPr>
        <w:t>% des Aufwands als gebunden deklariert werden müssen. D.</w:t>
      </w:r>
      <w:r>
        <w:rPr>
          <w:rFonts w:eastAsiaTheme="minorHAnsi" w:cs="Arial"/>
          <w:lang w:eastAsia="en-US"/>
        </w:rPr>
        <w:t>h. 85 % des Aufwand</w:t>
      </w:r>
      <w:r w:rsidRPr="003914AA">
        <w:rPr>
          <w:rFonts w:eastAsiaTheme="minorHAnsi" w:cs="Arial"/>
          <w:lang w:eastAsia="en-US"/>
        </w:rPr>
        <w:t xml:space="preserve">s kann durch die Gemeinde Wettingen kurzfristig nicht beeinflusst werden bzw. </w:t>
      </w:r>
      <w:r w:rsidR="008C37C4">
        <w:rPr>
          <w:rFonts w:eastAsiaTheme="minorHAnsi" w:cs="Arial"/>
          <w:lang w:eastAsia="en-US"/>
        </w:rPr>
        <w:t>wird</w:t>
      </w:r>
      <w:r w:rsidRPr="003914AA">
        <w:rPr>
          <w:rFonts w:eastAsiaTheme="minorHAnsi" w:cs="Arial"/>
          <w:lang w:eastAsia="en-US"/>
        </w:rPr>
        <w:t xml:space="preserve"> von anderen Instanzen (Kanton und Bund) vorgegeben. Die Entwicklung des Verhältnisses bleibt stabil.</w:t>
      </w:r>
      <w:r>
        <w:rPr>
          <w:rFonts w:eastAsiaTheme="minorHAnsi" w:cs="Arial"/>
          <w:lang w:eastAsia="en-US"/>
        </w:rPr>
        <w:t xml:space="preserve"> Im Detail präsentiert sich folgendes Bild:</w:t>
      </w:r>
    </w:p>
    <w:p w:rsidR="00C7429F" w:rsidRDefault="00C7429F" w:rsidP="00387B1D">
      <w:pPr>
        <w:pStyle w:val="MedienberichtTextblock"/>
        <w:ind w:left="1134"/>
      </w:pPr>
    </w:p>
    <w:p w:rsidR="00C7429F" w:rsidRDefault="00C7429F" w:rsidP="00387B1D">
      <w:pPr>
        <w:pStyle w:val="MedienberichtTextblock"/>
        <w:ind w:left="1134"/>
      </w:pPr>
      <w:r>
        <w:rPr>
          <w:noProof/>
        </w:rPr>
        <w:drawing>
          <wp:inline distT="0" distB="0" distL="0" distR="0" wp14:anchorId="7BEA4240" wp14:editId="700E5A81">
            <wp:extent cx="5025154" cy="3229656"/>
            <wp:effectExtent l="0" t="0" r="4445" b="889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9819" cy="3264789"/>
                    </a:xfrm>
                    <a:prstGeom prst="rect">
                      <a:avLst/>
                    </a:prstGeom>
                    <a:noFill/>
                  </pic:spPr>
                </pic:pic>
              </a:graphicData>
            </a:graphic>
          </wp:inline>
        </w:drawing>
      </w:r>
    </w:p>
    <w:p w:rsidR="00C7429F" w:rsidRDefault="00C7429F" w:rsidP="00387B1D">
      <w:pPr>
        <w:pStyle w:val="MedienberichtTextblock"/>
        <w:ind w:left="1134"/>
      </w:pPr>
      <w:r w:rsidRPr="00C7429F">
        <w:lastRenderedPageBreak/>
        <w:t>Bei der Entwicklung der wesentlichen Detailarten beim gebundenen Aufwand ist vor allem die steigende Tendenz im Bereich Gesundheit (Pflegefinanzierung und Spitex, Tagesstrukturen) und bei den Abschreibungen augenfällig. Die permanente und zum Teil massive Steigerung auf der Aufwandseite führt zunehmend zu einer Verknappung des finanziellen Handlungsspielraums. Dank der erfreulichen Verbesserung des Sozialhilfe</w:t>
      </w:r>
      <w:r>
        <w:t>-E</w:t>
      </w:r>
      <w:r w:rsidRPr="00C7429F">
        <w:t>rgebnisses konnten die erwähnten Mehrausgaben im Rechnungsjahr 2019</w:t>
      </w:r>
      <w:r>
        <w:t xml:space="preserve"> kompensiert werden. Es muss da</w:t>
      </w:r>
      <w:r w:rsidRPr="00C7429F">
        <w:t>von ausgegangen werden, dass das Resultat der Sozialhilfe auf diesem Niveau verharren bzw. leicht ansteigen dürfte.</w:t>
      </w:r>
    </w:p>
    <w:p w:rsidR="006D6E26" w:rsidRDefault="006D6E26">
      <w:pPr>
        <w:rPr>
          <w:b/>
          <w:lang w:val="de-CH"/>
        </w:rPr>
      </w:pPr>
    </w:p>
    <w:p w:rsidR="0019052D" w:rsidRDefault="0019052D" w:rsidP="00C043E7">
      <w:pPr>
        <w:pStyle w:val="MedienberichtTextblock"/>
        <w:ind w:left="1134"/>
        <w:rPr>
          <w:b/>
        </w:rPr>
      </w:pPr>
      <w:r>
        <w:rPr>
          <w:b/>
        </w:rPr>
        <w:t xml:space="preserve">Entwicklung der Nettoinvestition und </w:t>
      </w:r>
      <w:r w:rsidR="001209EE">
        <w:rPr>
          <w:b/>
        </w:rPr>
        <w:t>Selbstfinanzierung</w:t>
      </w:r>
    </w:p>
    <w:p w:rsidR="00383D8D" w:rsidRPr="00804130" w:rsidRDefault="00383D8D" w:rsidP="00C043E7">
      <w:pPr>
        <w:pStyle w:val="MedienberichtTextblock"/>
        <w:ind w:left="1134"/>
        <w:rPr>
          <w:b/>
        </w:rPr>
      </w:pPr>
    </w:p>
    <w:p w:rsidR="0019052D" w:rsidRDefault="000A1792" w:rsidP="00C043E7">
      <w:pPr>
        <w:pStyle w:val="MedienberichtTextblock"/>
        <w:ind w:left="1134"/>
      </w:pPr>
      <w:r>
        <w:rPr>
          <w:noProof/>
        </w:rPr>
        <w:drawing>
          <wp:inline distT="0" distB="0" distL="0" distR="0" wp14:anchorId="4822C3C9" wp14:editId="78BDE177">
            <wp:extent cx="5447581" cy="3669474"/>
            <wp:effectExtent l="0" t="0" r="1270" b="762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58313" cy="3676703"/>
                    </a:xfrm>
                    <a:prstGeom prst="rect">
                      <a:avLst/>
                    </a:prstGeom>
                    <a:noFill/>
                  </pic:spPr>
                </pic:pic>
              </a:graphicData>
            </a:graphic>
          </wp:inline>
        </w:drawing>
      </w:r>
    </w:p>
    <w:p w:rsidR="001F3F60" w:rsidRDefault="001F3F60" w:rsidP="001209EE">
      <w:pPr>
        <w:pStyle w:val="MedienberichtTextblock"/>
        <w:ind w:left="1134"/>
      </w:pPr>
    </w:p>
    <w:p w:rsidR="00524C5F" w:rsidRDefault="000A1792" w:rsidP="001F3F60">
      <w:pPr>
        <w:pStyle w:val="MedienberichtTextblock"/>
        <w:tabs>
          <w:tab w:val="clear" w:pos="7938"/>
          <w:tab w:val="right" w:pos="8647"/>
        </w:tabs>
        <w:ind w:left="1134"/>
        <w:rPr>
          <w:lang w:val="de-DE"/>
        </w:rPr>
      </w:pPr>
      <w:r w:rsidRPr="000A1792">
        <w:rPr>
          <w:lang w:val="de-DE"/>
        </w:rPr>
        <w:t>Die Nettoinvestition</w:t>
      </w:r>
      <w:r w:rsidR="006D6E26">
        <w:rPr>
          <w:lang w:val="de-DE"/>
        </w:rPr>
        <w:t>en</w:t>
      </w:r>
      <w:r w:rsidRPr="000A1792">
        <w:rPr>
          <w:lang w:val="de-DE"/>
        </w:rPr>
        <w:t xml:space="preserve"> von 34.7 Mio. Franken </w:t>
      </w:r>
      <w:r w:rsidR="006D6E26">
        <w:rPr>
          <w:lang w:val="de-DE"/>
        </w:rPr>
        <w:t>sind</w:t>
      </w:r>
      <w:r w:rsidR="006D6E26" w:rsidRPr="000A1792">
        <w:rPr>
          <w:lang w:val="de-DE"/>
        </w:rPr>
        <w:t xml:space="preserve"> </w:t>
      </w:r>
      <w:r w:rsidRPr="000A1792">
        <w:rPr>
          <w:lang w:val="de-DE"/>
        </w:rPr>
        <w:t>zum grössten Teil auf die Sanierung des Sport- und Erh</w:t>
      </w:r>
      <w:r w:rsidR="009F3397">
        <w:rPr>
          <w:lang w:val="de-DE"/>
        </w:rPr>
        <w:t>olungs</w:t>
      </w:r>
      <w:r w:rsidRPr="000A1792">
        <w:rPr>
          <w:lang w:val="de-DE"/>
        </w:rPr>
        <w:t>zentrums Tägi zurückzuführen, wobei rund 8 Mio. Franken verzögerte Ausgaben aus dem Vorjahr darstellen. Die restlichen Investitionen sind gemäss der Plan-Investitionsrechnung angefallen.</w:t>
      </w:r>
      <w:r w:rsidR="006247EF">
        <w:rPr>
          <w:lang w:val="de-DE"/>
        </w:rPr>
        <w:t xml:space="preserve"> Die Selbstfinanzierung ist bedingt durch die höheren Abschreibungen und den Ertragsüberschuss gegenüber dem Vorjahr um rund 1 Mio. auf 7,7 Mio. Franken gestiegen. Dies ist der höchste Wert seit 11 Jahren.</w:t>
      </w:r>
    </w:p>
    <w:p w:rsidR="000A1792" w:rsidRDefault="000A1792" w:rsidP="001F3F60">
      <w:pPr>
        <w:pStyle w:val="MedienberichtTextblock"/>
        <w:tabs>
          <w:tab w:val="clear" w:pos="7938"/>
          <w:tab w:val="right" w:pos="8647"/>
        </w:tabs>
        <w:ind w:left="1134"/>
        <w:rPr>
          <w:lang w:val="de-DE"/>
        </w:rPr>
      </w:pPr>
    </w:p>
    <w:p w:rsidR="000A1792" w:rsidRDefault="000A1792" w:rsidP="001F3F60">
      <w:pPr>
        <w:pStyle w:val="MedienberichtTextblock"/>
        <w:tabs>
          <w:tab w:val="clear" w:pos="7938"/>
          <w:tab w:val="right" w:pos="8647"/>
        </w:tabs>
        <w:ind w:left="1134"/>
        <w:rPr>
          <w:rFonts w:cs="Arial"/>
        </w:rPr>
      </w:pPr>
      <w:r w:rsidRPr="003914AA">
        <w:rPr>
          <w:rFonts w:cs="Arial"/>
        </w:rPr>
        <w:t>Der Finanzierungsfehlbetrag von rund 25</w:t>
      </w:r>
      <w:r>
        <w:rPr>
          <w:rFonts w:cs="Arial"/>
        </w:rPr>
        <w:t>.</w:t>
      </w:r>
      <w:r w:rsidRPr="003914AA">
        <w:rPr>
          <w:rFonts w:cs="Arial"/>
        </w:rPr>
        <w:t xml:space="preserve">7 Mio. Franken führt </w:t>
      </w:r>
      <w:r w:rsidR="00860F01">
        <w:rPr>
          <w:rFonts w:cs="Arial"/>
        </w:rPr>
        <w:t>z</w:t>
      </w:r>
      <w:r w:rsidRPr="003914AA">
        <w:rPr>
          <w:rFonts w:cs="Arial"/>
        </w:rPr>
        <w:t xml:space="preserve">u einer Zunahme der Verschuldung </w:t>
      </w:r>
      <w:r>
        <w:rPr>
          <w:rFonts w:cs="Arial"/>
        </w:rPr>
        <w:t>bzw.</w:t>
      </w:r>
      <w:r w:rsidRPr="003914AA">
        <w:rPr>
          <w:rFonts w:cs="Arial"/>
        </w:rPr>
        <w:t xml:space="preserve"> einer Abnahme der Liquidität. Im Rechnungsjahr 2019 war beides der Fall. Während rund 15 Mio. Franken über Finanzierungen abgedeckt wurden, konnten die restlichen Mittel über die vorhandene Liquidität beigesteuert werden.</w:t>
      </w:r>
    </w:p>
    <w:p w:rsidR="000A1792" w:rsidRDefault="000A1792">
      <w:pPr>
        <w:rPr>
          <w:rFonts w:cs="Arial"/>
          <w:lang w:val="de-CH"/>
        </w:rPr>
      </w:pPr>
    </w:p>
    <w:p w:rsidR="00345D3C" w:rsidRDefault="00345D3C" w:rsidP="00C043E7">
      <w:pPr>
        <w:pStyle w:val="MedienberichtTextblock"/>
        <w:ind w:left="1134"/>
        <w:rPr>
          <w:b/>
        </w:rPr>
      </w:pPr>
      <w:r w:rsidRPr="00345D3C">
        <w:rPr>
          <w:b/>
        </w:rPr>
        <w:t>Entwicklung Schulddarlehen und Passivzinsen:</w:t>
      </w:r>
    </w:p>
    <w:p w:rsidR="00253049" w:rsidRPr="00345D3C" w:rsidRDefault="00253049" w:rsidP="00C043E7">
      <w:pPr>
        <w:pStyle w:val="MedienberichtTextblock"/>
        <w:ind w:left="1134"/>
        <w:rPr>
          <w:b/>
        </w:rPr>
      </w:pPr>
    </w:p>
    <w:p w:rsidR="00345D3C" w:rsidRPr="00345D3C" w:rsidRDefault="000A1792" w:rsidP="00C043E7">
      <w:pPr>
        <w:pStyle w:val="MedienberichtTextblock"/>
        <w:ind w:left="1134"/>
        <w:rPr>
          <w:lang w:val="de-DE"/>
        </w:rPr>
      </w:pPr>
      <w:r>
        <w:rPr>
          <w:noProof/>
        </w:rPr>
        <w:drawing>
          <wp:inline distT="0" distB="0" distL="0" distR="0" wp14:anchorId="277F7E34" wp14:editId="611960FD">
            <wp:extent cx="5257688" cy="3675582"/>
            <wp:effectExtent l="0" t="0" r="635"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139" cy="3684287"/>
                    </a:xfrm>
                    <a:prstGeom prst="rect">
                      <a:avLst/>
                    </a:prstGeom>
                    <a:noFill/>
                  </pic:spPr>
                </pic:pic>
              </a:graphicData>
            </a:graphic>
          </wp:inline>
        </w:drawing>
      </w:r>
    </w:p>
    <w:p w:rsidR="00383D8D" w:rsidRDefault="00383D8D" w:rsidP="00C01E2C">
      <w:pPr>
        <w:pStyle w:val="MedienberichtTextblock"/>
        <w:ind w:left="1134"/>
        <w:rPr>
          <w:lang w:val="de-DE"/>
        </w:rPr>
      </w:pPr>
    </w:p>
    <w:p w:rsidR="004C0743" w:rsidRDefault="00374B04" w:rsidP="00374B04">
      <w:pPr>
        <w:pStyle w:val="MedienberichtTextblock"/>
        <w:ind w:left="1134"/>
        <w:rPr>
          <w:lang w:val="de-DE"/>
        </w:rPr>
      </w:pPr>
      <w:r w:rsidRPr="00374B04">
        <w:rPr>
          <w:lang w:val="de-DE"/>
        </w:rPr>
        <w:t xml:space="preserve">Die Verschuldung nahm 2019 um rund 15 Mio. Franken zu. </w:t>
      </w:r>
      <w:r w:rsidR="006247EF">
        <w:rPr>
          <w:lang w:val="de-DE"/>
        </w:rPr>
        <w:t>Bezüglich der Nettoschuld pro Einwohner bedeutet dies</w:t>
      </w:r>
      <w:r w:rsidR="004C0743">
        <w:rPr>
          <w:lang w:val="de-DE"/>
        </w:rPr>
        <w:t xml:space="preserve"> eine Zunahme auf Fr. 5‘457.00, wodurch der Richtwert des Kantons von Fr. 2‘500.00 wesentlich überschritten wird.</w:t>
      </w:r>
    </w:p>
    <w:p w:rsidR="004C0743" w:rsidRDefault="004C0743" w:rsidP="00374B04">
      <w:pPr>
        <w:pStyle w:val="MedienberichtTextblock"/>
        <w:ind w:left="1134"/>
        <w:rPr>
          <w:lang w:val="de-DE"/>
        </w:rPr>
      </w:pPr>
    </w:p>
    <w:p w:rsidR="00374B04" w:rsidRPr="00374B04" w:rsidRDefault="00374B04" w:rsidP="00374B04">
      <w:pPr>
        <w:pStyle w:val="MedienberichtTextblock"/>
        <w:ind w:left="1134"/>
        <w:rPr>
          <w:lang w:val="de-DE"/>
        </w:rPr>
      </w:pPr>
      <w:r w:rsidRPr="00374B04">
        <w:rPr>
          <w:lang w:val="de-DE"/>
        </w:rPr>
        <w:t>Als Konsequenz eines aktiven Treasurings konnte die Zinslast um rund 10</w:t>
      </w:r>
      <w:r>
        <w:rPr>
          <w:lang w:val="de-DE"/>
        </w:rPr>
        <w:t> </w:t>
      </w:r>
      <w:r w:rsidRPr="00374B04">
        <w:rPr>
          <w:lang w:val="de-DE"/>
        </w:rPr>
        <w:t xml:space="preserve"> % gesenkt werden. Zur Optimierung des Kapitaldienstes wurde ein Teil des Fremdkapitals in</w:t>
      </w:r>
      <w:r>
        <w:rPr>
          <w:lang w:val="de-DE"/>
        </w:rPr>
        <w:t xml:space="preserve"> den kurzfristigen Bereich umge</w:t>
      </w:r>
      <w:r w:rsidRPr="00374B04">
        <w:rPr>
          <w:lang w:val="de-DE"/>
        </w:rPr>
        <w:t xml:space="preserve">schichtet, wodurch beachtliche Zinserträge generiert werden können. </w:t>
      </w:r>
      <w:r w:rsidR="00CB5B52">
        <w:rPr>
          <w:lang w:val="de-DE"/>
        </w:rPr>
        <w:t xml:space="preserve">Aus </w:t>
      </w:r>
      <w:r w:rsidRPr="00374B04">
        <w:rPr>
          <w:lang w:val="de-DE"/>
        </w:rPr>
        <w:t xml:space="preserve">den Minuszinsen bei den kurzfristigen Finanzierungen </w:t>
      </w:r>
      <w:r w:rsidR="00CB5B52">
        <w:rPr>
          <w:lang w:val="de-DE"/>
        </w:rPr>
        <w:t xml:space="preserve">konnten </w:t>
      </w:r>
      <w:r w:rsidR="00CB5B52" w:rsidRPr="00374B04">
        <w:rPr>
          <w:lang w:val="de-DE"/>
        </w:rPr>
        <w:t xml:space="preserve">Zinserträge </w:t>
      </w:r>
      <w:r w:rsidRPr="00374B04">
        <w:rPr>
          <w:lang w:val="de-DE"/>
        </w:rPr>
        <w:t xml:space="preserve">von über 180‘000 Franken </w:t>
      </w:r>
      <w:r w:rsidR="00CB5B52">
        <w:rPr>
          <w:lang w:val="de-DE"/>
        </w:rPr>
        <w:t>erwirtschaftet werden</w:t>
      </w:r>
      <w:r w:rsidRPr="00374B04">
        <w:rPr>
          <w:lang w:val="de-DE"/>
        </w:rPr>
        <w:t>.</w:t>
      </w:r>
    </w:p>
    <w:p w:rsidR="006919A8" w:rsidRPr="006919A8" w:rsidRDefault="006919A8" w:rsidP="006919A8">
      <w:pPr>
        <w:pStyle w:val="MedienberichtTextblock"/>
        <w:ind w:left="1134"/>
        <w:rPr>
          <w:lang w:val="de-DE"/>
        </w:rPr>
      </w:pPr>
    </w:p>
    <w:p w:rsidR="00F539D7" w:rsidRDefault="006919A8" w:rsidP="006919A8">
      <w:pPr>
        <w:pStyle w:val="MedienberichtTextblock"/>
        <w:ind w:left="1134"/>
        <w:rPr>
          <w:lang w:val="de-DE"/>
        </w:rPr>
      </w:pPr>
      <w:r w:rsidRPr="006919A8">
        <w:rPr>
          <w:lang w:val="de-DE"/>
        </w:rPr>
        <w:t xml:space="preserve">Die Kosten für den Kapitaldienst und das Fremdkapital werden künftig </w:t>
      </w:r>
      <w:r w:rsidR="00374B04">
        <w:rPr>
          <w:lang w:val="de-DE"/>
        </w:rPr>
        <w:t>eine Herausforderung und auch ein gewisses Risiko darstellen. Gegenwärtig kann von günstigen Zinskonditionen profitiert werden</w:t>
      </w:r>
      <w:r w:rsidR="004B6BDA">
        <w:rPr>
          <w:lang w:val="de-DE"/>
        </w:rPr>
        <w:t>, die vermutlich noch längere Zeit anhalten werden</w:t>
      </w:r>
      <w:r w:rsidR="00374B04">
        <w:rPr>
          <w:lang w:val="de-DE"/>
        </w:rPr>
        <w:t xml:space="preserve">. Zur Abfederung des Zinsbelastungsrisikos sollten die Schulden mittelfristig wieder abgebaut werden. Die Umsetzung dieser finanzpolitischen Strategie wollte der Gemeinderat bereits mit dem Budget 2020 </w:t>
      </w:r>
      <w:r w:rsidR="004B6BDA">
        <w:rPr>
          <w:lang w:val="de-DE"/>
        </w:rPr>
        <w:t>einläuten und mit der geplanten Steuerfusserhöhung zusätzliche Mittel für den Schuldenabbau bereitstellen</w:t>
      </w:r>
      <w:r w:rsidR="00374B04">
        <w:rPr>
          <w:lang w:val="de-DE"/>
        </w:rPr>
        <w:t>.</w:t>
      </w:r>
    </w:p>
    <w:p w:rsidR="00F539D7" w:rsidRDefault="00F539D7">
      <w:r>
        <w:br w:type="page"/>
      </w:r>
    </w:p>
    <w:p w:rsidR="00BF02D4" w:rsidRPr="008F20EC" w:rsidRDefault="005E345D" w:rsidP="00C043E7">
      <w:pPr>
        <w:pStyle w:val="MedienberichtTextblock"/>
        <w:ind w:left="1134"/>
        <w:rPr>
          <w:b/>
        </w:rPr>
      </w:pPr>
      <w:r>
        <w:rPr>
          <w:b/>
        </w:rPr>
        <w:lastRenderedPageBreak/>
        <w:t>Fazit und Ausblick</w:t>
      </w:r>
    </w:p>
    <w:p w:rsidR="00565D96" w:rsidRDefault="00565D96" w:rsidP="00253049">
      <w:pPr>
        <w:pStyle w:val="MedienberichtTextblock"/>
        <w:ind w:left="1134"/>
      </w:pPr>
      <w:r>
        <w:t>D</w:t>
      </w:r>
      <w:r w:rsidR="00C06FE2">
        <w:t>as Rechnungsergebnis 201</w:t>
      </w:r>
      <w:r>
        <w:t>9</w:t>
      </w:r>
      <w:r w:rsidR="00C06FE2">
        <w:t xml:space="preserve"> </w:t>
      </w:r>
      <w:r>
        <w:t xml:space="preserve">kann </w:t>
      </w:r>
      <w:r w:rsidR="00C06FE2">
        <w:t xml:space="preserve">als sehr gut </w:t>
      </w:r>
      <w:r w:rsidR="00875F70">
        <w:t xml:space="preserve">gewertet </w:t>
      </w:r>
      <w:r>
        <w:t>und gleichzeitig auch als ausserordentliches Ergebnis b</w:t>
      </w:r>
      <w:r w:rsidR="009F3397">
        <w:t>ezeichnet werden. Indessen zeigen</w:t>
      </w:r>
      <w:r>
        <w:t xml:space="preserve"> die eingeschlagene</w:t>
      </w:r>
      <w:r w:rsidR="00B67349">
        <w:t xml:space="preserve"> Finanzstrategie </w:t>
      </w:r>
      <w:r w:rsidR="00525608">
        <w:t xml:space="preserve">und das stringente Controlling </w:t>
      </w:r>
      <w:r>
        <w:t>Wirkung.</w:t>
      </w:r>
      <w:r w:rsidR="00525608">
        <w:t xml:space="preserve"> </w:t>
      </w:r>
      <w:r>
        <w:t>Die steuerbaren Kosten (Personal- und Sachaufwand) sind im Griff. Der</w:t>
      </w:r>
      <w:r w:rsidRPr="00565D96">
        <w:t xml:space="preserve"> Mehraufwand aus den nicht beeinflussbaren Bereichen Pflegefinanzierung</w:t>
      </w:r>
      <w:r>
        <w:t>,</w:t>
      </w:r>
      <w:r w:rsidRPr="00565D96">
        <w:t xml:space="preserve"> Spitex</w:t>
      </w:r>
      <w:r>
        <w:t>, Tagesstrukturen s</w:t>
      </w:r>
      <w:r w:rsidRPr="00565D96">
        <w:t xml:space="preserve">owie die Mindereinnahmen bei den Steuern konnte durch eine </w:t>
      </w:r>
      <w:r>
        <w:t>markante</w:t>
      </w:r>
      <w:r w:rsidRPr="00565D96">
        <w:t xml:space="preserve"> Verbesserung des Sozialhilfeergebnisses kompensiert werden.</w:t>
      </w:r>
    </w:p>
    <w:p w:rsidR="00565D96" w:rsidRDefault="00565D96" w:rsidP="00253049">
      <w:pPr>
        <w:pStyle w:val="MedienberichtTextblock"/>
        <w:ind w:left="1134"/>
      </w:pPr>
    </w:p>
    <w:p w:rsidR="00253049" w:rsidRPr="00BF02D4" w:rsidRDefault="00C06FE2" w:rsidP="00253049">
      <w:pPr>
        <w:pStyle w:val="MedienberichtTextblock"/>
        <w:ind w:left="1134"/>
      </w:pPr>
      <w:r>
        <w:t xml:space="preserve">Die Kostenentwicklung in den kritischen Bereichen wurde im Budget </w:t>
      </w:r>
      <w:r w:rsidR="000746EC">
        <w:t>20</w:t>
      </w:r>
      <w:r w:rsidR="00565D96">
        <w:t>20</w:t>
      </w:r>
      <w:r w:rsidR="000746EC">
        <w:t xml:space="preserve"> </w:t>
      </w:r>
      <w:r>
        <w:t xml:space="preserve">und vor allem in der Finanzplanung so gut wie möglich antizipiert. Auf der Ertragsseite erweist sich das Steuersubstrat als solide. </w:t>
      </w:r>
      <w:r w:rsidR="00CB5B52">
        <w:t xml:space="preserve">Offen ist im Moment die Wirkung der CORONA-Krise. </w:t>
      </w:r>
      <w:r>
        <w:t xml:space="preserve">An dem eingeschlagenen Kurs gilt es nun festzuhalten </w:t>
      </w:r>
      <w:r w:rsidR="00BF02D4" w:rsidRPr="00BF02D4">
        <w:t xml:space="preserve">und die Ausgaben </w:t>
      </w:r>
      <w:r w:rsidR="000746EC">
        <w:t xml:space="preserve">laufend </w:t>
      </w:r>
      <w:r w:rsidR="00BF02D4" w:rsidRPr="00BF02D4">
        <w:t>mit der finanziellen Leistungsfähigkeit abzustimmen.</w:t>
      </w:r>
      <w:r w:rsidR="004D5B4D">
        <w:t xml:space="preserve"> </w:t>
      </w:r>
      <w:r w:rsidR="00253049" w:rsidRPr="00BF02D4">
        <w:t>Der Gemeinderat ste</w:t>
      </w:r>
      <w:r w:rsidR="00253049">
        <w:t>llt sich diesen Herausforderungen</w:t>
      </w:r>
      <w:r w:rsidR="00253049" w:rsidRPr="00BF02D4">
        <w:t xml:space="preserve"> und wird dabei durch eine fachkompetente</w:t>
      </w:r>
      <w:r w:rsidR="00253049">
        <w:t xml:space="preserve">, </w:t>
      </w:r>
      <w:r w:rsidR="00253049" w:rsidRPr="00BF02D4">
        <w:t>effiziente</w:t>
      </w:r>
      <w:r w:rsidR="00253049">
        <w:t xml:space="preserve"> und</w:t>
      </w:r>
      <w:r w:rsidR="00253049" w:rsidRPr="00BF02D4">
        <w:t xml:space="preserve"> schlanke Verwaltung unterstützt.</w:t>
      </w:r>
    </w:p>
    <w:p w:rsidR="000746EC" w:rsidRDefault="000746EC" w:rsidP="00345D3C">
      <w:pPr>
        <w:pStyle w:val="MedienberichtTextblock"/>
        <w:ind w:left="1134"/>
      </w:pPr>
    </w:p>
    <w:p w:rsidR="000746EC" w:rsidRDefault="000746EC" w:rsidP="00345D3C">
      <w:pPr>
        <w:pStyle w:val="MedienberichtTextblock"/>
        <w:ind w:left="1134"/>
      </w:pPr>
      <w:r>
        <w:t>Durch die grossen Investitionsprojekte wird die Verschuldung weiter zunehmen und voraussichtlich in den Jahren 20</w:t>
      </w:r>
      <w:r w:rsidR="00875F70">
        <w:t>23</w:t>
      </w:r>
      <w:r>
        <w:t xml:space="preserve"> und 20</w:t>
      </w:r>
      <w:r w:rsidR="00875F70">
        <w:t>24</w:t>
      </w:r>
      <w:r>
        <w:t xml:space="preserve"> ihren Höchststand erreichen. Als strategische Zielvorgabe des Gemeinderates und des Parlaments sollen für die nächste Generation zur Schaffung eines grösseren finanziellen Handlungsspielraumes und zur Entlastung der Steuerzahler die Schulden mittelfristig abgebaut werden. Damit diese Zielvorgabe in einem akzeptablen Zeitraum erreicht werden kann, ist </w:t>
      </w:r>
      <w:r w:rsidR="00AE62E2">
        <w:t xml:space="preserve">zur Generierung von Finanzierungsüberschüssen eine Steuerfusserhöhung erforderlich. Nachdem das Budget 2020 vom Stimmvolk abgelehnt wurde, ist die Umsetzung der Strategie des Schuldenabbaus ungewiss. </w:t>
      </w:r>
      <w:r w:rsidR="005E345D">
        <w:t xml:space="preserve">Demnächst wird der Kanton entscheiden. </w:t>
      </w:r>
      <w:r w:rsidR="00AE62E2">
        <w:t xml:space="preserve">Die Auswirkung des vom Regierungsrat verfügten Budgets und die möglichen Szenarien werden </w:t>
      </w:r>
      <w:r w:rsidR="00253049">
        <w:t xml:space="preserve">im </w:t>
      </w:r>
      <w:r w:rsidR="00AE62E2">
        <w:t>nächsten Finanzplan aufgezeigt.</w:t>
      </w:r>
    </w:p>
    <w:p w:rsidR="00B26986" w:rsidRPr="00744821" w:rsidRDefault="00B26986" w:rsidP="00345D3C">
      <w:pPr>
        <w:pStyle w:val="MedienberichtTextblock"/>
        <w:ind w:left="1134"/>
      </w:pPr>
    </w:p>
    <w:p w:rsidR="00220B0D" w:rsidRPr="00744821" w:rsidRDefault="00220B0D" w:rsidP="00345D3C">
      <w:pPr>
        <w:pStyle w:val="MedienberichtTextblock"/>
        <w:ind w:left="1134"/>
      </w:pPr>
      <w:r w:rsidRPr="00744821">
        <w:t xml:space="preserve">Wettingen, </w:t>
      </w:r>
      <w:r w:rsidR="00605C03">
        <w:t>30</w:t>
      </w:r>
      <w:r w:rsidR="00253049">
        <w:t>. März 20</w:t>
      </w:r>
      <w:r w:rsidR="00605C03">
        <w:t>20</w:t>
      </w:r>
      <w:r w:rsidRPr="00744821">
        <w:tab/>
      </w:r>
      <w:r w:rsidR="00EA4B09">
        <w:t>Gemeinderat</w:t>
      </w:r>
    </w:p>
    <w:p w:rsidR="00220B0D" w:rsidRPr="00744821" w:rsidRDefault="00220B0D" w:rsidP="00345D3C">
      <w:pPr>
        <w:pStyle w:val="MedienberichtTextblock"/>
        <w:ind w:left="1134"/>
      </w:pPr>
      <w:r w:rsidRPr="00744821">
        <w:t>_______________________________________________</w:t>
      </w:r>
      <w:r w:rsidR="00B57B00">
        <w:t>_______</w:t>
      </w:r>
      <w:r w:rsidRPr="00744821">
        <w:t>______</w:t>
      </w:r>
    </w:p>
    <w:p w:rsidR="00793737" w:rsidRPr="00744821" w:rsidRDefault="00375B41" w:rsidP="00417557">
      <w:pPr>
        <w:pStyle w:val="MedienberichtTextblock"/>
        <w:numPr>
          <w:ilvl w:val="0"/>
          <w:numId w:val="11"/>
        </w:numPr>
      </w:pPr>
      <w:r>
        <w:t>Markus Maibach, Gemeinderat Ressort Finanzen/Steuern</w:t>
      </w:r>
      <w:r w:rsidR="00793737" w:rsidRPr="00744821">
        <w:t xml:space="preserve">, Tel. </w:t>
      </w:r>
      <w:r w:rsidR="00117484">
        <w:t>078 605 95 08</w:t>
      </w:r>
    </w:p>
    <w:p w:rsidR="00483F96" w:rsidRDefault="00220B0D" w:rsidP="00417557">
      <w:pPr>
        <w:pStyle w:val="MedienberichtTextblock"/>
        <w:numPr>
          <w:ilvl w:val="0"/>
          <w:numId w:val="11"/>
        </w:numPr>
      </w:pPr>
      <w:r w:rsidRPr="00744821">
        <w:t xml:space="preserve">Martin Frey, </w:t>
      </w:r>
      <w:r w:rsidR="00055A6C" w:rsidRPr="00744821">
        <w:t xml:space="preserve">Leiter Finanzabteilung, </w:t>
      </w:r>
      <w:r w:rsidRPr="00744821">
        <w:t>Tel 056 437 71 01</w:t>
      </w:r>
    </w:p>
    <w:p w:rsidR="00483F96" w:rsidRPr="00483F96" w:rsidRDefault="00483F96" w:rsidP="00483F96">
      <w:pPr>
        <w:rPr>
          <w:lang w:val="de-CH"/>
        </w:rPr>
      </w:pPr>
    </w:p>
    <w:p w:rsidR="00483F96" w:rsidRPr="00483F96" w:rsidRDefault="00483F96" w:rsidP="00483F96">
      <w:pPr>
        <w:rPr>
          <w:lang w:val="de-CH"/>
        </w:rPr>
      </w:pPr>
    </w:p>
    <w:p w:rsidR="00483F96" w:rsidRPr="00483F96" w:rsidRDefault="00483F96" w:rsidP="00483F96">
      <w:pPr>
        <w:rPr>
          <w:lang w:val="de-CH"/>
        </w:rPr>
      </w:pPr>
    </w:p>
    <w:p w:rsidR="00BA4721" w:rsidRPr="00483F96" w:rsidRDefault="00BA4721" w:rsidP="00483F96">
      <w:pPr>
        <w:jc w:val="center"/>
        <w:rPr>
          <w:lang w:val="de-CH"/>
        </w:rPr>
      </w:pPr>
    </w:p>
    <w:sectPr w:rsidR="00BA4721" w:rsidRPr="00483F96" w:rsidSect="009074BE">
      <w:headerReference w:type="default" r:id="rId13"/>
      <w:headerReference w:type="first" r:id="rId14"/>
      <w:pgSz w:w="11906" w:h="16838"/>
      <w:pgMar w:top="1418" w:right="707" w:bottom="1021" w:left="1418" w:header="720" w:footer="720" w:gutter="0"/>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C88D7B" w16cid:durableId="22275901"/>
  <w16cid:commentId w16cid:paraId="75E871EF" w16cid:durableId="222759C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FE3" w:rsidRDefault="00544FE3">
      <w:r>
        <w:separator/>
      </w:r>
    </w:p>
  </w:endnote>
  <w:endnote w:type="continuationSeparator" w:id="0">
    <w:p w:rsidR="00544FE3" w:rsidRDefault="00544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FE3" w:rsidRDefault="00544FE3">
      <w:r>
        <w:separator/>
      </w:r>
    </w:p>
  </w:footnote>
  <w:footnote w:type="continuationSeparator" w:id="0">
    <w:p w:rsidR="00544FE3" w:rsidRDefault="00544F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B4D" w:rsidRPr="002A366F" w:rsidRDefault="004D5B4D" w:rsidP="002A366F">
    <w:pPr>
      <w:pStyle w:val="Kopfzeile"/>
      <w:jc w:val="right"/>
      <w:rPr>
        <w:lang w:val="de-CH"/>
      </w:rPr>
    </w:pPr>
    <w:r>
      <w:rPr>
        <w:lang w:val="de-CH"/>
      </w:rPr>
      <w:t xml:space="preserve">- </w:t>
    </w:r>
    <w:r>
      <w:rPr>
        <w:rStyle w:val="Seitenzahl"/>
      </w:rPr>
      <w:fldChar w:fldCharType="begin"/>
    </w:r>
    <w:r>
      <w:rPr>
        <w:rStyle w:val="Seitenzahl"/>
      </w:rPr>
      <w:instrText xml:space="preserve"> PAGE </w:instrText>
    </w:r>
    <w:r>
      <w:rPr>
        <w:rStyle w:val="Seitenzahl"/>
      </w:rPr>
      <w:fldChar w:fldCharType="separate"/>
    </w:r>
    <w:r w:rsidR="00D531E2">
      <w:rPr>
        <w:rStyle w:val="Seitenzahl"/>
        <w:noProof/>
      </w:rPr>
      <w:t>2</w:t>
    </w:r>
    <w:r>
      <w:rPr>
        <w:rStyle w:val="Seitenzahl"/>
      </w:rPr>
      <w:fldChar w:fldCharType="end"/>
    </w:r>
    <w:r>
      <w:rPr>
        <w:rStyle w:val="Seitenzahl"/>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4181"/>
      <w:gridCol w:w="5812"/>
    </w:tblGrid>
    <w:tr w:rsidR="004D5B4D">
      <w:tc>
        <w:tcPr>
          <w:tcW w:w="4181" w:type="dxa"/>
        </w:tcPr>
        <w:p w:rsidR="004D5B4D" w:rsidRDefault="004D5B4D" w:rsidP="002A366F">
          <w:pPr>
            <w:rPr>
              <w:sz w:val="24"/>
            </w:rPr>
          </w:pPr>
          <w:r>
            <w:rPr>
              <w:sz w:val="24"/>
            </w:rPr>
            <w:t>Medienmitteilung</w:t>
          </w:r>
        </w:p>
        <w:p w:rsidR="004D5B4D" w:rsidRDefault="004D5B4D" w:rsidP="00E2403F">
          <w:pPr>
            <w:rPr>
              <w:sz w:val="24"/>
            </w:rPr>
          </w:pPr>
          <w:r>
            <w:rPr>
              <w:sz w:val="24"/>
            </w:rPr>
            <w:t xml:space="preserve">vom </w:t>
          </w:r>
          <w:r w:rsidR="00E2403F">
            <w:rPr>
              <w:sz w:val="24"/>
            </w:rPr>
            <w:t>30</w:t>
          </w:r>
          <w:r w:rsidR="00C642D2">
            <w:rPr>
              <w:sz w:val="24"/>
            </w:rPr>
            <w:t xml:space="preserve">. </w:t>
          </w:r>
          <w:r w:rsidR="00E2403F">
            <w:rPr>
              <w:sz w:val="24"/>
            </w:rPr>
            <w:t>März 2020</w:t>
          </w:r>
        </w:p>
      </w:tc>
      <w:tc>
        <w:tcPr>
          <w:tcW w:w="5812" w:type="dxa"/>
        </w:tcPr>
        <w:p w:rsidR="004D5B4D" w:rsidRDefault="005C70D9" w:rsidP="002A366F">
          <w:pPr>
            <w:ind w:left="-70"/>
            <w:jc w:val="right"/>
          </w:pPr>
          <w:r>
            <w:rPr>
              <w:noProof/>
              <w:lang w:val="de-CH"/>
            </w:rPr>
            <w:drawing>
              <wp:inline distT="0" distB="0" distL="0" distR="0" wp14:anchorId="54A67DA2" wp14:editId="122EA0B2">
                <wp:extent cx="1800225" cy="381000"/>
                <wp:effectExtent l="0" t="0" r="9525" b="0"/>
                <wp:docPr id="16" name="Bild 7" descr="wetti_logo_claim_2010 5cm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tti_logo_claim_2010 5cm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381000"/>
                        </a:xfrm>
                        <a:prstGeom prst="rect">
                          <a:avLst/>
                        </a:prstGeom>
                        <a:noFill/>
                        <a:ln>
                          <a:noFill/>
                        </a:ln>
                      </pic:spPr>
                    </pic:pic>
                  </a:graphicData>
                </a:graphic>
              </wp:inline>
            </w:drawing>
          </w:r>
        </w:p>
      </w:tc>
    </w:tr>
  </w:tbl>
  <w:p w:rsidR="004D5B4D" w:rsidRPr="002A366F" w:rsidRDefault="004D5B4D" w:rsidP="002A366F">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504"/>
      </v:shape>
    </w:pict>
  </w:numPicBullet>
  <w:abstractNum w:abstractNumId="0" w15:restartNumberingAfterBreak="0">
    <w:nsid w:val="11505BC7"/>
    <w:multiLevelType w:val="hybridMultilevel"/>
    <w:tmpl w:val="67CEE0DA"/>
    <w:lvl w:ilvl="0" w:tplc="0FE4E224">
      <w:start w:val="1"/>
      <w:numFmt w:val="bullet"/>
      <w:lvlText w:val=""/>
      <w:lvlJc w:val="left"/>
      <w:pPr>
        <w:ind w:left="1776" w:hanging="360"/>
      </w:pPr>
      <w:rPr>
        <w:rFonts w:ascii="Symbol" w:hAnsi="Symbol" w:hint="default"/>
      </w:rPr>
    </w:lvl>
    <w:lvl w:ilvl="1" w:tplc="08070003" w:tentative="1">
      <w:start w:val="1"/>
      <w:numFmt w:val="bullet"/>
      <w:lvlText w:val="o"/>
      <w:lvlJc w:val="left"/>
      <w:pPr>
        <w:ind w:left="2496" w:hanging="360"/>
      </w:pPr>
      <w:rPr>
        <w:rFonts w:ascii="Courier New" w:hAnsi="Courier New" w:cs="Courier New" w:hint="default"/>
      </w:rPr>
    </w:lvl>
    <w:lvl w:ilvl="2" w:tplc="08070005" w:tentative="1">
      <w:start w:val="1"/>
      <w:numFmt w:val="bullet"/>
      <w:lvlText w:val=""/>
      <w:lvlJc w:val="left"/>
      <w:pPr>
        <w:ind w:left="3216" w:hanging="360"/>
      </w:pPr>
      <w:rPr>
        <w:rFonts w:ascii="Wingdings" w:hAnsi="Wingdings" w:hint="default"/>
      </w:rPr>
    </w:lvl>
    <w:lvl w:ilvl="3" w:tplc="08070001" w:tentative="1">
      <w:start w:val="1"/>
      <w:numFmt w:val="bullet"/>
      <w:lvlText w:val=""/>
      <w:lvlJc w:val="left"/>
      <w:pPr>
        <w:ind w:left="3936" w:hanging="360"/>
      </w:pPr>
      <w:rPr>
        <w:rFonts w:ascii="Symbol" w:hAnsi="Symbol" w:hint="default"/>
      </w:rPr>
    </w:lvl>
    <w:lvl w:ilvl="4" w:tplc="08070003" w:tentative="1">
      <w:start w:val="1"/>
      <w:numFmt w:val="bullet"/>
      <w:lvlText w:val="o"/>
      <w:lvlJc w:val="left"/>
      <w:pPr>
        <w:ind w:left="4656" w:hanging="360"/>
      </w:pPr>
      <w:rPr>
        <w:rFonts w:ascii="Courier New" w:hAnsi="Courier New" w:cs="Courier New" w:hint="default"/>
      </w:rPr>
    </w:lvl>
    <w:lvl w:ilvl="5" w:tplc="08070005" w:tentative="1">
      <w:start w:val="1"/>
      <w:numFmt w:val="bullet"/>
      <w:lvlText w:val=""/>
      <w:lvlJc w:val="left"/>
      <w:pPr>
        <w:ind w:left="5376" w:hanging="360"/>
      </w:pPr>
      <w:rPr>
        <w:rFonts w:ascii="Wingdings" w:hAnsi="Wingdings" w:hint="default"/>
      </w:rPr>
    </w:lvl>
    <w:lvl w:ilvl="6" w:tplc="08070001" w:tentative="1">
      <w:start w:val="1"/>
      <w:numFmt w:val="bullet"/>
      <w:lvlText w:val=""/>
      <w:lvlJc w:val="left"/>
      <w:pPr>
        <w:ind w:left="6096" w:hanging="360"/>
      </w:pPr>
      <w:rPr>
        <w:rFonts w:ascii="Symbol" w:hAnsi="Symbol" w:hint="default"/>
      </w:rPr>
    </w:lvl>
    <w:lvl w:ilvl="7" w:tplc="08070003" w:tentative="1">
      <w:start w:val="1"/>
      <w:numFmt w:val="bullet"/>
      <w:lvlText w:val="o"/>
      <w:lvlJc w:val="left"/>
      <w:pPr>
        <w:ind w:left="6816" w:hanging="360"/>
      </w:pPr>
      <w:rPr>
        <w:rFonts w:ascii="Courier New" w:hAnsi="Courier New" w:cs="Courier New" w:hint="default"/>
      </w:rPr>
    </w:lvl>
    <w:lvl w:ilvl="8" w:tplc="08070005" w:tentative="1">
      <w:start w:val="1"/>
      <w:numFmt w:val="bullet"/>
      <w:lvlText w:val=""/>
      <w:lvlJc w:val="left"/>
      <w:pPr>
        <w:ind w:left="7536" w:hanging="360"/>
      </w:pPr>
      <w:rPr>
        <w:rFonts w:ascii="Wingdings" w:hAnsi="Wingdings" w:hint="default"/>
      </w:rPr>
    </w:lvl>
  </w:abstractNum>
  <w:abstractNum w:abstractNumId="1" w15:restartNumberingAfterBreak="0">
    <w:nsid w:val="228F7CB3"/>
    <w:multiLevelType w:val="hybridMultilevel"/>
    <w:tmpl w:val="02BC25AA"/>
    <w:lvl w:ilvl="0" w:tplc="5CA6BAF8">
      <w:start w:val="1"/>
      <w:numFmt w:val="bullet"/>
      <w:lvlText w:val=""/>
      <w:lvlJc w:val="left"/>
      <w:pPr>
        <w:ind w:left="1637" w:hanging="360"/>
      </w:pPr>
      <w:rPr>
        <w:rFonts w:ascii="Wingdings" w:hAnsi="Wingdings" w:hint="default"/>
        <w:sz w:val="36"/>
      </w:rPr>
    </w:lvl>
    <w:lvl w:ilvl="1" w:tplc="08070003" w:tentative="1">
      <w:start w:val="1"/>
      <w:numFmt w:val="bullet"/>
      <w:lvlText w:val="o"/>
      <w:lvlJc w:val="left"/>
      <w:pPr>
        <w:ind w:left="2357" w:hanging="360"/>
      </w:pPr>
      <w:rPr>
        <w:rFonts w:ascii="Courier New" w:hAnsi="Courier New" w:cs="Courier New" w:hint="default"/>
      </w:rPr>
    </w:lvl>
    <w:lvl w:ilvl="2" w:tplc="08070005" w:tentative="1">
      <w:start w:val="1"/>
      <w:numFmt w:val="bullet"/>
      <w:lvlText w:val=""/>
      <w:lvlJc w:val="left"/>
      <w:pPr>
        <w:ind w:left="3077" w:hanging="360"/>
      </w:pPr>
      <w:rPr>
        <w:rFonts w:ascii="Wingdings" w:hAnsi="Wingdings" w:hint="default"/>
      </w:rPr>
    </w:lvl>
    <w:lvl w:ilvl="3" w:tplc="08070001" w:tentative="1">
      <w:start w:val="1"/>
      <w:numFmt w:val="bullet"/>
      <w:lvlText w:val=""/>
      <w:lvlJc w:val="left"/>
      <w:pPr>
        <w:ind w:left="3797" w:hanging="360"/>
      </w:pPr>
      <w:rPr>
        <w:rFonts w:ascii="Symbol" w:hAnsi="Symbol" w:hint="default"/>
      </w:rPr>
    </w:lvl>
    <w:lvl w:ilvl="4" w:tplc="08070003" w:tentative="1">
      <w:start w:val="1"/>
      <w:numFmt w:val="bullet"/>
      <w:lvlText w:val="o"/>
      <w:lvlJc w:val="left"/>
      <w:pPr>
        <w:ind w:left="4517" w:hanging="360"/>
      </w:pPr>
      <w:rPr>
        <w:rFonts w:ascii="Courier New" w:hAnsi="Courier New" w:cs="Courier New" w:hint="default"/>
      </w:rPr>
    </w:lvl>
    <w:lvl w:ilvl="5" w:tplc="08070005" w:tentative="1">
      <w:start w:val="1"/>
      <w:numFmt w:val="bullet"/>
      <w:lvlText w:val=""/>
      <w:lvlJc w:val="left"/>
      <w:pPr>
        <w:ind w:left="5237" w:hanging="360"/>
      </w:pPr>
      <w:rPr>
        <w:rFonts w:ascii="Wingdings" w:hAnsi="Wingdings" w:hint="default"/>
      </w:rPr>
    </w:lvl>
    <w:lvl w:ilvl="6" w:tplc="08070001" w:tentative="1">
      <w:start w:val="1"/>
      <w:numFmt w:val="bullet"/>
      <w:lvlText w:val=""/>
      <w:lvlJc w:val="left"/>
      <w:pPr>
        <w:ind w:left="5957" w:hanging="360"/>
      </w:pPr>
      <w:rPr>
        <w:rFonts w:ascii="Symbol" w:hAnsi="Symbol" w:hint="default"/>
      </w:rPr>
    </w:lvl>
    <w:lvl w:ilvl="7" w:tplc="08070003" w:tentative="1">
      <w:start w:val="1"/>
      <w:numFmt w:val="bullet"/>
      <w:lvlText w:val="o"/>
      <w:lvlJc w:val="left"/>
      <w:pPr>
        <w:ind w:left="6677" w:hanging="360"/>
      </w:pPr>
      <w:rPr>
        <w:rFonts w:ascii="Courier New" w:hAnsi="Courier New" w:cs="Courier New" w:hint="default"/>
      </w:rPr>
    </w:lvl>
    <w:lvl w:ilvl="8" w:tplc="08070005" w:tentative="1">
      <w:start w:val="1"/>
      <w:numFmt w:val="bullet"/>
      <w:lvlText w:val=""/>
      <w:lvlJc w:val="left"/>
      <w:pPr>
        <w:ind w:left="7397" w:hanging="360"/>
      </w:pPr>
      <w:rPr>
        <w:rFonts w:ascii="Wingdings" w:hAnsi="Wingdings" w:hint="default"/>
      </w:rPr>
    </w:lvl>
  </w:abstractNum>
  <w:abstractNum w:abstractNumId="2" w15:restartNumberingAfterBreak="0">
    <w:nsid w:val="32D97942"/>
    <w:multiLevelType w:val="hybridMultilevel"/>
    <w:tmpl w:val="52609A96"/>
    <w:lvl w:ilvl="0" w:tplc="41B40838">
      <w:start w:val="1"/>
      <w:numFmt w:val="bullet"/>
      <w:lvlText w:val=""/>
      <w:lvlJc w:val="left"/>
      <w:pPr>
        <w:ind w:left="1570" w:hanging="360"/>
      </w:pPr>
      <w:rPr>
        <w:rFonts w:ascii="Symbol" w:hAnsi="Symbol" w:hint="default"/>
      </w:rPr>
    </w:lvl>
    <w:lvl w:ilvl="1" w:tplc="08070003" w:tentative="1">
      <w:start w:val="1"/>
      <w:numFmt w:val="bullet"/>
      <w:lvlText w:val="o"/>
      <w:lvlJc w:val="left"/>
      <w:pPr>
        <w:ind w:left="2290" w:hanging="360"/>
      </w:pPr>
      <w:rPr>
        <w:rFonts w:ascii="Courier New" w:hAnsi="Courier New" w:cs="Courier New" w:hint="default"/>
      </w:rPr>
    </w:lvl>
    <w:lvl w:ilvl="2" w:tplc="08070005" w:tentative="1">
      <w:start w:val="1"/>
      <w:numFmt w:val="bullet"/>
      <w:lvlText w:val=""/>
      <w:lvlJc w:val="left"/>
      <w:pPr>
        <w:ind w:left="3010" w:hanging="360"/>
      </w:pPr>
      <w:rPr>
        <w:rFonts w:ascii="Wingdings" w:hAnsi="Wingdings" w:hint="default"/>
      </w:rPr>
    </w:lvl>
    <w:lvl w:ilvl="3" w:tplc="08070001" w:tentative="1">
      <w:start w:val="1"/>
      <w:numFmt w:val="bullet"/>
      <w:lvlText w:val=""/>
      <w:lvlJc w:val="left"/>
      <w:pPr>
        <w:ind w:left="3730" w:hanging="360"/>
      </w:pPr>
      <w:rPr>
        <w:rFonts w:ascii="Symbol" w:hAnsi="Symbol" w:hint="default"/>
      </w:rPr>
    </w:lvl>
    <w:lvl w:ilvl="4" w:tplc="08070003" w:tentative="1">
      <w:start w:val="1"/>
      <w:numFmt w:val="bullet"/>
      <w:lvlText w:val="o"/>
      <w:lvlJc w:val="left"/>
      <w:pPr>
        <w:ind w:left="4450" w:hanging="360"/>
      </w:pPr>
      <w:rPr>
        <w:rFonts w:ascii="Courier New" w:hAnsi="Courier New" w:cs="Courier New" w:hint="default"/>
      </w:rPr>
    </w:lvl>
    <w:lvl w:ilvl="5" w:tplc="08070005" w:tentative="1">
      <w:start w:val="1"/>
      <w:numFmt w:val="bullet"/>
      <w:lvlText w:val=""/>
      <w:lvlJc w:val="left"/>
      <w:pPr>
        <w:ind w:left="5170" w:hanging="360"/>
      </w:pPr>
      <w:rPr>
        <w:rFonts w:ascii="Wingdings" w:hAnsi="Wingdings" w:hint="default"/>
      </w:rPr>
    </w:lvl>
    <w:lvl w:ilvl="6" w:tplc="08070001" w:tentative="1">
      <w:start w:val="1"/>
      <w:numFmt w:val="bullet"/>
      <w:lvlText w:val=""/>
      <w:lvlJc w:val="left"/>
      <w:pPr>
        <w:ind w:left="5890" w:hanging="360"/>
      </w:pPr>
      <w:rPr>
        <w:rFonts w:ascii="Symbol" w:hAnsi="Symbol" w:hint="default"/>
      </w:rPr>
    </w:lvl>
    <w:lvl w:ilvl="7" w:tplc="08070003" w:tentative="1">
      <w:start w:val="1"/>
      <w:numFmt w:val="bullet"/>
      <w:lvlText w:val="o"/>
      <w:lvlJc w:val="left"/>
      <w:pPr>
        <w:ind w:left="6610" w:hanging="360"/>
      </w:pPr>
      <w:rPr>
        <w:rFonts w:ascii="Courier New" w:hAnsi="Courier New" w:cs="Courier New" w:hint="default"/>
      </w:rPr>
    </w:lvl>
    <w:lvl w:ilvl="8" w:tplc="08070005" w:tentative="1">
      <w:start w:val="1"/>
      <w:numFmt w:val="bullet"/>
      <w:lvlText w:val=""/>
      <w:lvlJc w:val="left"/>
      <w:pPr>
        <w:ind w:left="7330" w:hanging="360"/>
      </w:pPr>
      <w:rPr>
        <w:rFonts w:ascii="Wingdings" w:hAnsi="Wingdings" w:hint="default"/>
      </w:rPr>
    </w:lvl>
  </w:abstractNum>
  <w:abstractNum w:abstractNumId="3" w15:restartNumberingAfterBreak="0">
    <w:nsid w:val="350377DA"/>
    <w:multiLevelType w:val="hybridMultilevel"/>
    <w:tmpl w:val="5FFE1134"/>
    <w:lvl w:ilvl="0" w:tplc="0807000B">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4D562B21"/>
    <w:multiLevelType w:val="hybridMultilevel"/>
    <w:tmpl w:val="A97A3F64"/>
    <w:lvl w:ilvl="0" w:tplc="169CE3F6">
      <w:start w:val="1"/>
      <w:numFmt w:val="bullet"/>
      <w:lvlText w:val="-"/>
      <w:lvlJc w:val="left"/>
      <w:pPr>
        <w:tabs>
          <w:tab w:val="num" w:pos="357"/>
        </w:tabs>
        <w:ind w:left="357" w:hanging="357"/>
      </w:pPr>
      <w:rPr>
        <w:rFonts w:ascii="Arial" w:hAnsi="Arial" w:hint="default"/>
        <w:b w:val="0"/>
        <w:i w:val="0"/>
        <w:sz w:val="22"/>
        <w:szCs w:val="22"/>
      </w:rPr>
    </w:lvl>
    <w:lvl w:ilvl="1" w:tplc="08070003" w:tentative="1">
      <w:start w:val="1"/>
      <w:numFmt w:val="bullet"/>
      <w:lvlText w:val="o"/>
      <w:lvlJc w:val="left"/>
      <w:pPr>
        <w:tabs>
          <w:tab w:val="num" w:pos="2120"/>
        </w:tabs>
        <w:ind w:left="2120" w:hanging="360"/>
      </w:pPr>
      <w:rPr>
        <w:rFonts w:ascii="Courier New" w:hAnsi="Courier New" w:cs="Courier New" w:hint="default"/>
      </w:rPr>
    </w:lvl>
    <w:lvl w:ilvl="2" w:tplc="08070005" w:tentative="1">
      <w:start w:val="1"/>
      <w:numFmt w:val="bullet"/>
      <w:lvlText w:val=""/>
      <w:lvlJc w:val="left"/>
      <w:pPr>
        <w:tabs>
          <w:tab w:val="num" w:pos="2840"/>
        </w:tabs>
        <w:ind w:left="2840" w:hanging="360"/>
      </w:pPr>
      <w:rPr>
        <w:rFonts w:ascii="Wingdings" w:hAnsi="Wingdings" w:hint="default"/>
      </w:rPr>
    </w:lvl>
    <w:lvl w:ilvl="3" w:tplc="08070001" w:tentative="1">
      <w:start w:val="1"/>
      <w:numFmt w:val="bullet"/>
      <w:lvlText w:val=""/>
      <w:lvlJc w:val="left"/>
      <w:pPr>
        <w:tabs>
          <w:tab w:val="num" w:pos="3560"/>
        </w:tabs>
        <w:ind w:left="3560" w:hanging="360"/>
      </w:pPr>
      <w:rPr>
        <w:rFonts w:ascii="Symbol" w:hAnsi="Symbol" w:hint="default"/>
      </w:rPr>
    </w:lvl>
    <w:lvl w:ilvl="4" w:tplc="08070003" w:tentative="1">
      <w:start w:val="1"/>
      <w:numFmt w:val="bullet"/>
      <w:lvlText w:val="o"/>
      <w:lvlJc w:val="left"/>
      <w:pPr>
        <w:tabs>
          <w:tab w:val="num" w:pos="4280"/>
        </w:tabs>
        <w:ind w:left="4280" w:hanging="360"/>
      </w:pPr>
      <w:rPr>
        <w:rFonts w:ascii="Courier New" w:hAnsi="Courier New" w:cs="Courier New" w:hint="default"/>
      </w:rPr>
    </w:lvl>
    <w:lvl w:ilvl="5" w:tplc="08070005" w:tentative="1">
      <w:start w:val="1"/>
      <w:numFmt w:val="bullet"/>
      <w:lvlText w:val=""/>
      <w:lvlJc w:val="left"/>
      <w:pPr>
        <w:tabs>
          <w:tab w:val="num" w:pos="5000"/>
        </w:tabs>
        <w:ind w:left="5000" w:hanging="360"/>
      </w:pPr>
      <w:rPr>
        <w:rFonts w:ascii="Wingdings" w:hAnsi="Wingdings" w:hint="default"/>
      </w:rPr>
    </w:lvl>
    <w:lvl w:ilvl="6" w:tplc="08070001" w:tentative="1">
      <w:start w:val="1"/>
      <w:numFmt w:val="bullet"/>
      <w:lvlText w:val=""/>
      <w:lvlJc w:val="left"/>
      <w:pPr>
        <w:tabs>
          <w:tab w:val="num" w:pos="5720"/>
        </w:tabs>
        <w:ind w:left="5720" w:hanging="360"/>
      </w:pPr>
      <w:rPr>
        <w:rFonts w:ascii="Symbol" w:hAnsi="Symbol" w:hint="default"/>
      </w:rPr>
    </w:lvl>
    <w:lvl w:ilvl="7" w:tplc="08070003" w:tentative="1">
      <w:start w:val="1"/>
      <w:numFmt w:val="bullet"/>
      <w:lvlText w:val="o"/>
      <w:lvlJc w:val="left"/>
      <w:pPr>
        <w:tabs>
          <w:tab w:val="num" w:pos="6440"/>
        </w:tabs>
        <w:ind w:left="6440" w:hanging="360"/>
      </w:pPr>
      <w:rPr>
        <w:rFonts w:ascii="Courier New" w:hAnsi="Courier New" w:cs="Courier New" w:hint="default"/>
      </w:rPr>
    </w:lvl>
    <w:lvl w:ilvl="8" w:tplc="08070005" w:tentative="1">
      <w:start w:val="1"/>
      <w:numFmt w:val="bullet"/>
      <w:lvlText w:val=""/>
      <w:lvlJc w:val="left"/>
      <w:pPr>
        <w:tabs>
          <w:tab w:val="num" w:pos="7160"/>
        </w:tabs>
        <w:ind w:left="7160" w:hanging="360"/>
      </w:pPr>
      <w:rPr>
        <w:rFonts w:ascii="Wingdings" w:hAnsi="Wingdings" w:hint="default"/>
      </w:rPr>
    </w:lvl>
  </w:abstractNum>
  <w:abstractNum w:abstractNumId="5" w15:restartNumberingAfterBreak="0">
    <w:nsid w:val="64B71A66"/>
    <w:multiLevelType w:val="hybridMultilevel"/>
    <w:tmpl w:val="EC168B5E"/>
    <w:lvl w:ilvl="0" w:tplc="41B40838">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6" w15:restartNumberingAfterBreak="0">
    <w:nsid w:val="68DE5518"/>
    <w:multiLevelType w:val="hybridMultilevel"/>
    <w:tmpl w:val="6A64E368"/>
    <w:lvl w:ilvl="0" w:tplc="FC285814">
      <w:start w:val="1"/>
      <w:numFmt w:val="bullet"/>
      <w:lvlText w:val="-"/>
      <w:lvlJc w:val="left"/>
      <w:pPr>
        <w:ind w:left="1494" w:hanging="360"/>
      </w:pPr>
      <w:rPr>
        <w:rFonts w:ascii="Arial" w:hAnsi="Arial" w:hint="default"/>
      </w:rPr>
    </w:lvl>
    <w:lvl w:ilvl="1" w:tplc="08070003" w:tentative="1">
      <w:start w:val="1"/>
      <w:numFmt w:val="bullet"/>
      <w:lvlText w:val="o"/>
      <w:lvlJc w:val="left"/>
      <w:pPr>
        <w:ind w:left="2214" w:hanging="360"/>
      </w:pPr>
      <w:rPr>
        <w:rFonts w:ascii="Courier New" w:hAnsi="Courier New" w:cs="Courier New" w:hint="default"/>
      </w:rPr>
    </w:lvl>
    <w:lvl w:ilvl="2" w:tplc="08070005" w:tentative="1">
      <w:start w:val="1"/>
      <w:numFmt w:val="bullet"/>
      <w:lvlText w:val=""/>
      <w:lvlJc w:val="left"/>
      <w:pPr>
        <w:ind w:left="2934" w:hanging="360"/>
      </w:pPr>
      <w:rPr>
        <w:rFonts w:ascii="Wingdings" w:hAnsi="Wingdings" w:hint="default"/>
      </w:rPr>
    </w:lvl>
    <w:lvl w:ilvl="3" w:tplc="08070001" w:tentative="1">
      <w:start w:val="1"/>
      <w:numFmt w:val="bullet"/>
      <w:lvlText w:val=""/>
      <w:lvlJc w:val="left"/>
      <w:pPr>
        <w:ind w:left="3654" w:hanging="360"/>
      </w:pPr>
      <w:rPr>
        <w:rFonts w:ascii="Symbol" w:hAnsi="Symbol" w:hint="default"/>
      </w:rPr>
    </w:lvl>
    <w:lvl w:ilvl="4" w:tplc="08070003" w:tentative="1">
      <w:start w:val="1"/>
      <w:numFmt w:val="bullet"/>
      <w:lvlText w:val="o"/>
      <w:lvlJc w:val="left"/>
      <w:pPr>
        <w:ind w:left="4374" w:hanging="360"/>
      </w:pPr>
      <w:rPr>
        <w:rFonts w:ascii="Courier New" w:hAnsi="Courier New" w:cs="Courier New" w:hint="default"/>
      </w:rPr>
    </w:lvl>
    <w:lvl w:ilvl="5" w:tplc="08070005" w:tentative="1">
      <w:start w:val="1"/>
      <w:numFmt w:val="bullet"/>
      <w:lvlText w:val=""/>
      <w:lvlJc w:val="left"/>
      <w:pPr>
        <w:ind w:left="5094" w:hanging="360"/>
      </w:pPr>
      <w:rPr>
        <w:rFonts w:ascii="Wingdings" w:hAnsi="Wingdings" w:hint="default"/>
      </w:rPr>
    </w:lvl>
    <w:lvl w:ilvl="6" w:tplc="08070001" w:tentative="1">
      <w:start w:val="1"/>
      <w:numFmt w:val="bullet"/>
      <w:lvlText w:val=""/>
      <w:lvlJc w:val="left"/>
      <w:pPr>
        <w:ind w:left="5814" w:hanging="360"/>
      </w:pPr>
      <w:rPr>
        <w:rFonts w:ascii="Symbol" w:hAnsi="Symbol" w:hint="default"/>
      </w:rPr>
    </w:lvl>
    <w:lvl w:ilvl="7" w:tplc="08070003" w:tentative="1">
      <w:start w:val="1"/>
      <w:numFmt w:val="bullet"/>
      <w:lvlText w:val="o"/>
      <w:lvlJc w:val="left"/>
      <w:pPr>
        <w:ind w:left="6534" w:hanging="360"/>
      </w:pPr>
      <w:rPr>
        <w:rFonts w:ascii="Courier New" w:hAnsi="Courier New" w:cs="Courier New" w:hint="default"/>
      </w:rPr>
    </w:lvl>
    <w:lvl w:ilvl="8" w:tplc="08070005" w:tentative="1">
      <w:start w:val="1"/>
      <w:numFmt w:val="bullet"/>
      <w:lvlText w:val=""/>
      <w:lvlJc w:val="left"/>
      <w:pPr>
        <w:ind w:left="7254" w:hanging="360"/>
      </w:pPr>
      <w:rPr>
        <w:rFonts w:ascii="Wingdings" w:hAnsi="Wingdings" w:hint="default"/>
      </w:rPr>
    </w:lvl>
  </w:abstractNum>
  <w:abstractNum w:abstractNumId="7" w15:restartNumberingAfterBreak="0">
    <w:nsid w:val="70FB0AE9"/>
    <w:multiLevelType w:val="hybridMultilevel"/>
    <w:tmpl w:val="641E67DA"/>
    <w:lvl w:ilvl="0" w:tplc="08070007">
      <w:start w:val="1"/>
      <w:numFmt w:val="bullet"/>
      <w:lvlText w:val=""/>
      <w:lvlPicBulletId w:val="0"/>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8" w15:restartNumberingAfterBreak="0">
    <w:nsid w:val="726D1AE0"/>
    <w:multiLevelType w:val="hybridMultilevel"/>
    <w:tmpl w:val="9814D68E"/>
    <w:lvl w:ilvl="0" w:tplc="880815A2">
      <w:start w:val="1"/>
      <w:numFmt w:val="bullet"/>
      <w:lvlText w:val=""/>
      <w:lvlJc w:val="left"/>
      <w:pPr>
        <w:ind w:left="1778" w:hanging="360"/>
      </w:pPr>
      <w:rPr>
        <w:rFonts w:ascii="Symbol" w:hAnsi="Symbol" w:hint="default"/>
      </w:rPr>
    </w:lvl>
    <w:lvl w:ilvl="1" w:tplc="08070003" w:tentative="1">
      <w:start w:val="1"/>
      <w:numFmt w:val="bullet"/>
      <w:lvlText w:val="o"/>
      <w:lvlJc w:val="left"/>
      <w:pPr>
        <w:ind w:left="2498" w:hanging="360"/>
      </w:pPr>
      <w:rPr>
        <w:rFonts w:ascii="Courier New" w:hAnsi="Courier New" w:cs="Courier New" w:hint="default"/>
      </w:rPr>
    </w:lvl>
    <w:lvl w:ilvl="2" w:tplc="08070005" w:tentative="1">
      <w:start w:val="1"/>
      <w:numFmt w:val="bullet"/>
      <w:lvlText w:val=""/>
      <w:lvlJc w:val="left"/>
      <w:pPr>
        <w:ind w:left="3218" w:hanging="360"/>
      </w:pPr>
      <w:rPr>
        <w:rFonts w:ascii="Wingdings" w:hAnsi="Wingdings" w:hint="default"/>
      </w:rPr>
    </w:lvl>
    <w:lvl w:ilvl="3" w:tplc="08070001" w:tentative="1">
      <w:start w:val="1"/>
      <w:numFmt w:val="bullet"/>
      <w:lvlText w:val=""/>
      <w:lvlJc w:val="left"/>
      <w:pPr>
        <w:ind w:left="3938" w:hanging="360"/>
      </w:pPr>
      <w:rPr>
        <w:rFonts w:ascii="Symbol" w:hAnsi="Symbol" w:hint="default"/>
      </w:rPr>
    </w:lvl>
    <w:lvl w:ilvl="4" w:tplc="08070003" w:tentative="1">
      <w:start w:val="1"/>
      <w:numFmt w:val="bullet"/>
      <w:lvlText w:val="o"/>
      <w:lvlJc w:val="left"/>
      <w:pPr>
        <w:ind w:left="4658" w:hanging="360"/>
      </w:pPr>
      <w:rPr>
        <w:rFonts w:ascii="Courier New" w:hAnsi="Courier New" w:cs="Courier New" w:hint="default"/>
      </w:rPr>
    </w:lvl>
    <w:lvl w:ilvl="5" w:tplc="08070005" w:tentative="1">
      <w:start w:val="1"/>
      <w:numFmt w:val="bullet"/>
      <w:lvlText w:val=""/>
      <w:lvlJc w:val="left"/>
      <w:pPr>
        <w:ind w:left="5378" w:hanging="360"/>
      </w:pPr>
      <w:rPr>
        <w:rFonts w:ascii="Wingdings" w:hAnsi="Wingdings" w:hint="default"/>
      </w:rPr>
    </w:lvl>
    <w:lvl w:ilvl="6" w:tplc="08070001" w:tentative="1">
      <w:start w:val="1"/>
      <w:numFmt w:val="bullet"/>
      <w:lvlText w:val=""/>
      <w:lvlJc w:val="left"/>
      <w:pPr>
        <w:ind w:left="6098" w:hanging="360"/>
      </w:pPr>
      <w:rPr>
        <w:rFonts w:ascii="Symbol" w:hAnsi="Symbol" w:hint="default"/>
      </w:rPr>
    </w:lvl>
    <w:lvl w:ilvl="7" w:tplc="08070003" w:tentative="1">
      <w:start w:val="1"/>
      <w:numFmt w:val="bullet"/>
      <w:lvlText w:val="o"/>
      <w:lvlJc w:val="left"/>
      <w:pPr>
        <w:ind w:left="6818" w:hanging="360"/>
      </w:pPr>
      <w:rPr>
        <w:rFonts w:ascii="Courier New" w:hAnsi="Courier New" w:cs="Courier New" w:hint="default"/>
      </w:rPr>
    </w:lvl>
    <w:lvl w:ilvl="8" w:tplc="08070005" w:tentative="1">
      <w:start w:val="1"/>
      <w:numFmt w:val="bullet"/>
      <w:lvlText w:val=""/>
      <w:lvlJc w:val="left"/>
      <w:pPr>
        <w:ind w:left="7538" w:hanging="360"/>
      </w:pPr>
      <w:rPr>
        <w:rFonts w:ascii="Wingdings" w:hAnsi="Wingdings" w:hint="default"/>
      </w:rPr>
    </w:lvl>
  </w:abstractNum>
  <w:abstractNum w:abstractNumId="9" w15:restartNumberingAfterBreak="0">
    <w:nsid w:val="7B7D475F"/>
    <w:multiLevelType w:val="hybridMultilevel"/>
    <w:tmpl w:val="76867552"/>
    <w:lvl w:ilvl="0" w:tplc="0F822F58">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0" w15:restartNumberingAfterBreak="0">
    <w:nsid w:val="7D3F3ED3"/>
    <w:multiLevelType w:val="hybridMultilevel"/>
    <w:tmpl w:val="DFC2D162"/>
    <w:lvl w:ilvl="0" w:tplc="41B40838">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9"/>
  </w:num>
  <w:num w:numId="4">
    <w:abstractNumId w:val="8"/>
  </w:num>
  <w:num w:numId="5">
    <w:abstractNumId w:val="3"/>
  </w:num>
  <w:num w:numId="6">
    <w:abstractNumId w:val="10"/>
  </w:num>
  <w:num w:numId="7">
    <w:abstractNumId w:val="5"/>
  </w:num>
  <w:num w:numId="8">
    <w:abstractNumId w:val="7"/>
  </w:num>
  <w:num w:numId="9">
    <w:abstractNumId w:val="1"/>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autoHyphenation/>
  <w:hyphenationZone w:val="4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27"/>
    <w:rsid w:val="0001352E"/>
    <w:rsid w:val="000220B8"/>
    <w:rsid w:val="0002316F"/>
    <w:rsid w:val="00036494"/>
    <w:rsid w:val="00041900"/>
    <w:rsid w:val="00055A6C"/>
    <w:rsid w:val="00062120"/>
    <w:rsid w:val="00062BD0"/>
    <w:rsid w:val="00062FF9"/>
    <w:rsid w:val="000631A2"/>
    <w:rsid w:val="000746EC"/>
    <w:rsid w:val="0008152D"/>
    <w:rsid w:val="000901F4"/>
    <w:rsid w:val="000A1792"/>
    <w:rsid w:val="000B11E2"/>
    <w:rsid w:val="000B1FEA"/>
    <w:rsid w:val="000C00D4"/>
    <w:rsid w:val="000D6549"/>
    <w:rsid w:val="000E33C2"/>
    <w:rsid w:val="000F048E"/>
    <w:rsid w:val="000F0969"/>
    <w:rsid w:val="000F0A14"/>
    <w:rsid w:val="000F0F90"/>
    <w:rsid w:val="000F1F50"/>
    <w:rsid w:val="001050D1"/>
    <w:rsid w:val="00117484"/>
    <w:rsid w:val="00117D52"/>
    <w:rsid w:val="001209EE"/>
    <w:rsid w:val="001247A1"/>
    <w:rsid w:val="0013575C"/>
    <w:rsid w:val="00137414"/>
    <w:rsid w:val="00154FAD"/>
    <w:rsid w:val="00155635"/>
    <w:rsid w:val="00156188"/>
    <w:rsid w:val="001600B2"/>
    <w:rsid w:val="00167811"/>
    <w:rsid w:val="00172242"/>
    <w:rsid w:val="00184F5D"/>
    <w:rsid w:val="0019052D"/>
    <w:rsid w:val="001B31A1"/>
    <w:rsid w:val="001B620D"/>
    <w:rsid w:val="001C101F"/>
    <w:rsid w:val="001C3D5A"/>
    <w:rsid w:val="001D1B1F"/>
    <w:rsid w:val="001D352E"/>
    <w:rsid w:val="001E4012"/>
    <w:rsid w:val="001E65A5"/>
    <w:rsid w:val="001F257D"/>
    <w:rsid w:val="001F3F60"/>
    <w:rsid w:val="0020197B"/>
    <w:rsid w:val="00205890"/>
    <w:rsid w:val="00206104"/>
    <w:rsid w:val="00206A0F"/>
    <w:rsid w:val="00214724"/>
    <w:rsid w:val="002149AC"/>
    <w:rsid w:val="00217D30"/>
    <w:rsid w:val="00220B0D"/>
    <w:rsid w:val="00221AA5"/>
    <w:rsid w:val="00225D66"/>
    <w:rsid w:val="00235E87"/>
    <w:rsid w:val="00253049"/>
    <w:rsid w:val="002534C6"/>
    <w:rsid w:val="00254EE5"/>
    <w:rsid w:val="00260929"/>
    <w:rsid w:val="00264A81"/>
    <w:rsid w:val="00267E3C"/>
    <w:rsid w:val="00287E0B"/>
    <w:rsid w:val="00292285"/>
    <w:rsid w:val="002A366F"/>
    <w:rsid w:val="002A574D"/>
    <w:rsid w:val="002A782A"/>
    <w:rsid w:val="002C06F4"/>
    <w:rsid w:val="002D593B"/>
    <w:rsid w:val="002D790E"/>
    <w:rsid w:val="002E0DA9"/>
    <w:rsid w:val="002E1CED"/>
    <w:rsid w:val="002F0038"/>
    <w:rsid w:val="002F160A"/>
    <w:rsid w:val="002F32A4"/>
    <w:rsid w:val="002F6DBE"/>
    <w:rsid w:val="00302658"/>
    <w:rsid w:val="00302B93"/>
    <w:rsid w:val="00306096"/>
    <w:rsid w:val="00313199"/>
    <w:rsid w:val="00316B3B"/>
    <w:rsid w:val="0032645F"/>
    <w:rsid w:val="00331B05"/>
    <w:rsid w:val="00337634"/>
    <w:rsid w:val="00345D3C"/>
    <w:rsid w:val="00351FDF"/>
    <w:rsid w:val="003535C1"/>
    <w:rsid w:val="003703C0"/>
    <w:rsid w:val="00374B04"/>
    <w:rsid w:val="00374B43"/>
    <w:rsid w:val="00374E45"/>
    <w:rsid w:val="00375B41"/>
    <w:rsid w:val="003806A0"/>
    <w:rsid w:val="00383D8D"/>
    <w:rsid w:val="00387B1D"/>
    <w:rsid w:val="0039347D"/>
    <w:rsid w:val="003A326F"/>
    <w:rsid w:val="003A719E"/>
    <w:rsid w:val="003B51D8"/>
    <w:rsid w:val="003B5B0E"/>
    <w:rsid w:val="003B7A90"/>
    <w:rsid w:val="003C26A0"/>
    <w:rsid w:val="003C40CA"/>
    <w:rsid w:val="003C70D8"/>
    <w:rsid w:val="003D1C40"/>
    <w:rsid w:val="003D4404"/>
    <w:rsid w:val="003E1D73"/>
    <w:rsid w:val="003E741F"/>
    <w:rsid w:val="003F3FF1"/>
    <w:rsid w:val="0040126A"/>
    <w:rsid w:val="00402578"/>
    <w:rsid w:val="00402C9C"/>
    <w:rsid w:val="004072EC"/>
    <w:rsid w:val="00410C25"/>
    <w:rsid w:val="00417557"/>
    <w:rsid w:val="004208BF"/>
    <w:rsid w:val="004465F8"/>
    <w:rsid w:val="00453B3E"/>
    <w:rsid w:val="004558D3"/>
    <w:rsid w:val="00461B09"/>
    <w:rsid w:val="0046269E"/>
    <w:rsid w:val="00463209"/>
    <w:rsid w:val="0048332D"/>
    <w:rsid w:val="00483F96"/>
    <w:rsid w:val="004917FF"/>
    <w:rsid w:val="004A5DD8"/>
    <w:rsid w:val="004A61FA"/>
    <w:rsid w:val="004B5D56"/>
    <w:rsid w:val="004B6BDA"/>
    <w:rsid w:val="004C0743"/>
    <w:rsid w:val="004C18B3"/>
    <w:rsid w:val="004D06A1"/>
    <w:rsid w:val="004D3AA1"/>
    <w:rsid w:val="004D5B4D"/>
    <w:rsid w:val="004D7401"/>
    <w:rsid w:val="004F2C39"/>
    <w:rsid w:val="004F4283"/>
    <w:rsid w:val="004F538C"/>
    <w:rsid w:val="0050305F"/>
    <w:rsid w:val="0051062C"/>
    <w:rsid w:val="005166CB"/>
    <w:rsid w:val="00524C5F"/>
    <w:rsid w:val="00525608"/>
    <w:rsid w:val="00525D4D"/>
    <w:rsid w:val="0053402C"/>
    <w:rsid w:val="0053639E"/>
    <w:rsid w:val="00540F04"/>
    <w:rsid w:val="00542393"/>
    <w:rsid w:val="00544FE3"/>
    <w:rsid w:val="00547DDD"/>
    <w:rsid w:val="005654FC"/>
    <w:rsid w:val="00565D96"/>
    <w:rsid w:val="00575E4C"/>
    <w:rsid w:val="00584138"/>
    <w:rsid w:val="00590CEA"/>
    <w:rsid w:val="00595FCF"/>
    <w:rsid w:val="00597224"/>
    <w:rsid w:val="005A483B"/>
    <w:rsid w:val="005A4D93"/>
    <w:rsid w:val="005A5F57"/>
    <w:rsid w:val="005A62F2"/>
    <w:rsid w:val="005C70D9"/>
    <w:rsid w:val="005D0F2A"/>
    <w:rsid w:val="005E345D"/>
    <w:rsid w:val="005F17E4"/>
    <w:rsid w:val="005F4E82"/>
    <w:rsid w:val="005F7984"/>
    <w:rsid w:val="00605C03"/>
    <w:rsid w:val="00606711"/>
    <w:rsid w:val="00624591"/>
    <w:rsid w:val="006247EF"/>
    <w:rsid w:val="00625771"/>
    <w:rsid w:val="006359D0"/>
    <w:rsid w:val="00643712"/>
    <w:rsid w:val="00644F4C"/>
    <w:rsid w:val="00654D92"/>
    <w:rsid w:val="00655002"/>
    <w:rsid w:val="00655FDA"/>
    <w:rsid w:val="00660EBE"/>
    <w:rsid w:val="0067240B"/>
    <w:rsid w:val="00674034"/>
    <w:rsid w:val="0067484C"/>
    <w:rsid w:val="00685D51"/>
    <w:rsid w:val="006919A8"/>
    <w:rsid w:val="006921C0"/>
    <w:rsid w:val="006A0ECA"/>
    <w:rsid w:val="006A3F35"/>
    <w:rsid w:val="006A4EAC"/>
    <w:rsid w:val="006B3572"/>
    <w:rsid w:val="006C371F"/>
    <w:rsid w:val="006C5046"/>
    <w:rsid w:val="006C567B"/>
    <w:rsid w:val="006C7073"/>
    <w:rsid w:val="006C77D9"/>
    <w:rsid w:val="006D447D"/>
    <w:rsid w:val="006D4EB6"/>
    <w:rsid w:val="006D5A32"/>
    <w:rsid w:val="006D6E26"/>
    <w:rsid w:val="006D7F7C"/>
    <w:rsid w:val="006E5F0D"/>
    <w:rsid w:val="006F15BB"/>
    <w:rsid w:val="006F37FC"/>
    <w:rsid w:val="007009AF"/>
    <w:rsid w:val="00705F27"/>
    <w:rsid w:val="00716655"/>
    <w:rsid w:val="007204CC"/>
    <w:rsid w:val="00723607"/>
    <w:rsid w:val="00732467"/>
    <w:rsid w:val="00733790"/>
    <w:rsid w:val="007372CB"/>
    <w:rsid w:val="00744821"/>
    <w:rsid w:val="0074495B"/>
    <w:rsid w:val="00746BEA"/>
    <w:rsid w:val="00754AB7"/>
    <w:rsid w:val="00776BFB"/>
    <w:rsid w:val="00783B32"/>
    <w:rsid w:val="007852CE"/>
    <w:rsid w:val="00793737"/>
    <w:rsid w:val="007A3852"/>
    <w:rsid w:val="007A5792"/>
    <w:rsid w:val="007B036F"/>
    <w:rsid w:val="007B7327"/>
    <w:rsid w:val="007C78E4"/>
    <w:rsid w:val="007D2251"/>
    <w:rsid w:val="007D35BB"/>
    <w:rsid w:val="007E64E4"/>
    <w:rsid w:val="00800EB3"/>
    <w:rsid w:val="00804130"/>
    <w:rsid w:val="00806D18"/>
    <w:rsid w:val="0081668B"/>
    <w:rsid w:val="00827639"/>
    <w:rsid w:val="00852EEB"/>
    <w:rsid w:val="00860F01"/>
    <w:rsid w:val="0087198C"/>
    <w:rsid w:val="00875F70"/>
    <w:rsid w:val="00883582"/>
    <w:rsid w:val="00890536"/>
    <w:rsid w:val="008936D6"/>
    <w:rsid w:val="0089730C"/>
    <w:rsid w:val="00897C3D"/>
    <w:rsid w:val="008A232C"/>
    <w:rsid w:val="008A60F5"/>
    <w:rsid w:val="008A6B7D"/>
    <w:rsid w:val="008C011B"/>
    <w:rsid w:val="008C37C4"/>
    <w:rsid w:val="008C54D9"/>
    <w:rsid w:val="008C5517"/>
    <w:rsid w:val="008C64BE"/>
    <w:rsid w:val="008D0652"/>
    <w:rsid w:val="008D0CC5"/>
    <w:rsid w:val="008D7286"/>
    <w:rsid w:val="008E2B4B"/>
    <w:rsid w:val="008E557A"/>
    <w:rsid w:val="008E5B94"/>
    <w:rsid w:val="008F1607"/>
    <w:rsid w:val="008F20EC"/>
    <w:rsid w:val="008F4CAB"/>
    <w:rsid w:val="008F720D"/>
    <w:rsid w:val="009074BE"/>
    <w:rsid w:val="00910742"/>
    <w:rsid w:val="00923F49"/>
    <w:rsid w:val="00930A56"/>
    <w:rsid w:val="009402B0"/>
    <w:rsid w:val="009468B2"/>
    <w:rsid w:val="009502A4"/>
    <w:rsid w:val="00952A00"/>
    <w:rsid w:val="00956AFD"/>
    <w:rsid w:val="0096111D"/>
    <w:rsid w:val="00972B52"/>
    <w:rsid w:val="00977CEF"/>
    <w:rsid w:val="00984C75"/>
    <w:rsid w:val="00993074"/>
    <w:rsid w:val="00994DFA"/>
    <w:rsid w:val="00996869"/>
    <w:rsid w:val="009A1A4E"/>
    <w:rsid w:val="009B5D04"/>
    <w:rsid w:val="009C02D7"/>
    <w:rsid w:val="009C0DC7"/>
    <w:rsid w:val="009C0FD7"/>
    <w:rsid w:val="009C6890"/>
    <w:rsid w:val="009D130F"/>
    <w:rsid w:val="009E0117"/>
    <w:rsid w:val="009E2313"/>
    <w:rsid w:val="009F21CC"/>
    <w:rsid w:val="009F3397"/>
    <w:rsid w:val="009F3A7A"/>
    <w:rsid w:val="009F481E"/>
    <w:rsid w:val="00A05041"/>
    <w:rsid w:val="00A15AD6"/>
    <w:rsid w:val="00A31545"/>
    <w:rsid w:val="00A33685"/>
    <w:rsid w:val="00A36FA9"/>
    <w:rsid w:val="00A40323"/>
    <w:rsid w:val="00A63C0A"/>
    <w:rsid w:val="00A66BC0"/>
    <w:rsid w:val="00A8535E"/>
    <w:rsid w:val="00A941D8"/>
    <w:rsid w:val="00AA060A"/>
    <w:rsid w:val="00AA52BC"/>
    <w:rsid w:val="00AB0D5E"/>
    <w:rsid w:val="00AE1587"/>
    <w:rsid w:val="00AE62E2"/>
    <w:rsid w:val="00AF1594"/>
    <w:rsid w:val="00B04B1E"/>
    <w:rsid w:val="00B11429"/>
    <w:rsid w:val="00B16E38"/>
    <w:rsid w:val="00B16EA0"/>
    <w:rsid w:val="00B21F03"/>
    <w:rsid w:val="00B26986"/>
    <w:rsid w:val="00B4050A"/>
    <w:rsid w:val="00B40FC7"/>
    <w:rsid w:val="00B4124E"/>
    <w:rsid w:val="00B46D14"/>
    <w:rsid w:val="00B47507"/>
    <w:rsid w:val="00B5682A"/>
    <w:rsid w:val="00B56DDD"/>
    <w:rsid w:val="00B57B00"/>
    <w:rsid w:val="00B614EE"/>
    <w:rsid w:val="00B67349"/>
    <w:rsid w:val="00B80A04"/>
    <w:rsid w:val="00B85967"/>
    <w:rsid w:val="00B86D4F"/>
    <w:rsid w:val="00B87210"/>
    <w:rsid w:val="00B95017"/>
    <w:rsid w:val="00BA0CF3"/>
    <w:rsid w:val="00BA4721"/>
    <w:rsid w:val="00BA7E15"/>
    <w:rsid w:val="00BB31FF"/>
    <w:rsid w:val="00BB40C7"/>
    <w:rsid w:val="00BB4952"/>
    <w:rsid w:val="00BB6F7B"/>
    <w:rsid w:val="00BC05C7"/>
    <w:rsid w:val="00BC7822"/>
    <w:rsid w:val="00BD7999"/>
    <w:rsid w:val="00BE24EC"/>
    <w:rsid w:val="00BE25E8"/>
    <w:rsid w:val="00BE6A89"/>
    <w:rsid w:val="00BF02D4"/>
    <w:rsid w:val="00BF26B4"/>
    <w:rsid w:val="00BF5019"/>
    <w:rsid w:val="00BF677F"/>
    <w:rsid w:val="00C01E2C"/>
    <w:rsid w:val="00C035AD"/>
    <w:rsid w:val="00C043E7"/>
    <w:rsid w:val="00C06FE2"/>
    <w:rsid w:val="00C14365"/>
    <w:rsid w:val="00C228FE"/>
    <w:rsid w:val="00C23730"/>
    <w:rsid w:val="00C25065"/>
    <w:rsid w:val="00C32F6A"/>
    <w:rsid w:val="00C3569F"/>
    <w:rsid w:val="00C41B7E"/>
    <w:rsid w:val="00C449FD"/>
    <w:rsid w:val="00C57B62"/>
    <w:rsid w:val="00C62EBD"/>
    <w:rsid w:val="00C642D2"/>
    <w:rsid w:val="00C7429F"/>
    <w:rsid w:val="00C77A24"/>
    <w:rsid w:val="00C800B8"/>
    <w:rsid w:val="00C82242"/>
    <w:rsid w:val="00CA045B"/>
    <w:rsid w:val="00CA0F3A"/>
    <w:rsid w:val="00CB195C"/>
    <w:rsid w:val="00CB4D47"/>
    <w:rsid w:val="00CB5B52"/>
    <w:rsid w:val="00CC47A2"/>
    <w:rsid w:val="00CC59CD"/>
    <w:rsid w:val="00CD0F68"/>
    <w:rsid w:val="00CD64F4"/>
    <w:rsid w:val="00CE5B44"/>
    <w:rsid w:val="00CF0C4C"/>
    <w:rsid w:val="00CF5D3B"/>
    <w:rsid w:val="00D06AE7"/>
    <w:rsid w:val="00D11BFC"/>
    <w:rsid w:val="00D122D6"/>
    <w:rsid w:val="00D20C5D"/>
    <w:rsid w:val="00D42841"/>
    <w:rsid w:val="00D52A60"/>
    <w:rsid w:val="00D52A7D"/>
    <w:rsid w:val="00D531E2"/>
    <w:rsid w:val="00D70527"/>
    <w:rsid w:val="00D7156B"/>
    <w:rsid w:val="00D72BC9"/>
    <w:rsid w:val="00D80A6C"/>
    <w:rsid w:val="00D816BD"/>
    <w:rsid w:val="00D92D56"/>
    <w:rsid w:val="00DA1CB6"/>
    <w:rsid w:val="00DA6E74"/>
    <w:rsid w:val="00DB23F8"/>
    <w:rsid w:val="00DB298E"/>
    <w:rsid w:val="00DB6E89"/>
    <w:rsid w:val="00DB766D"/>
    <w:rsid w:val="00DC1117"/>
    <w:rsid w:val="00DC1D0E"/>
    <w:rsid w:val="00DE5863"/>
    <w:rsid w:val="00DE7701"/>
    <w:rsid w:val="00DF390C"/>
    <w:rsid w:val="00DF42E2"/>
    <w:rsid w:val="00DF58A4"/>
    <w:rsid w:val="00E116BA"/>
    <w:rsid w:val="00E2403F"/>
    <w:rsid w:val="00E2456C"/>
    <w:rsid w:val="00E331E0"/>
    <w:rsid w:val="00E362BC"/>
    <w:rsid w:val="00E634E4"/>
    <w:rsid w:val="00E647FA"/>
    <w:rsid w:val="00E70A79"/>
    <w:rsid w:val="00E91F58"/>
    <w:rsid w:val="00E93F4C"/>
    <w:rsid w:val="00EA11D0"/>
    <w:rsid w:val="00EA4B09"/>
    <w:rsid w:val="00EB0115"/>
    <w:rsid w:val="00EC676A"/>
    <w:rsid w:val="00ED04C7"/>
    <w:rsid w:val="00ED31C6"/>
    <w:rsid w:val="00EE6466"/>
    <w:rsid w:val="00F04977"/>
    <w:rsid w:val="00F207A9"/>
    <w:rsid w:val="00F40A2B"/>
    <w:rsid w:val="00F46C1C"/>
    <w:rsid w:val="00F52F97"/>
    <w:rsid w:val="00F539D7"/>
    <w:rsid w:val="00F53D35"/>
    <w:rsid w:val="00F569D2"/>
    <w:rsid w:val="00F6485C"/>
    <w:rsid w:val="00F6683C"/>
    <w:rsid w:val="00F8283A"/>
    <w:rsid w:val="00F92A3C"/>
    <w:rsid w:val="00F972EA"/>
    <w:rsid w:val="00F97E76"/>
    <w:rsid w:val="00FA1820"/>
    <w:rsid w:val="00FA3FB4"/>
    <w:rsid w:val="00FA4307"/>
    <w:rsid w:val="00FA440A"/>
    <w:rsid w:val="00FC1A79"/>
    <w:rsid w:val="00FC2085"/>
    <w:rsid w:val="00FE217F"/>
    <w:rsid w:val="00FE31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0DE506B-CD0F-40AE-A62A-BF3054AE1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76BFB"/>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color w:val="0000FF"/>
      <w:u w:val="single"/>
    </w:rPr>
  </w:style>
  <w:style w:type="paragraph" w:customStyle="1" w:styleId="p0">
    <w:name w:val="p0"/>
    <w:basedOn w:val="Standard"/>
    <w:pPr>
      <w:widowControl w:val="0"/>
      <w:tabs>
        <w:tab w:val="left" w:pos="720"/>
      </w:tabs>
      <w:spacing w:line="240" w:lineRule="atLeast"/>
      <w:jc w:val="both"/>
    </w:pPr>
    <w:rPr>
      <w:rFonts w:ascii="Times New Roman" w:hAnsi="Times New Roman"/>
      <w:snapToGrid w:val="0"/>
      <w:sz w:val="24"/>
    </w:rPr>
  </w:style>
  <w:style w:type="paragraph" w:styleId="Sprechblasentext">
    <w:name w:val="Balloon Text"/>
    <w:basedOn w:val="Standard"/>
    <w:semiHidden/>
    <w:rsid w:val="000B11E2"/>
    <w:rPr>
      <w:rFonts w:ascii="Tahoma" w:hAnsi="Tahoma" w:cs="Tahoma"/>
      <w:sz w:val="16"/>
      <w:szCs w:val="16"/>
    </w:rPr>
  </w:style>
  <w:style w:type="paragraph" w:customStyle="1" w:styleId="Fliesstext">
    <w:name w:val="Fliesstext"/>
    <w:basedOn w:val="Standard"/>
    <w:rsid w:val="00254EE5"/>
    <w:pPr>
      <w:widowControl w:val="0"/>
      <w:adjustRightInd w:val="0"/>
      <w:spacing w:line="280" w:lineRule="exact"/>
      <w:ind w:left="680"/>
      <w:jc w:val="both"/>
      <w:textAlignment w:val="baseline"/>
    </w:pPr>
    <w:rPr>
      <w:lang w:val="de-CH"/>
    </w:rPr>
  </w:style>
  <w:style w:type="paragraph" w:customStyle="1" w:styleId="MedienberichtTextblock">
    <w:name w:val="MedienberichtTextblock"/>
    <w:basedOn w:val="Standard"/>
    <w:link w:val="MedienberichtTextblockChar"/>
    <w:rsid w:val="00FC1A79"/>
    <w:pPr>
      <w:tabs>
        <w:tab w:val="right" w:pos="7938"/>
      </w:tabs>
      <w:spacing w:line="360" w:lineRule="auto"/>
      <w:ind w:left="1418"/>
    </w:pPr>
    <w:rPr>
      <w:lang w:val="de-CH"/>
    </w:rPr>
  </w:style>
  <w:style w:type="paragraph" w:styleId="Kopfzeile">
    <w:name w:val="header"/>
    <w:basedOn w:val="Standard"/>
    <w:rsid w:val="001C3D5A"/>
    <w:pPr>
      <w:tabs>
        <w:tab w:val="center" w:pos="4536"/>
        <w:tab w:val="right" w:pos="9072"/>
      </w:tabs>
    </w:pPr>
  </w:style>
  <w:style w:type="paragraph" w:styleId="Fuzeile">
    <w:name w:val="footer"/>
    <w:basedOn w:val="Standard"/>
    <w:rsid w:val="001C3D5A"/>
    <w:pPr>
      <w:tabs>
        <w:tab w:val="center" w:pos="4536"/>
        <w:tab w:val="right" w:pos="9072"/>
      </w:tabs>
    </w:pPr>
  </w:style>
  <w:style w:type="character" w:styleId="Seitenzahl">
    <w:name w:val="page number"/>
    <w:basedOn w:val="Absatz-Standardschriftart"/>
    <w:rsid w:val="002A366F"/>
  </w:style>
  <w:style w:type="paragraph" w:customStyle="1" w:styleId="Medientitel">
    <w:name w:val="Medientitel"/>
    <w:basedOn w:val="Standard"/>
    <w:rsid w:val="007009AF"/>
    <w:pPr>
      <w:ind w:left="1418"/>
      <w:jc w:val="center"/>
    </w:pPr>
    <w:rPr>
      <w:b/>
      <w:sz w:val="32"/>
      <w:lang w:val="de-CH"/>
    </w:rPr>
  </w:style>
  <w:style w:type="paragraph" w:customStyle="1" w:styleId="MedienHeader">
    <w:name w:val="Medien Header"/>
    <w:basedOn w:val="MedienberichtTextblock"/>
    <w:rsid w:val="007009AF"/>
    <w:rPr>
      <w:b/>
    </w:rPr>
  </w:style>
  <w:style w:type="paragraph" w:styleId="Titel">
    <w:name w:val="Title"/>
    <w:aliases w:val="Titelgross16blau"/>
    <w:basedOn w:val="Standard"/>
    <w:next w:val="Standard"/>
    <w:link w:val="TitelZchn"/>
    <w:uiPriority w:val="17"/>
    <w:qFormat/>
    <w:rsid w:val="00F972EA"/>
    <w:pPr>
      <w:spacing w:before="240" w:after="60"/>
      <w:contextualSpacing/>
    </w:pPr>
    <w:rPr>
      <w:b/>
      <w:color w:val="548DD4"/>
      <w:spacing w:val="5"/>
      <w:kern w:val="28"/>
      <w:sz w:val="32"/>
      <w:szCs w:val="52"/>
      <w:lang w:val="de-CH" w:eastAsia="en-US"/>
    </w:rPr>
  </w:style>
  <w:style w:type="character" w:customStyle="1" w:styleId="TitelZchn">
    <w:name w:val="Titel Zchn"/>
    <w:aliases w:val="Titelgross16blau Zchn"/>
    <w:link w:val="Titel"/>
    <w:uiPriority w:val="17"/>
    <w:rsid w:val="00F972EA"/>
    <w:rPr>
      <w:rFonts w:ascii="Arial" w:hAnsi="Arial"/>
      <w:b/>
      <w:color w:val="548DD4"/>
      <w:spacing w:val="5"/>
      <w:kern w:val="28"/>
      <w:sz w:val="32"/>
      <w:szCs w:val="52"/>
      <w:lang w:eastAsia="en-US"/>
    </w:rPr>
  </w:style>
  <w:style w:type="paragraph" w:styleId="StandardWeb">
    <w:name w:val="Normal (Web)"/>
    <w:basedOn w:val="Standard"/>
    <w:uiPriority w:val="99"/>
    <w:semiHidden/>
    <w:unhideWhenUsed/>
    <w:rsid w:val="005F4E82"/>
    <w:rPr>
      <w:rFonts w:ascii="Times New Roman" w:hAnsi="Times New Roman"/>
      <w:sz w:val="24"/>
      <w:szCs w:val="24"/>
    </w:rPr>
  </w:style>
  <w:style w:type="character" w:customStyle="1" w:styleId="MedienberichtTextblockChar">
    <w:name w:val="MedienberichtTextblock Char"/>
    <w:link w:val="MedienberichtTextblock"/>
    <w:rsid w:val="00994DFA"/>
    <w:rPr>
      <w:rFonts w:ascii="Arial" w:hAnsi="Arial"/>
      <w:sz w:val="22"/>
    </w:rPr>
  </w:style>
  <w:style w:type="paragraph" w:styleId="Listenabsatz">
    <w:name w:val="List Paragraph"/>
    <w:basedOn w:val="Standard"/>
    <w:uiPriority w:val="34"/>
    <w:qFormat/>
    <w:rsid w:val="00BF02D4"/>
    <w:pPr>
      <w:ind w:left="720"/>
      <w:contextualSpacing/>
    </w:pPr>
    <w:rPr>
      <w:rFonts w:ascii="Times New Roman" w:hAnsi="Times New Roman"/>
      <w:sz w:val="20"/>
    </w:rPr>
  </w:style>
  <w:style w:type="character" w:styleId="Kommentarzeichen">
    <w:name w:val="annotation reference"/>
    <w:basedOn w:val="Absatz-Standardschriftart"/>
    <w:uiPriority w:val="99"/>
    <w:semiHidden/>
    <w:unhideWhenUsed/>
    <w:rsid w:val="00A15AD6"/>
    <w:rPr>
      <w:sz w:val="16"/>
      <w:szCs w:val="16"/>
    </w:rPr>
  </w:style>
  <w:style w:type="paragraph" w:styleId="Kommentartext">
    <w:name w:val="annotation text"/>
    <w:basedOn w:val="Standard"/>
    <w:link w:val="KommentartextZchn"/>
    <w:uiPriority w:val="99"/>
    <w:semiHidden/>
    <w:unhideWhenUsed/>
    <w:rsid w:val="00A15AD6"/>
    <w:rPr>
      <w:sz w:val="20"/>
    </w:rPr>
  </w:style>
  <w:style w:type="character" w:customStyle="1" w:styleId="KommentartextZchn">
    <w:name w:val="Kommentartext Zchn"/>
    <w:basedOn w:val="Absatz-Standardschriftart"/>
    <w:link w:val="Kommentartext"/>
    <w:uiPriority w:val="99"/>
    <w:semiHidden/>
    <w:rsid w:val="00A15AD6"/>
    <w:rPr>
      <w:rFonts w:ascii="Arial" w:hAnsi="Arial"/>
      <w:lang w:val="de-DE"/>
    </w:rPr>
  </w:style>
  <w:style w:type="paragraph" w:styleId="Kommentarthema">
    <w:name w:val="annotation subject"/>
    <w:basedOn w:val="Kommentartext"/>
    <w:next w:val="Kommentartext"/>
    <w:link w:val="KommentarthemaZchn"/>
    <w:uiPriority w:val="99"/>
    <w:semiHidden/>
    <w:unhideWhenUsed/>
    <w:rsid w:val="00A15AD6"/>
    <w:rPr>
      <w:b/>
      <w:bCs/>
    </w:rPr>
  </w:style>
  <w:style w:type="character" w:customStyle="1" w:styleId="KommentarthemaZchn">
    <w:name w:val="Kommentarthema Zchn"/>
    <w:basedOn w:val="KommentartextZchn"/>
    <w:link w:val="Kommentarthema"/>
    <w:uiPriority w:val="99"/>
    <w:semiHidden/>
    <w:rsid w:val="00A15AD6"/>
    <w:rPr>
      <w:rFonts w:ascii="Arial" w:hAnsi="Arial"/>
      <w:b/>
      <w:bCs/>
      <w:lang w:val="de-DE"/>
    </w:rPr>
  </w:style>
  <w:style w:type="table" w:styleId="Gitternetztabelle1hell">
    <w:name w:val="Grid Table 1 Light"/>
    <w:basedOn w:val="NormaleTabelle"/>
    <w:uiPriority w:val="46"/>
    <w:rsid w:val="00897C3D"/>
    <w:rPr>
      <w:rFonts w:ascii="Arial" w:eastAsia="Calibri" w:hAnsi="Ari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022341">
      <w:bodyDiv w:val="1"/>
      <w:marLeft w:val="0"/>
      <w:marRight w:val="0"/>
      <w:marTop w:val="0"/>
      <w:marBottom w:val="0"/>
      <w:divBdr>
        <w:top w:val="none" w:sz="0" w:space="0" w:color="auto"/>
        <w:left w:val="none" w:sz="0" w:space="0" w:color="auto"/>
        <w:bottom w:val="none" w:sz="0" w:space="0" w:color="auto"/>
        <w:right w:val="none" w:sz="0" w:space="0" w:color="auto"/>
      </w:divBdr>
    </w:div>
    <w:div w:id="1795826238">
      <w:bodyDiv w:val="1"/>
      <w:marLeft w:val="0"/>
      <w:marRight w:val="0"/>
      <w:marTop w:val="0"/>
      <w:marBottom w:val="0"/>
      <w:divBdr>
        <w:top w:val="none" w:sz="0" w:space="0" w:color="auto"/>
        <w:left w:val="none" w:sz="0" w:space="0" w:color="auto"/>
        <w:bottom w:val="none" w:sz="0" w:space="0" w:color="auto"/>
        <w:right w:val="none" w:sz="0" w:space="0" w:color="auto"/>
      </w:divBdr>
      <w:divsChild>
        <w:div w:id="2076051389">
          <w:marLeft w:val="0"/>
          <w:marRight w:val="0"/>
          <w:marTop w:val="0"/>
          <w:marBottom w:val="0"/>
          <w:divBdr>
            <w:top w:val="none" w:sz="0" w:space="0" w:color="auto"/>
            <w:left w:val="none" w:sz="0" w:space="0" w:color="auto"/>
            <w:bottom w:val="none" w:sz="0" w:space="0" w:color="auto"/>
            <w:right w:val="none" w:sz="0" w:space="0" w:color="auto"/>
          </w:divBdr>
          <w:divsChild>
            <w:div w:id="256139064">
              <w:marLeft w:val="0"/>
              <w:marRight w:val="0"/>
              <w:marTop w:val="0"/>
              <w:marBottom w:val="0"/>
              <w:divBdr>
                <w:top w:val="none" w:sz="0" w:space="0" w:color="auto"/>
                <w:left w:val="none" w:sz="0" w:space="0" w:color="auto"/>
                <w:bottom w:val="none" w:sz="0" w:space="0" w:color="auto"/>
                <w:right w:val="none" w:sz="0" w:space="0" w:color="auto"/>
              </w:divBdr>
              <w:divsChild>
                <w:div w:id="1777362114">
                  <w:marLeft w:val="0"/>
                  <w:marRight w:val="0"/>
                  <w:marTop w:val="0"/>
                  <w:marBottom w:val="0"/>
                  <w:divBdr>
                    <w:top w:val="none" w:sz="0" w:space="0" w:color="auto"/>
                    <w:left w:val="none" w:sz="0" w:space="0" w:color="auto"/>
                    <w:bottom w:val="none" w:sz="0" w:space="0" w:color="auto"/>
                    <w:right w:val="none" w:sz="0" w:space="0" w:color="auto"/>
                  </w:divBdr>
                  <w:divsChild>
                    <w:div w:id="1550264602">
                      <w:marLeft w:val="0"/>
                      <w:marRight w:val="0"/>
                      <w:marTop w:val="0"/>
                      <w:marBottom w:val="0"/>
                      <w:divBdr>
                        <w:top w:val="none" w:sz="0" w:space="0" w:color="auto"/>
                        <w:left w:val="none" w:sz="0" w:space="0" w:color="auto"/>
                        <w:bottom w:val="none" w:sz="0" w:space="0" w:color="auto"/>
                        <w:right w:val="none" w:sz="0" w:space="0" w:color="auto"/>
                      </w:divBdr>
                      <w:divsChild>
                        <w:div w:id="1815559118">
                          <w:marLeft w:val="0"/>
                          <w:marRight w:val="0"/>
                          <w:marTop w:val="0"/>
                          <w:marBottom w:val="0"/>
                          <w:divBdr>
                            <w:top w:val="none" w:sz="0" w:space="0" w:color="auto"/>
                            <w:left w:val="none" w:sz="0" w:space="0" w:color="auto"/>
                            <w:bottom w:val="none" w:sz="0" w:space="0" w:color="auto"/>
                            <w:right w:val="none" w:sz="0" w:space="0" w:color="auto"/>
                          </w:divBdr>
                          <w:divsChild>
                            <w:div w:id="1502545486">
                              <w:marLeft w:val="0"/>
                              <w:marRight w:val="0"/>
                              <w:marTop w:val="0"/>
                              <w:marBottom w:val="0"/>
                              <w:divBdr>
                                <w:top w:val="none" w:sz="0" w:space="0" w:color="auto"/>
                                <w:left w:val="none" w:sz="0" w:space="0" w:color="auto"/>
                                <w:bottom w:val="none" w:sz="0" w:space="0" w:color="auto"/>
                                <w:right w:val="none" w:sz="0" w:space="0" w:color="auto"/>
                              </w:divBdr>
                              <w:divsChild>
                                <w:div w:id="151842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611666">
      <w:bodyDiv w:val="1"/>
      <w:marLeft w:val="0"/>
      <w:marRight w:val="0"/>
      <w:marTop w:val="0"/>
      <w:marBottom w:val="0"/>
      <w:divBdr>
        <w:top w:val="none" w:sz="0" w:space="0" w:color="auto"/>
        <w:left w:val="none" w:sz="0" w:space="0" w:color="auto"/>
        <w:bottom w:val="none" w:sz="0" w:space="0" w:color="auto"/>
        <w:right w:val="none" w:sz="0" w:space="0" w:color="auto"/>
      </w:divBdr>
      <w:divsChild>
        <w:div w:id="102503208">
          <w:marLeft w:val="0"/>
          <w:marRight w:val="0"/>
          <w:marTop w:val="0"/>
          <w:marBottom w:val="0"/>
          <w:divBdr>
            <w:top w:val="none" w:sz="0" w:space="0" w:color="auto"/>
            <w:left w:val="none" w:sz="0" w:space="0" w:color="auto"/>
            <w:bottom w:val="none" w:sz="0" w:space="0" w:color="auto"/>
            <w:right w:val="none" w:sz="0" w:space="0" w:color="auto"/>
          </w:divBdr>
          <w:divsChild>
            <w:div w:id="1784114083">
              <w:marLeft w:val="0"/>
              <w:marRight w:val="0"/>
              <w:marTop w:val="0"/>
              <w:marBottom w:val="0"/>
              <w:divBdr>
                <w:top w:val="none" w:sz="0" w:space="0" w:color="auto"/>
                <w:left w:val="none" w:sz="0" w:space="0" w:color="auto"/>
                <w:bottom w:val="none" w:sz="0" w:space="0" w:color="auto"/>
                <w:right w:val="none" w:sz="0" w:space="0" w:color="auto"/>
              </w:divBdr>
              <w:divsChild>
                <w:div w:id="713850308">
                  <w:marLeft w:val="0"/>
                  <w:marRight w:val="0"/>
                  <w:marTop w:val="0"/>
                  <w:marBottom w:val="0"/>
                  <w:divBdr>
                    <w:top w:val="none" w:sz="0" w:space="0" w:color="auto"/>
                    <w:left w:val="none" w:sz="0" w:space="0" w:color="auto"/>
                    <w:bottom w:val="none" w:sz="0" w:space="0" w:color="auto"/>
                    <w:right w:val="none" w:sz="0" w:space="0" w:color="auto"/>
                  </w:divBdr>
                  <w:divsChild>
                    <w:div w:id="462816474">
                      <w:marLeft w:val="0"/>
                      <w:marRight w:val="0"/>
                      <w:marTop w:val="0"/>
                      <w:marBottom w:val="0"/>
                      <w:divBdr>
                        <w:top w:val="none" w:sz="0" w:space="0" w:color="auto"/>
                        <w:left w:val="none" w:sz="0" w:space="0" w:color="auto"/>
                        <w:bottom w:val="none" w:sz="0" w:space="0" w:color="auto"/>
                        <w:right w:val="none" w:sz="0" w:space="0" w:color="auto"/>
                      </w:divBdr>
                      <w:divsChild>
                        <w:div w:id="834422059">
                          <w:marLeft w:val="0"/>
                          <w:marRight w:val="0"/>
                          <w:marTop w:val="0"/>
                          <w:marBottom w:val="0"/>
                          <w:divBdr>
                            <w:top w:val="none" w:sz="0" w:space="0" w:color="auto"/>
                            <w:left w:val="none" w:sz="0" w:space="0" w:color="auto"/>
                            <w:bottom w:val="none" w:sz="0" w:space="0" w:color="auto"/>
                            <w:right w:val="none" w:sz="0" w:space="0" w:color="auto"/>
                          </w:divBdr>
                          <w:divsChild>
                            <w:div w:id="1931429797">
                              <w:marLeft w:val="0"/>
                              <w:marRight w:val="0"/>
                              <w:marTop w:val="0"/>
                              <w:marBottom w:val="0"/>
                              <w:divBdr>
                                <w:top w:val="none" w:sz="0" w:space="0" w:color="auto"/>
                                <w:left w:val="none" w:sz="0" w:space="0" w:color="auto"/>
                                <w:bottom w:val="none" w:sz="0" w:space="0" w:color="auto"/>
                                <w:right w:val="none" w:sz="0" w:space="0" w:color="auto"/>
                              </w:divBdr>
                              <w:divsChild>
                                <w:div w:id="34000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383433">
      <w:bodyDiv w:val="1"/>
      <w:marLeft w:val="0"/>
      <w:marRight w:val="0"/>
      <w:marTop w:val="0"/>
      <w:marBottom w:val="0"/>
      <w:divBdr>
        <w:top w:val="none" w:sz="0" w:space="0" w:color="auto"/>
        <w:left w:val="none" w:sz="0" w:space="0" w:color="auto"/>
        <w:bottom w:val="none" w:sz="0" w:space="0" w:color="auto"/>
        <w:right w:val="none" w:sz="0" w:space="0" w:color="auto"/>
      </w:divBdr>
      <w:divsChild>
        <w:div w:id="1593049162">
          <w:marLeft w:val="0"/>
          <w:marRight w:val="0"/>
          <w:marTop w:val="0"/>
          <w:marBottom w:val="0"/>
          <w:divBdr>
            <w:top w:val="single" w:sz="2" w:space="0" w:color="DDDBD9"/>
            <w:left w:val="single" w:sz="2" w:space="0" w:color="DDDBD9"/>
            <w:bottom w:val="single" w:sz="2" w:space="0" w:color="DDDBD9"/>
            <w:right w:val="single" w:sz="2" w:space="0" w:color="DDDBD9"/>
          </w:divBdr>
          <w:divsChild>
            <w:div w:id="695081851">
              <w:marLeft w:val="0"/>
              <w:marRight w:val="0"/>
              <w:marTop w:val="0"/>
              <w:marBottom w:val="0"/>
              <w:divBdr>
                <w:top w:val="single" w:sz="2" w:space="0" w:color="DDDBD9"/>
                <w:left w:val="single" w:sz="2" w:space="0" w:color="DDDBD9"/>
                <w:bottom w:val="single" w:sz="2" w:space="0" w:color="DDDBD9"/>
                <w:right w:val="single" w:sz="2" w:space="0" w:color="DDDBD9"/>
              </w:divBdr>
            </w:div>
          </w:divsChild>
        </w:div>
        <w:div w:id="774596348">
          <w:marLeft w:val="0"/>
          <w:marRight w:val="0"/>
          <w:marTop w:val="0"/>
          <w:marBottom w:val="0"/>
          <w:divBdr>
            <w:top w:val="single" w:sz="2" w:space="0" w:color="DDDBD9"/>
            <w:left w:val="single" w:sz="2" w:space="0" w:color="DDDBD9"/>
            <w:bottom w:val="single" w:sz="2" w:space="0" w:color="DDDBD9"/>
            <w:right w:val="single" w:sz="2" w:space="0" w:color="DDDBD9"/>
          </w:divBdr>
          <w:divsChild>
            <w:div w:id="745611624">
              <w:marLeft w:val="0"/>
              <w:marRight w:val="0"/>
              <w:marTop w:val="0"/>
              <w:marBottom w:val="0"/>
              <w:divBdr>
                <w:top w:val="single" w:sz="2" w:space="0" w:color="DDDBD9"/>
                <w:left w:val="single" w:sz="2" w:space="0" w:color="DDDBD9"/>
                <w:bottom w:val="single" w:sz="2" w:space="0" w:color="DDDBD9"/>
                <w:right w:val="single" w:sz="2" w:space="0" w:color="DDDBD9"/>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V:\Vorlagen09\Medienmitteilung.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DCB51-42A6-4CEC-BD4F-882792DC5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Medienmitteilung.dot</Template>
  <TotalTime>0</TotalTime>
  <Pages>6</Pages>
  <Words>1325</Words>
  <Characters>8353</Characters>
  <Application>Microsoft Office Word</Application>
  <DocSecurity>4</DocSecurity>
  <Lines>69</Lines>
  <Paragraphs>19</Paragraphs>
  <ScaleCrop>false</ScaleCrop>
  <HeadingPairs>
    <vt:vector size="2" baseType="variant">
      <vt:variant>
        <vt:lpstr>Titel</vt:lpstr>
      </vt:variant>
      <vt:variant>
        <vt:i4>1</vt:i4>
      </vt:variant>
    </vt:vector>
  </HeadingPairs>
  <TitlesOfParts>
    <vt:vector size="1" baseType="lpstr">
      <vt:lpstr>Gemeinde Wettingen</vt:lpstr>
    </vt:vector>
  </TitlesOfParts>
  <Company>Gemeindeverwaltung Wettingen</Company>
  <LinksUpToDate>false</LinksUpToDate>
  <CharactersWithSpaces>9659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Gemeinde Wettingen</dc:title>
  <dc:creator>Juchli</dc:creator>
  <cp:lastModifiedBy>Blickenstorfer Urs</cp:lastModifiedBy>
  <cp:revision>2</cp:revision>
  <cp:lastPrinted>2020-03-27T08:24:00Z</cp:lastPrinted>
  <dcterms:created xsi:type="dcterms:W3CDTF">2020-04-01T14:11:00Z</dcterms:created>
  <dcterms:modified xsi:type="dcterms:W3CDTF">2020-04-01T14:11:00Z</dcterms:modified>
</cp:coreProperties>
</file>