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"2015-1404"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2015-1404</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327</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"130.30" PATH=Dokument/Geschaeft/*[name()='Geschaeft']/CustomRegistraturplan/*/Aktenzeichen      \* MERGEFORMAT</w:instrText>
            </w:r>
            <w:r>
              <w:fldChar w:fldCharType="separate"/>
            </w:r>
            <w:r w:rsidR="005F4383">
              <w:t>130.30</w:t>
            </w:r>
            <w:r w:rsidR="005F4383">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Finanzen; Finanzen; Voranschläge / Budget</w:t>
            </w:r>
            <w:bookmarkEnd w:id="8"/>
          </w:p>
        </w:tc>
        <w:tc>
          <w:tcPr>
            <w:tcW w:w="2004" w:type="dxa"/>
          </w:tcPr>
          <w:p w:rsidR="002E3D2D" w:rsidRPr="00195494" w:rsidP="00020A8F">
            <w:pPr>
              <w:pStyle w:val="Geschftsinfo"/>
              <w:framePr w:wrap="auto" w:vAnchor="margin" w:xAlign="left" w:yAlign="inline"/>
              <w:jc w:val="right"/>
            </w:pPr>
            <w:r>
              <w:t>Finanzen</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Budget 2017 / Finanzplan und Investitionsprogramm 2016 - 2021</w:t>
            </w:r>
            <w:bookmarkEnd w:id="9"/>
          </w:p>
        </w:tc>
      </w:tr>
    </w:tbl>
    <w:p w:rsidR="00AF6238" w:rsidRPr="00AF6238" w:rsidP="00AF6238">
      <w:pPr>
        <w:spacing w:line="240" w:lineRule="auto"/>
        <w:rPr>
          <w:sz w:val="2"/>
          <w:szCs w:val="2"/>
        </w:rPr>
      </w:pPr>
      <w:bookmarkStart w:id="10" w:name="Beschlussmarke1"/>
      <w:bookmarkEnd w:id="10"/>
    </w:p>
    <w:p w:rsidR="004B46E9" w:rsidRPr="00473C39" w:rsidP="004B46E9">
      <w:r>
        <w:rPr>
          <w:b/>
        </w:rPr>
        <w:t xml:space="preserve">Ausgangslage / Vorgeschichte </w:t>
      </w:r>
    </w:p>
    <w:p w:rsidR="004B46E9" w:rsidRPr="0087137C" w:rsidP="004B46E9">
      <w:pPr>
        <w:autoSpaceDE w:val="0"/>
        <w:autoSpaceDN w:val="0"/>
        <w:adjustRightInd w:val="0"/>
        <w:jc w:val="both"/>
        <w:rPr>
          <w:rFonts w:cs="Arial"/>
          <w:lang w:eastAsia="de-CH"/>
        </w:rPr>
      </w:pPr>
      <w:r w:rsidRPr="0087137C">
        <w:rPr>
          <w:rFonts w:cs="Arial"/>
          <w:lang w:eastAsia="de-CH"/>
        </w:rPr>
        <w:t>Im Budget 2017 werden die Weichen für die finanzielle Zukunft der Gemeinde Lyss gestellt. Als Ausgangslage für die Festlegung der für Lyss geeigneten Steueranlage bildet das Investitionsvolumen, die Schuldenbewirtschaftung, die öffentliche Aufgabenerfüllung – Leistungsindikatoren, der Bilanzüberschuss sowie die zu erwartende</w:t>
      </w:r>
      <w:r>
        <w:rPr>
          <w:rFonts w:cs="Arial"/>
          <w:lang w:eastAsia="de-CH"/>
        </w:rPr>
        <w:t>n</w:t>
      </w:r>
      <w:r w:rsidRPr="0087137C">
        <w:rPr>
          <w:rFonts w:cs="Arial"/>
          <w:lang w:eastAsia="de-CH"/>
        </w:rPr>
        <w:t xml:space="preserve"> Rechnungsergebnisse (Finanzplanung). Aufgrund der erwähnten Grundlagen unterbreitet der Gemeinderat das Budget 2017 mit einer Steuersenkung von 0.6 Zehnteln auf eine neue Steueranlage von 1.65 (vormals 1.71). Die Gründe für die beantragte Steuersenkung sind:</w:t>
      </w:r>
    </w:p>
    <w:p w:rsidR="004B46E9" w:rsidRPr="0087137C" w:rsidP="004B46E9">
      <w:pPr>
        <w:pStyle w:val="ListParagraph"/>
        <w:numPr>
          <w:ilvl w:val="0"/>
          <w:numId w:val="19"/>
        </w:numPr>
        <w:spacing w:before="120" w:line="240" w:lineRule="auto"/>
        <w:ind w:left="284" w:hanging="284"/>
        <w:contextualSpacing w:val="0"/>
      </w:pPr>
      <w:r w:rsidRPr="0087137C">
        <w:t>massvoller Abbau des Bilanzüberschuss der Gemeinde Lyss bis ins Jahr 20</w:t>
      </w:r>
      <w:r>
        <w:t>2</w:t>
      </w:r>
      <w:r w:rsidRPr="0087137C">
        <w:t>1 auf Fr.</w:t>
      </w:r>
      <w:r>
        <w:t> </w:t>
      </w:r>
      <w:r w:rsidRPr="0087137C">
        <w:t>20</w:t>
      </w:r>
      <w:r>
        <w:t> </w:t>
      </w:r>
      <w:r w:rsidRPr="0087137C">
        <w:t>Mio.</w:t>
      </w:r>
    </w:p>
    <w:p w:rsidR="004B46E9" w:rsidRPr="0087137C" w:rsidP="004B46E9">
      <w:pPr>
        <w:pStyle w:val="ListParagraph"/>
        <w:numPr>
          <w:ilvl w:val="0"/>
          <w:numId w:val="19"/>
        </w:numPr>
        <w:spacing w:before="120" w:line="240" w:lineRule="auto"/>
        <w:ind w:left="284" w:hanging="284"/>
        <w:contextualSpacing w:val="0"/>
      </w:pPr>
      <w:r w:rsidRPr="0087137C">
        <w:t>bestehende Reserve des B</w:t>
      </w:r>
      <w:r>
        <w:t>ilanzüberschuss von mindestens 9</w:t>
      </w:r>
      <w:r w:rsidRPr="0087137C">
        <w:t xml:space="preserve"> Steueranlagezehntel um unvorhergesehene Ertragsausfälle auffangen zu können (s. Finanzplan). </w:t>
      </w:r>
    </w:p>
    <w:p w:rsidR="004B46E9" w:rsidRPr="0087137C" w:rsidP="004B46E9">
      <w:pPr>
        <w:pStyle w:val="ListParagraph"/>
        <w:numPr>
          <w:ilvl w:val="0"/>
          <w:numId w:val="19"/>
        </w:numPr>
        <w:spacing w:before="120" w:line="240" w:lineRule="auto"/>
        <w:ind w:left="284" w:hanging="284"/>
        <w:contextualSpacing w:val="0"/>
      </w:pPr>
      <w:r w:rsidRPr="0087137C">
        <w:t>Finanzierung der geplanten Nettoinvestitionen von Fr. 10‘</w:t>
      </w:r>
      <w:r>
        <w:t>649</w:t>
      </w:r>
      <w:r w:rsidRPr="0087137C">
        <w:t>‘000.00 im Budgetjahr 2017 ohne Neuverschuldung.</w:t>
      </w:r>
    </w:p>
    <w:p w:rsidR="004B46E9" w:rsidRPr="0087137C" w:rsidP="004B46E9">
      <w:pPr>
        <w:pStyle w:val="ListParagraph"/>
        <w:numPr>
          <w:ilvl w:val="0"/>
          <w:numId w:val="19"/>
        </w:numPr>
        <w:spacing w:before="120" w:line="240" w:lineRule="auto"/>
        <w:ind w:left="284" w:hanging="284"/>
        <w:contextualSpacing w:val="0"/>
      </w:pPr>
      <w:r w:rsidRPr="0087137C">
        <w:t>keine finanzielle Beeinträchtigung der Finanzierung von öffentlichen Aufgaben:</w:t>
      </w:r>
    </w:p>
    <w:p w:rsidR="004B46E9" w:rsidRPr="0087137C" w:rsidP="004B46E9">
      <w:pPr>
        <w:pStyle w:val="ListParagraph"/>
        <w:numPr>
          <w:ilvl w:val="0"/>
          <w:numId w:val="20"/>
        </w:numPr>
        <w:spacing w:before="120" w:line="240" w:lineRule="auto"/>
        <w:ind w:left="567" w:hanging="283"/>
        <w:contextualSpacing w:val="0"/>
      </w:pPr>
      <w:r w:rsidRPr="0087137C">
        <w:t>Werterhaltung Liegenschaften; 0.6 % vom GVB-Wert</w:t>
      </w:r>
    </w:p>
    <w:p w:rsidR="004B46E9" w:rsidRPr="0087137C" w:rsidP="004B46E9">
      <w:pPr>
        <w:pStyle w:val="ListParagraph"/>
        <w:numPr>
          <w:ilvl w:val="0"/>
          <w:numId w:val="20"/>
        </w:numPr>
        <w:spacing w:before="120" w:line="240" w:lineRule="auto"/>
        <w:ind w:left="567" w:hanging="283"/>
        <w:contextualSpacing w:val="0"/>
      </w:pPr>
      <w:r w:rsidRPr="0087137C">
        <w:t>Werterhaltung Strassen; 0.75 % vom Wiederbeschaffungswert</w:t>
      </w:r>
    </w:p>
    <w:p w:rsidR="004B46E9" w:rsidRPr="0087137C" w:rsidP="004B46E9">
      <w:pPr>
        <w:pStyle w:val="ListParagraph"/>
        <w:numPr>
          <w:ilvl w:val="0"/>
          <w:numId w:val="19"/>
        </w:numPr>
        <w:spacing w:before="120" w:line="240" w:lineRule="auto"/>
        <w:ind w:left="284" w:hanging="284"/>
        <w:contextualSpacing w:val="0"/>
      </w:pPr>
      <w:r w:rsidRPr="0087137C">
        <w:t>die bisherigen Leistungsindikatoren können mit einer Steueranlage von 1.65 weiterhin finanziert werden ohne dass ein Leistungsabbau in Betracht gezogen werden muss.</w:t>
      </w:r>
    </w:p>
    <w:p w:rsidR="004B46E9" w:rsidRPr="0087137C" w:rsidP="004B46E9">
      <w:pPr>
        <w:pStyle w:val="ListParagraph"/>
        <w:numPr>
          <w:ilvl w:val="0"/>
          <w:numId w:val="19"/>
        </w:numPr>
        <w:spacing w:before="120" w:line="240" w:lineRule="auto"/>
        <w:ind w:left="284" w:hanging="284"/>
        <w:contextualSpacing w:val="0"/>
      </w:pPr>
      <w:r w:rsidRPr="0087137C">
        <w:t>die Gemeinde Lyss eine Bruttoverschuldung von ca. Fr. 47 Mio. per Ende Jahr 2021 bei einer Steueranlage von 1.65 aufweisen wird. Die Bruttoverschuldung per 01.01.2016 betrug Fr.</w:t>
      </w:r>
      <w:r>
        <w:t> </w:t>
      </w:r>
      <w:r w:rsidRPr="0087137C">
        <w:t>48</w:t>
      </w:r>
      <w:r>
        <w:t> </w:t>
      </w:r>
      <w:r w:rsidRPr="0087137C">
        <w:t xml:space="preserve">Mio. </w:t>
      </w:r>
    </w:p>
    <w:p w:rsidR="004B46E9" w:rsidRPr="0087137C" w:rsidP="004B46E9">
      <w:pPr>
        <w:autoSpaceDE w:val="0"/>
        <w:autoSpaceDN w:val="0"/>
        <w:adjustRightInd w:val="0"/>
        <w:spacing w:before="120"/>
        <w:jc w:val="both"/>
        <w:rPr>
          <w:rFonts w:cs="Arial"/>
          <w:b/>
          <w:lang w:eastAsia="de-CH"/>
        </w:rPr>
      </w:pPr>
      <w:r w:rsidRPr="0087137C">
        <w:rPr>
          <w:rFonts w:cs="Arial"/>
          <w:b/>
          <w:lang w:eastAsia="de-CH"/>
        </w:rPr>
        <w:t>Finanz</w:t>
      </w:r>
      <w:r>
        <w:rPr>
          <w:rFonts w:cs="Arial"/>
          <w:b/>
          <w:lang w:eastAsia="de-CH"/>
        </w:rPr>
        <w:t>plan und Investitionsprogramm 2</w:t>
      </w:r>
      <w:r w:rsidRPr="0087137C">
        <w:rPr>
          <w:rFonts w:cs="Arial"/>
          <w:b/>
          <w:lang w:eastAsia="de-CH"/>
        </w:rPr>
        <w:t>016 – 2021</w:t>
      </w:r>
    </w:p>
    <w:p w:rsidR="004B46E9" w:rsidP="004B46E9">
      <w:pPr>
        <w:autoSpaceDE w:val="0"/>
        <w:autoSpaceDN w:val="0"/>
        <w:adjustRightInd w:val="0"/>
        <w:jc w:val="both"/>
        <w:rPr>
          <w:rFonts w:cs="Arial"/>
          <w:lang w:eastAsia="de-CH"/>
        </w:rPr>
      </w:pPr>
      <w:r w:rsidRPr="0087137C">
        <w:rPr>
          <w:rFonts w:cs="Arial"/>
          <w:lang w:eastAsia="de-CH"/>
        </w:rPr>
        <w:t xml:space="preserve">Eine Umsetzung der Variante mit einer Steueranlage von 1.65 ist </w:t>
      </w:r>
      <w:r>
        <w:rPr>
          <w:rFonts w:cs="Arial"/>
          <w:lang w:eastAsia="de-CH"/>
        </w:rPr>
        <w:t>aus Sicht des Gemeinderats die S</w:t>
      </w:r>
      <w:r w:rsidRPr="0087137C">
        <w:rPr>
          <w:rFonts w:cs="Arial"/>
          <w:lang w:eastAsia="de-CH"/>
        </w:rPr>
        <w:t xml:space="preserve">innvollste. Mit einer Steueranlage von 1.65 ist das Finanzhaushaltsgleichgewicht nicht gefährdet. Ein Schuldenabbau resp. die Finanzierung des Investitionsprogramms ist ohne neue zusätzliche Verschuldung möglich. Zudem besteht per Ende Finanzplanprognose eine finanzielle Reserve um Ertragseinbrüche (z.B. Unternehmenssteuerreform III) auffangen zu können. </w:t>
      </w:r>
      <w:r w:rsidRPr="0087137C">
        <w:t>In der Summe rechnet der Finanzplan über die gesamte Planperiode mit einem Verlust von Fr.</w:t>
      </w:r>
      <w:r>
        <w:t> </w:t>
      </w:r>
      <w:r w:rsidRPr="0087137C">
        <w:t xml:space="preserve">4‘525‘000.00. Mit dem vorhandenen Bilanzüberschuss von </w:t>
      </w:r>
      <w:r>
        <w:t xml:space="preserve">Fr. </w:t>
      </w:r>
      <w:r w:rsidRPr="0087137C">
        <w:t xml:space="preserve">25‘899‘000.00 kann dieser kumulierte Verlust bis ins Jahr 2021 finanziert werden. Bei </w:t>
      </w:r>
      <w:r w:rsidRPr="0087137C">
        <w:rPr>
          <w:rFonts w:cs="Arial"/>
          <w:lang w:eastAsia="de-CH"/>
        </w:rPr>
        <w:t>einem positiveren Geschäftsverlauf in den Jahren 2017, 2018, 2019 und 2021 liegen ausgeglichene Rechnungsergebnisse im Rahmen des Möglichen.</w:t>
      </w:r>
    </w:p>
    <w:p w:rsidR="004B46E9" w:rsidP="004B46E9">
      <w:pPr>
        <w:autoSpaceDE w:val="0"/>
        <w:autoSpaceDN w:val="0"/>
        <w:adjustRightInd w:val="0"/>
        <w:jc w:val="both"/>
        <w:rPr>
          <w:rFonts w:cs="Arial"/>
          <w:lang w:eastAsia="de-CH"/>
        </w:rPr>
      </w:pPr>
    </w:p>
    <w:tbl>
      <w:tblPr>
        <w:tblW w:w="5000" w:type="pct"/>
        <w:tblCellMar>
          <w:left w:w="70" w:type="dxa"/>
          <w:right w:w="70" w:type="dxa"/>
        </w:tblCellMar>
        <w:tblLook w:val="04A0"/>
      </w:tblPr>
      <w:tblGrid>
        <w:gridCol w:w="3220"/>
        <w:gridCol w:w="881"/>
        <w:gridCol w:w="881"/>
        <w:gridCol w:w="881"/>
        <w:gridCol w:w="881"/>
        <w:gridCol w:w="881"/>
        <w:gridCol w:w="879"/>
      </w:tblGrid>
      <w:tr w:rsidTr="00647267">
        <w:tblPrEx>
          <w:tblW w:w="5000" w:type="pct"/>
          <w:tblCellMar>
            <w:left w:w="70" w:type="dxa"/>
            <w:right w:w="70" w:type="dxa"/>
          </w:tblCellMar>
          <w:tblLook w:val="04A0"/>
        </w:tblPrEx>
        <w:trPr>
          <w:trHeight w:val="255"/>
        </w:trPr>
        <w:tc>
          <w:tcPr>
            <w:tcW w:w="1893" w:type="pct"/>
            <w:tcBorders>
              <w:bottom w:val="single" w:sz="4" w:space="0" w:color="auto"/>
            </w:tcBorders>
            <w:shd w:val="clear" w:color="auto" w:fill="auto"/>
            <w:noWrap/>
            <w:vAlign w:val="bottom"/>
            <w:hideMark/>
          </w:tcPr>
          <w:p w:rsidR="004B46E9" w:rsidRPr="004B6AED" w:rsidP="00647267">
            <w:pPr>
              <w:rPr>
                <w:rFonts w:cs="Arial"/>
                <w:b/>
                <w:bCs/>
                <w:color w:val="000000"/>
                <w:sz w:val="16"/>
                <w:szCs w:val="16"/>
                <w:lang w:eastAsia="de-CH"/>
              </w:rPr>
            </w:pPr>
            <w:r w:rsidRPr="004B6AED">
              <w:rPr>
                <w:rFonts w:cs="Arial"/>
                <w:b/>
                <w:bCs/>
                <w:color w:val="000000"/>
                <w:sz w:val="16"/>
                <w:szCs w:val="16"/>
                <w:lang w:eastAsia="de-CH"/>
              </w:rPr>
              <w:t>Variante 1</w:t>
            </w:r>
            <w:r>
              <w:rPr>
                <w:rFonts w:cs="Arial"/>
                <w:b/>
                <w:bCs/>
                <w:color w:val="000000"/>
                <w:sz w:val="16"/>
                <w:szCs w:val="16"/>
                <w:lang w:eastAsia="de-CH"/>
              </w:rPr>
              <w:t xml:space="preserve"> – umgesetzt vom GR</w:t>
            </w:r>
          </w:p>
        </w:tc>
        <w:tc>
          <w:tcPr>
            <w:tcW w:w="518" w:type="pct"/>
            <w:tcBorders>
              <w:bottom w:val="single" w:sz="4" w:space="0" w:color="auto"/>
            </w:tcBorders>
            <w:shd w:val="clear" w:color="auto" w:fill="auto"/>
            <w:noWrap/>
            <w:vAlign w:val="bottom"/>
            <w:hideMark/>
          </w:tcPr>
          <w:p w:rsidR="004B46E9" w:rsidRPr="004B6AED" w:rsidP="00647267">
            <w:pPr>
              <w:jc w:val="right"/>
              <w:rPr>
                <w:rFonts w:cs="Arial"/>
                <w:b/>
                <w:bCs/>
                <w:color w:val="000000"/>
                <w:sz w:val="16"/>
                <w:szCs w:val="16"/>
                <w:lang w:eastAsia="de-CH"/>
              </w:rPr>
            </w:pPr>
            <w:r w:rsidRPr="004B6AED">
              <w:rPr>
                <w:rFonts w:cs="Arial"/>
                <w:b/>
                <w:bCs/>
                <w:color w:val="000000"/>
                <w:sz w:val="16"/>
                <w:szCs w:val="16"/>
                <w:lang w:eastAsia="de-CH"/>
              </w:rPr>
              <w:t>2016</w:t>
            </w:r>
          </w:p>
        </w:tc>
        <w:tc>
          <w:tcPr>
            <w:tcW w:w="518" w:type="pct"/>
            <w:tcBorders>
              <w:bottom w:val="single" w:sz="4" w:space="0" w:color="auto"/>
            </w:tcBorders>
            <w:shd w:val="clear" w:color="auto" w:fill="auto"/>
            <w:noWrap/>
            <w:vAlign w:val="bottom"/>
            <w:hideMark/>
          </w:tcPr>
          <w:p w:rsidR="004B46E9" w:rsidRPr="004B6AED" w:rsidP="00647267">
            <w:pPr>
              <w:jc w:val="right"/>
              <w:rPr>
                <w:rFonts w:cs="Arial"/>
                <w:b/>
                <w:bCs/>
                <w:color w:val="000000"/>
                <w:sz w:val="16"/>
                <w:szCs w:val="16"/>
                <w:lang w:eastAsia="de-CH"/>
              </w:rPr>
            </w:pPr>
            <w:r w:rsidRPr="004B6AED">
              <w:rPr>
                <w:rFonts w:cs="Arial"/>
                <w:b/>
                <w:bCs/>
                <w:color w:val="000000"/>
                <w:sz w:val="16"/>
                <w:szCs w:val="16"/>
                <w:lang w:eastAsia="de-CH"/>
              </w:rPr>
              <w:t>2017</w:t>
            </w:r>
          </w:p>
        </w:tc>
        <w:tc>
          <w:tcPr>
            <w:tcW w:w="518" w:type="pct"/>
            <w:tcBorders>
              <w:bottom w:val="single" w:sz="4" w:space="0" w:color="auto"/>
            </w:tcBorders>
            <w:shd w:val="clear" w:color="auto" w:fill="auto"/>
            <w:noWrap/>
            <w:vAlign w:val="bottom"/>
            <w:hideMark/>
          </w:tcPr>
          <w:p w:rsidR="004B46E9" w:rsidRPr="004B6AED" w:rsidP="00647267">
            <w:pPr>
              <w:jc w:val="right"/>
              <w:rPr>
                <w:rFonts w:cs="Arial"/>
                <w:b/>
                <w:bCs/>
                <w:color w:val="000000"/>
                <w:sz w:val="16"/>
                <w:szCs w:val="16"/>
                <w:lang w:eastAsia="de-CH"/>
              </w:rPr>
            </w:pPr>
            <w:r w:rsidRPr="004B6AED">
              <w:rPr>
                <w:rFonts w:cs="Arial"/>
                <w:b/>
                <w:bCs/>
                <w:color w:val="000000"/>
                <w:sz w:val="16"/>
                <w:szCs w:val="16"/>
                <w:lang w:eastAsia="de-CH"/>
              </w:rPr>
              <w:t>2018</w:t>
            </w:r>
          </w:p>
        </w:tc>
        <w:tc>
          <w:tcPr>
            <w:tcW w:w="518" w:type="pct"/>
            <w:tcBorders>
              <w:bottom w:val="single" w:sz="4" w:space="0" w:color="auto"/>
            </w:tcBorders>
            <w:shd w:val="clear" w:color="auto" w:fill="auto"/>
            <w:noWrap/>
            <w:vAlign w:val="bottom"/>
            <w:hideMark/>
          </w:tcPr>
          <w:p w:rsidR="004B46E9" w:rsidRPr="004B6AED" w:rsidP="00647267">
            <w:pPr>
              <w:jc w:val="right"/>
              <w:rPr>
                <w:rFonts w:cs="Arial"/>
                <w:b/>
                <w:bCs/>
                <w:color w:val="000000"/>
                <w:sz w:val="16"/>
                <w:szCs w:val="16"/>
                <w:lang w:eastAsia="de-CH"/>
              </w:rPr>
            </w:pPr>
            <w:r w:rsidRPr="004B6AED">
              <w:rPr>
                <w:rFonts w:cs="Arial"/>
                <w:b/>
                <w:bCs/>
                <w:color w:val="000000"/>
                <w:sz w:val="16"/>
                <w:szCs w:val="16"/>
                <w:lang w:eastAsia="de-CH"/>
              </w:rPr>
              <w:t>2019</w:t>
            </w:r>
          </w:p>
        </w:tc>
        <w:tc>
          <w:tcPr>
            <w:tcW w:w="518" w:type="pct"/>
            <w:tcBorders>
              <w:bottom w:val="single" w:sz="4" w:space="0" w:color="auto"/>
            </w:tcBorders>
            <w:shd w:val="clear" w:color="auto" w:fill="auto"/>
            <w:noWrap/>
            <w:vAlign w:val="bottom"/>
            <w:hideMark/>
          </w:tcPr>
          <w:p w:rsidR="004B46E9" w:rsidRPr="004B6AED" w:rsidP="00647267">
            <w:pPr>
              <w:jc w:val="right"/>
              <w:rPr>
                <w:rFonts w:cs="Arial"/>
                <w:b/>
                <w:bCs/>
                <w:color w:val="000000"/>
                <w:sz w:val="16"/>
                <w:szCs w:val="16"/>
                <w:lang w:eastAsia="de-CH"/>
              </w:rPr>
            </w:pPr>
            <w:r w:rsidRPr="004B6AED">
              <w:rPr>
                <w:rFonts w:cs="Arial"/>
                <w:b/>
                <w:bCs/>
                <w:color w:val="000000"/>
                <w:sz w:val="16"/>
                <w:szCs w:val="16"/>
                <w:lang w:eastAsia="de-CH"/>
              </w:rPr>
              <w:t>2020</w:t>
            </w:r>
          </w:p>
        </w:tc>
        <w:tc>
          <w:tcPr>
            <w:tcW w:w="518" w:type="pct"/>
            <w:tcBorders>
              <w:bottom w:val="single" w:sz="4" w:space="0" w:color="auto"/>
            </w:tcBorders>
            <w:shd w:val="clear" w:color="auto" w:fill="auto"/>
            <w:noWrap/>
            <w:vAlign w:val="bottom"/>
            <w:hideMark/>
          </w:tcPr>
          <w:p w:rsidR="004B46E9" w:rsidRPr="004B6AED" w:rsidP="00647267">
            <w:pPr>
              <w:jc w:val="right"/>
              <w:rPr>
                <w:rFonts w:cs="Arial"/>
                <w:b/>
                <w:bCs/>
                <w:color w:val="000000"/>
                <w:sz w:val="16"/>
                <w:szCs w:val="16"/>
                <w:lang w:eastAsia="de-CH"/>
              </w:rPr>
            </w:pPr>
            <w:r w:rsidRPr="004B6AED">
              <w:rPr>
                <w:rFonts w:cs="Arial"/>
                <w:b/>
                <w:bCs/>
                <w:color w:val="000000"/>
                <w:sz w:val="16"/>
                <w:szCs w:val="16"/>
                <w:lang w:eastAsia="de-CH"/>
              </w:rPr>
              <w:t>2021</w:t>
            </w:r>
          </w:p>
        </w:tc>
      </w:tr>
      <w:tr w:rsidTr="00647267">
        <w:tblPrEx>
          <w:tblW w:w="5000" w:type="pct"/>
          <w:tblCellMar>
            <w:left w:w="70" w:type="dxa"/>
            <w:right w:w="70" w:type="dxa"/>
          </w:tblCellMar>
          <w:tblLook w:val="04A0"/>
        </w:tblPrEx>
        <w:trPr>
          <w:trHeight w:val="255"/>
        </w:trPr>
        <w:tc>
          <w:tcPr>
            <w:tcW w:w="1893" w:type="pct"/>
            <w:shd w:val="clear" w:color="auto" w:fill="C6D9F1" w:themeFill="text2" w:themeFillTint="33"/>
            <w:noWrap/>
            <w:vAlign w:val="bottom"/>
            <w:hideMark/>
          </w:tcPr>
          <w:p w:rsidR="004B46E9" w:rsidRPr="005D7948" w:rsidP="00647267">
            <w:pPr>
              <w:rPr>
                <w:rFonts w:cs="Arial"/>
                <w:b/>
                <w:color w:val="000000"/>
                <w:lang w:eastAsia="de-CH"/>
              </w:rPr>
            </w:pPr>
            <w:r w:rsidRPr="005D7948">
              <w:rPr>
                <w:rFonts w:cs="Arial"/>
                <w:b/>
                <w:color w:val="000000"/>
                <w:lang w:eastAsia="de-CH"/>
              </w:rPr>
              <w:t>Steueranlage 1.65</w:t>
            </w:r>
          </w:p>
        </w:tc>
        <w:tc>
          <w:tcPr>
            <w:tcW w:w="518" w:type="pct"/>
            <w:shd w:val="clear" w:color="auto" w:fill="C6D9F1" w:themeFill="text2" w:themeFillTint="33"/>
            <w:noWrap/>
            <w:vAlign w:val="bottom"/>
            <w:hideMark/>
          </w:tcPr>
          <w:p w:rsidR="004B46E9" w:rsidRPr="005D7948" w:rsidP="00647267">
            <w:pPr>
              <w:jc w:val="right"/>
              <w:rPr>
                <w:rFonts w:cs="Arial"/>
                <w:b/>
                <w:color w:val="000000"/>
                <w:lang w:eastAsia="de-CH"/>
              </w:rPr>
            </w:pPr>
          </w:p>
        </w:tc>
        <w:tc>
          <w:tcPr>
            <w:tcW w:w="518" w:type="pct"/>
            <w:shd w:val="clear" w:color="auto" w:fill="C6D9F1" w:themeFill="text2" w:themeFillTint="33"/>
            <w:noWrap/>
            <w:vAlign w:val="bottom"/>
            <w:hideMark/>
          </w:tcPr>
          <w:p w:rsidR="004B46E9" w:rsidRPr="005D7948" w:rsidP="00647267">
            <w:pPr>
              <w:jc w:val="right"/>
              <w:rPr>
                <w:rFonts w:cs="Arial"/>
                <w:b/>
                <w:color w:val="000000"/>
                <w:lang w:eastAsia="de-CH"/>
              </w:rPr>
            </w:pPr>
          </w:p>
        </w:tc>
        <w:tc>
          <w:tcPr>
            <w:tcW w:w="518" w:type="pct"/>
            <w:shd w:val="clear" w:color="auto" w:fill="C6D9F1" w:themeFill="text2" w:themeFillTint="33"/>
            <w:noWrap/>
            <w:vAlign w:val="bottom"/>
            <w:hideMark/>
          </w:tcPr>
          <w:p w:rsidR="004B46E9" w:rsidRPr="005D7948" w:rsidP="00647267">
            <w:pPr>
              <w:jc w:val="right"/>
              <w:rPr>
                <w:rFonts w:cs="Arial"/>
                <w:b/>
                <w:color w:val="000000"/>
                <w:lang w:eastAsia="de-CH"/>
              </w:rPr>
            </w:pPr>
          </w:p>
        </w:tc>
        <w:tc>
          <w:tcPr>
            <w:tcW w:w="518" w:type="pct"/>
            <w:shd w:val="clear" w:color="auto" w:fill="C6D9F1" w:themeFill="text2" w:themeFillTint="33"/>
            <w:noWrap/>
            <w:vAlign w:val="bottom"/>
            <w:hideMark/>
          </w:tcPr>
          <w:p w:rsidR="004B46E9" w:rsidRPr="005D7948" w:rsidP="00647267">
            <w:pPr>
              <w:jc w:val="right"/>
              <w:rPr>
                <w:rFonts w:cs="Arial"/>
                <w:b/>
                <w:color w:val="000000"/>
                <w:lang w:eastAsia="de-CH"/>
              </w:rPr>
            </w:pPr>
          </w:p>
        </w:tc>
        <w:tc>
          <w:tcPr>
            <w:tcW w:w="518" w:type="pct"/>
            <w:shd w:val="clear" w:color="auto" w:fill="C6D9F1" w:themeFill="text2" w:themeFillTint="33"/>
            <w:noWrap/>
            <w:vAlign w:val="bottom"/>
            <w:hideMark/>
          </w:tcPr>
          <w:p w:rsidR="004B46E9" w:rsidRPr="005D7948" w:rsidP="00647267">
            <w:pPr>
              <w:jc w:val="right"/>
              <w:rPr>
                <w:rFonts w:cs="Arial"/>
                <w:b/>
                <w:color w:val="000000"/>
                <w:lang w:eastAsia="de-CH"/>
              </w:rPr>
            </w:pPr>
          </w:p>
        </w:tc>
        <w:tc>
          <w:tcPr>
            <w:tcW w:w="518" w:type="pct"/>
            <w:shd w:val="clear" w:color="auto" w:fill="C6D9F1" w:themeFill="text2" w:themeFillTint="33"/>
            <w:noWrap/>
            <w:vAlign w:val="bottom"/>
            <w:hideMark/>
          </w:tcPr>
          <w:p w:rsidR="004B46E9" w:rsidRPr="005D7948" w:rsidP="00647267">
            <w:pPr>
              <w:jc w:val="right"/>
              <w:rPr>
                <w:rFonts w:cs="Arial"/>
                <w:b/>
                <w:color w:val="000000"/>
                <w:lang w:eastAsia="de-CH"/>
              </w:rPr>
            </w:pPr>
          </w:p>
        </w:tc>
      </w:tr>
      <w:tr w:rsidTr="00647267">
        <w:tblPrEx>
          <w:tblW w:w="5000" w:type="pct"/>
          <w:tblCellMar>
            <w:left w:w="70" w:type="dxa"/>
            <w:right w:w="70" w:type="dxa"/>
          </w:tblCellMar>
          <w:tblLook w:val="04A0"/>
        </w:tblPrEx>
        <w:trPr>
          <w:trHeight w:val="255"/>
        </w:trPr>
        <w:tc>
          <w:tcPr>
            <w:tcW w:w="1893" w:type="pct"/>
            <w:shd w:val="clear" w:color="auto" w:fill="C6D9F1" w:themeFill="text2" w:themeFillTint="33"/>
            <w:noWrap/>
            <w:vAlign w:val="bottom"/>
            <w:hideMark/>
          </w:tcPr>
          <w:p w:rsidR="004B46E9" w:rsidRPr="005D7948" w:rsidP="00647267">
            <w:pPr>
              <w:rPr>
                <w:rFonts w:cs="Arial"/>
                <w:color w:val="000000"/>
                <w:lang w:eastAsia="de-CH"/>
              </w:rPr>
            </w:pPr>
            <w:r w:rsidRPr="005D7948">
              <w:rPr>
                <w:rFonts w:cs="Arial"/>
                <w:color w:val="000000"/>
                <w:lang w:eastAsia="de-CH"/>
              </w:rPr>
              <w:t>Finanzplanergebnisse</w:t>
            </w:r>
          </w:p>
        </w:tc>
        <w:tc>
          <w:tcPr>
            <w:tcW w:w="518" w:type="pct"/>
            <w:shd w:val="clear" w:color="auto" w:fill="C6D9F1" w:themeFill="text2" w:themeFillTint="33"/>
            <w:noWrap/>
            <w:vAlign w:val="bottom"/>
            <w:hideMark/>
          </w:tcPr>
          <w:p w:rsidR="004B46E9" w:rsidRPr="005D7948" w:rsidP="00647267">
            <w:pPr>
              <w:jc w:val="right"/>
              <w:rPr>
                <w:rFonts w:cs="Arial"/>
                <w:color w:val="000000"/>
                <w:lang w:eastAsia="de-CH"/>
              </w:rPr>
            </w:pPr>
            <w:r w:rsidRPr="005D7948">
              <w:rPr>
                <w:rFonts w:cs="Arial"/>
                <w:color w:val="000000"/>
                <w:lang w:eastAsia="de-CH"/>
              </w:rPr>
              <w:t>225</w:t>
            </w:r>
          </w:p>
        </w:tc>
        <w:tc>
          <w:tcPr>
            <w:tcW w:w="518" w:type="pct"/>
            <w:shd w:val="clear" w:color="auto" w:fill="C6D9F1" w:themeFill="text2" w:themeFillTint="33"/>
            <w:noWrap/>
            <w:vAlign w:val="bottom"/>
            <w:hideMark/>
          </w:tcPr>
          <w:p w:rsidR="004B46E9" w:rsidRPr="005D7948" w:rsidP="00647267">
            <w:pPr>
              <w:jc w:val="right"/>
              <w:rPr>
                <w:rFonts w:cs="Arial"/>
                <w:color w:val="000000"/>
                <w:lang w:eastAsia="de-CH"/>
              </w:rPr>
            </w:pPr>
            <w:r w:rsidRPr="005D7948">
              <w:rPr>
                <w:rFonts w:cs="Arial"/>
                <w:color w:val="000000"/>
                <w:lang w:eastAsia="de-CH"/>
              </w:rPr>
              <w:t>-870</w:t>
            </w:r>
          </w:p>
        </w:tc>
        <w:tc>
          <w:tcPr>
            <w:tcW w:w="518" w:type="pct"/>
            <w:shd w:val="clear" w:color="auto" w:fill="C6D9F1" w:themeFill="text2" w:themeFillTint="33"/>
            <w:noWrap/>
            <w:vAlign w:val="bottom"/>
            <w:hideMark/>
          </w:tcPr>
          <w:p w:rsidR="004B46E9" w:rsidRPr="005D7948" w:rsidP="00647267">
            <w:pPr>
              <w:jc w:val="right"/>
              <w:rPr>
                <w:rFonts w:cs="Arial"/>
                <w:color w:val="000000"/>
                <w:lang w:eastAsia="de-CH"/>
              </w:rPr>
            </w:pPr>
            <w:r w:rsidRPr="005D7948">
              <w:rPr>
                <w:rFonts w:cs="Arial"/>
                <w:color w:val="000000"/>
                <w:lang w:eastAsia="de-CH"/>
              </w:rPr>
              <w:t>-670</w:t>
            </w:r>
          </w:p>
        </w:tc>
        <w:tc>
          <w:tcPr>
            <w:tcW w:w="518" w:type="pct"/>
            <w:shd w:val="clear" w:color="auto" w:fill="C6D9F1" w:themeFill="text2" w:themeFillTint="33"/>
            <w:noWrap/>
            <w:vAlign w:val="bottom"/>
            <w:hideMark/>
          </w:tcPr>
          <w:p w:rsidR="004B46E9" w:rsidRPr="005D7948" w:rsidP="00647267">
            <w:pPr>
              <w:jc w:val="right"/>
              <w:rPr>
                <w:rFonts w:cs="Arial"/>
                <w:color w:val="000000"/>
                <w:lang w:eastAsia="de-CH"/>
              </w:rPr>
            </w:pPr>
            <w:r w:rsidRPr="005D7948">
              <w:rPr>
                <w:rFonts w:cs="Arial"/>
                <w:color w:val="000000"/>
                <w:lang w:eastAsia="de-CH"/>
              </w:rPr>
              <w:t>-1‘170</w:t>
            </w:r>
          </w:p>
        </w:tc>
        <w:tc>
          <w:tcPr>
            <w:tcW w:w="518" w:type="pct"/>
            <w:shd w:val="clear" w:color="auto" w:fill="C6D9F1" w:themeFill="text2" w:themeFillTint="33"/>
            <w:noWrap/>
            <w:vAlign w:val="bottom"/>
            <w:hideMark/>
          </w:tcPr>
          <w:p w:rsidR="004B46E9" w:rsidRPr="005D7948" w:rsidP="00647267">
            <w:pPr>
              <w:jc w:val="right"/>
              <w:rPr>
                <w:rFonts w:cs="Arial"/>
                <w:color w:val="000000"/>
                <w:lang w:eastAsia="de-CH"/>
              </w:rPr>
            </w:pPr>
            <w:r w:rsidRPr="005D7948">
              <w:rPr>
                <w:rFonts w:cs="Arial"/>
                <w:color w:val="000000"/>
                <w:lang w:eastAsia="de-CH"/>
              </w:rPr>
              <w:t>-2‘170</w:t>
            </w:r>
          </w:p>
        </w:tc>
        <w:tc>
          <w:tcPr>
            <w:tcW w:w="518" w:type="pct"/>
            <w:shd w:val="clear" w:color="auto" w:fill="C6D9F1" w:themeFill="text2" w:themeFillTint="33"/>
            <w:noWrap/>
            <w:vAlign w:val="bottom"/>
            <w:hideMark/>
          </w:tcPr>
          <w:p w:rsidR="004B46E9" w:rsidRPr="005D7948" w:rsidP="00647267">
            <w:pPr>
              <w:jc w:val="right"/>
              <w:rPr>
                <w:rFonts w:cs="Arial"/>
                <w:color w:val="000000"/>
                <w:lang w:eastAsia="de-CH"/>
              </w:rPr>
            </w:pPr>
            <w:r w:rsidRPr="005D7948">
              <w:rPr>
                <w:rFonts w:cs="Arial"/>
                <w:color w:val="000000"/>
                <w:lang w:eastAsia="de-CH"/>
              </w:rPr>
              <w:t>-470</w:t>
            </w:r>
          </w:p>
        </w:tc>
      </w:tr>
      <w:tr w:rsidTr="00647267">
        <w:tblPrEx>
          <w:tblW w:w="5000" w:type="pct"/>
          <w:tblCellMar>
            <w:left w:w="70" w:type="dxa"/>
            <w:right w:w="70" w:type="dxa"/>
          </w:tblCellMar>
          <w:tblLook w:val="04A0"/>
        </w:tblPrEx>
        <w:trPr>
          <w:trHeight w:val="255"/>
        </w:trPr>
        <w:tc>
          <w:tcPr>
            <w:tcW w:w="1893" w:type="pct"/>
            <w:shd w:val="clear" w:color="auto" w:fill="C6D9F1" w:themeFill="text2" w:themeFillTint="33"/>
            <w:noWrap/>
            <w:vAlign w:val="bottom"/>
          </w:tcPr>
          <w:p w:rsidR="004B46E9" w:rsidRPr="005D7948" w:rsidP="00647267">
            <w:pPr>
              <w:rPr>
                <w:rFonts w:cs="Arial"/>
                <w:color w:val="000000"/>
                <w:lang w:eastAsia="de-CH"/>
              </w:rPr>
            </w:pPr>
            <w:r>
              <w:rPr>
                <w:rFonts w:cs="Arial"/>
                <w:color w:val="000000"/>
                <w:lang w:eastAsia="de-CH"/>
              </w:rPr>
              <w:t>Fremdmittel</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Pr>
                <w:rFonts w:cs="Arial"/>
                <w:color w:val="000000"/>
                <w:lang w:eastAsia="de-CH"/>
              </w:rPr>
              <w:t>48</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Pr>
                <w:rFonts w:cs="Arial"/>
                <w:color w:val="000000"/>
                <w:lang w:eastAsia="de-CH"/>
              </w:rPr>
              <w:t>42</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Pr>
                <w:rFonts w:cs="Arial"/>
                <w:color w:val="000000"/>
                <w:lang w:eastAsia="de-CH"/>
              </w:rPr>
              <w:t>33</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Pr>
                <w:rFonts w:cs="Arial"/>
                <w:color w:val="000000"/>
                <w:lang w:eastAsia="de-CH"/>
              </w:rPr>
              <w:t>48</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Pr>
                <w:rFonts w:cs="Arial"/>
                <w:color w:val="000000"/>
                <w:lang w:eastAsia="de-CH"/>
              </w:rPr>
              <w:t>49</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Pr>
                <w:rFonts w:cs="Arial"/>
                <w:color w:val="000000"/>
                <w:lang w:eastAsia="de-CH"/>
              </w:rPr>
              <w:t>47</w:t>
            </w:r>
          </w:p>
        </w:tc>
      </w:tr>
      <w:tr w:rsidTr="00647267">
        <w:tblPrEx>
          <w:tblW w:w="5000" w:type="pct"/>
          <w:tblCellMar>
            <w:left w:w="70" w:type="dxa"/>
            <w:right w:w="70" w:type="dxa"/>
          </w:tblCellMar>
          <w:tblLook w:val="04A0"/>
        </w:tblPrEx>
        <w:trPr>
          <w:trHeight w:val="255"/>
        </w:trPr>
        <w:tc>
          <w:tcPr>
            <w:tcW w:w="1893" w:type="pct"/>
            <w:shd w:val="clear" w:color="auto" w:fill="C6D9F1" w:themeFill="text2" w:themeFillTint="33"/>
            <w:noWrap/>
            <w:vAlign w:val="bottom"/>
          </w:tcPr>
          <w:p w:rsidR="004B46E9" w:rsidRPr="005D7948" w:rsidP="00647267">
            <w:pPr>
              <w:rPr>
                <w:rFonts w:cs="Arial"/>
                <w:color w:val="000000"/>
                <w:lang w:eastAsia="de-CH"/>
              </w:rPr>
            </w:pPr>
            <w:r w:rsidRPr="005D7948">
              <w:rPr>
                <w:rFonts w:cs="Arial"/>
                <w:color w:val="000000"/>
                <w:lang w:eastAsia="de-CH"/>
              </w:rPr>
              <w:t>Bilanzüberschuss</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25‘900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25‘030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24‘360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23‘190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21‘020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20‘550</w:t>
            </w:r>
          </w:p>
        </w:tc>
      </w:tr>
      <w:tr w:rsidTr="00647267">
        <w:tblPrEx>
          <w:tblW w:w="5000" w:type="pct"/>
          <w:tblCellMar>
            <w:left w:w="70" w:type="dxa"/>
            <w:right w:w="70" w:type="dxa"/>
          </w:tblCellMar>
          <w:tblLook w:val="04A0"/>
        </w:tblPrEx>
        <w:trPr>
          <w:trHeight w:val="255"/>
        </w:trPr>
        <w:tc>
          <w:tcPr>
            <w:tcW w:w="1893" w:type="pct"/>
            <w:shd w:val="clear" w:color="auto" w:fill="C6D9F1" w:themeFill="text2" w:themeFillTint="33"/>
            <w:noWrap/>
            <w:vAlign w:val="bottom"/>
          </w:tcPr>
          <w:p w:rsidR="004B46E9" w:rsidRPr="005D7948" w:rsidP="00647267">
            <w:pPr>
              <w:rPr>
                <w:rFonts w:cs="Arial"/>
                <w:color w:val="000000"/>
                <w:lang w:eastAsia="de-CH"/>
              </w:rPr>
            </w:pPr>
            <w:r w:rsidRPr="005D7948">
              <w:rPr>
                <w:rFonts w:cs="Arial"/>
                <w:color w:val="000000"/>
                <w:lang w:eastAsia="de-CH"/>
              </w:rPr>
              <w:t>Reserve in Steueranlagezehntel</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11</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10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10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10</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9</w:t>
            </w:r>
          </w:p>
        </w:tc>
        <w:tc>
          <w:tcPr>
            <w:tcW w:w="518" w:type="pct"/>
            <w:shd w:val="clear" w:color="auto" w:fill="C6D9F1" w:themeFill="text2" w:themeFillTint="33"/>
            <w:noWrap/>
            <w:vAlign w:val="bottom"/>
          </w:tcPr>
          <w:p w:rsidR="004B46E9" w:rsidRPr="005D7948" w:rsidP="00647267">
            <w:pPr>
              <w:jc w:val="right"/>
              <w:rPr>
                <w:rFonts w:cs="Arial"/>
                <w:color w:val="000000"/>
                <w:lang w:eastAsia="de-CH"/>
              </w:rPr>
            </w:pPr>
            <w:r w:rsidRPr="005D7948">
              <w:rPr>
                <w:rFonts w:cs="Arial"/>
                <w:color w:val="000000"/>
                <w:lang w:eastAsia="de-CH"/>
              </w:rPr>
              <w:t>9</w:t>
            </w:r>
          </w:p>
        </w:tc>
      </w:tr>
    </w:tbl>
    <w:p w:rsidR="004B46E9" w:rsidP="004B46E9">
      <w:pPr>
        <w:autoSpaceDE w:val="0"/>
        <w:autoSpaceDN w:val="0"/>
        <w:adjustRightInd w:val="0"/>
        <w:jc w:val="both"/>
        <w:rPr>
          <w:rFonts w:cs="Arial"/>
          <w:lang w:eastAsia="de-CH"/>
        </w:rPr>
      </w:pPr>
    </w:p>
    <w:p w:rsidR="004B46E9" w:rsidP="004B46E9">
      <w:pPr>
        <w:autoSpaceDE w:val="0"/>
        <w:autoSpaceDN w:val="0"/>
        <w:adjustRightInd w:val="0"/>
        <w:jc w:val="both"/>
        <w:rPr>
          <w:rFonts w:cs="Arial"/>
          <w:lang w:eastAsia="de-CH"/>
        </w:rPr>
      </w:pPr>
    </w:p>
    <w:p w:rsidR="004B46E9" w:rsidP="004B46E9">
      <w:pPr>
        <w:autoSpaceDE w:val="0"/>
        <w:autoSpaceDN w:val="0"/>
        <w:adjustRightInd w:val="0"/>
        <w:jc w:val="both"/>
        <w:rPr>
          <w:rFonts w:cs="Arial"/>
          <w:lang w:eastAsia="de-CH"/>
        </w:rPr>
      </w:pPr>
    </w:p>
    <w:p w:rsidR="004B46E9" w:rsidP="004B46E9">
      <w:pPr>
        <w:autoSpaceDE w:val="0"/>
        <w:autoSpaceDN w:val="0"/>
        <w:adjustRightInd w:val="0"/>
        <w:jc w:val="both"/>
        <w:rPr>
          <w:rFonts w:cs="Arial"/>
          <w:lang w:eastAsia="de-CH"/>
        </w:rPr>
      </w:pPr>
    </w:p>
    <w:p w:rsidR="004B46E9" w:rsidP="004B46E9">
      <w:pPr>
        <w:autoSpaceDE w:val="0"/>
        <w:autoSpaceDN w:val="0"/>
        <w:adjustRightInd w:val="0"/>
        <w:jc w:val="both"/>
        <w:rPr>
          <w:rFonts w:cs="Arial"/>
          <w:lang w:eastAsia="de-CH"/>
        </w:rPr>
      </w:pPr>
      <w:r>
        <w:rPr>
          <w:rFonts w:cs="Arial"/>
          <w:lang w:eastAsia="de-CH"/>
        </w:rPr>
        <w:t>Nachfolgend ist die Übersicht der Varianten 2 und 3 ersichtlich. Diese Varianten hat der Gemeinderat berechnet, jedoch für das Budget 2017 und den Finanzplan 2016 – 2021 nicht weiterverfolgt.</w:t>
      </w:r>
    </w:p>
    <w:tbl>
      <w:tblPr>
        <w:tblW w:w="5000" w:type="pct"/>
        <w:tblCellMar>
          <w:left w:w="70" w:type="dxa"/>
          <w:right w:w="70" w:type="dxa"/>
        </w:tblCellMar>
        <w:tblLook w:val="04A0"/>
      </w:tblPr>
      <w:tblGrid>
        <w:gridCol w:w="3220"/>
        <w:gridCol w:w="881"/>
        <w:gridCol w:w="881"/>
        <w:gridCol w:w="881"/>
        <w:gridCol w:w="881"/>
        <w:gridCol w:w="881"/>
        <w:gridCol w:w="879"/>
      </w:tblGrid>
      <w:tr w:rsidTr="00647267">
        <w:tblPrEx>
          <w:tblW w:w="5000" w:type="pct"/>
          <w:tblCellMar>
            <w:left w:w="70" w:type="dxa"/>
            <w:right w:w="70" w:type="dxa"/>
          </w:tblCellMar>
          <w:tblLook w:val="04A0"/>
        </w:tblPrEx>
        <w:trPr>
          <w:trHeight w:val="255"/>
        </w:trPr>
        <w:tc>
          <w:tcPr>
            <w:tcW w:w="1893" w:type="pct"/>
            <w:tcBorders>
              <w:bottom w:val="single" w:sz="4" w:space="0" w:color="auto"/>
            </w:tcBorders>
            <w:shd w:val="clear" w:color="auto" w:fill="auto"/>
            <w:noWrap/>
            <w:vAlign w:val="bottom"/>
            <w:hideMark/>
          </w:tcPr>
          <w:p w:rsidR="004B46E9" w:rsidRPr="00522619" w:rsidP="00647267">
            <w:pPr>
              <w:rPr>
                <w:rFonts w:cs="Arial"/>
                <w:b/>
                <w:bCs/>
                <w:color w:val="000000"/>
                <w:sz w:val="16"/>
                <w:szCs w:val="16"/>
                <w:lang w:eastAsia="de-CH"/>
              </w:rPr>
            </w:pPr>
            <w:r w:rsidRPr="00522619">
              <w:rPr>
                <w:rFonts w:cs="Arial"/>
                <w:b/>
                <w:bCs/>
                <w:color w:val="000000"/>
                <w:sz w:val="16"/>
                <w:szCs w:val="16"/>
                <w:lang w:eastAsia="de-CH"/>
              </w:rPr>
              <w:t>Variante 2</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2016</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2017</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2018</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2019</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2020</w:t>
            </w:r>
          </w:p>
        </w:tc>
        <w:tc>
          <w:tcPr>
            <w:tcW w:w="517"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2021</w:t>
            </w:r>
          </w:p>
        </w:tc>
      </w:tr>
      <w:tr w:rsidTr="00647267">
        <w:tblPrEx>
          <w:tblW w:w="5000" w:type="pct"/>
          <w:tblCellMar>
            <w:left w:w="70" w:type="dxa"/>
            <w:right w:w="70" w:type="dxa"/>
          </w:tblCellMar>
          <w:tblLook w:val="04A0"/>
        </w:tblPrEx>
        <w:trPr>
          <w:trHeight w:val="255"/>
        </w:trPr>
        <w:tc>
          <w:tcPr>
            <w:tcW w:w="1893" w:type="pct"/>
            <w:shd w:val="clear" w:color="auto" w:fill="D9D9D9" w:themeFill="background1" w:themeFillShade="D9"/>
            <w:noWrap/>
            <w:vAlign w:val="bottom"/>
          </w:tcPr>
          <w:p w:rsidR="004B46E9" w:rsidRPr="004822E3" w:rsidP="00647267">
            <w:pPr>
              <w:rPr>
                <w:rFonts w:cs="Arial"/>
                <w:b/>
                <w:color w:val="000000"/>
                <w:lang w:eastAsia="de-CH"/>
              </w:rPr>
            </w:pPr>
            <w:r w:rsidRPr="004822E3">
              <w:rPr>
                <w:rFonts w:cs="Arial"/>
                <w:b/>
                <w:color w:val="000000"/>
                <w:lang w:eastAsia="de-CH"/>
              </w:rPr>
              <w:t>Steueranlage 1.71</w:t>
            </w:r>
          </w:p>
        </w:tc>
        <w:tc>
          <w:tcPr>
            <w:tcW w:w="518" w:type="pct"/>
            <w:shd w:val="clear" w:color="auto" w:fill="D9D9D9" w:themeFill="background1" w:themeFillShade="D9"/>
            <w:noWrap/>
            <w:vAlign w:val="bottom"/>
          </w:tcPr>
          <w:p w:rsidR="004B46E9" w:rsidRPr="004822E3" w:rsidP="00647267">
            <w:pPr>
              <w:jc w:val="right"/>
              <w:rPr>
                <w:rFonts w:cs="Arial"/>
                <w:b/>
                <w:color w:val="000000"/>
                <w:lang w:eastAsia="de-CH"/>
              </w:rPr>
            </w:pPr>
          </w:p>
        </w:tc>
        <w:tc>
          <w:tcPr>
            <w:tcW w:w="518" w:type="pct"/>
            <w:shd w:val="clear" w:color="auto" w:fill="D9D9D9" w:themeFill="background1" w:themeFillShade="D9"/>
            <w:noWrap/>
            <w:vAlign w:val="bottom"/>
          </w:tcPr>
          <w:p w:rsidR="004B46E9" w:rsidRPr="004822E3" w:rsidP="00647267">
            <w:pPr>
              <w:jc w:val="right"/>
              <w:rPr>
                <w:rFonts w:cs="Arial"/>
                <w:b/>
                <w:color w:val="000000"/>
                <w:lang w:eastAsia="de-CH"/>
              </w:rPr>
            </w:pPr>
          </w:p>
        </w:tc>
        <w:tc>
          <w:tcPr>
            <w:tcW w:w="518" w:type="pct"/>
            <w:shd w:val="clear" w:color="auto" w:fill="D9D9D9" w:themeFill="background1" w:themeFillShade="D9"/>
            <w:noWrap/>
            <w:vAlign w:val="bottom"/>
          </w:tcPr>
          <w:p w:rsidR="004B46E9" w:rsidRPr="004822E3" w:rsidP="00647267">
            <w:pPr>
              <w:jc w:val="right"/>
              <w:rPr>
                <w:rFonts w:cs="Arial"/>
                <w:b/>
                <w:color w:val="000000"/>
                <w:lang w:eastAsia="de-CH"/>
              </w:rPr>
            </w:pPr>
          </w:p>
        </w:tc>
        <w:tc>
          <w:tcPr>
            <w:tcW w:w="518" w:type="pct"/>
            <w:shd w:val="clear" w:color="auto" w:fill="D9D9D9" w:themeFill="background1" w:themeFillShade="D9"/>
            <w:noWrap/>
            <w:vAlign w:val="bottom"/>
          </w:tcPr>
          <w:p w:rsidR="004B46E9" w:rsidRPr="004822E3" w:rsidP="00647267">
            <w:pPr>
              <w:jc w:val="right"/>
              <w:rPr>
                <w:rFonts w:cs="Arial"/>
                <w:b/>
                <w:color w:val="000000"/>
                <w:lang w:eastAsia="de-CH"/>
              </w:rPr>
            </w:pPr>
          </w:p>
        </w:tc>
        <w:tc>
          <w:tcPr>
            <w:tcW w:w="518" w:type="pct"/>
            <w:shd w:val="clear" w:color="auto" w:fill="D9D9D9" w:themeFill="background1" w:themeFillShade="D9"/>
            <w:noWrap/>
            <w:vAlign w:val="bottom"/>
          </w:tcPr>
          <w:p w:rsidR="004B46E9" w:rsidRPr="004822E3" w:rsidP="00647267">
            <w:pPr>
              <w:jc w:val="right"/>
              <w:rPr>
                <w:rFonts w:cs="Arial"/>
                <w:b/>
                <w:color w:val="000000"/>
                <w:lang w:eastAsia="de-CH"/>
              </w:rPr>
            </w:pPr>
          </w:p>
        </w:tc>
        <w:tc>
          <w:tcPr>
            <w:tcW w:w="517" w:type="pct"/>
            <w:shd w:val="clear" w:color="auto" w:fill="D9D9D9" w:themeFill="background1" w:themeFillShade="D9"/>
            <w:noWrap/>
            <w:vAlign w:val="bottom"/>
          </w:tcPr>
          <w:p w:rsidR="004B46E9" w:rsidRPr="004822E3" w:rsidP="00647267">
            <w:pPr>
              <w:jc w:val="right"/>
              <w:rPr>
                <w:rFonts w:cs="Arial"/>
                <w:b/>
                <w:color w:val="000000"/>
                <w:lang w:eastAsia="de-CH"/>
              </w:rPr>
            </w:pPr>
          </w:p>
        </w:tc>
      </w:tr>
      <w:tr w:rsidTr="00647267">
        <w:tblPrEx>
          <w:tblW w:w="5000" w:type="pct"/>
          <w:tblCellMar>
            <w:left w:w="70" w:type="dxa"/>
            <w:right w:w="70" w:type="dxa"/>
          </w:tblCellMar>
          <w:tblLook w:val="04A0"/>
        </w:tblPrEx>
        <w:trPr>
          <w:trHeight w:val="255"/>
        </w:trPr>
        <w:tc>
          <w:tcPr>
            <w:tcW w:w="1893" w:type="pct"/>
            <w:shd w:val="clear" w:color="auto" w:fill="D9D9D9" w:themeFill="background1" w:themeFillShade="D9"/>
            <w:noWrap/>
            <w:vAlign w:val="bottom"/>
            <w:hideMark/>
          </w:tcPr>
          <w:p w:rsidR="004B46E9" w:rsidRPr="004822E3" w:rsidP="00647267">
            <w:pPr>
              <w:rPr>
                <w:rFonts w:cs="Arial"/>
                <w:color w:val="000000"/>
                <w:lang w:eastAsia="de-CH"/>
              </w:rPr>
            </w:pPr>
            <w:r w:rsidRPr="004822E3">
              <w:rPr>
                <w:rFonts w:cs="Arial"/>
                <w:color w:val="000000"/>
                <w:lang w:eastAsia="de-CH"/>
              </w:rPr>
              <w:t>Finanzplanergebnisse</w:t>
            </w:r>
          </w:p>
        </w:tc>
        <w:tc>
          <w:tcPr>
            <w:tcW w:w="518" w:type="pct"/>
            <w:shd w:val="clear" w:color="auto" w:fill="D9D9D9" w:themeFill="background1" w:themeFillShade="D9"/>
            <w:noWrap/>
            <w:vAlign w:val="bottom"/>
            <w:hideMark/>
          </w:tcPr>
          <w:p w:rsidR="004B46E9" w:rsidRPr="004822E3" w:rsidP="00647267">
            <w:pPr>
              <w:jc w:val="right"/>
              <w:rPr>
                <w:rFonts w:cs="Arial"/>
                <w:color w:val="000000"/>
                <w:lang w:eastAsia="de-CH"/>
              </w:rPr>
            </w:pPr>
            <w:r w:rsidRPr="004822E3">
              <w:rPr>
                <w:rFonts w:cs="Arial"/>
                <w:color w:val="000000"/>
                <w:lang w:eastAsia="de-CH"/>
              </w:rPr>
              <w:t>225</w:t>
            </w:r>
          </w:p>
        </w:tc>
        <w:tc>
          <w:tcPr>
            <w:tcW w:w="518" w:type="pct"/>
            <w:shd w:val="clear" w:color="auto" w:fill="D9D9D9" w:themeFill="background1" w:themeFillShade="D9"/>
            <w:noWrap/>
            <w:vAlign w:val="bottom"/>
            <w:hideMark/>
          </w:tcPr>
          <w:p w:rsidR="004B46E9" w:rsidRPr="004822E3" w:rsidP="00647267">
            <w:pPr>
              <w:jc w:val="right"/>
              <w:rPr>
                <w:rFonts w:cs="Arial"/>
                <w:color w:val="000000"/>
                <w:lang w:eastAsia="de-CH"/>
              </w:rPr>
            </w:pPr>
            <w:r w:rsidRPr="004822E3">
              <w:rPr>
                <w:rFonts w:cs="Arial"/>
                <w:color w:val="000000"/>
                <w:lang w:eastAsia="de-CH"/>
              </w:rPr>
              <w:t>530</w:t>
            </w:r>
          </w:p>
        </w:tc>
        <w:tc>
          <w:tcPr>
            <w:tcW w:w="518" w:type="pct"/>
            <w:shd w:val="clear" w:color="auto" w:fill="D9D9D9" w:themeFill="background1" w:themeFillShade="D9"/>
            <w:noWrap/>
            <w:vAlign w:val="bottom"/>
            <w:hideMark/>
          </w:tcPr>
          <w:p w:rsidR="004B46E9" w:rsidRPr="004822E3" w:rsidP="00647267">
            <w:pPr>
              <w:jc w:val="right"/>
              <w:rPr>
                <w:rFonts w:cs="Arial"/>
                <w:color w:val="000000"/>
                <w:lang w:eastAsia="de-CH"/>
              </w:rPr>
            </w:pPr>
            <w:r w:rsidRPr="004822E3">
              <w:rPr>
                <w:rFonts w:cs="Arial"/>
                <w:color w:val="000000"/>
                <w:lang w:eastAsia="de-CH"/>
              </w:rPr>
              <w:t>730</w:t>
            </w:r>
          </w:p>
        </w:tc>
        <w:tc>
          <w:tcPr>
            <w:tcW w:w="518" w:type="pct"/>
            <w:shd w:val="clear" w:color="auto" w:fill="D9D9D9" w:themeFill="background1" w:themeFillShade="D9"/>
            <w:noWrap/>
            <w:vAlign w:val="bottom"/>
            <w:hideMark/>
          </w:tcPr>
          <w:p w:rsidR="004B46E9" w:rsidRPr="004822E3" w:rsidP="00647267">
            <w:pPr>
              <w:jc w:val="right"/>
              <w:rPr>
                <w:rFonts w:cs="Arial"/>
                <w:color w:val="000000"/>
                <w:lang w:eastAsia="de-CH"/>
              </w:rPr>
            </w:pPr>
            <w:r w:rsidRPr="004822E3">
              <w:rPr>
                <w:rFonts w:cs="Arial"/>
                <w:color w:val="000000"/>
                <w:lang w:eastAsia="de-CH"/>
              </w:rPr>
              <w:t>230</w:t>
            </w:r>
          </w:p>
        </w:tc>
        <w:tc>
          <w:tcPr>
            <w:tcW w:w="518" w:type="pct"/>
            <w:shd w:val="clear" w:color="auto" w:fill="D9D9D9" w:themeFill="background1" w:themeFillShade="D9"/>
            <w:noWrap/>
            <w:vAlign w:val="bottom"/>
            <w:hideMark/>
          </w:tcPr>
          <w:p w:rsidR="004B46E9" w:rsidRPr="004822E3" w:rsidP="00647267">
            <w:pPr>
              <w:jc w:val="right"/>
              <w:rPr>
                <w:rFonts w:cs="Arial"/>
                <w:color w:val="000000"/>
                <w:lang w:eastAsia="de-CH"/>
              </w:rPr>
            </w:pPr>
            <w:r w:rsidRPr="004822E3">
              <w:rPr>
                <w:rFonts w:cs="Arial"/>
                <w:color w:val="000000"/>
                <w:lang w:eastAsia="de-CH"/>
              </w:rPr>
              <w:t>770</w:t>
            </w:r>
          </w:p>
        </w:tc>
        <w:tc>
          <w:tcPr>
            <w:tcW w:w="517" w:type="pct"/>
            <w:shd w:val="clear" w:color="auto" w:fill="D9D9D9" w:themeFill="background1" w:themeFillShade="D9"/>
            <w:noWrap/>
            <w:vAlign w:val="bottom"/>
            <w:hideMark/>
          </w:tcPr>
          <w:p w:rsidR="004B46E9" w:rsidRPr="004822E3" w:rsidP="00647267">
            <w:pPr>
              <w:jc w:val="right"/>
              <w:rPr>
                <w:rFonts w:cs="Arial"/>
                <w:color w:val="000000"/>
                <w:lang w:eastAsia="de-CH"/>
              </w:rPr>
            </w:pPr>
            <w:r w:rsidRPr="004822E3">
              <w:rPr>
                <w:rFonts w:cs="Arial"/>
                <w:color w:val="000000"/>
                <w:lang w:eastAsia="de-CH"/>
              </w:rPr>
              <w:t>930</w:t>
            </w:r>
          </w:p>
        </w:tc>
      </w:tr>
      <w:tr w:rsidTr="00647267">
        <w:tblPrEx>
          <w:tblW w:w="5000" w:type="pct"/>
          <w:tblCellMar>
            <w:left w:w="70" w:type="dxa"/>
            <w:right w:w="70" w:type="dxa"/>
          </w:tblCellMar>
          <w:tblLook w:val="04A0"/>
        </w:tblPrEx>
        <w:trPr>
          <w:trHeight w:val="255"/>
        </w:trPr>
        <w:tc>
          <w:tcPr>
            <w:tcW w:w="1893" w:type="pct"/>
            <w:shd w:val="clear" w:color="auto" w:fill="D9D9D9" w:themeFill="background1" w:themeFillShade="D9"/>
            <w:noWrap/>
            <w:vAlign w:val="bottom"/>
          </w:tcPr>
          <w:p w:rsidR="004B46E9" w:rsidRPr="004822E3" w:rsidP="00647267">
            <w:pPr>
              <w:rPr>
                <w:rFonts w:cs="Arial"/>
                <w:color w:val="000000"/>
                <w:lang w:eastAsia="de-CH"/>
              </w:rPr>
            </w:pPr>
            <w:r>
              <w:rPr>
                <w:rFonts w:cs="Arial"/>
                <w:color w:val="000000"/>
                <w:lang w:eastAsia="de-CH"/>
              </w:rPr>
              <w:t>Fremdmittel</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Pr>
                <w:rFonts w:cs="Arial"/>
                <w:color w:val="000000"/>
                <w:lang w:eastAsia="de-CH"/>
              </w:rPr>
              <w:t>48</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Pr>
                <w:rFonts w:cs="Arial"/>
                <w:color w:val="000000"/>
                <w:lang w:eastAsia="de-CH"/>
              </w:rPr>
              <w:t>42</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Pr>
                <w:rFonts w:cs="Arial"/>
                <w:color w:val="000000"/>
                <w:lang w:eastAsia="de-CH"/>
              </w:rPr>
              <w:t>33</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Pr>
                <w:rFonts w:cs="Arial"/>
                <w:color w:val="000000"/>
                <w:lang w:eastAsia="de-CH"/>
              </w:rPr>
              <w:t>43</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Pr>
                <w:rFonts w:cs="Arial"/>
                <w:color w:val="000000"/>
                <w:lang w:eastAsia="de-CH"/>
              </w:rPr>
              <w:t>42</w:t>
            </w:r>
          </w:p>
        </w:tc>
        <w:tc>
          <w:tcPr>
            <w:tcW w:w="517" w:type="pct"/>
            <w:shd w:val="clear" w:color="auto" w:fill="D9D9D9" w:themeFill="background1" w:themeFillShade="D9"/>
            <w:noWrap/>
            <w:vAlign w:val="bottom"/>
          </w:tcPr>
          <w:p w:rsidR="004B46E9" w:rsidRPr="004822E3" w:rsidP="00647267">
            <w:pPr>
              <w:jc w:val="right"/>
              <w:rPr>
                <w:rFonts w:cs="Arial"/>
                <w:color w:val="000000"/>
                <w:lang w:eastAsia="de-CH"/>
              </w:rPr>
            </w:pPr>
            <w:r>
              <w:rPr>
                <w:rFonts w:cs="Arial"/>
                <w:color w:val="000000"/>
                <w:lang w:eastAsia="de-CH"/>
              </w:rPr>
              <w:t>40</w:t>
            </w:r>
          </w:p>
        </w:tc>
      </w:tr>
      <w:tr w:rsidTr="00647267">
        <w:tblPrEx>
          <w:tblW w:w="5000" w:type="pct"/>
          <w:tblCellMar>
            <w:left w:w="70" w:type="dxa"/>
            <w:right w:w="70" w:type="dxa"/>
          </w:tblCellMar>
          <w:tblLook w:val="04A0"/>
        </w:tblPrEx>
        <w:trPr>
          <w:trHeight w:val="255"/>
        </w:trPr>
        <w:tc>
          <w:tcPr>
            <w:tcW w:w="1893" w:type="pct"/>
            <w:shd w:val="clear" w:color="auto" w:fill="D9D9D9" w:themeFill="background1" w:themeFillShade="D9"/>
            <w:noWrap/>
            <w:vAlign w:val="bottom"/>
          </w:tcPr>
          <w:p w:rsidR="004B46E9" w:rsidRPr="004822E3" w:rsidP="00647267">
            <w:pPr>
              <w:rPr>
                <w:rFonts w:cs="Arial"/>
                <w:color w:val="000000"/>
                <w:lang w:eastAsia="de-CH"/>
              </w:rPr>
            </w:pPr>
            <w:r w:rsidRPr="004822E3">
              <w:rPr>
                <w:rFonts w:cs="Arial"/>
                <w:color w:val="000000"/>
                <w:lang w:eastAsia="de-CH"/>
              </w:rPr>
              <w:t>Bilanzüberschuss</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25‘900</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25‘900</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25‘900</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25‘900</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25‘900</w:t>
            </w:r>
          </w:p>
        </w:tc>
        <w:tc>
          <w:tcPr>
            <w:tcW w:w="517"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25‘900</w:t>
            </w:r>
          </w:p>
        </w:tc>
      </w:tr>
      <w:tr w:rsidTr="00647267">
        <w:tblPrEx>
          <w:tblW w:w="5000" w:type="pct"/>
          <w:tblCellMar>
            <w:left w:w="70" w:type="dxa"/>
            <w:right w:w="70" w:type="dxa"/>
          </w:tblCellMar>
          <w:tblLook w:val="04A0"/>
        </w:tblPrEx>
        <w:trPr>
          <w:trHeight w:val="255"/>
        </w:trPr>
        <w:tc>
          <w:tcPr>
            <w:tcW w:w="1893" w:type="pct"/>
            <w:shd w:val="clear" w:color="auto" w:fill="D9D9D9" w:themeFill="background1" w:themeFillShade="D9"/>
            <w:noWrap/>
            <w:vAlign w:val="bottom"/>
          </w:tcPr>
          <w:p w:rsidR="004B46E9" w:rsidRPr="004822E3" w:rsidP="00647267">
            <w:pPr>
              <w:rPr>
                <w:rFonts w:cs="Arial"/>
                <w:color w:val="000000"/>
                <w:lang w:eastAsia="de-CH"/>
              </w:rPr>
            </w:pPr>
            <w:r w:rsidRPr="004822E3">
              <w:rPr>
                <w:rFonts w:cs="Arial"/>
                <w:color w:val="000000"/>
                <w:lang w:eastAsia="de-CH"/>
              </w:rPr>
              <w:t>Reserve in Steueranlagezehntel</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11</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11</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11</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11</w:t>
            </w:r>
          </w:p>
        </w:tc>
        <w:tc>
          <w:tcPr>
            <w:tcW w:w="518"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10</w:t>
            </w:r>
          </w:p>
        </w:tc>
        <w:tc>
          <w:tcPr>
            <w:tcW w:w="517" w:type="pct"/>
            <w:shd w:val="clear" w:color="auto" w:fill="D9D9D9" w:themeFill="background1" w:themeFillShade="D9"/>
            <w:noWrap/>
            <w:vAlign w:val="bottom"/>
          </w:tcPr>
          <w:p w:rsidR="004B46E9" w:rsidRPr="004822E3" w:rsidP="00647267">
            <w:pPr>
              <w:jc w:val="right"/>
              <w:rPr>
                <w:rFonts w:cs="Arial"/>
                <w:color w:val="000000"/>
                <w:lang w:eastAsia="de-CH"/>
              </w:rPr>
            </w:pPr>
            <w:r w:rsidRPr="004822E3">
              <w:rPr>
                <w:rFonts w:cs="Arial"/>
                <w:color w:val="000000"/>
                <w:lang w:eastAsia="de-CH"/>
              </w:rPr>
              <w:t>10</w:t>
            </w:r>
          </w:p>
        </w:tc>
      </w:tr>
    </w:tbl>
    <w:p w:rsidR="004B46E9" w:rsidRPr="004822E3" w:rsidP="004B46E9"/>
    <w:tbl>
      <w:tblPr>
        <w:tblW w:w="5000" w:type="pct"/>
        <w:tblCellMar>
          <w:left w:w="70" w:type="dxa"/>
          <w:right w:w="70" w:type="dxa"/>
        </w:tblCellMar>
        <w:tblLook w:val="04A0"/>
      </w:tblPr>
      <w:tblGrid>
        <w:gridCol w:w="3220"/>
        <w:gridCol w:w="881"/>
        <w:gridCol w:w="881"/>
        <w:gridCol w:w="881"/>
        <w:gridCol w:w="881"/>
        <w:gridCol w:w="881"/>
        <w:gridCol w:w="879"/>
      </w:tblGrid>
      <w:tr w:rsidTr="00647267">
        <w:tblPrEx>
          <w:tblW w:w="5000" w:type="pct"/>
          <w:tblCellMar>
            <w:left w:w="70" w:type="dxa"/>
            <w:right w:w="70" w:type="dxa"/>
          </w:tblCellMar>
          <w:tblLook w:val="04A0"/>
        </w:tblPrEx>
        <w:trPr>
          <w:trHeight w:val="255"/>
        </w:trPr>
        <w:tc>
          <w:tcPr>
            <w:tcW w:w="1893" w:type="pct"/>
            <w:tcBorders>
              <w:bottom w:val="single" w:sz="4" w:space="0" w:color="auto"/>
            </w:tcBorders>
            <w:shd w:val="clear" w:color="auto" w:fill="auto"/>
            <w:noWrap/>
            <w:vAlign w:val="bottom"/>
            <w:hideMark/>
          </w:tcPr>
          <w:p w:rsidR="004B46E9" w:rsidRPr="00522619" w:rsidP="00647267">
            <w:pPr>
              <w:rPr>
                <w:rFonts w:cs="Arial"/>
                <w:b/>
                <w:bCs/>
                <w:color w:val="000000"/>
                <w:sz w:val="16"/>
                <w:szCs w:val="16"/>
                <w:lang w:eastAsia="de-CH"/>
              </w:rPr>
            </w:pPr>
            <w:r w:rsidRPr="00522619">
              <w:rPr>
                <w:rFonts w:cs="Arial"/>
                <w:b/>
                <w:bCs/>
                <w:color w:val="000000"/>
                <w:sz w:val="16"/>
                <w:szCs w:val="16"/>
                <w:lang w:eastAsia="de-CH"/>
              </w:rPr>
              <w:t>Variante 3</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2016</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2017</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2018</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2019</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2020</w:t>
            </w:r>
          </w:p>
        </w:tc>
        <w:tc>
          <w:tcPr>
            <w:tcW w:w="518" w:type="pct"/>
            <w:tcBorders>
              <w:bottom w:val="single" w:sz="4" w:space="0" w:color="auto"/>
            </w:tcBorders>
            <w:shd w:val="clear" w:color="auto" w:fill="auto"/>
            <w:noWrap/>
            <w:vAlign w:val="bottom"/>
            <w:hideMark/>
          </w:tcPr>
          <w:p w:rsidR="004B46E9" w:rsidRPr="00522619" w:rsidP="00647267">
            <w:pPr>
              <w:jc w:val="right"/>
              <w:rPr>
                <w:rFonts w:cs="Arial"/>
                <w:b/>
                <w:bCs/>
                <w:color w:val="000000"/>
                <w:sz w:val="16"/>
                <w:szCs w:val="16"/>
                <w:lang w:eastAsia="de-CH"/>
              </w:rPr>
            </w:pPr>
            <w:r w:rsidRPr="00522619">
              <w:rPr>
                <w:rFonts w:cs="Arial"/>
                <w:b/>
                <w:bCs/>
                <w:color w:val="000000"/>
                <w:sz w:val="16"/>
                <w:szCs w:val="16"/>
                <w:lang w:eastAsia="de-CH"/>
              </w:rPr>
              <w:t>2021</w:t>
            </w:r>
          </w:p>
        </w:tc>
      </w:tr>
      <w:tr w:rsidTr="00647267">
        <w:tblPrEx>
          <w:tblW w:w="5000" w:type="pct"/>
          <w:tblCellMar>
            <w:left w:w="70" w:type="dxa"/>
            <w:right w:w="70" w:type="dxa"/>
          </w:tblCellMar>
          <w:tblLook w:val="04A0"/>
        </w:tblPrEx>
        <w:trPr>
          <w:trHeight w:val="255"/>
        </w:trPr>
        <w:tc>
          <w:tcPr>
            <w:tcW w:w="1893" w:type="pct"/>
            <w:shd w:val="clear" w:color="auto" w:fill="E5B8B7" w:themeFill="accent2" w:themeFillTint="66"/>
            <w:noWrap/>
            <w:vAlign w:val="bottom"/>
            <w:hideMark/>
          </w:tcPr>
          <w:p w:rsidR="004B46E9" w:rsidRPr="004822E3" w:rsidP="00647267">
            <w:pPr>
              <w:rPr>
                <w:rFonts w:cs="Arial"/>
                <w:b/>
                <w:color w:val="000000"/>
                <w:lang w:eastAsia="de-CH"/>
              </w:rPr>
            </w:pPr>
            <w:r w:rsidRPr="004822E3">
              <w:rPr>
                <w:rFonts w:cs="Arial"/>
                <w:b/>
                <w:color w:val="000000"/>
                <w:lang w:eastAsia="de-CH"/>
              </w:rPr>
              <w:t>Steueranlage 1.60</w:t>
            </w:r>
          </w:p>
        </w:tc>
        <w:tc>
          <w:tcPr>
            <w:tcW w:w="518" w:type="pct"/>
            <w:shd w:val="clear" w:color="auto" w:fill="E5B8B7" w:themeFill="accent2" w:themeFillTint="66"/>
            <w:noWrap/>
            <w:vAlign w:val="bottom"/>
            <w:hideMark/>
          </w:tcPr>
          <w:p w:rsidR="004B46E9" w:rsidRPr="004822E3" w:rsidP="00647267">
            <w:pPr>
              <w:jc w:val="right"/>
              <w:rPr>
                <w:rFonts w:cs="Arial"/>
                <w:b/>
                <w:color w:val="000000"/>
                <w:lang w:eastAsia="de-CH"/>
              </w:rPr>
            </w:pPr>
          </w:p>
        </w:tc>
        <w:tc>
          <w:tcPr>
            <w:tcW w:w="518" w:type="pct"/>
            <w:shd w:val="clear" w:color="auto" w:fill="E5B8B7" w:themeFill="accent2" w:themeFillTint="66"/>
            <w:noWrap/>
            <w:vAlign w:val="bottom"/>
            <w:hideMark/>
          </w:tcPr>
          <w:p w:rsidR="004B46E9" w:rsidRPr="004822E3" w:rsidP="00647267">
            <w:pPr>
              <w:jc w:val="right"/>
              <w:rPr>
                <w:rFonts w:cs="Arial"/>
                <w:b/>
                <w:color w:val="000000"/>
                <w:lang w:eastAsia="de-CH"/>
              </w:rPr>
            </w:pPr>
          </w:p>
        </w:tc>
        <w:tc>
          <w:tcPr>
            <w:tcW w:w="518" w:type="pct"/>
            <w:shd w:val="clear" w:color="auto" w:fill="E5B8B7" w:themeFill="accent2" w:themeFillTint="66"/>
            <w:noWrap/>
            <w:vAlign w:val="bottom"/>
            <w:hideMark/>
          </w:tcPr>
          <w:p w:rsidR="004B46E9" w:rsidRPr="004822E3" w:rsidP="00647267">
            <w:pPr>
              <w:jc w:val="right"/>
              <w:rPr>
                <w:rFonts w:cs="Arial"/>
                <w:b/>
                <w:color w:val="000000"/>
                <w:lang w:eastAsia="de-CH"/>
              </w:rPr>
            </w:pPr>
          </w:p>
        </w:tc>
        <w:tc>
          <w:tcPr>
            <w:tcW w:w="518" w:type="pct"/>
            <w:shd w:val="clear" w:color="auto" w:fill="E5B8B7" w:themeFill="accent2" w:themeFillTint="66"/>
            <w:noWrap/>
            <w:vAlign w:val="bottom"/>
            <w:hideMark/>
          </w:tcPr>
          <w:p w:rsidR="004B46E9" w:rsidRPr="004822E3" w:rsidP="00647267">
            <w:pPr>
              <w:jc w:val="right"/>
              <w:rPr>
                <w:rFonts w:cs="Arial"/>
                <w:b/>
                <w:color w:val="000000"/>
                <w:lang w:eastAsia="de-CH"/>
              </w:rPr>
            </w:pPr>
          </w:p>
        </w:tc>
        <w:tc>
          <w:tcPr>
            <w:tcW w:w="518" w:type="pct"/>
            <w:shd w:val="clear" w:color="auto" w:fill="E5B8B7" w:themeFill="accent2" w:themeFillTint="66"/>
            <w:noWrap/>
            <w:vAlign w:val="bottom"/>
            <w:hideMark/>
          </w:tcPr>
          <w:p w:rsidR="004B46E9" w:rsidRPr="004822E3" w:rsidP="00647267">
            <w:pPr>
              <w:jc w:val="right"/>
              <w:rPr>
                <w:rFonts w:cs="Arial"/>
                <w:b/>
                <w:color w:val="000000"/>
                <w:lang w:eastAsia="de-CH"/>
              </w:rPr>
            </w:pPr>
          </w:p>
        </w:tc>
        <w:tc>
          <w:tcPr>
            <w:tcW w:w="518" w:type="pct"/>
            <w:shd w:val="clear" w:color="auto" w:fill="E5B8B7" w:themeFill="accent2" w:themeFillTint="66"/>
            <w:noWrap/>
            <w:vAlign w:val="bottom"/>
            <w:hideMark/>
          </w:tcPr>
          <w:p w:rsidR="004B46E9" w:rsidRPr="004822E3" w:rsidP="00647267">
            <w:pPr>
              <w:jc w:val="right"/>
              <w:rPr>
                <w:rFonts w:cs="Arial"/>
                <w:b/>
                <w:color w:val="000000"/>
                <w:lang w:eastAsia="de-CH"/>
              </w:rPr>
            </w:pPr>
          </w:p>
        </w:tc>
      </w:tr>
      <w:tr w:rsidTr="00647267">
        <w:tblPrEx>
          <w:tblW w:w="5000" w:type="pct"/>
          <w:tblCellMar>
            <w:left w:w="70" w:type="dxa"/>
            <w:right w:w="70" w:type="dxa"/>
          </w:tblCellMar>
          <w:tblLook w:val="04A0"/>
        </w:tblPrEx>
        <w:trPr>
          <w:trHeight w:val="255"/>
        </w:trPr>
        <w:tc>
          <w:tcPr>
            <w:tcW w:w="1893" w:type="pct"/>
            <w:shd w:val="clear" w:color="auto" w:fill="E5B8B7" w:themeFill="accent2" w:themeFillTint="66"/>
            <w:noWrap/>
            <w:vAlign w:val="bottom"/>
            <w:hideMark/>
          </w:tcPr>
          <w:p w:rsidR="004B46E9" w:rsidRPr="004822E3" w:rsidP="00647267">
            <w:pPr>
              <w:rPr>
                <w:rFonts w:cs="Arial"/>
                <w:bCs/>
                <w:color w:val="000000"/>
                <w:lang w:eastAsia="de-CH"/>
              </w:rPr>
            </w:pPr>
            <w:r w:rsidRPr="004822E3">
              <w:rPr>
                <w:rFonts w:cs="Arial"/>
                <w:bCs/>
                <w:color w:val="000000"/>
                <w:lang w:eastAsia="de-CH"/>
              </w:rPr>
              <w:t>Finanzplanergebnisse</w:t>
            </w:r>
          </w:p>
        </w:tc>
        <w:tc>
          <w:tcPr>
            <w:tcW w:w="518" w:type="pct"/>
            <w:shd w:val="clear" w:color="auto" w:fill="E5B8B7" w:themeFill="accent2" w:themeFillTint="66"/>
            <w:noWrap/>
            <w:vAlign w:val="bottom"/>
            <w:hideMark/>
          </w:tcPr>
          <w:p w:rsidR="004B46E9" w:rsidRPr="004822E3" w:rsidP="00647267">
            <w:pPr>
              <w:jc w:val="right"/>
              <w:rPr>
                <w:rFonts w:cs="Arial"/>
                <w:bCs/>
                <w:color w:val="000000"/>
                <w:lang w:eastAsia="de-CH"/>
              </w:rPr>
            </w:pPr>
            <w:r w:rsidRPr="004822E3">
              <w:rPr>
                <w:rFonts w:cs="Arial"/>
                <w:bCs/>
                <w:color w:val="000000"/>
                <w:lang w:eastAsia="de-CH"/>
              </w:rPr>
              <w:t>225</w:t>
            </w:r>
          </w:p>
        </w:tc>
        <w:tc>
          <w:tcPr>
            <w:tcW w:w="518" w:type="pct"/>
            <w:shd w:val="clear" w:color="auto" w:fill="E5B8B7" w:themeFill="accent2" w:themeFillTint="66"/>
            <w:noWrap/>
            <w:vAlign w:val="bottom"/>
            <w:hideMark/>
          </w:tcPr>
          <w:p w:rsidR="004B46E9" w:rsidRPr="004822E3" w:rsidP="00647267">
            <w:pPr>
              <w:jc w:val="right"/>
              <w:rPr>
                <w:rFonts w:cs="Arial"/>
                <w:bCs/>
                <w:color w:val="000000"/>
                <w:lang w:eastAsia="de-CH"/>
              </w:rPr>
            </w:pPr>
            <w:r w:rsidRPr="004822E3">
              <w:rPr>
                <w:rFonts w:cs="Arial"/>
                <w:bCs/>
                <w:color w:val="000000"/>
                <w:lang w:eastAsia="de-CH"/>
              </w:rPr>
              <w:t>-2‘070</w:t>
            </w:r>
          </w:p>
        </w:tc>
        <w:tc>
          <w:tcPr>
            <w:tcW w:w="518" w:type="pct"/>
            <w:shd w:val="clear" w:color="auto" w:fill="E5B8B7" w:themeFill="accent2" w:themeFillTint="66"/>
            <w:noWrap/>
            <w:vAlign w:val="bottom"/>
            <w:hideMark/>
          </w:tcPr>
          <w:p w:rsidR="004B46E9" w:rsidRPr="004822E3" w:rsidP="00647267">
            <w:pPr>
              <w:jc w:val="right"/>
              <w:rPr>
                <w:rFonts w:cs="Arial"/>
                <w:bCs/>
                <w:color w:val="000000"/>
                <w:lang w:eastAsia="de-CH"/>
              </w:rPr>
            </w:pPr>
            <w:r w:rsidRPr="004822E3">
              <w:rPr>
                <w:rFonts w:cs="Arial"/>
                <w:bCs/>
                <w:color w:val="000000"/>
                <w:lang w:eastAsia="de-CH"/>
              </w:rPr>
              <w:t>-1‘870</w:t>
            </w:r>
          </w:p>
        </w:tc>
        <w:tc>
          <w:tcPr>
            <w:tcW w:w="518" w:type="pct"/>
            <w:shd w:val="clear" w:color="auto" w:fill="E5B8B7" w:themeFill="accent2" w:themeFillTint="66"/>
            <w:noWrap/>
            <w:vAlign w:val="bottom"/>
            <w:hideMark/>
          </w:tcPr>
          <w:p w:rsidR="004B46E9" w:rsidRPr="004822E3" w:rsidP="00647267">
            <w:pPr>
              <w:jc w:val="right"/>
              <w:rPr>
                <w:rFonts w:cs="Arial"/>
                <w:bCs/>
                <w:color w:val="000000"/>
                <w:lang w:eastAsia="de-CH"/>
              </w:rPr>
            </w:pPr>
            <w:r w:rsidRPr="004822E3">
              <w:rPr>
                <w:rFonts w:cs="Arial"/>
                <w:bCs/>
                <w:color w:val="000000"/>
                <w:lang w:eastAsia="de-CH"/>
              </w:rPr>
              <w:t>-2‘370</w:t>
            </w:r>
          </w:p>
        </w:tc>
        <w:tc>
          <w:tcPr>
            <w:tcW w:w="518" w:type="pct"/>
            <w:shd w:val="clear" w:color="auto" w:fill="E5B8B7" w:themeFill="accent2" w:themeFillTint="66"/>
            <w:noWrap/>
            <w:vAlign w:val="bottom"/>
            <w:hideMark/>
          </w:tcPr>
          <w:p w:rsidR="004B46E9" w:rsidRPr="004822E3" w:rsidP="00647267">
            <w:pPr>
              <w:jc w:val="right"/>
              <w:rPr>
                <w:rFonts w:cs="Arial"/>
                <w:bCs/>
                <w:color w:val="000000"/>
                <w:lang w:eastAsia="de-CH"/>
              </w:rPr>
            </w:pPr>
            <w:r w:rsidRPr="004822E3">
              <w:rPr>
                <w:rFonts w:cs="Arial"/>
                <w:bCs/>
                <w:color w:val="000000"/>
                <w:lang w:eastAsia="de-CH"/>
              </w:rPr>
              <w:t>-3‘370</w:t>
            </w:r>
          </w:p>
        </w:tc>
        <w:tc>
          <w:tcPr>
            <w:tcW w:w="518" w:type="pct"/>
            <w:shd w:val="clear" w:color="auto" w:fill="E5B8B7" w:themeFill="accent2" w:themeFillTint="66"/>
            <w:noWrap/>
            <w:vAlign w:val="bottom"/>
            <w:hideMark/>
          </w:tcPr>
          <w:p w:rsidR="004B46E9" w:rsidRPr="004822E3" w:rsidP="00647267">
            <w:pPr>
              <w:jc w:val="right"/>
              <w:rPr>
                <w:rFonts w:cs="Arial"/>
                <w:bCs/>
                <w:color w:val="000000"/>
                <w:lang w:eastAsia="de-CH"/>
              </w:rPr>
            </w:pPr>
            <w:r w:rsidRPr="004822E3">
              <w:rPr>
                <w:rFonts w:cs="Arial"/>
                <w:bCs/>
                <w:color w:val="000000"/>
                <w:lang w:eastAsia="de-CH"/>
              </w:rPr>
              <w:t>-1‘670</w:t>
            </w:r>
          </w:p>
        </w:tc>
      </w:tr>
      <w:tr w:rsidTr="00647267">
        <w:tblPrEx>
          <w:tblW w:w="5000" w:type="pct"/>
          <w:tblCellMar>
            <w:left w:w="70" w:type="dxa"/>
            <w:right w:w="70" w:type="dxa"/>
          </w:tblCellMar>
          <w:tblLook w:val="04A0"/>
        </w:tblPrEx>
        <w:trPr>
          <w:trHeight w:val="255"/>
        </w:trPr>
        <w:tc>
          <w:tcPr>
            <w:tcW w:w="1893" w:type="pct"/>
            <w:shd w:val="clear" w:color="auto" w:fill="E5B8B7" w:themeFill="accent2" w:themeFillTint="66"/>
            <w:noWrap/>
            <w:vAlign w:val="bottom"/>
          </w:tcPr>
          <w:p w:rsidR="004B46E9" w:rsidRPr="004822E3" w:rsidP="00647267">
            <w:pPr>
              <w:rPr>
                <w:rFonts w:cs="Arial"/>
                <w:bCs/>
                <w:color w:val="000000"/>
                <w:lang w:eastAsia="de-CH"/>
              </w:rPr>
            </w:pPr>
            <w:r>
              <w:rPr>
                <w:rFonts w:cs="Arial"/>
                <w:bCs/>
                <w:color w:val="000000"/>
                <w:lang w:eastAsia="de-CH"/>
              </w:rPr>
              <w:t>Fremdmittel</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Pr>
                <w:rFonts w:cs="Arial"/>
                <w:bCs/>
                <w:color w:val="000000"/>
                <w:lang w:eastAsia="de-CH"/>
              </w:rPr>
              <w:t>48</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Pr>
                <w:rFonts w:cs="Arial"/>
                <w:bCs/>
                <w:color w:val="000000"/>
                <w:lang w:eastAsia="de-CH"/>
              </w:rPr>
              <w:t>42</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Pr>
                <w:rFonts w:cs="Arial"/>
                <w:bCs/>
                <w:color w:val="000000"/>
                <w:lang w:eastAsia="de-CH"/>
              </w:rPr>
              <w:t>35</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Pr>
                <w:rFonts w:cs="Arial"/>
                <w:bCs/>
                <w:color w:val="000000"/>
                <w:lang w:eastAsia="de-CH"/>
              </w:rPr>
              <w:t>52</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Pr>
                <w:rFonts w:cs="Arial"/>
                <w:bCs/>
                <w:color w:val="000000"/>
                <w:lang w:eastAsia="de-CH"/>
              </w:rPr>
              <w:t>54</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Pr>
                <w:rFonts w:cs="Arial"/>
                <w:bCs/>
                <w:color w:val="000000"/>
                <w:lang w:eastAsia="de-CH"/>
              </w:rPr>
              <w:t>52</w:t>
            </w:r>
          </w:p>
        </w:tc>
      </w:tr>
      <w:tr w:rsidTr="00647267">
        <w:tblPrEx>
          <w:tblW w:w="5000" w:type="pct"/>
          <w:tblCellMar>
            <w:left w:w="70" w:type="dxa"/>
            <w:right w:w="70" w:type="dxa"/>
          </w:tblCellMar>
          <w:tblLook w:val="04A0"/>
        </w:tblPrEx>
        <w:trPr>
          <w:trHeight w:val="255"/>
        </w:trPr>
        <w:tc>
          <w:tcPr>
            <w:tcW w:w="1893" w:type="pct"/>
            <w:shd w:val="clear" w:color="auto" w:fill="E5B8B7" w:themeFill="accent2" w:themeFillTint="66"/>
            <w:noWrap/>
            <w:vAlign w:val="bottom"/>
          </w:tcPr>
          <w:p w:rsidR="004B46E9" w:rsidRPr="004822E3" w:rsidP="00647267">
            <w:pPr>
              <w:rPr>
                <w:rFonts w:cs="Arial"/>
                <w:bCs/>
                <w:color w:val="000000"/>
                <w:lang w:eastAsia="de-CH"/>
              </w:rPr>
            </w:pPr>
            <w:r w:rsidRPr="004822E3">
              <w:rPr>
                <w:rFonts w:cs="Arial"/>
                <w:bCs/>
                <w:color w:val="000000"/>
                <w:lang w:eastAsia="de-CH"/>
              </w:rPr>
              <w:t>Bilanzüberschuss</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25‘900</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23‘830</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21‘960</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19‘590</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16‘220</w:t>
            </w:r>
          </w:p>
        </w:tc>
        <w:tc>
          <w:tcPr>
            <w:tcW w:w="518" w:type="pct"/>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14‘550</w:t>
            </w:r>
          </w:p>
        </w:tc>
      </w:tr>
      <w:tr w:rsidTr="00647267">
        <w:tblPrEx>
          <w:tblW w:w="5000" w:type="pct"/>
          <w:tblCellMar>
            <w:left w:w="70" w:type="dxa"/>
            <w:right w:w="70" w:type="dxa"/>
          </w:tblCellMar>
          <w:tblLook w:val="04A0"/>
        </w:tblPrEx>
        <w:trPr>
          <w:trHeight w:val="255"/>
        </w:trPr>
        <w:tc>
          <w:tcPr>
            <w:tcW w:w="1893" w:type="pct"/>
            <w:tcBorders>
              <w:bottom w:val="single" w:sz="4" w:space="0" w:color="auto"/>
            </w:tcBorders>
            <w:shd w:val="clear" w:color="auto" w:fill="E5B8B7" w:themeFill="accent2" w:themeFillTint="66"/>
            <w:noWrap/>
            <w:vAlign w:val="bottom"/>
          </w:tcPr>
          <w:p w:rsidR="004B46E9" w:rsidRPr="004822E3" w:rsidP="00647267">
            <w:pPr>
              <w:rPr>
                <w:rFonts w:cs="Arial"/>
                <w:bCs/>
                <w:color w:val="000000"/>
                <w:lang w:eastAsia="de-CH"/>
              </w:rPr>
            </w:pPr>
            <w:r w:rsidRPr="004822E3">
              <w:rPr>
                <w:rFonts w:cs="Arial"/>
                <w:bCs/>
                <w:color w:val="000000"/>
                <w:lang w:eastAsia="de-CH"/>
              </w:rPr>
              <w:t>Reserve in Steueranlagezehntel</w:t>
            </w:r>
          </w:p>
        </w:tc>
        <w:tc>
          <w:tcPr>
            <w:tcW w:w="518" w:type="pct"/>
            <w:tcBorders>
              <w:bottom w:val="single" w:sz="4" w:space="0" w:color="auto"/>
            </w:tcBorders>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11</w:t>
            </w:r>
          </w:p>
        </w:tc>
        <w:tc>
          <w:tcPr>
            <w:tcW w:w="518" w:type="pct"/>
            <w:tcBorders>
              <w:bottom w:val="single" w:sz="4" w:space="0" w:color="auto"/>
            </w:tcBorders>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10</w:t>
            </w:r>
          </w:p>
        </w:tc>
        <w:tc>
          <w:tcPr>
            <w:tcW w:w="518" w:type="pct"/>
            <w:tcBorders>
              <w:bottom w:val="single" w:sz="4" w:space="0" w:color="auto"/>
            </w:tcBorders>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9</w:t>
            </w:r>
          </w:p>
        </w:tc>
        <w:tc>
          <w:tcPr>
            <w:tcW w:w="518" w:type="pct"/>
            <w:tcBorders>
              <w:bottom w:val="single" w:sz="4" w:space="0" w:color="auto"/>
            </w:tcBorders>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8</w:t>
            </w:r>
          </w:p>
        </w:tc>
        <w:tc>
          <w:tcPr>
            <w:tcW w:w="518" w:type="pct"/>
            <w:tcBorders>
              <w:bottom w:val="single" w:sz="4" w:space="0" w:color="auto"/>
            </w:tcBorders>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6</w:t>
            </w:r>
          </w:p>
        </w:tc>
        <w:tc>
          <w:tcPr>
            <w:tcW w:w="518" w:type="pct"/>
            <w:tcBorders>
              <w:bottom w:val="single" w:sz="4" w:space="0" w:color="auto"/>
            </w:tcBorders>
            <w:shd w:val="clear" w:color="auto" w:fill="E5B8B7" w:themeFill="accent2" w:themeFillTint="66"/>
            <w:noWrap/>
            <w:vAlign w:val="bottom"/>
          </w:tcPr>
          <w:p w:rsidR="004B46E9" w:rsidRPr="004822E3" w:rsidP="00647267">
            <w:pPr>
              <w:jc w:val="right"/>
              <w:rPr>
                <w:rFonts w:cs="Arial"/>
                <w:bCs/>
                <w:color w:val="000000"/>
                <w:lang w:eastAsia="de-CH"/>
              </w:rPr>
            </w:pPr>
            <w:r w:rsidRPr="004822E3">
              <w:rPr>
                <w:rFonts w:cs="Arial"/>
                <w:bCs/>
                <w:color w:val="000000"/>
                <w:lang w:eastAsia="de-CH"/>
              </w:rPr>
              <w:t>5</w:t>
            </w:r>
          </w:p>
        </w:tc>
      </w:tr>
    </w:tbl>
    <w:p w:rsidR="004B46E9" w:rsidP="004B46E9">
      <w:pPr>
        <w:autoSpaceDE w:val="0"/>
        <w:autoSpaceDN w:val="0"/>
        <w:adjustRightInd w:val="0"/>
        <w:spacing w:before="120"/>
        <w:rPr>
          <w:rFonts w:cs="Arial"/>
          <w:b/>
          <w:lang w:eastAsia="de-CH"/>
        </w:rPr>
      </w:pPr>
      <w:r>
        <w:rPr>
          <w:rFonts w:cs="Arial"/>
          <w:b/>
          <w:lang w:eastAsia="de-CH"/>
        </w:rPr>
        <w:t>Aus dem Leitbild/Vision Langfristige Ziele 2030</w:t>
      </w:r>
    </w:p>
    <w:p w:rsidR="004B46E9" w:rsidP="004B46E9">
      <w:pPr>
        <w:autoSpaceDE w:val="0"/>
        <w:autoSpaceDN w:val="0"/>
        <w:adjustRightInd w:val="0"/>
        <w:rPr>
          <w:rFonts w:cs="Arial"/>
          <w:lang w:eastAsia="de-CH"/>
        </w:rPr>
      </w:pPr>
      <w:r>
        <w:rPr>
          <w:rFonts w:cs="Arial"/>
          <w:lang w:eastAsia="de-CH"/>
        </w:rPr>
        <w:t>Auszug: haushälterischer Umgang mit den zur Verfügung stehenden finanziellen Mitteln und finanzieller Handlungsspielraum bleibt erhalten.</w:t>
      </w:r>
    </w:p>
    <w:p w:rsidR="004B46E9" w:rsidP="004B46E9">
      <w:pPr>
        <w:autoSpaceDE w:val="0"/>
        <w:autoSpaceDN w:val="0"/>
        <w:adjustRightInd w:val="0"/>
        <w:rPr>
          <w:rFonts w:cs="Arial"/>
          <w:lang w:eastAsia="de-CH"/>
        </w:rPr>
      </w:pPr>
      <w:r>
        <w:rPr>
          <w:rFonts w:cs="Arial"/>
          <w:lang w:eastAsia="de-CH"/>
        </w:rPr>
        <w:t>D</w:t>
      </w:r>
      <w:r w:rsidRPr="005B0279">
        <w:rPr>
          <w:rFonts w:cs="Arial"/>
          <w:lang w:eastAsia="de-CH"/>
        </w:rPr>
        <w:t xml:space="preserve">ie Steuersenkung per Budgetjahr 2017 kann über die Finanzplanungsdauer hinaus auf dem </w:t>
      </w:r>
      <w:r>
        <w:rPr>
          <w:rFonts w:cs="Arial"/>
          <w:lang w:eastAsia="de-CH"/>
        </w:rPr>
        <w:t xml:space="preserve">beantragten </w:t>
      </w:r>
      <w:r w:rsidRPr="005B0279">
        <w:rPr>
          <w:rFonts w:cs="Arial"/>
          <w:lang w:eastAsia="de-CH"/>
        </w:rPr>
        <w:t>Niveau von 1.65 belassen werden.</w:t>
      </w:r>
      <w:r>
        <w:rPr>
          <w:rFonts w:cs="Arial"/>
          <w:lang w:eastAsia="de-CH"/>
        </w:rPr>
        <w:t xml:space="preserve"> Der Leitbildgedanke und die langfristige Zielsetzung sind mit der Steuersenkung nicht gefährdet. Der finanzielle Handlungsspielraum bleibt erhalten und das Investitionsprogramm kann ohne Beeinträchtigung umgesetzt werden.</w:t>
      </w:r>
    </w:p>
    <w:p w:rsidR="004B46E9" w:rsidRPr="0087137C" w:rsidP="004B46E9">
      <w:pPr>
        <w:autoSpaceDE w:val="0"/>
        <w:autoSpaceDN w:val="0"/>
        <w:adjustRightInd w:val="0"/>
        <w:spacing w:before="120"/>
        <w:rPr>
          <w:rFonts w:cs="Arial"/>
          <w:lang w:eastAsia="de-CH"/>
        </w:rPr>
      </w:pPr>
      <w:r w:rsidRPr="0087137C">
        <w:rPr>
          <w:rFonts w:cs="Arial"/>
          <w:lang w:eastAsia="de-CH"/>
        </w:rPr>
        <w:t xml:space="preserve">Das </w:t>
      </w:r>
      <w:r w:rsidRPr="0087137C">
        <w:rPr>
          <w:rFonts w:cs="Arial"/>
          <w:b/>
          <w:lang w:eastAsia="de-CH"/>
        </w:rPr>
        <w:t>Investitionsbudget 2017</w:t>
      </w:r>
      <w:r w:rsidRPr="0087137C">
        <w:rPr>
          <w:rFonts w:cs="Arial"/>
          <w:lang w:eastAsia="de-CH"/>
        </w:rPr>
        <w:t xml:space="preserve"> weist Nettoinvestitionen von Fr. 14‘419‘000.00 aus, wovon Fr. 10‘</w:t>
      </w:r>
      <w:r>
        <w:rPr>
          <w:rFonts w:cs="Arial"/>
          <w:lang w:eastAsia="de-CH"/>
        </w:rPr>
        <w:t>649</w:t>
      </w:r>
      <w:r w:rsidRPr="0087137C">
        <w:rPr>
          <w:rFonts w:cs="Arial"/>
          <w:lang w:eastAsia="de-CH"/>
        </w:rPr>
        <w:t xml:space="preserve">‘000.00 für den allgemeinen Haushalt (vormals steuerfinanzierter Haushalt) vorgesehen sind, für die Spezialfinanzierung Abwasser Fr. 3‘270‘000.00 und für die Abfallentsorgung Fr. 650‘000.00. Dies entspricht dem langfristigen Investitionsprogramm der Vorjahre. Gegenüber der Vorjahresplanung für das Budgetjahr 2017, haben sich die Nettoinvestitionen beim allgemeinen Haushalt um Fr. </w:t>
      </w:r>
      <w:r>
        <w:rPr>
          <w:rFonts w:cs="Arial"/>
          <w:lang w:eastAsia="de-CH"/>
        </w:rPr>
        <w:t>349</w:t>
      </w:r>
      <w:r w:rsidRPr="0087137C">
        <w:rPr>
          <w:rFonts w:cs="Arial"/>
          <w:lang w:eastAsia="de-CH"/>
        </w:rPr>
        <w:t>‘000.00 erhöht. Diese Veränderung ist im Wesentlichen auf den Neubau Werkhof Südstrasse zurückzuführen.</w:t>
      </w:r>
    </w:p>
    <w:p w:rsidR="004B46E9" w:rsidP="004B46E9">
      <w:pPr>
        <w:autoSpaceDE w:val="0"/>
        <w:autoSpaceDN w:val="0"/>
        <w:adjustRightInd w:val="0"/>
        <w:spacing w:before="120"/>
        <w:rPr>
          <w:rFonts w:cs="Arial"/>
          <w:lang w:eastAsia="de-CH"/>
        </w:rPr>
      </w:pPr>
      <w:r>
        <w:rPr>
          <w:rFonts w:cs="Arial"/>
          <w:b/>
          <w:lang w:eastAsia="de-CH"/>
        </w:rPr>
        <w:t>Bilanzüberschuss:</w:t>
      </w:r>
      <w:r>
        <w:rPr>
          <w:rFonts w:cs="Arial"/>
          <w:lang w:eastAsia="de-CH"/>
        </w:rPr>
        <w:t xml:space="preserve"> der bestehende Bilanzüberschuss (vormals Eigenkapital) von Fr. 25.9 Mio. anfangs 2016 wird sich durch den zu erwartenden Gewinn von Fr. 0.2 Mio. im Jahr 2016 und dem Verlust von Fr. 0.9 Mio. aus dem Budgetjahr 2017 auf Fr. 25.0 Mio. verändern. Dies entspricht einer Reserve von 10 Steueranlagezehntel.</w:t>
      </w:r>
    </w:p>
    <w:p w:rsidR="004B46E9" w:rsidP="004B46E9"/>
    <w:p w:rsidR="004B46E9" w:rsidRPr="00AF6238" w:rsidP="004B46E9">
      <w:pPr>
        <w:pStyle w:val="Protokollstruktur"/>
      </w:pPr>
      <w:r>
        <w:t>Eintreten</w:t>
      </w:r>
    </w:p>
    <w:p w:rsidR="004B46E9" w:rsidP="004B46E9">
      <w:r>
        <w:t>Keine Eintretensdebatte.</w:t>
      </w:r>
    </w:p>
    <w:p w:rsidR="004B46E9" w:rsidP="004B46E9"/>
    <w:p w:rsidR="004B46E9" w:rsidRPr="00AF6238" w:rsidP="004B46E9">
      <w:pPr>
        <w:spacing w:line="240" w:lineRule="auto"/>
        <w:rPr>
          <w:sz w:val="2"/>
          <w:szCs w:val="2"/>
        </w:rPr>
      </w:pPr>
    </w:p>
    <w:p w:rsidR="00EA2C23" w:rsidRPr="00EF4AFD" w:rsidP="00EA2C23">
      <w:pPr>
        <w:pStyle w:val="Protokollstruktur2"/>
      </w:pPr>
      <w:r w:rsidRPr="00EF4AFD">
        <w:t>Erwägungen</w:t>
      </w:r>
    </w:p>
    <w:p w:rsidR="00EA2C23" w:rsidRPr="00304373" w:rsidP="00EA2C23">
      <w:pPr>
        <w:pStyle w:val="Normal2"/>
        <w:rPr>
          <w:rFonts w:cs="Arial"/>
        </w:rPr>
      </w:pPr>
      <w:r w:rsidRPr="00EF4AFD">
        <w:rPr>
          <w:b/>
        </w:rPr>
        <w:t xml:space="preserve">Hegg Andreas, Gemeindepräsident, FDP: </w:t>
      </w:r>
      <w:r w:rsidRPr="00EF4AFD">
        <w:rPr>
          <w:rFonts w:cs="Arial"/>
        </w:rPr>
        <w:t xml:space="preserve">Der Redner präsentiert das Budget 2017 mit einem Defizit von Fr. 870'000.00 und einem unveränderten öffentlichen Angebot sowie ein Unterhaltsbudget ohne Kürzungen. Der Finanzplan präsentiert sich mit einem leichten Abbau des </w:t>
      </w:r>
      <w:r w:rsidRPr="00304373">
        <w:rPr>
          <w:rFonts w:cs="Arial"/>
        </w:rPr>
        <w:t xml:space="preserve">Bilanzüberschusses. Das Investitionsprogramm beträgt über die nächsten </w:t>
      </w:r>
      <w:r w:rsidRPr="00081263">
        <w:rPr>
          <w:rFonts w:cs="Arial"/>
        </w:rPr>
        <w:t xml:space="preserve">5 Jahre Fr. 70 Mio. </w:t>
      </w:r>
      <w:r w:rsidRPr="00304373">
        <w:rPr>
          <w:rFonts w:cs="Arial"/>
        </w:rPr>
        <w:t>mit einem Schuldenabbau von etwa Fr. 2 Mio. und dies alles bei einer neuen Steueranlage von 1.65.</w:t>
      </w:r>
      <w:r w:rsidR="00B72D42">
        <w:rPr>
          <w:rFonts w:cs="Arial"/>
        </w:rPr>
        <w:t xml:space="preserve"> </w:t>
      </w:r>
      <w:r w:rsidRPr="00304373">
        <w:rPr>
          <w:rFonts w:cs="Arial"/>
        </w:rPr>
        <w:t xml:space="preserve">Das Budget 2017 wurde in 3 Lesungen erarbeitet. Der GR sowie </w:t>
      </w:r>
      <w:r>
        <w:rPr>
          <w:rFonts w:cs="Arial"/>
        </w:rPr>
        <w:t xml:space="preserve">die </w:t>
      </w:r>
      <w:r w:rsidRPr="00304373">
        <w:rPr>
          <w:rFonts w:cs="Arial"/>
        </w:rPr>
        <w:t>Verwaltung haben die beeinflussbaren Posten hinterfragt und Kostenoptimierungen vorgenommen. Beim Personalaufwand wurde mit einem linearen Anstieg von 1% (+ Fr. 100‘000.00) für das Budgetjahr 2017 sowie für die nachfolgenden Planjahre gerechnet. Der grösste Handlungsspielraum liegt beim Sachaufwand. Im Budget 2017 wurden im Sachaufwand Optimierungen vorgenommen, analog den Vorjahren. Der budgetierte Sachaufwand liegt rund Fr. 402‘087.00 über dem Budget 2016.</w:t>
      </w:r>
      <w:r w:rsidR="00B72D42">
        <w:rPr>
          <w:rFonts w:cs="Arial"/>
        </w:rPr>
        <w:t xml:space="preserve"> </w:t>
      </w:r>
      <w:r w:rsidRPr="00304373">
        <w:rPr>
          <w:rFonts w:cs="Arial"/>
        </w:rPr>
        <w:t>Die Gründe dafür sind folgende: Im vorliegenden Budget wurde der Liegenschaftsunterhalt von 0.43% auf 0.6% des GVB-Wertes erhöht und der Unterhalt der Gemeindestrassen von 0.5% auf 0.6% des Wiederbeschaffungswertes. Dies Erhöhungen machen gesamthaft Fr. 373'000.00 aus. Dazu kommen noch die Kosten für die Schulsozialarbeit von Fr. 85'000.00. Die Veränderungen beim Sachaufwand sind begründet und nachvollziehbar. Beim Lastenausgleich Sozialhilfe wird eine Kostensteigerung gegenüber dem Budget 2016 von Fr. 400‘000.00 erwartet.</w:t>
      </w:r>
      <w:r w:rsidR="00B72D42">
        <w:rPr>
          <w:rFonts w:cs="Arial"/>
        </w:rPr>
        <w:t xml:space="preserve"> </w:t>
      </w:r>
      <w:r w:rsidRPr="00304373">
        <w:rPr>
          <w:rFonts w:cs="Arial"/>
        </w:rPr>
        <w:t xml:space="preserve">Ebenfalls nimmt der Beitrag an den Lastenausgleich „Ergänzungsleistungen“ um Fr. 150‘000.00 zu. Einzig bei diesem Posten müssen Mehrkosten von </w:t>
      </w:r>
      <w:r w:rsidRPr="00081263">
        <w:rPr>
          <w:rFonts w:cs="Arial"/>
        </w:rPr>
        <w:t xml:space="preserve">über Fr. 500'000.00 kompensiert werden. Die Investitionstätigkeit in den Jahren 2017 – 2021 beeinflusst die Erfolgsrechnung durch Investitionsfolgekosten stark (Abschreibungen/Zinsen). Im Jahr 2017 beträgt die Abschreibungsbelastung im steuerfinanzierten Bereich Fr. 3 Mio. Die neue Abschreibungsvorschrift von HRM2 bewirkt kurzfristig eine Verminderung der Abschreibungsbelastung innerhalb der Erfolgsrechnung. Der Abschreibungsaufwand im Budget 2016 betrug Fr. 3.4 Mio. Im </w:t>
      </w:r>
      <w:r w:rsidRPr="00304373">
        <w:rPr>
          <w:rFonts w:cs="Arial"/>
        </w:rPr>
        <w:t>letzten Jahr verzeichnete die Gemeinde Lyss bei den Einkommenssteuern natürliche Personen nur ein geringes wirtschaftliches Wachstum von durchschnittlich 0.2%. Die Mehrerträge entstanden durch die Zunahme der Anzahl Steuerpflichtigen. Erfahrungen der Vorjahre sowie Ergebnisse der Hochrechnung 2016 wurden bei der Erstellung des vorliegenden Finanzplanes berücksichtigt. Die momentane Bautätigkeit und die heute bekannten Planungen/Absichten von privaten Investoren wurden so gut wie möglich einberechnet. Aus diesem Grund wird im Budget 2017 und in der aktuellen Finanzplanperiode ein moderater Anstieg des Steuerertrages erwartet, jedoch ohne wirtschaftliches Wachstum. Der Bilanzüberschuss wird Ende 2017 voraussichtlich rund Fr. 25 Mio. betragen, was 10 Steueranlagezehntel</w:t>
      </w:r>
      <w:r>
        <w:rPr>
          <w:rFonts w:cs="Arial"/>
        </w:rPr>
        <w:t>n</w:t>
      </w:r>
      <w:r w:rsidRPr="00304373">
        <w:rPr>
          <w:rFonts w:cs="Arial"/>
        </w:rPr>
        <w:t xml:space="preserve"> entspricht. Der GR hat dem Parlament zusammen mit den Leistungsvorgaben diverse Vorschläge für Variantenberechnungen unterbreitet. Das Parlament hat an der Sitzung im Juni entschieden, welche Varianten gerechnet werden sollen. Vom GR nicht umgesetzte Varianten sind unter Punkt 2 aufgeführt. Der GGR kann mittels Antrag die Umsetzung dieser Varianten verlangen. Es liegt ein Budget mit einer Steuersenkung vor. Die Gemeinde Lyss hat die beeinflussbaren Ausgaben im Griff und versucht diese möglichst tief zu halten. Tatsache ist, dass die Gemeinde Lyss in den letzten und in den nächsten Jahren viel investieren muss. Diese Investitionen belasten die Gemeinde Lyss und bedürfen finanzieller Mittel. Der Redner bedankt sich bei der Abteilung Finanzen sowie allen anderen beteiligten Abteilungen für die geleistete Arbeit. Der Redner bittet dem vorliegenden Antrag zuzustimmen. Für Detailfragen </w:t>
      </w:r>
      <w:r>
        <w:rPr>
          <w:rFonts w:cs="Arial"/>
        </w:rPr>
        <w:t>stehen</w:t>
      </w:r>
      <w:r w:rsidRPr="00304373">
        <w:rPr>
          <w:rFonts w:cs="Arial"/>
        </w:rPr>
        <w:t xml:space="preserve"> der zuständige GR, </w:t>
      </w:r>
      <w:r>
        <w:rPr>
          <w:rFonts w:cs="Arial"/>
        </w:rPr>
        <w:t xml:space="preserve">die </w:t>
      </w:r>
      <w:r w:rsidRPr="00304373">
        <w:rPr>
          <w:rFonts w:cs="Arial"/>
        </w:rPr>
        <w:t>Abteilungsleite</w:t>
      </w:r>
      <w:r>
        <w:rPr>
          <w:rFonts w:cs="Arial"/>
        </w:rPr>
        <w:t>nden</w:t>
      </w:r>
      <w:r w:rsidRPr="00304373">
        <w:rPr>
          <w:rFonts w:cs="Arial"/>
        </w:rPr>
        <w:t xml:space="preserve"> oder </w:t>
      </w:r>
      <w:r>
        <w:rPr>
          <w:rFonts w:cs="Arial"/>
        </w:rPr>
        <w:t xml:space="preserve">der Finanzverwalter </w:t>
      </w:r>
      <w:r w:rsidRPr="00304373">
        <w:rPr>
          <w:rFonts w:cs="Arial"/>
        </w:rPr>
        <w:t>Steiner Bruno zur Verfügung. Fragen zum WoV wird Strub Daniel, beantworten.</w:t>
      </w:r>
    </w:p>
    <w:p w:rsidR="00EA2C23" w:rsidP="00EA2C23">
      <w:pPr>
        <w:pStyle w:val="Normal2"/>
      </w:pPr>
    </w:p>
    <w:p w:rsidR="00EA2C23" w:rsidRPr="00304373" w:rsidP="00EA2C23">
      <w:pPr>
        <w:pStyle w:val="Normal2"/>
      </w:pPr>
    </w:p>
    <w:p w:rsidR="00EA2C23" w:rsidRPr="00304373" w:rsidP="00EA2C23">
      <w:pPr>
        <w:pStyle w:val="Normal2"/>
        <w:rPr>
          <w:b/>
        </w:rPr>
      </w:pPr>
      <w:r w:rsidRPr="00304373">
        <w:rPr>
          <w:b/>
        </w:rPr>
        <w:t>Budget:</w:t>
      </w:r>
    </w:p>
    <w:p w:rsidR="00EA2C23" w:rsidRPr="00304373" w:rsidP="00EA2C23">
      <w:pPr>
        <w:pStyle w:val="ListParagraph1"/>
        <w:numPr>
          <w:ilvl w:val="0"/>
          <w:numId w:val="23"/>
        </w:numPr>
        <w:ind w:left="284" w:hanging="284"/>
        <w:rPr>
          <w:b/>
        </w:rPr>
      </w:pPr>
      <w:r w:rsidRPr="00304373">
        <w:rPr>
          <w:b/>
        </w:rPr>
        <w:t>Allgemeines</w:t>
      </w:r>
    </w:p>
    <w:p w:rsidR="00EA2C23" w:rsidRPr="00304373" w:rsidP="00EA2C23">
      <w:pPr>
        <w:pStyle w:val="Normal2"/>
      </w:pPr>
      <w:r w:rsidRPr="00304373">
        <w:rPr>
          <w:b/>
        </w:rPr>
        <w:t xml:space="preserve">Stettler René, BDP: </w:t>
      </w:r>
      <w:r w:rsidRPr="00304373">
        <w:t>Die Fraktion BDP bedankt sich bei der Verwaltung für die informative Ausführung dieser Unterlagen. Die Fraktion BDP unterstützt den Vorschlag des GR die Steueranlage von 1.71 auf 1.65 zu senken. Eine Steueranlage von 1.60 wäre aus heutiger Sicht auch machbar, jedoch nicht sinnvoll. Die Entwicklung sollte in den nächsten 4 – 5 Jahren verfolgt werden. Somit hat die Gemeinde Lyss die Möglichkeit, mittelfristig den Unterhalt zu erhöhen. Die Fraktion BDP wird in der Produktegruppe 411</w:t>
      </w:r>
      <w:r>
        <w:t>,</w:t>
      </w:r>
      <w:r w:rsidRPr="00304373">
        <w:t xml:space="preserve"> Sicherheit, einen Antrag stellen. Die Fraktion BDP wird dem Budget 2017, mit möglichen abweichenden Varianten, zustimmen.</w:t>
      </w:r>
    </w:p>
    <w:p w:rsidR="00EA2C23" w:rsidRPr="00304373" w:rsidP="00EA2C23">
      <w:pPr>
        <w:pStyle w:val="Normal2"/>
      </w:pPr>
    </w:p>
    <w:p w:rsidR="00EA2C23" w:rsidRPr="00304373" w:rsidP="00EA2C23">
      <w:pPr>
        <w:pStyle w:val="Normal2"/>
      </w:pPr>
      <w:r w:rsidRPr="00304373">
        <w:rPr>
          <w:b/>
        </w:rPr>
        <w:t xml:space="preserve">Stähli Daniel, FDP: </w:t>
      </w:r>
      <w:r w:rsidRPr="00304373">
        <w:t>Die Fraktion FDP/glp dankt dem GR und allen Abteilungen herzlich für die sorgfältige Ausarbeitung der vorliegenden Unterlagen. Die Fraktion FDP/glp unterstützt die vom GR vorgeschlagene und im vorliegenden Budget und Finanzplan berücksichtigte Steueranlage von 1.65. Bereits bei den Leistungsvorgaben 2016 hat die Fraktion FDP/glp diese Variante vom GR rechnen lassen. Vor einem Jahr, anlässlich der Budgetdebatte, hat die Fraktion FDP/glp jedoch darauf verzichtet, den Antrag für die Umsetzung dieser Variante zu stellen. Der Zeitpunkt wurde als noch zu früh angesehen. Mit dem nun vorliegenden Finanzplan ist jetzt aber sichtbar, dass eine massvolle Steuersenkung zu verantworten ist. Der Selbstfinanzierungsanteil nimmt damit zwar weiter ab</w:t>
      </w:r>
      <w:r>
        <w:t>,</w:t>
      </w:r>
      <w:r w:rsidRPr="00304373">
        <w:t xml:space="preserve"> und Schulden können kaum abgebaut werden. Die Schulden werden aber auch nicht weiter zunehmen und auch am Ende der Finanzplanperiode beträgt der Bilanzüberschuss der Gemeinde Lyss immer noch rund Fr. 20 Mio., was 9 Steueranlagezehnteln entspricht. Dies ist im kantonalen Vergleich mit anderen Gemeinden immer noch ein guter Wert.</w:t>
      </w:r>
      <w:r w:rsidR="00B72D42">
        <w:t xml:space="preserve"> </w:t>
      </w:r>
      <w:r w:rsidRPr="00304373">
        <w:t xml:space="preserve">Die von der Fraktion FDP/glp schon länger immer wieder geforderte Steuersenkung kann deshalb nun umgesetzt werden, ohne dass die Gemeinde Lyss Gefahr läuft, </w:t>
      </w:r>
      <w:r w:rsidRPr="001B4A88">
        <w:t>sich „zu Tode sparen</w:t>
      </w:r>
      <w:r>
        <w:t>“</w:t>
      </w:r>
      <w:r w:rsidRPr="00304373">
        <w:t xml:space="preserve"> zu müssen. </w:t>
      </w:r>
      <w:r>
        <w:t>Dies e</w:t>
      </w:r>
      <w:r w:rsidRPr="00304373">
        <w:t>benfalls ohne Risiko</w:t>
      </w:r>
      <w:r>
        <w:t>,</w:t>
      </w:r>
      <w:r w:rsidRPr="00304373">
        <w:t xml:space="preserve"> in den kommenden Jahren wieder eine Steuererhöhung machen zu müssen. Dank der nachhaltigen und konsequenten Finanzpolitik der letzten Jahre, die nicht zuletzt auch dem GP Hegg Andreas zu verdanken </w:t>
      </w:r>
      <w:r>
        <w:t>ist</w:t>
      </w:r>
      <w:r w:rsidRPr="00304373">
        <w:t xml:space="preserve">, ist die Gemeinde Lyss auf einem soliden Kurs für die Zukunft. Die Fraktion FDP/glp unterstützt deshalb den Antrag des GR sowie die Steueranlage von 1.65. </w:t>
      </w:r>
    </w:p>
    <w:p w:rsidR="00EA2C23" w:rsidRPr="00304373" w:rsidP="00EA2C23">
      <w:pPr>
        <w:pStyle w:val="Normal2"/>
      </w:pPr>
    </w:p>
    <w:p w:rsidR="00EA2C23" w:rsidRPr="00EF6B29" w:rsidP="00EA2C23">
      <w:pPr>
        <w:pStyle w:val="Normal2"/>
      </w:pPr>
      <w:r w:rsidRPr="00304373">
        <w:rPr>
          <w:b/>
        </w:rPr>
        <w:t xml:space="preserve">Köchli Urs, SVP: </w:t>
      </w:r>
      <w:r w:rsidRPr="00304373">
        <w:t>Das Budget 2017 liegt vor. Der GR beantragt dem GGR eine Steuersenkung von 1.71 auf 1.65. Als Parteimitglied der SVP kann der Redner nur sagen: „Was lange währt wird endlich gut“. Es ist kein Geheimnis, dass die Fraktion SVP/E</w:t>
      </w:r>
      <w:r>
        <w:t>DU</w:t>
      </w:r>
      <w:r w:rsidRPr="00304373">
        <w:t xml:space="preserve"> die Steuersenkung als Legislaturziel definiert hat und nun ein Jahr vor Ablauf der Frist bereits am Ziel ist. Die Fraktion SVP/E</w:t>
      </w:r>
      <w:r>
        <w:t>DU</w:t>
      </w:r>
      <w:r w:rsidRPr="00304373">
        <w:t xml:space="preserve"> hat sich ebenfalls Gedanken zu einer Steuersenkung </w:t>
      </w:r>
      <w:r>
        <w:t>auf</w:t>
      </w:r>
      <w:r w:rsidRPr="00304373">
        <w:t xml:space="preserve"> 1.60 gemacht. Der Redner schliesst sich diesbezüglich jedoch der Meinung der Fraktion BDP an, dass eine Senkung </w:t>
      </w:r>
      <w:r>
        <w:t>z</w:t>
      </w:r>
      <w:r w:rsidRPr="00304373">
        <w:t>war möglich wäre, jedoch nicht zum jetzigen Zeitpunkt. Ein Budget lässt sich nur über die Einnahmen steuern. Sobald viel Geld vorhanden ist, wird das Geld auch schneller wieder ausgegeben. Im Jahr 2011 hat die Fraktion SVP/E</w:t>
      </w:r>
      <w:r>
        <w:t>DU</w:t>
      </w:r>
      <w:r w:rsidRPr="00304373">
        <w:t xml:space="preserve"> die Steuern von 1.70 auf 1.65 gesenkt. Die damalige Regierungsrätin riet jedoch zu einer Steuererhöhung, damit der Betrag an den Finanzausgleich nicht den Rahmen sprenge. Dass dem nicht so war</w:t>
      </w:r>
      <w:r>
        <w:t>,</w:t>
      </w:r>
      <w:r w:rsidRPr="00304373">
        <w:t xml:space="preserve"> ist bekannt. Leider folgte der GR dem Vorschlag ohne dies dem GGR vorzulegen, dies hat der Redner dem GR nie vergessen. Die Fraktion SVP/E</w:t>
      </w:r>
      <w:r>
        <w:t>DU</w:t>
      </w:r>
      <w:r w:rsidRPr="00304373">
        <w:t xml:space="preserve"> hat jedoch daraus gelernt und zusammen mit den Fraktionen EVP und glp die Gruppe „Quo Vadis“ ins Leben gerufen. Der Redner ist überzeugt, dass die Gruppe zu einem Umdenken im GR und der Verwaltung geführt hat. Es wurde gespart</w:t>
      </w:r>
      <w:r>
        <w:t>,</w:t>
      </w:r>
      <w:r w:rsidRPr="00304373">
        <w:t xml:space="preserve"> ohne Leistungsabbau mit der Konzentration auf das Wesentliche und mit Verzicht auf Luxus. Es wurden immer wieder Defizite prognostiziert und trotzdem Überschüsse erreicht. Sollte dies noch mehrmals vorkommen, kann die Glaubwürdigkeit in Frage gestellt werden. Aus diesem Grund ist eine Steuersenkung sicher das Richtige. Die Steuereinheit von 1.65 sollte </w:t>
      </w:r>
      <w:r w:rsidRPr="00F6666B">
        <w:t>gen</w:t>
      </w:r>
      <w:r>
        <w:t>ügen. Die Gemeinde Lyss hat Fr. </w:t>
      </w:r>
      <w:r w:rsidRPr="00F6666B">
        <w:t xml:space="preserve">45 Mio. Schulden und Fr. 25 Mio. Eigenkapital. Die Fraktion SVP/EVP ist der Meinung, dass </w:t>
      </w:r>
      <w:r>
        <w:t xml:space="preserve">demnach </w:t>
      </w:r>
      <w:r w:rsidRPr="00F6666B">
        <w:t xml:space="preserve">eine Steuersenkung möglich ist. Der Redner schliesst sich der Aussage </w:t>
      </w:r>
      <w:r w:rsidRPr="00304373">
        <w:t xml:space="preserve">von Stähli Daniel, FDP/glp an, dass der Selbstfinanzierungsanteil noch zu wünschen lässt. Es wurde immer wieder erwähnt, dass eine Steuersenkung nur etwas für </w:t>
      </w:r>
      <w:r>
        <w:t>R</w:t>
      </w:r>
      <w:r w:rsidRPr="00304373">
        <w:t xml:space="preserve">eiche sei. Klar ist, dass jemand der keine Steuern bezahlt auch nicht profitieren wird. In der Gemeinde Lyss hat es jedoch Personen, welche sehr viel Steuern bezahlen. Jene die viel bis sehr viel Steuern bezahlen, sind die Investoren der Gemeinde Lyss. Das Geld, welches nun dem Steuerzahler zurückgegeben wird, bleibt in der Gemeinde Lyss und wird wiederum in der Gemeinde Lyss investiert </w:t>
      </w:r>
      <w:r>
        <w:t>(</w:t>
      </w:r>
      <w:r w:rsidRPr="00304373">
        <w:t>wie beispielsweise in neue Arbeitsplätze, neue Maschinen oder in neue Unternehmungen</w:t>
      </w:r>
      <w:r>
        <w:t>)</w:t>
      </w:r>
      <w:r w:rsidRPr="00304373">
        <w:t>. Diese Steuerzahler und KMU’s sind schlussendlich dafür verantwortlich, das System aufrecht zu erhalten und Arbeitsplätze zu schaffen. Der Redner bedankt sich bei Steiner Bruno, Abteilung</w:t>
      </w:r>
      <w:r>
        <w:t>sleiter</w:t>
      </w:r>
      <w:r w:rsidRPr="00304373">
        <w:t xml:space="preserve"> </w:t>
      </w:r>
      <w:r>
        <w:t>Finanzen</w:t>
      </w:r>
      <w:r w:rsidRPr="00304373">
        <w:t xml:space="preserve"> und dem GR für die vorliegenden Unterlagen. Der Redner bittet, der Steuersenkung auf 1.65 </w:t>
      </w:r>
      <w:r w:rsidRPr="00EF6B29">
        <w:t xml:space="preserve">zuzustimmen. </w:t>
      </w:r>
    </w:p>
    <w:p w:rsidR="00EA2C23" w:rsidP="00EA2C23">
      <w:pPr>
        <w:pStyle w:val="Normal2"/>
      </w:pPr>
    </w:p>
    <w:p w:rsidR="00EA2C23" w:rsidRPr="002A76A0" w:rsidP="00EA2C23">
      <w:pPr>
        <w:pStyle w:val="Normal2"/>
      </w:pPr>
      <w:r w:rsidRPr="002A76A0">
        <w:rPr>
          <w:b/>
        </w:rPr>
        <w:t xml:space="preserve">Gerber Jürgen, EVP: </w:t>
      </w:r>
      <w:r w:rsidRPr="002A76A0">
        <w:t xml:space="preserve">Die Fraktion EVP dankt dem GR und den Abteilungen für die Unterlagen sowie für die Ausarbeitung eines ausgewogenen Budgets 2017. Die Fraktion EVP hat sich in den letzten Jahren stark für einen gesunden Finanzhaushalt in der Gemeinde Lyss engagiert. In diesem Zusammenhang hat die Fraktion EVP die Einführung einer Schuldenbremse beantragt. Diese wurde jedoch abgelehnt. Ebenfalls abgelehnt wurde die Variantenrechnung mit einer Erhöhung des Steuersatzes. Als Folge darauf hat die Fraktion EVP das Budget abgelehnt. Der GR und die Abteilungen haben in den letzten drei Jahren die Finanzen im Lot behalten und die angenommene negative Finanzentwicklung ist für die Gemeinde Lyss, trotz der grossen Investitionen, nicht eingetroffen. Diese Entwicklung erlaubt eine neue Optik. Mit HRM2 ist zudem eine Änderung bei den Investitionsfolgekosten erfolgt, wie bereits von Hegg Andreas, </w:t>
      </w:r>
      <w:r>
        <w:t>Gemeindepräsident</w:t>
      </w:r>
      <w:r w:rsidRPr="002A76A0">
        <w:t>, erwähnt wurde. Diese Änderung hat eine vorübergehende Entlastung der Abschreibungen zur Folge. Die Fraktion EVP wird der Steuersenkung auf 1.65 zustimmen. Der Finanzplan zeigt einen ausgeglichenen Finanzhaushalt. Die Schulden können sogar leicht reduziert werden. Die Werterhaltung der Liegenschaften und Strassen werden auf Grund dessen nicht gekürzt. Die Fraktion EVP stimmt dem Antrag mit drei Anliegen zu. Die Fraktion EVP wird sich weiterhin für eine Senkung der Verschuldung einsetzen. Die Fraktion EVP stimmt dem Budget mit einem Steuerfuss von 1.65 unter der Voraussetzung zu, dass die Werterhaltung bei Liegenschaften und Strassen gewährleistet ist. Sollte die Auswirkungen der Unternehmenssteuerreform und der Amortisationen im Rahmen von HRM2 zu einer negativen Entwicklung der Finanzen führen, behält sich die Fraktion EVP vor, eine Steuererhöhung zu beantragen. Die Fraktion EVP stimmt dem Antrag zu.</w:t>
      </w:r>
    </w:p>
    <w:p w:rsidR="00EA2C23" w:rsidRPr="002A76A0" w:rsidP="00EA2C23">
      <w:pPr>
        <w:pStyle w:val="Normal2"/>
      </w:pPr>
    </w:p>
    <w:p w:rsidR="00EA2C23" w:rsidRPr="002A76A0" w:rsidP="00EA2C23">
      <w:pPr>
        <w:pStyle w:val="Normal2"/>
      </w:pPr>
      <w:r w:rsidRPr="002A76A0">
        <w:rPr>
          <w:b/>
        </w:rPr>
        <w:t xml:space="preserve">Eugster Lorenz, Grüne: </w:t>
      </w:r>
      <w:r w:rsidRPr="002A76A0">
        <w:t xml:space="preserve">Die vorliegenden Unterlagen zeigen, wie fundiert und wichtig diese sind. Dank den Unterlagen sind die Fakten auf dem Tisch. Klopft sich nur jeder einzelne auf die Schulter, so kommt die Gemeinde Lyss keinen Schritt vorwärts. Es ist noch nicht lange her, als HRM2 eingeführt wurde. Trotzdem ist bereits zu spüren, wie eine gewisse Konstanz vorhanden ist, welche nur positiv sein kann. Der Fraktion SP/Grüne ist </w:t>
      </w:r>
      <w:r>
        <w:t xml:space="preserve">es </w:t>
      </w:r>
      <w:r w:rsidRPr="002A76A0">
        <w:t>wichtig, dass die Gemeindeaufgaben ernst genommen werden. Der Zeitpunkt</w:t>
      </w:r>
      <w:r>
        <w:t>,</w:t>
      </w:r>
      <w:r w:rsidRPr="002A76A0">
        <w:t xml:space="preserve"> um über eine Steuersenkung zu diskutieren</w:t>
      </w:r>
      <w:r>
        <w:t>,</w:t>
      </w:r>
      <w:r w:rsidRPr="002A76A0">
        <w:t xml:space="preserve"> findet die Fraktion SP/Grüne nicht sehr passend. Die Gemeinde Lyss befindet sich momentan </w:t>
      </w:r>
      <w:r>
        <w:t xml:space="preserve">in </w:t>
      </w:r>
      <w:r w:rsidRPr="002A76A0">
        <w:t xml:space="preserve">der Mitte einer rasanten Entwicklung. Die Fraktion SP/Grüne stellt sich die Frage, </w:t>
      </w:r>
      <w:r>
        <w:t>„</w:t>
      </w:r>
      <w:r w:rsidRPr="002A76A0">
        <w:t>wieso genau in diesem Zeitpunkt den Handlungsspielraum einschränken</w:t>
      </w:r>
      <w:r>
        <w:t>“</w:t>
      </w:r>
      <w:r w:rsidRPr="002A76A0">
        <w:t>. Garantiert ist, dass irgend</w:t>
      </w:r>
      <w:r>
        <w:t>-</w:t>
      </w:r>
      <w:r w:rsidRPr="002A76A0">
        <w:t xml:space="preserve">etwas auf der Strecke bleiben wird. Wenn Personen nach Lyss ziehen oder die Gemeinde verlassen, ist dies nicht wegen 0.6 Steuerzehntel. Entscheidend sind ganz andere Qualitäten der Gemeinde Lyss. Es sind Qualitäten, welche die Gemeinde Lyss verbessern, erhalten oder vernachlässigen kann. In der letzten Woche wurden Karten versandt, welche zu einer Ausstellung im </w:t>
      </w:r>
      <w:r>
        <w:t>„</w:t>
      </w:r>
      <w:r w:rsidRPr="002A76A0">
        <w:t>Sieberhuus</w:t>
      </w:r>
      <w:r>
        <w:t>“</w:t>
      </w:r>
      <w:r w:rsidRPr="002A76A0">
        <w:t xml:space="preserve"> einladen. Auf der Karte sind auch Kerzen abgebildet. Die Aussteller bringen auch Kerzen mit. Die Beleuchtung im </w:t>
      </w:r>
      <w:r>
        <w:t>„</w:t>
      </w:r>
      <w:r w:rsidRPr="002A76A0">
        <w:t>Sieberhuus</w:t>
      </w:r>
      <w:r>
        <w:t>“</w:t>
      </w:r>
      <w:r w:rsidRPr="002A76A0">
        <w:t xml:space="preserve"> ist für eine Ausstellung nicht brauchbar. Die Beleuchtung gehört </w:t>
      </w:r>
      <w:r>
        <w:t>wie</w:t>
      </w:r>
      <w:r w:rsidRPr="002A76A0">
        <w:t xml:space="preserve"> auch die Verkabelung </w:t>
      </w:r>
      <w:r>
        <w:t>entsorgt</w:t>
      </w:r>
      <w:r w:rsidRPr="002A76A0">
        <w:t>. Der Redner schämt sich diesbezüglich für die Gemeinde Lyss. Ertönt dann auch noch das Lied „Ihr Kinderlein kommet“, ist es so, dass es teilweise auch nur den Kindern möglich ist</w:t>
      </w:r>
      <w:r>
        <w:t>,</w:t>
      </w:r>
      <w:r w:rsidRPr="002A76A0">
        <w:t xml:space="preserve"> in den zweiten Stock zu gelangen. Viele Leute haben ihre Mühe in die oberen Stockwerke des </w:t>
      </w:r>
      <w:r>
        <w:t>„</w:t>
      </w:r>
      <w:r w:rsidRPr="002A76A0">
        <w:t>Sieberhuus</w:t>
      </w:r>
      <w:r>
        <w:t>“</w:t>
      </w:r>
      <w:r w:rsidRPr="002A76A0">
        <w:t xml:space="preserve"> zu gelangen. Auch die Küche ist nicht mehr funktionstüchtig. Im Bereich Unterhalt müssen die „Hausaufgaben“ wahrgenommen werden. Aus diesem Grund verlangt die Fraktion SP/Grüne, dass der Wert von 0.6 angenommen wird und künftig sogar </w:t>
      </w:r>
      <w:r>
        <w:t xml:space="preserve">wieder </w:t>
      </w:r>
      <w:r w:rsidRPr="002A76A0">
        <w:t xml:space="preserve">erhöht wird. Die Unternehmenssteuerreform ist je nach Ergebnis zu korrigieren. Schaut sich der Redner das Ganze an, so ist das Budget 2017 unter HRM2 ein Kompromiss, bei welchem die Fraktion SP/Grüne nicht grundsätzlich dagegen ist. Der Fraktion SP/Grüne ist wichtig, dass die Steuersenkung nicht gegen den Unterhalt ausgespielt wird und dass bei negativen Veränderungen sofort Korrekturen an die Hand </w:t>
      </w:r>
      <w:r>
        <w:t>genommen werden</w:t>
      </w:r>
      <w:r w:rsidRPr="002A76A0">
        <w:t>.</w:t>
      </w:r>
    </w:p>
    <w:p w:rsidR="00EA2C23" w:rsidRPr="002A76A0" w:rsidP="00EA2C23">
      <w:pPr>
        <w:pStyle w:val="Normal2"/>
      </w:pPr>
    </w:p>
    <w:p w:rsidR="00EA2C23" w:rsidP="00EA2C23">
      <w:pPr>
        <w:pStyle w:val="Normal2"/>
      </w:pPr>
      <w:r w:rsidRPr="002A76A0">
        <w:rPr>
          <w:b/>
        </w:rPr>
        <w:t xml:space="preserve">Hegg Andreas, Gemeindepräsident, FDP: </w:t>
      </w:r>
      <w:r w:rsidRPr="002A76A0">
        <w:t xml:space="preserve">Im Budget 2017 wie es vorliegt wurden keine Kürzungen vorgenommen. Der Redner hat immer erwähnt, dass sich die Gemeinde Lyss nicht </w:t>
      </w:r>
      <w:r>
        <w:t>„</w:t>
      </w:r>
      <w:r w:rsidRPr="002A76A0">
        <w:t>zu Tode sparen</w:t>
      </w:r>
      <w:r>
        <w:t>“</w:t>
      </w:r>
      <w:r w:rsidRPr="002A76A0">
        <w:t xml:space="preserve"> soll. Im Budget 2017 ist alles enthalten. Die Liegenschaft „Sieberhuus“ ist ein anderes Thema. Dies muss zu einem späteren Zeitpunkt sicherlich saniert werden. Der Redner schämt sich diesbezüglich jedoch noch lange nicht. Eine Anmerkung an Köchli Urs, SVP, die Schulden der Gemeinde Lyss betragen </w:t>
      </w:r>
      <w:r>
        <w:t xml:space="preserve">noch </w:t>
      </w:r>
      <w:r w:rsidRPr="002A76A0">
        <w:t xml:space="preserve">Fr. 42 Mio. und nicht </w:t>
      </w:r>
      <w:r>
        <w:t xml:space="preserve">wie </w:t>
      </w:r>
      <w:r w:rsidRPr="002A76A0">
        <w:t>erwähnt Fr. 45 Mio. Im Sommer 2016 wurden Fr. 6 Mio. zurückbezahlt. Liegt in einem Geschäft die Kompetenz beim GR</w:t>
      </w:r>
      <w:r>
        <w:t>,</w:t>
      </w:r>
      <w:r w:rsidRPr="002A76A0">
        <w:t xml:space="preserve"> soll er diese auch nutzen. Nur ein schwacher GR würde auf die Kompetenz verzichten und den GGR noch einbeziehen. Die guten Abschlüsse sind durch einige Landverkäufe, welche nicht genau planbar waren</w:t>
      </w:r>
      <w:r>
        <w:t>,</w:t>
      </w:r>
      <w:r w:rsidRPr="002A76A0">
        <w:t xml:space="preserve"> entstanden. Die Landverkäufe wurden vom GGR genehmigt. Jeder Betrag von über Fr. 150'000.00 wird vom Parlament genehmigt. Zudem ist der Redner nicht der Meinung dass ein Umdenken stattgefunden hat. Der GR hatte stets eine konsequente Haltung.</w:t>
      </w:r>
    </w:p>
    <w:p w:rsidR="00EA2C23" w:rsidRPr="002A76A0" w:rsidP="00EA2C23">
      <w:pPr>
        <w:pStyle w:val="Normal2"/>
      </w:pPr>
    </w:p>
    <w:p w:rsidR="00EA2C23" w:rsidRPr="002A76A0" w:rsidP="00EA2C23">
      <w:pPr>
        <w:pStyle w:val="ListParagraph1"/>
        <w:numPr>
          <w:ilvl w:val="0"/>
          <w:numId w:val="23"/>
        </w:numPr>
        <w:ind w:left="284" w:hanging="284"/>
        <w:rPr>
          <w:b/>
        </w:rPr>
      </w:pPr>
      <w:r w:rsidRPr="002A76A0">
        <w:rPr>
          <w:b/>
        </w:rPr>
        <w:t>Produktegruppen</w:t>
      </w:r>
    </w:p>
    <w:p w:rsidR="00EA2C23" w:rsidRPr="002A76A0" w:rsidP="00EA2C23">
      <w:pPr>
        <w:pStyle w:val="Normal2"/>
        <w:rPr>
          <w:b/>
          <w:i/>
          <w:u w:val="single"/>
        </w:rPr>
      </w:pPr>
      <w:r w:rsidRPr="002A76A0">
        <w:rPr>
          <w:b/>
          <w:i/>
          <w:u w:val="single"/>
        </w:rPr>
        <w:t>Produktegruppe 312 - Hochbau</w:t>
      </w:r>
    </w:p>
    <w:p w:rsidR="00EA2C23" w:rsidRPr="002A76A0" w:rsidP="00EA2C23">
      <w:pPr>
        <w:pStyle w:val="Normal2"/>
      </w:pPr>
      <w:r w:rsidRPr="002A76A0">
        <w:rPr>
          <w:b/>
        </w:rPr>
        <w:t xml:space="preserve">Stähli Daniel, FDP: </w:t>
      </w:r>
      <w:r w:rsidRPr="002A76A0">
        <w:t xml:space="preserve">Die Fraktion FDP/glp hat in den letzten Jahren immer eine Liste gefordert, </w:t>
      </w:r>
      <w:r>
        <w:t>die</w:t>
      </w:r>
      <w:r w:rsidRPr="002A76A0">
        <w:t xml:space="preserve"> aufzeigt, welche Arbeiten zurückgestellt werden mussten.</w:t>
      </w:r>
      <w:r w:rsidRPr="002A76A0">
        <w:rPr>
          <w:b/>
        </w:rPr>
        <w:t xml:space="preserve"> </w:t>
      </w:r>
      <w:r w:rsidRPr="002A76A0">
        <w:t xml:space="preserve">Die Fraktion FDP/glp dankt Christen Rolf, GR, sowie der Abteilung Bau + Planung, dass nun eine schon während mehrerer Jahre geforderte Liste erstellt wurde, die aufzeigt, welche Arbeiten in den letzten Jahren zurückgestellt werden mussten und welche für das kommende Jahr neu anfallen werden. Die Fraktion FDP/glp sieht ein, dass die vom GR beantragte Variante mit </w:t>
      </w:r>
      <w:r w:rsidRPr="006A0F94">
        <w:rPr>
          <w:rFonts w:cs="Arial"/>
        </w:rPr>
        <w:t>≤</w:t>
      </w:r>
      <w:r w:rsidRPr="002A76A0">
        <w:t xml:space="preserve"> 0,6% richtig ist. Die Fraktion FDP/glp verzichtet deshalb darauf, den Antrag für die Variante </w:t>
      </w:r>
      <w:r w:rsidRPr="006A0F94">
        <w:rPr>
          <w:rFonts w:cs="Arial"/>
        </w:rPr>
        <w:t>≤</w:t>
      </w:r>
      <w:r>
        <w:rPr>
          <w:rFonts w:cs="Arial"/>
        </w:rPr>
        <w:t xml:space="preserve"> </w:t>
      </w:r>
      <w:r w:rsidRPr="002A76A0">
        <w:t>0,5% zu stellen. Der Redner ist nicht der Meinung, dass man sich für die Liegenschaft „Sieberhuus“ schämen muss. Der Redner hat dort schon einige Anlässe erlebt. Klar ist jedoch, dass zu gegebener Zeit gewisse Unterhaltsarbeiten gemacht werden müssen.</w:t>
      </w:r>
    </w:p>
    <w:p w:rsidR="00EA2C23" w:rsidRPr="002A76A0" w:rsidP="00EA2C23">
      <w:pPr>
        <w:pStyle w:val="Normal2"/>
      </w:pPr>
    </w:p>
    <w:p w:rsidR="00EA2C23" w:rsidRPr="002A76A0" w:rsidP="00EA2C23">
      <w:pPr>
        <w:pStyle w:val="Normal2"/>
        <w:rPr>
          <w:b/>
          <w:i/>
          <w:u w:val="single"/>
        </w:rPr>
      </w:pPr>
      <w:r w:rsidRPr="002A76A0">
        <w:rPr>
          <w:b/>
          <w:i/>
          <w:u w:val="single"/>
        </w:rPr>
        <w:t>Produktegruppe 313 - Tiefbau</w:t>
      </w:r>
    </w:p>
    <w:p w:rsidR="00EA2C23" w:rsidRPr="002A76A0" w:rsidP="00EA2C23">
      <w:pPr>
        <w:pStyle w:val="Normal2"/>
      </w:pPr>
      <w:r w:rsidRPr="002A76A0">
        <w:rPr>
          <w:b/>
        </w:rPr>
        <w:t xml:space="preserve">Stähli Daniel, FDP: </w:t>
      </w:r>
      <w:r w:rsidRPr="002A76A0">
        <w:t xml:space="preserve">Leider lagen hier wichtige Informationen lange nicht vor. Der Redner hat bei Christen Rolf, GR noch einmal nachgefragt. Die Fraktionspräsidien und die PK haben dann die fehlende Liste noch erhalten. Auch diese wurde von der Fraktion FDP/glp immer wieder gefordert und der Redner dankt, dass nun eine solche Übersicht vorliegt. Aufgrund der erwähnten Projekte verzichtet die Fraktion FDP/glp darauf, die Variante mit </w:t>
      </w:r>
      <w:r w:rsidRPr="006A0F94">
        <w:rPr>
          <w:rFonts w:cs="Arial"/>
        </w:rPr>
        <w:t>≤</w:t>
      </w:r>
      <w:r>
        <w:rPr>
          <w:rFonts w:cs="Arial"/>
        </w:rPr>
        <w:t xml:space="preserve"> </w:t>
      </w:r>
      <w:r w:rsidRPr="002A76A0">
        <w:t>0,6% zu stellen. Wobei es als Laien nur schwer nachvollziehbar ist, welcher dringliche Sanierungsbedarf bei gewissen aufgelisteten Strassen bestehen soll. Es wäre aber anmassend, wenn dies als Parlamentarier in Frage gestellt würde.</w:t>
      </w:r>
    </w:p>
    <w:p w:rsidR="00EA2C23" w:rsidRPr="002A76A0" w:rsidP="00EA2C23">
      <w:pPr>
        <w:pStyle w:val="Normal2"/>
      </w:pPr>
    </w:p>
    <w:p w:rsidR="00EA2C23" w:rsidRPr="002A76A0" w:rsidP="00EA2C23">
      <w:pPr>
        <w:pStyle w:val="Normal2"/>
        <w:rPr>
          <w:b/>
          <w:i/>
          <w:u w:val="single"/>
        </w:rPr>
      </w:pPr>
      <w:r w:rsidRPr="002A76A0">
        <w:rPr>
          <w:b/>
          <w:i/>
          <w:u w:val="single"/>
        </w:rPr>
        <w:t>Produktegruppe 411 - Sicherheit</w:t>
      </w:r>
    </w:p>
    <w:p w:rsidR="00EA2C23" w:rsidRPr="002A76A0" w:rsidP="00EA2C23">
      <w:pPr>
        <w:pStyle w:val="Normal2"/>
      </w:pPr>
      <w:r w:rsidRPr="002A76A0">
        <w:rPr>
          <w:b/>
        </w:rPr>
        <w:t xml:space="preserve">Gerber Jürgen, EVP: </w:t>
      </w:r>
      <w:r w:rsidRPr="002A76A0">
        <w:t xml:space="preserve">Die Fraktion EVP </w:t>
      </w:r>
      <w:r>
        <w:t>beantragt beim</w:t>
      </w:r>
      <w:r w:rsidRPr="002A76A0">
        <w:t xml:space="preserve"> Produkt 4</w:t>
      </w:r>
      <w:r>
        <w:t>11.1 Kontrolle ruhender Verkehr,</w:t>
      </w:r>
      <w:r w:rsidRPr="002A76A0">
        <w:t xml:space="preserve"> </w:t>
      </w:r>
      <w:r>
        <w:t xml:space="preserve">die </w:t>
      </w:r>
      <w:r w:rsidRPr="002A76A0">
        <w:t>Variante mit 1</w:t>
      </w:r>
      <w:r>
        <w:t>‘</w:t>
      </w:r>
      <w:r w:rsidRPr="002A76A0">
        <w:t xml:space="preserve">500 Stunden </w:t>
      </w:r>
      <w:r>
        <w:t>zu genehmigen</w:t>
      </w:r>
      <w:r w:rsidRPr="002A76A0">
        <w:t>. Diese wurde bei den Varianten aufgeführt. Die Begründung zur Ablehnung enthält das Argument, dass bei 1</w:t>
      </w:r>
      <w:r>
        <w:t>‘</w:t>
      </w:r>
      <w:r w:rsidRPr="002A76A0">
        <w:t>500 Stunden weniger Bussen eingenommen werden können. Die Fraktion EVP stört sich an diesem Argument. Die Fraktion EVP stösst sich ebenfalls an der massiven Erhöhung der Kontrollstunden von 1</w:t>
      </w:r>
      <w:r>
        <w:t>‘</w:t>
      </w:r>
      <w:r w:rsidRPr="002A76A0">
        <w:t>500 auf 2</w:t>
      </w:r>
      <w:r>
        <w:t>‘</w:t>
      </w:r>
      <w:r w:rsidRPr="002A76A0">
        <w:t>400 Stunden. Die Fraktion EVP befürchtet, dass dies unter anderem Einkäufer dazu verleiten kann, auf andere Zentren auszuweichen. Die Fraktion EVP nimmt zur Kenntnis, dass bei 1</w:t>
      </w:r>
      <w:r>
        <w:t>‘</w:t>
      </w:r>
      <w:r w:rsidRPr="002A76A0">
        <w:t>500 Stunden anstelle von 2</w:t>
      </w:r>
      <w:r>
        <w:t>‘</w:t>
      </w:r>
      <w:r w:rsidRPr="002A76A0">
        <w:t>400 Stunden keine Einsparung möglich ist. Die Fraktion EVP stellt das Prinzip über die finanziellen Interessen und beantragt die Variante mit 1</w:t>
      </w:r>
      <w:r>
        <w:t>‘</w:t>
      </w:r>
      <w:r w:rsidRPr="002A76A0">
        <w:t xml:space="preserve">500 Stunden. </w:t>
      </w:r>
    </w:p>
    <w:p w:rsidR="00EA2C23" w:rsidP="00EA2C23">
      <w:pPr>
        <w:pStyle w:val="Normal2"/>
        <w:rPr>
          <w:u w:val="single"/>
        </w:rPr>
      </w:pPr>
    </w:p>
    <w:p w:rsidR="00EA2C23" w:rsidRPr="00493115" w:rsidP="00EA2C23">
      <w:pPr>
        <w:pStyle w:val="Normal2"/>
      </w:pPr>
      <w:r w:rsidRPr="00493115">
        <w:rPr>
          <w:u w:val="single"/>
        </w:rPr>
        <w:t>Antrag Fraktion EVP:</w:t>
      </w:r>
      <w:r w:rsidRPr="00493115">
        <w:t xml:space="preserve"> Produktegruppe 411.1; Kontrolle ruhender Verkehr - Variante mit 1‘500 Stunden.</w:t>
      </w:r>
    </w:p>
    <w:p w:rsidR="00EA2C23" w:rsidRPr="002A76A0" w:rsidP="00EA2C23">
      <w:pPr>
        <w:pStyle w:val="Normal2"/>
      </w:pPr>
    </w:p>
    <w:p w:rsidR="00EA2C23" w:rsidRPr="002A76A0" w:rsidP="00EA2C23">
      <w:pPr>
        <w:pStyle w:val="Normal2"/>
      </w:pPr>
      <w:r w:rsidRPr="002A76A0">
        <w:rPr>
          <w:b/>
        </w:rPr>
        <w:t xml:space="preserve">Marti Markus, BDP: </w:t>
      </w:r>
      <w:r w:rsidRPr="002A76A0">
        <w:t>Die Fraktion BDP stellt aus denselben Gründen wie die Fraktion EVP den Antrag zu Produktegruppe 411.1 Kontrolle ruhender Verkehr eine Variante mit 1</w:t>
      </w:r>
      <w:r>
        <w:t>‘</w:t>
      </w:r>
      <w:r w:rsidRPr="002A76A0">
        <w:t>800 Stunden. Das Leistungsziel L3 welches auf 2</w:t>
      </w:r>
      <w:r>
        <w:t>‘</w:t>
      </w:r>
      <w:r w:rsidRPr="002A76A0">
        <w:t>400 Stunden angehoben wurde</w:t>
      </w:r>
      <w:r>
        <w:t>,</w:t>
      </w:r>
      <w:r w:rsidRPr="002A76A0">
        <w:t xml:space="preserve"> ist entstanden als das Parkplatzreglement noch nicht verabschiedet wurde. Im Parkplatzreglement wurde die Bewirtschaftung der Parkzone 3 nicht angenomm</w:t>
      </w:r>
      <w:r>
        <w:t>en. Folge dessen wäre es Unsinn</w:t>
      </w:r>
      <w:r w:rsidRPr="002A76A0">
        <w:t xml:space="preserve"> 2</w:t>
      </w:r>
      <w:r>
        <w:t>‘</w:t>
      </w:r>
      <w:r w:rsidRPr="002A76A0">
        <w:t>400 Stunden zu bewilligen. Die vorgesehene Erweiterung der Parkzone 2 im Gebiet Busswil erachtet die Fraktion BDP als sinnvoll. Die Fraktion BDP hat versucht, die beiden Gebiete Lyss und Busswil in ein Verhältnis zu setzen. Die Berechnung für das Gebiet Busswil ergab 300 Stunden und somit Total 1</w:t>
      </w:r>
      <w:r>
        <w:t>‘</w:t>
      </w:r>
      <w:r w:rsidRPr="002A76A0">
        <w:t>800 Stunden für die Kontrolle ruhender Verkehr. Der Antrag wurde in dieser Form nicht beantragt. Nach Aussage der Abteil</w:t>
      </w:r>
      <w:r>
        <w:t>ung Sicherheit + Liegenschaften</w:t>
      </w:r>
      <w:r w:rsidRPr="002A76A0">
        <w:t xml:space="preserve"> ist diese Berechnung möglich, da der Vergleich mit einer Reduktion auf 1</w:t>
      </w:r>
      <w:r>
        <w:t>‘</w:t>
      </w:r>
      <w:r w:rsidRPr="002A76A0">
        <w:t>500 Stunden vorliegt. Aus diesem Grund kann heute Abend auch berechnet werden, welches Resultat mit 1</w:t>
      </w:r>
      <w:r>
        <w:t>‘</w:t>
      </w:r>
      <w:r w:rsidRPr="002A76A0">
        <w:t>800 Stunden vorliegen würde. Der Redner bittet den GGR, dem Antrag mit 1</w:t>
      </w:r>
      <w:r>
        <w:t>‘</w:t>
      </w:r>
      <w:r w:rsidRPr="002A76A0">
        <w:t>800 Stunden zuzustimmen. Somit werden nicht übermässig Bussen und damit versteckte Steuern eingetrieben.</w:t>
      </w:r>
    </w:p>
    <w:p w:rsidR="00EA2C23" w:rsidP="00EA2C23">
      <w:pPr>
        <w:pStyle w:val="Normal2"/>
      </w:pPr>
    </w:p>
    <w:p w:rsidR="00EA2C23" w:rsidRPr="002A76A0" w:rsidP="00EA2C23">
      <w:pPr>
        <w:pStyle w:val="Normal2"/>
      </w:pPr>
      <w:r w:rsidRPr="00614411">
        <w:rPr>
          <w:u w:val="single"/>
        </w:rPr>
        <w:t xml:space="preserve">Antrag </w:t>
      </w:r>
      <w:r>
        <w:rPr>
          <w:u w:val="single"/>
        </w:rPr>
        <w:t>Fraktion</w:t>
      </w:r>
      <w:r w:rsidRPr="00614411">
        <w:rPr>
          <w:u w:val="single"/>
        </w:rPr>
        <w:t xml:space="preserve"> BDP:</w:t>
      </w:r>
      <w:r w:rsidRPr="002A76A0">
        <w:t xml:space="preserve"> Produktegruppe 411.1</w:t>
      </w:r>
      <w:r>
        <w:t>;</w:t>
      </w:r>
      <w:r w:rsidRPr="002A76A0">
        <w:t xml:space="preserve"> Kontrolle ruhender Verkehr </w:t>
      </w:r>
      <w:r>
        <w:t>-</w:t>
      </w:r>
      <w:r w:rsidRPr="002A76A0">
        <w:t xml:space="preserve"> Variante mit 1</w:t>
      </w:r>
      <w:r>
        <w:t>‘</w:t>
      </w:r>
      <w:r w:rsidRPr="002A76A0">
        <w:t>800 Stunden</w:t>
      </w:r>
      <w:r>
        <w:t>.</w:t>
      </w:r>
    </w:p>
    <w:p w:rsidR="00EA2C23" w:rsidRPr="002A76A0" w:rsidP="00EA2C23">
      <w:pPr>
        <w:pStyle w:val="Normal2"/>
      </w:pPr>
    </w:p>
    <w:p w:rsidR="00EA2C23" w:rsidRPr="002A76A0" w:rsidP="00EA2C23">
      <w:pPr>
        <w:pStyle w:val="Normal2"/>
      </w:pPr>
      <w:r w:rsidRPr="002A76A0">
        <w:rPr>
          <w:b/>
        </w:rPr>
        <w:t>Meister Katrin, SP</w:t>
      </w:r>
      <w:r w:rsidRPr="002A76A0">
        <w:t>: Die Rednerin ist überrascht von diesem Vorgehen, dass nun noch über eine Variante entschieden werden soll, obschon niemand ausser der Fraktion BDP davon Kenntnis hatte. Die Rednerin ist der Meinung, dass dieser Antrag gemäss WoV nicht zulässig ist. Sollte diese Variante kurzfristig an der Sitzung berechnet werden können, stellt sich die Rednerin nicht gegen diesen Antrag. Die Rednerin hofft aber, dass es sich bei dieser Variantenrechnung um einen Einzelfall handeln wird. Mit d</w:t>
      </w:r>
      <w:r>
        <w:t>em System WoV</w:t>
      </w:r>
      <w:r w:rsidRPr="002A76A0">
        <w:t xml:space="preserve"> sollen und können die Anträge für Variantenberechnungen im Juni verlangt werden und im November ist jeweils darüber abzustimmen. Die Rednerin hofft, dass die gewünschte Variantenberechnung eine Ausnahme bleibt.</w:t>
      </w:r>
    </w:p>
    <w:p w:rsidR="00EA2C23" w:rsidRPr="002A76A0" w:rsidP="00EA2C23">
      <w:pPr>
        <w:pStyle w:val="Normal2"/>
      </w:pPr>
    </w:p>
    <w:p w:rsidR="00EA2C23" w:rsidRPr="002A76A0" w:rsidP="00EA2C23">
      <w:pPr>
        <w:pStyle w:val="Normal2"/>
      </w:pPr>
      <w:r w:rsidRPr="002A76A0">
        <w:rPr>
          <w:b/>
        </w:rPr>
        <w:t xml:space="preserve">Marti Markus, BDP: </w:t>
      </w:r>
      <w:r w:rsidRPr="002A76A0">
        <w:t>Aus der Sicht des Redners handelt es sich beim Antrag um keine Ausnahme. In Vorjahren wurden beispielsweise Anträge zu den Produktegruppen Unterhalt Gebäude und Strassen eingereicht. Diese Varianten erlauben eine rasche Berechnung, wie dies auch beim vorliegenden Antrag der Fall ist. Sollte keine Variante vorliegen ist auch keine „kurzfristige“ Berechnung möglich. Die Variantenberechnung von 2</w:t>
      </w:r>
      <w:r>
        <w:t>‘</w:t>
      </w:r>
      <w:r w:rsidRPr="002A76A0">
        <w:t>400 auf 1</w:t>
      </w:r>
      <w:r>
        <w:t>‘</w:t>
      </w:r>
      <w:r w:rsidRPr="002A76A0">
        <w:t>800 Stunden ergibt eine einfache Dreisatzrechnung.</w:t>
      </w:r>
    </w:p>
    <w:p w:rsidR="00EA2C23" w:rsidRPr="002A76A0" w:rsidP="00EA2C23">
      <w:pPr>
        <w:pStyle w:val="Normal2"/>
      </w:pPr>
    </w:p>
    <w:p w:rsidR="00EA2C23" w:rsidRPr="002A76A0" w:rsidP="00EA2C23">
      <w:pPr>
        <w:pStyle w:val="Normal2"/>
      </w:pPr>
      <w:r w:rsidRPr="002A76A0">
        <w:rPr>
          <w:b/>
        </w:rPr>
        <w:t xml:space="preserve">Marti Rolf, SP: </w:t>
      </w:r>
      <w:r w:rsidRPr="002A76A0">
        <w:t>Dem Redner ist wichtig zu wissen, ob tatsächlich bereits ein solcher Fall vorlag. Der Redner ist der Meinung, das</w:t>
      </w:r>
      <w:r>
        <w:t>s</w:t>
      </w:r>
      <w:r w:rsidRPr="002A76A0">
        <w:t xml:space="preserve"> dem nicht so ist. Unklar zu sein scheint, welche Aufgaben </w:t>
      </w:r>
      <w:r>
        <w:t xml:space="preserve">das Parlament </w:t>
      </w:r>
      <w:r w:rsidRPr="002A76A0">
        <w:t xml:space="preserve">jeweils im Juni und welche im November </w:t>
      </w:r>
      <w:r>
        <w:t>wahrnimmt</w:t>
      </w:r>
      <w:r w:rsidRPr="002A76A0">
        <w:t>. Mit dem WoV wird im Juni festgelegt, welche Produktegruppen im Budget zu verändern sind</w:t>
      </w:r>
      <w:r>
        <w:t>, und der GR hat die Aufgabe</w:t>
      </w:r>
      <w:r w:rsidRPr="002A76A0">
        <w:t xml:space="preserve"> die Variantenberechnung entsprechend vorzunehmen. An der Sitzung im November stimmt der GGR über die Anträge ab. Der Redner kann nicht verstehen, dass bei der Budgetdebatte wieder neue Variantenberechnungen ins Spiel gebracht werden, dies ist nicht im Sinne des WoV. Der Redner bittet daher um Klärung.</w:t>
      </w:r>
    </w:p>
    <w:p w:rsidR="00EA2C23" w:rsidRPr="002A76A0" w:rsidP="00EA2C23">
      <w:pPr>
        <w:pStyle w:val="Normal2"/>
      </w:pPr>
    </w:p>
    <w:p w:rsidR="00EA2C23" w:rsidRPr="002A76A0" w:rsidP="00EA2C23">
      <w:pPr>
        <w:pStyle w:val="Normal2"/>
      </w:pPr>
      <w:r w:rsidRPr="002A76A0">
        <w:rPr>
          <w:b/>
        </w:rPr>
        <w:t xml:space="preserve">Strub Daniel, Gemeindeschreiber: </w:t>
      </w:r>
      <w:r w:rsidRPr="002A76A0">
        <w:t xml:space="preserve">Grundsätzlich sind Anträge, welche im Juni nicht als Variante beantragt wurden, </w:t>
      </w:r>
      <w:r>
        <w:t>s</w:t>
      </w:r>
      <w:r w:rsidRPr="002A76A0">
        <w:t>ystemfremd. Der wesentlichste Punkt im WoV ist jedoch, dass sowohl die Leistung welche erbracht wird</w:t>
      </w:r>
      <w:r>
        <w:t>,</w:t>
      </w:r>
      <w:r w:rsidRPr="002A76A0">
        <w:t xml:space="preserve"> wie auch die Kosten gleichzeitig miteinander verabschiedet werden müssen. Wenn klar ist, wieviel eine Aufgabe kostet und wieviel geleistet wird, kann unter Umständen die Variante angepasst werden. Tatsächlich gab es vor ein paar Jahren bereits einmal einen Fall. Damals ging es um die Äufnung eines Fonds. Damals entschied man sich für eine Zwischenvariante, welche nicht berechnet gewesen war. Die Berechnung war jedoch sehr einfach. Der Redner möchte wissen, ob es möglich ist, gestützt auf die Leistung von 1</w:t>
      </w:r>
      <w:r>
        <w:t>‘</w:t>
      </w:r>
      <w:r w:rsidRPr="002A76A0">
        <w:t>800 Stunden exakt auszurechnen, mit welchen Auswirkungen und Kosten zu rechnen ist. Ebenfalls müsste klar sein, welche Auswirkungen dies auf die Leistungen (Kontrollen usw.) haben wird. Die Aussagen und Begründungen liegen momentan nur bei der Variante 1</w:t>
      </w:r>
      <w:r>
        <w:t>‘</w:t>
      </w:r>
      <w:r w:rsidRPr="002A76A0">
        <w:t>500 und 2</w:t>
      </w:r>
      <w:r>
        <w:t>‘</w:t>
      </w:r>
      <w:r w:rsidRPr="002A76A0">
        <w:t>800 Stunden vor. Könnten die genauen Auswirkungen auch bei 1</w:t>
      </w:r>
      <w:r>
        <w:t>‘</w:t>
      </w:r>
      <w:r w:rsidRPr="002A76A0">
        <w:t>800 berechnet und belegt werden, wäre es möglich, den Antrag zur Abstimmung zuzulassen. Ansonsten wird es kaum möglich sein, eine seriöse Abstimmung vorzunehmen. Mit dem WoV ist entscheidend, dass sowohl die Leistung wie auch die</w:t>
      </w:r>
      <w:r>
        <w:t xml:space="preserve"> Kosten in Kongruenz sind und g</w:t>
      </w:r>
      <w:r w:rsidRPr="002A76A0">
        <w:t>leichzeitig verabschiedet werden. Kann eines der beiden Konstrukte nicht genau definiert werden, kann dieser Antrag nicht verabschiedet werden.</w:t>
      </w:r>
    </w:p>
    <w:p w:rsidR="00EA2C23" w:rsidRPr="002A76A0" w:rsidP="00EA2C23">
      <w:pPr>
        <w:pStyle w:val="Normal2"/>
      </w:pPr>
    </w:p>
    <w:p w:rsidR="00EA2C23" w:rsidP="00EA2C23">
      <w:pPr>
        <w:pStyle w:val="Normal2"/>
      </w:pPr>
      <w:r w:rsidRPr="002A76A0">
        <w:rPr>
          <w:b/>
        </w:rPr>
        <w:t xml:space="preserve">Michel Jürg, Gemeinderat: </w:t>
      </w:r>
      <w:r w:rsidRPr="002A76A0">
        <w:t>Die Abteilung Sicherheit +</w:t>
      </w:r>
      <w:r>
        <w:t xml:space="preserve"> </w:t>
      </w:r>
      <w:r w:rsidRPr="002A76A0">
        <w:t>Liegenschaften hat sich zu den vorliegenden 2</w:t>
      </w:r>
      <w:r>
        <w:t>‘</w:t>
      </w:r>
      <w:r w:rsidRPr="002A76A0">
        <w:t>400 Stunden viele Überlegungen betreffend Kontrollen gemacht. Die Idee war jedoch nicht die Gemeindekasse aufzufüllen. Das Gesetz muss umgesetzt werden und die Kontrollen müssen in einem vernünftigen Rahmen erfolgen. Beim Antrag mit 1</w:t>
      </w:r>
      <w:r>
        <w:t>‘</w:t>
      </w:r>
      <w:r w:rsidRPr="002A76A0">
        <w:t xml:space="preserve">500 Stunden kann der Auftrag nicht erfüllt werden und ist </w:t>
      </w:r>
      <w:r>
        <w:t xml:space="preserve">auch </w:t>
      </w:r>
      <w:r w:rsidRPr="002A76A0">
        <w:t>nicht zu verantworten. Es ist jedoch möglich, einen anderen Antrag von 1</w:t>
      </w:r>
      <w:r>
        <w:t>‘</w:t>
      </w:r>
      <w:r w:rsidRPr="002A76A0">
        <w:t>800 Stunden rechnerisch zu ermitteln. Die Einnahmen, die Einsatzstunden wie auch das Resultat kann unmittelbar berechnet werden. Mit 1</w:t>
      </w:r>
      <w:r>
        <w:t>‘</w:t>
      </w:r>
      <w:r w:rsidRPr="002A76A0">
        <w:t>500 Stunden kann die Aufgabe nicht wahrgenommen werden, der Redner bittet dies zu berücksichtigen. Damit die Aufgaben umgesetzt werden können, sind mindestens 2</w:t>
      </w:r>
      <w:r>
        <w:t>‘</w:t>
      </w:r>
      <w:r w:rsidRPr="002A76A0">
        <w:t>000 Stunden nötig. Ein solcher Antrag wurde jedoch nicht eingereicht.</w:t>
      </w:r>
    </w:p>
    <w:p w:rsidR="00EA2C23" w:rsidRPr="002A76A0" w:rsidP="00EA2C23">
      <w:pPr>
        <w:pStyle w:val="Normal2"/>
      </w:pPr>
    </w:p>
    <w:p w:rsidR="00EA2C23" w:rsidRPr="002A76A0" w:rsidP="00EA2C23">
      <w:pPr>
        <w:pStyle w:val="Normal2"/>
      </w:pPr>
      <w:r w:rsidRPr="002A76A0">
        <w:rPr>
          <w:b/>
        </w:rPr>
        <w:t xml:space="preserve">Strub Daniel, Gemeindeschreiber: </w:t>
      </w:r>
      <w:r w:rsidRPr="002A76A0">
        <w:t>Das Budget muss heute mit den Kosten und den Leistungen verabschiedet werden. Momentan liegen zwei Varianten von 1</w:t>
      </w:r>
      <w:r>
        <w:t>‘</w:t>
      </w:r>
      <w:r w:rsidRPr="002A76A0">
        <w:t>500 gegenüber 2</w:t>
      </w:r>
      <w:r>
        <w:t>‘</w:t>
      </w:r>
      <w:r w:rsidRPr="002A76A0">
        <w:t>400 Stunden vor, bei welchen die Leistungen im Detail beschrieben sind. Der Antrag des GR sind 2</w:t>
      </w:r>
      <w:r>
        <w:t>‘</w:t>
      </w:r>
      <w:r w:rsidRPr="002A76A0">
        <w:t>400 Stunden. Beim Antrag von 1</w:t>
      </w:r>
      <w:r>
        <w:t>‘</w:t>
      </w:r>
      <w:r w:rsidRPr="002A76A0">
        <w:t xml:space="preserve">800 Stunden fehlt zurzeit die Kostenfolge um eine seriöse Beurteilung zu </w:t>
      </w:r>
      <w:r>
        <w:t>ermöglichen</w:t>
      </w:r>
      <w:r w:rsidRPr="002A76A0">
        <w:t>. Mit welchen Kosten die Gemeinde Lyss bei 1</w:t>
      </w:r>
      <w:r>
        <w:t>‘</w:t>
      </w:r>
      <w:r w:rsidRPr="002A76A0">
        <w:t>800 Stunden zu rechnen hat, ist nicht ersichtlich. Das Parlament muss schlussendlich das Budget zusammen mit den Kosten und Leistungen verabschieden. Liegen diese Zahlen nicht vor, kann über diese Variante auch nicht abgestimmt werden. Im Antrag der Fraktion BDP steht nichts über die Kosten. Wenn die Kosten nicht eruiert werden können, muss an den beiden anderen Anträgen von 1</w:t>
      </w:r>
      <w:r>
        <w:t>‘</w:t>
      </w:r>
      <w:r w:rsidRPr="002A76A0">
        <w:t>500 oder 2</w:t>
      </w:r>
      <w:r>
        <w:t>‘</w:t>
      </w:r>
      <w:r w:rsidRPr="002A76A0">
        <w:t>400 Stunden festgehalten werden. Es kann nicht sein, dass nun heute Abend noch auf die Berechnung gewartet werden muss. Aus diesem Grund ist dieser Antrag zum jetzigen Zeitpunkt keine mögliche Variante, über welche der GGR abstimmen kann.</w:t>
      </w:r>
    </w:p>
    <w:p w:rsidR="00EA2C23" w:rsidRPr="002A76A0" w:rsidP="00EA2C23">
      <w:pPr>
        <w:pStyle w:val="Normal2"/>
      </w:pPr>
    </w:p>
    <w:p w:rsidR="00EA2C23" w:rsidRPr="00493115" w:rsidP="00EA2C23">
      <w:pPr>
        <w:pStyle w:val="Protokollstruktur2"/>
      </w:pPr>
      <w:r w:rsidRPr="00493115">
        <w:t>Rückzug Antrag</w:t>
      </w:r>
    </w:p>
    <w:p w:rsidR="00EA2C23" w:rsidRPr="002A76A0" w:rsidP="00EA2C23">
      <w:pPr>
        <w:pStyle w:val="Normal2"/>
      </w:pPr>
      <w:r w:rsidRPr="002A76A0">
        <w:rPr>
          <w:b/>
        </w:rPr>
        <w:t xml:space="preserve">Marti Markus, BDP: </w:t>
      </w:r>
      <w:r w:rsidRPr="002A76A0">
        <w:t xml:space="preserve">Der Redner will das Ganze nicht unnötig verlängern und </w:t>
      </w:r>
      <w:r w:rsidRPr="00614411">
        <w:rPr>
          <w:u w:val="single"/>
        </w:rPr>
        <w:t>zieht den Antrag</w:t>
      </w:r>
      <w:r w:rsidRPr="002A76A0">
        <w:t xml:space="preserve"> zurück. Dem Redner wurde gesagt, dass eine Berechnung relativ schnell möglich sei.</w:t>
      </w:r>
    </w:p>
    <w:p w:rsidR="00EA2C23" w:rsidRPr="00493115" w:rsidP="00EA2C23">
      <w:pPr>
        <w:pStyle w:val="Normal2"/>
      </w:pPr>
    </w:p>
    <w:p w:rsidR="00EA2C23" w:rsidRPr="00493115" w:rsidP="00EA2C23">
      <w:pPr>
        <w:pStyle w:val="Protokollstruktur2"/>
      </w:pPr>
      <w:r w:rsidRPr="00493115">
        <w:t>Abstimmung</w:t>
      </w:r>
    </w:p>
    <w:tbl>
      <w:tblPr>
        <w:tblStyle w:val="TableGrid1"/>
        <w:tblW w:w="0" w:type="auto"/>
        <w:tblLook w:val="04A0"/>
      </w:tblPr>
      <w:tblGrid>
        <w:gridCol w:w="4247"/>
        <w:gridCol w:w="4247"/>
      </w:tblGrid>
      <w:tr w:rsidTr="004F614D">
        <w:tblPrEx>
          <w:tblW w:w="0" w:type="auto"/>
          <w:tblLook w:val="04A0"/>
        </w:tblPrEx>
        <w:tc>
          <w:tcPr>
            <w:tcW w:w="4247" w:type="dxa"/>
          </w:tcPr>
          <w:p w:rsidR="00EA2C23" w:rsidRPr="00493115" w:rsidP="004F614D">
            <w:pPr>
              <w:pStyle w:val="Beschlusstext6"/>
              <w:rPr>
                <w:sz w:val="16"/>
              </w:rPr>
            </w:pPr>
            <w:r w:rsidRPr="00493115">
              <w:rPr>
                <w:sz w:val="16"/>
              </w:rPr>
              <w:t>Antrag Fraktion EVP</w:t>
            </w:r>
          </w:p>
        </w:tc>
        <w:tc>
          <w:tcPr>
            <w:tcW w:w="4247" w:type="dxa"/>
          </w:tcPr>
          <w:p w:rsidR="00EA2C23" w:rsidRPr="00493115" w:rsidP="004F614D">
            <w:pPr>
              <w:pStyle w:val="Beschlusstext6"/>
              <w:rPr>
                <w:sz w:val="16"/>
              </w:rPr>
            </w:pPr>
            <w:r w:rsidRPr="00493115">
              <w:rPr>
                <w:sz w:val="16"/>
              </w:rPr>
              <w:t>Antrag GR</w:t>
            </w:r>
          </w:p>
        </w:tc>
      </w:tr>
      <w:tr w:rsidTr="004F614D">
        <w:tblPrEx>
          <w:tblW w:w="0" w:type="auto"/>
          <w:tblLook w:val="04A0"/>
        </w:tblPrEx>
        <w:tc>
          <w:tcPr>
            <w:tcW w:w="4247" w:type="dxa"/>
          </w:tcPr>
          <w:p w:rsidR="00EA2C23" w:rsidRPr="00493115" w:rsidP="004F614D">
            <w:pPr>
              <w:pStyle w:val="Beschlusstext6"/>
              <w:rPr>
                <w:b w:val="0"/>
                <w:u w:val="single"/>
              </w:rPr>
            </w:pPr>
            <w:r w:rsidRPr="00493115">
              <w:rPr>
                <w:b w:val="0"/>
              </w:rPr>
              <w:t>Produktegruppe 411.1; Kontrolle ruhender Verkehr - Variante mit 1‘500 Stunden</w:t>
            </w:r>
          </w:p>
        </w:tc>
        <w:tc>
          <w:tcPr>
            <w:tcW w:w="4247" w:type="dxa"/>
          </w:tcPr>
          <w:p w:rsidR="00EA2C23" w:rsidRPr="00493115" w:rsidP="004F614D">
            <w:pPr>
              <w:pStyle w:val="Normal2"/>
            </w:pPr>
            <w:r w:rsidRPr="00493115">
              <w:t>Produktegruppe 411.1; Kontrolle ruhender Verkehr – gemäss vorgeschlagene Variante mit 2‘400 Stunden</w:t>
            </w:r>
          </w:p>
          <w:p w:rsidR="00EA2C23" w:rsidRPr="00493115" w:rsidP="004F614D">
            <w:pPr>
              <w:pStyle w:val="Normal2"/>
              <w:rPr>
                <w:b/>
                <w:u w:val="single"/>
              </w:rPr>
            </w:pPr>
          </w:p>
        </w:tc>
      </w:tr>
      <w:tr w:rsidTr="004F614D">
        <w:tblPrEx>
          <w:tblW w:w="0" w:type="auto"/>
          <w:tblLook w:val="04A0"/>
        </w:tblPrEx>
        <w:tc>
          <w:tcPr>
            <w:tcW w:w="4247" w:type="dxa"/>
            <w:tcBorders>
              <w:bottom w:val="single" w:sz="4" w:space="0" w:color="auto"/>
            </w:tcBorders>
          </w:tcPr>
          <w:p w:rsidR="00EA2C23" w:rsidRPr="00493115" w:rsidP="004F614D">
            <w:pPr>
              <w:pStyle w:val="Beschlusstext6"/>
            </w:pPr>
            <w:r w:rsidRPr="00493115">
              <w:t>4 Stimmen</w:t>
            </w:r>
          </w:p>
        </w:tc>
        <w:tc>
          <w:tcPr>
            <w:tcW w:w="4247" w:type="dxa"/>
            <w:tcBorders>
              <w:bottom w:val="single" w:sz="4" w:space="0" w:color="auto"/>
            </w:tcBorders>
          </w:tcPr>
          <w:p w:rsidR="00EA2C23" w:rsidRPr="00493115" w:rsidP="004F614D">
            <w:pPr>
              <w:pStyle w:val="Beschlusstext6"/>
            </w:pPr>
            <w:r w:rsidRPr="00493115">
              <w:t>26 Stimmen</w:t>
            </w:r>
          </w:p>
        </w:tc>
      </w:tr>
      <w:tr w:rsidTr="004F614D">
        <w:tblPrEx>
          <w:tblW w:w="0" w:type="auto"/>
          <w:tblLook w:val="04A0"/>
        </w:tblPrEx>
        <w:tc>
          <w:tcPr>
            <w:tcW w:w="4247" w:type="dxa"/>
            <w:tcBorders>
              <w:top w:val="single" w:sz="4" w:space="0" w:color="auto"/>
              <w:left w:val="nil"/>
              <w:bottom w:val="nil"/>
              <w:right w:val="single" w:sz="4" w:space="0" w:color="auto"/>
            </w:tcBorders>
            <w:shd w:val="clear" w:color="auto" w:fill="auto"/>
          </w:tcPr>
          <w:p w:rsidR="00EA2C23" w:rsidRPr="00493115" w:rsidP="004F614D">
            <w:pPr>
              <w:pStyle w:val="Beschlusstext6"/>
            </w:pPr>
          </w:p>
        </w:tc>
        <w:tc>
          <w:tcPr>
            <w:tcW w:w="4247" w:type="dxa"/>
            <w:tcBorders>
              <w:left w:val="single" w:sz="4" w:space="0" w:color="auto"/>
              <w:bottom w:val="single" w:sz="4" w:space="0" w:color="auto"/>
              <w:right w:val="single" w:sz="4" w:space="0" w:color="auto"/>
            </w:tcBorders>
          </w:tcPr>
          <w:p w:rsidR="00EA2C23" w:rsidRPr="00493115" w:rsidP="004F614D">
            <w:pPr>
              <w:pStyle w:val="Beschlusstext6"/>
              <w:jc w:val="both"/>
            </w:pPr>
            <w:r w:rsidRPr="00493115">
              <w:t>Gewinner: Antrag GR</w:t>
            </w:r>
          </w:p>
        </w:tc>
      </w:tr>
    </w:tbl>
    <w:p w:rsidR="004A5AFD" w:rsidP="00EA2C23">
      <w:pPr>
        <w:pStyle w:val="Normal2"/>
        <w:rPr>
          <w:b/>
        </w:rPr>
      </w:pPr>
    </w:p>
    <w:p w:rsidR="004A5AFD">
      <w:pPr>
        <w:spacing w:line="240" w:lineRule="auto"/>
        <w:rPr>
          <w:b/>
        </w:rPr>
      </w:pPr>
      <w:r>
        <w:rPr>
          <w:b/>
        </w:rPr>
        <w:br w:type="page"/>
      </w:r>
    </w:p>
    <w:p w:rsidR="00EA2C23" w:rsidRPr="002A76A0" w:rsidP="00EA2C23">
      <w:pPr>
        <w:pStyle w:val="Normal2"/>
        <w:rPr>
          <w:b/>
        </w:rPr>
      </w:pPr>
      <w:r w:rsidRPr="002A76A0">
        <w:rPr>
          <w:b/>
        </w:rPr>
        <w:t>Finanzplan</w:t>
      </w:r>
    </w:p>
    <w:p w:rsidR="00EA2C23" w:rsidRPr="002A76A0" w:rsidP="00EA2C23">
      <w:pPr>
        <w:pStyle w:val="Normal2"/>
      </w:pPr>
      <w:r w:rsidRPr="002A76A0">
        <w:rPr>
          <w:b/>
        </w:rPr>
        <w:t xml:space="preserve">Stettler René, BDP: </w:t>
      </w:r>
      <w:r w:rsidRPr="002A76A0">
        <w:t xml:space="preserve">Die Fraktion BDP bedankt sich für die Unterlagen, Finanzplan 2016 – 2021 sowie für das Investitionsprogramm. Anhand der Papiere kann man sehen, dass die Gemeinde Lyss auf dem richtigen Weg ist. Die Fraktion BDP wird den Finanzplan genehmigen. Der Redner hat noch einen kleinen Anstoss zum Investitionsprogramm. Aufgrund der massiven Bautätigkeit in Lyss, wurde vor nicht langer Zeit an der GGR Sitzung gefragt, ob die Gemeinde Lyss noch über genügend Schulraum verfüge. Die Frage wurde nach diversen Abklärungen mit „Ja“ beantwortet. Nun ist im Investitionsprogramm jedoch der </w:t>
      </w:r>
      <w:r>
        <w:t>Schulhausbau Grentschel von Fr. </w:t>
      </w:r>
      <w:r w:rsidRPr="002A76A0">
        <w:t xml:space="preserve">10 Mio. aufgeführt. Für die Fraktion BDP ist diese Planung zu wenig weitsichtig gemacht worden. Der Redner ist der Meinung, dass ein anderer Weg eingeschlagen werden sollte. Beispielsweise könnte der Altbau Stegmattschulhaus abgebrochen und nicht saniert werden. An diesem Standort könnte neuer Schulraum mit </w:t>
      </w:r>
      <w:r>
        <w:t xml:space="preserve">einem </w:t>
      </w:r>
      <w:r w:rsidRPr="002A76A0">
        <w:t>Sportplatz realisiert werden. Das Einzugsgebiet Stegmatt wird grösser als das Gebiet Rossi. Hinzu kommen das bereits erstellte Stiglimatt-Quartier</w:t>
      </w:r>
      <w:r>
        <w:t>,</w:t>
      </w:r>
      <w:r w:rsidRPr="002A76A0">
        <w:t xml:space="preserve"> das geplante Kambly-Areal mit rund 180 Wohneinheiten sowie das Hochhaus am Juraweg mit rund 70 neuen Wohneinheiten. Ein Neubau Stegmattschulhaus wäre eine Variante, welche auch ins Auge gefasst werden sollte.</w:t>
      </w:r>
    </w:p>
    <w:p w:rsidR="00EA2C23" w:rsidRPr="002A76A0" w:rsidP="00EA2C23">
      <w:pPr>
        <w:pStyle w:val="Normal2"/>
      </w:pPr>
    </w:p>
    <w:p w:rsidR="00EA2C23" w:rsidRPr="002A76A0" w:rsidP="00EA2C23">
      <w:pPr>
        <w:pStyle w:val="Normal2"/>
      </w:pPr>
      <w:r w:rsidRPr="002A76A0">
        <w:rPr>
          <w:b/>
        </w:rPr>
        <w:t xml:space="preserve">Stähli Daniel, FDP: </w:t>
      </w:r>
      <w:r w:rsidRPr="002A76A0">
        <w:t xml:space="preserve">Der Redner hat noch eine Bemerkung zum Investitionsprogramm 2016 – 2021. Bezüglich Schulraum liegt die Strategie zu den Schulen Lyss vor, welche zeigt, wo welcher Schulraum notwendig </w:t>
      </w:r>
      <w:r w:rsidRPr="002927DA">
        <w:t>wird. Als Mitglied des GGR war der Redner auch mitverantwortlich für Kürzungen von den Unterhaltsbudgets. Der Redner hat nun Mühe, als er gesehen hat, dass gewisse Gesamtsanierung</w:t>
      </w:r>
      <w:r>
        <w:t>en</w:t>
      </w:r>
      <w:r w:rsidRPr="002927DA">
        <w:t xml:space="preserve"> im Investitionsprogramm nach hinten verschoben wurden.</w:t>
      </w:r>
      <w:r w:rsidRPr="002A76A0">
        <w:t xml:space="preserve"> Insbesondere die Schulanlage Stegmatt ist nun wirklich dringendst sanierungsbedürftig und ist in den letzten Jahren nach hinten verschoben worden. Die Gemeinde Lyss verliert natürlich an Glaubwürdigkeit, wenn der Rat immer vertreten hat, dass eine Gesamtsanierung mehr Sinn mache als </w:t>
      </w:r>
      <w:r>
        <w:t>„</w:t>
      </w:r>
      <w:r w:rsidRPr="002A76A0">
        <w:t>Unterhaltspflästerli</w:t>
      </w:r>
      <w:r>
        <w:t>“</w:t>
      </w:r>
      <w:r w:rsidRPr="002A76A0">
        <w:t xml:space="preserve"> zu setzen. Wenn diese Sanierungen dann aber immer wieder nach hinten verschoben werden, geht die Glaubwürdigkeit verloren. Der Redner hofft, dass der GR die Gesamtsanierung der Schulanlage Stegmatt nun wie vorgesehen rasch an die Hand nimmt. Gemäss Informationen von Christen Rolf, GR</w:t>
      </w:r>
      <w:r>
        <w:t>,</w:t>
      </w:r>
      <w:r w:rsidRPr="002A76A0">
        <w:t xml:space="preserve"> sei die Sanierung aufgrund der Strategieentscheide zu den Schulen Lyss noch einmal verschoben worden. Dies weil für die Sanierung zuerst Platz gemacht werden muss, z. B. durch die Dezentralisierung der Tagesschule. Trotz Steuersenkung ist es wichtig, dass die im Investitionsprogramm vorgesehenen Gesamtsanierungen und Investitionen planmässig vorangetrieben werden. Nur so kann die immer noch stark wachsende Gemeinde Lyss ihre Attraktivität halten.</w:t>
      </w:r>
    </w:p>
    <w:p w:rsidR="00EA2C23" w:rsidRPr="002A76A0" w:rsidP="00EA2C23">
      <w:pPr>
        <w:pStyle w:val="Normal2"/>
      </w:pPr>
    </w:p>
    <w:p w:rsidR="00EA2C23" w:rsidRPr="002A76A0" w:rsidP="00EA2C23">
      <w:pPr>
        <w:pStyle w:val="Normal2"/>
        <w:rPr>
          <w:b/>
        </w:rPr>
      </w:pPr>
      <w:r w:rsidRPr="002A76A0">
        <w:rPr>
          <w:b/>
        </w:rPr>
        <w:t xml:space="preserve">Nobs Stefan, Gemeinderat, FDP: </w:t>
      </w:r>
      <w:r w:rsidRPr="002A76A0">
        <w:t xml:space="preserve">Es ist richtig, dass die Gesamtsanierung des Schulhaus Stegmatt um ein Jahr verschoben wurde. Diese Verschiebung hat einen Zusammenhang mit der Erfahrung aus dem Umbau des Kirchenfeldschulhauses. Die Sanierung fand unter </w:t>
      </w:r>
      <w:r>
        <w:t>Schulb</w:t>
      </w:r>
      <w:r w:rsidRPr="002A76A0">
        <w:t>etrieb statt und führte zu einigen Problemen. Die Schule Lyss ist auf den Pavillon beim Stegmattschulhaus angewiesen um eine Gesamtsanierung durchführen zu können. Bevor jedoch der Pavillon zur Verfügung steht, muss zuerst die Tagesschule dezentralisiert werden. Möglicherweise wird es auch noch einen weiteren Pavillon benötigen um den täglichen Betrieb aufrechterhalten zu können.</w:t>
      </w:r>
    </w:p>
    <w:p w:rsidR="00EA2C23" w:rsidRPr="00614411" w:rsidP="00EA2C23">
      <w:pPr>
        <w:pStyle w:val="Normal2"/>
      </w:pPr>
    </w:p>
    <w:p w:rsidR="00EA2C23" w:rsidRPr="00AF6238" w:rsidP="00EA2C23">
      <w:pPr>
        <w:pStyle w:val="Normal2"/>
        <w:spacing w:line="240" w:lineRule="auto"/>
        <w:rPr>
          <w:sz w:val="2"/>
          <w:szCs w:val="2"/>
        </w:rPr>
      </w:pPr>
    </w:p>
    <w:p w:rsidR="00EA2C23" w:rsidRPr="00A01177" w:rsidP="00EA2C23">
      <w:pPr>
        <w:pStyle w:val="Beschlusstitel2"/>
        <w:rPr>
          <w:b w:val="0"/>
        </w:rPr>
      </w:pPr>
      <w:r>
        <w:t>Antrag</w:t>
      </w:r>
      <w:r>
        <w:tab/>
      </w:r>
      <w:r w:rsidRPr="00A01177">
        <w:rPr>
          <w:b w:val="0"/>
        </w:rPr>
        <w:t>einstimmig (ohne Gegenstimme)</w:t>
      </w:r>
    </w:p>
    <w:p w:rsidR="00EA2C23" w:rsidRPr="00A01177" w:rsidP="00EA2C23">
      <w:pPr>
        <w:pStyle w:val="Normal0"/>
        <w:rPr>
          <w:b/>
        </w:rPr>
      </w:pPr>
      <w:r w:rsidRPr="00A01177">
        <w:rPr>
          <w:b/>
        </w:rPr>
        <w:t>Der GGR beschliesst</w:t>
      </w:r>
    </w:p>
    <w:p w:rsidR="00EA2C23" w:rsidRPr="0012706E" w:rsidP="00EA2C23">
      <w:pPr>
        <w:pStyle w:val="Normal0"/>
        <w:numPr>
          <w:ilvl w:val="0"/>
          <w:numId w:val="24"/>
        </w:numPr>
        <w:ind w:left="284" w:hanging="284"/>
        <w:rPr>
          <w:rFonts w:cs="Arial"/>
          <w:b/>
          <w:lang w:eastAsia="de-CH"/>
        </w:rPr>
      </w:pPr>
      <w:r w:rsidRPr="0012706E">
        <w:rPr>
          <w:rFonts w:cs="Arial"/>
          <w:b/>
          <w:lang w:eastAsia="de-CH"/>
        </w:rPr>
        <w:t>Das Budget 201</w:t>
      </w:r>
      <w:r>
        <w:rPr>
          <w:rFonts w:cs="Arial"/>
          <w:b/>
          <w:lang w:eastAsia="de-CH"/>
        </w:rPr>
        <w:t>7</w:t>
      </w:r>
      <w:r w:rsidRPr="0012706E">
        <w:rPr>
          <w:rFonts w:cs="Arial"/>
          <w:b/>
          <w:lang w:eastAsia="de-CH"/>
        </w:rPr>
        <w:t xml:space="preserve"> mit einem Defizit von Fr. </w:t>
      </w:r>
      <w:r>
        <w:rPr>
          <w:rFonts w:cs="Arial"/>
          <w:b/>
          <w:lang w:eastAsia="de-CH"/>
        </w:rPr>
        <w:t>870‘000.00.</w:t>
      </w:r>
    </w:p>
    <w:p w:rsidR="00EA2C23" w:rsidRPr="0012706E" w:rsidP="00EA2C23">
      <w:pPr>
        <w:pStyle w:val="Normal0"/>
        <w:numPr>
          <w:ilvl w:val="0"/>
          <w:numId w:val="24"/>
        </w:numPr>
        <w:ind w:left="284" w:hanging="284"/>
        <w:rPr>
          <w:rFonts w:cs="Arial"/>
          <w:b/>
          <w:lang w:eastAsia="de-CH"/>
        </w:rPr>
      </w:pPr>
      <w:r w:rsidRPr="0012706E">
        <w:rPr>
          <w:rFonts w:cs="Arial"/>
          <w:b/>
          <w:lang w:eastAsia="de-CH"/>
        </w:rPr>
        <w:t xml:space="preserve">Die Gemeindesteuer auf den Gegenständen der Staatssteuern (Einkommen, Vermögen, Gewinn, Kapital) beträgt </w:t>
      </w:r>
      <w:r>
        <w:rPr>
          <w:rFonts w:cs="Arial"/>
          <w:b/>
          <w:lang w:eastAsia="de-CH"/>
        </w:rPr>
        <w:t xml:space="preserve">neu </w:t>
      </w:r>
      <w:r w:rsidRPr="0012706E">
        <w:rPr>
          <w:rFonts w:cs="Arial"/>
          <w:b/>
          <w:lang w:eastAsia="de-CH"/>
        </w:rPr>
        <w:t>das 1,</w:t>
      </w:r>
      <w:r>
        <w:rPr>
          <w:rFonts w:cs="Arial"/>
          <w:b/>
          <w:lang w:eastAsia="de-CH"/>
        </w:rPr>
        <w:t>65</w:t>
      </w:r>
      <w:r w:rsidRPr="0012706E">
        <w:rPr>
          <w:rFonts w:cs="Arial"/>
          <w:b/>
          <w:lang w:eastAsia="de-CH"/>
        </w:rPr>
        <w:t>-fache des kantonalen Einheitsansatzes.</w:t>
      </w:r>
    </w:p>
    <w:p w:rsidR="00EA2C23" w:rsidRPr="0012706E" w:rsidP="00EA2C23">
      <w:pPr>
        <w:pStyle w:val="Normal0"/>
        <w:numPr>
          <w:ilvl w:val="0"/>
          <w:numId w:val="24"/>
        </w:numPr>
        <w:ind w:left="284" w:hanging="284"/>
        <w:rPr>
          <w:rFonts w:cs="Arial"/>
          <w:b/>
          <w:lang w:eastAsia="de-CH"/>
        </w:rPr>
      </w:pPr>
      <w:r w:rsidRPr="0012706E">
        <w:rPr>
          <w:rFonts w:cs="Arial"/>
          <w:b/>
          <w:lang w:eastAsia="de-CH"/>
        </w:rPr>
        <w:t>Die Liegenschaftssteuer beträgt unverändert 1,0 Promille des amtlichen Wertes.</w:t>
      </w:r>
    </w:p>
    <w:p w:rsidR="00EA2C23" w:rsidRPr="0012706E" w:rsidP="00EA2C23">
      <w:pPr>
        <w:pStyle w:val="Normal0"/>
        <w:numPr>
          <w:ilvl w:val="0"/>
          <w:numId w:val="24"/>
        </w:numPr>
        <w:ind w:left="284" w:hanging="284"/>
        <w:rPr>
          <w:rFonts w:cs="Arial"/>
          <w:b/>
          <w:lang w:eastAsia="de-CH"/>
        </w:rPr>
      </w:pPr>
      <w:r w:rsidRPr="0012706E">
        <w:rPr>
          <w:rFonts w:cs="Arial"/>
          <w:b/>
          <w:lang w:eastAsia="de-CH"/>
        </w:rPr>
        <w:t>Das Globalbudget wird mit den vorgelegten Indikatoren und Standards genehmigt.</w:t>
      </w:r>
    </w:p>
    <w:p w:rsidR="00EA2C23" w:rsidP="00EA2C23">
      <w:pPr>
        <w:pStyle w:val="Normal0"/>
        <w:numPr>
          <w:ilvl w:val="0"/>
          <w:numId w:val="24"/>
        </w:numPr>
        <w:ind w:left="284" w:hanging="284"/>
        <w:rPr>
          <w:rFonts w:cs="Arial"/>
          <w:b/>
          <w:lang w:eastAsia="de-CH"/>
        </w:rPr>
      </w:pPr>
      <w:r w:rsidRPr="0012706E">
        <w:rPr>
          <w:rFonts w:cs="Arial"/>
          <w:b/>
          <w:lang w:eastAsia="de-CH"/>
        </w:rPr>
        <w:t>Der Finanz</w:t>
      </w:r>
      <w:r>
        <w:rPr>
          <w:rFonts w:cs="Arial"/>
          <w:b/>
          <w:lang w:eastAsia="de-CH"/>
        </w:rPr>
        <w:t>plan</w:t>
      </w:r>
      <w:r w:rsidRPr="0012706E">
        <w:rPr>
          <w:rFonts w:cs="Arial"/>
          <w:b/>
          <w:lang w:eastAsia="de-CH"/>
        </w:rPr>
        <w:t xml:space="preserve"> 201</w:t>
      </w:r>
      <w:r>
        <w:rPr>
          <w:rFonts w:cs="Arial"/>
          <w:b/>
          <w:lang w:eastAsia="de-CH"/>
        </w:rPr>
        <w:t>6</w:t>
      </w:r>
      <w:r w:rsidRPr="0012706E">
        <w:rPr>
          <w:rFonts w:cs="Arial"/>
          <w:b/>
          <w:lang w:eastAsia="de-CH"/>
        </w:rPr>
        <w:t xml:space="preserve"> – 202</w:t>
      </w:r>
      <w:r>
        <w:rPr>
          <w:rFonts w:cs="Arial"/>
          <w:b/>
          <w:lang w:eastAsia="de-CH"/>
        </w:rPr>
        <w:t>1</w:t>
      </w:r>
      <w:r w:rsidRPr="0012706E">
        <w:rPr>
          <w:rFonts w:cs="Arial"/>
          <w:b/>
          <w:lang w:eastAsia="de-CH"/>
        </w:rPr>
        <w:t xml:space="preserve"> wird genehmigt</w:t>
      </w:r>
      <w:r>
        <w:rPr>
          <w:rFonts w:cs="Arial"/>
          <w:b/>
          <w:lang w:eastAsia="de-CH"/>
        </w:rPr>
        <w:t xml:space="preserve"> und nimmt</w:t>
      </w:r>
      <w:r w:rsidRPr="0012706E">
        <w:rPr>
          <w:rFonts w:cs="Arial"/>
          <w:b/>
          <w:lang w:eastAsia="de-CH"/>
        </w:rPr>
        <w:t xml:space="preserve"> </w:t>
      </w:r>
      <w:r>
        <w:rPr>
          <w:rFonts w:cs="Arial"/>
          <w:b/>
          <w:lang w:eastAsia="de-CH"/>
        </w:rPr>
        <w:t>Kenntnis vom Investitionsprogramm.</w:t>
      </w:r>
    </w:p>
    <w:p w:rsidR="00EA2C23" w:rsidRPr="0012706E" w:rsidP="00EA2C23">
      <w:pPr>
        <w:pStyle w:val="Normal0"/>
        <w:rPr>
          <w:rFonts w:cs="Arial"/>
          <w:b/>
          <w:lang w:eastAsia="de-CH"/>
        </w:rPr>
      </w:pPr>
    </w:p>
    <w:p w:rsidR="00EA2C23" w:rsidRPr="0012706E" w:rsidP="00EA2C23">
      <w:pPr>
        <w:pStyle w:val="Normal0"/>
        <w:rPr>
          <w:rFonts w:cs="Arial"/>
          <w:b/>
          <w:lang w:eastAsia="de-CH"/>
        </w:rPr>
      </w:pPr>
      <w:r w:rsidRPr="0012706E">
        <w:rPr>
          <w:rFonts w:cs="Arial"/>
          <w:b/>
          <w:lang w:eastAsia="de-CH"/>
        </w:rPr>
        <w:t>Der Beschluss über das Budget 201</w:t>
      </w:r>
      <w:r>
        <w:rPr>
          <w:rFonts w:cs="Arial"/>
          <w:b/>
          <w:lang w:eastAsia="de-CH"/>
        </w:rPr>
        <w:t>7</w:t>
      </w:r>
      <w:r w:rsidRPr="0012706E">
        <w:rPr>
          <w:rFonts w:cs="Arial"/>
          <w:b/>
          <w:lang w:eastAsia="de-CH"/>
        </w:rPr>
        <w:t xml:space="preserve"> untersteht der fakultativen Volksabstimmung gemäss Art 46 Bst. c der Gemeindeordnung (GO). </w:t>
      </w:r>
    </w:p>
    <w:p w:rsidR="004B46E9" w:rsidP="004B46E9">
      <w:pPr>
        <w:pStyle w:val="Beschlusstext"/>
      </w:pPr>
    </w:p>
    <w:p w:rsidR="004B46E9" w:rsidRPr="00AF6238" w:rsidP="004B46E9">
      <w:pPr>
        <w:pStyle w:val="Beschlusstext"/>
        <w:spacing w:line="360" w:lineRule="auto"/>
        <w:rPr>
          <w:sz w:val="2"/>
          <w:szCs w:val="2"/>
        </w:rPr>
      </w:pPr>
    </w:p>
    <w:tbl>
      <w:tblPr>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8"/>
        <w:gridCol w:w="7532"/>
      </w:tblGrid>
      <w:tr w:rsidTr="00AC2DA2">
        <w:tblPrEx>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Pr>
        <w:tc>
          <w:tcPr>
            <w:tcW w:w="1468" w:type="dxa"/>
            <w:tcBorders>
              <w:top w:val="nil"/>
              <w:left w:val="nil"/>
              <w:bottom w:val="nil"/>
              <w:right w:val="nil"/>
            </w:tcBorders>
          </w:tcPr>
          <w:p w:rsidR="00081263" w:rsidRPr="00AF6238" w:rsidP="00AC2DA2">
            <w:pPr>
              <w:spacing w:line="200" w:lineRule="exact"/>
            </w:pPr>
            <w:r w:rsidRPr="00AF6238">
              <w:rPr>
                <w:sz w:val="16"/>
              </w:rPr>
              <w:t>Beilagen</w:t>
            </w:r>
          </w:p>
        </w:tc>
        <w:tc>
          <w:tcPr>
            <w:tcW w:w="7532" w:type="dxa"/>
            <w:tcBorders>
              <w:top w:val="nil"/>
              <w:left w:val="nil"/>
              <w:bottom w:val="nil"/>
              <w:right w:val="nil"/>
            </w:tcBorders>
          </w:tcPr>
          <w:p w:rsidR="00081263" w:rsidP="00AC2DA2">
            <w:pPr>
              <w:spacing w:line="200" w:lineRule="exact"/>
              <w:rPr>
                <w:sz w:val="16"/>
              </w:rPr>
            </w:pPr>
            <w:r>
              <w:rPr>
                <w:sz w:val="16"/>
              </w:rPr>
              <w:t>Budget 2017</w:t>
            </w:r>
          </w:p>
          <w:p w:rsidR="00081263" w:rsidRPr="00AF6238" w:rsidP="00AC2DA2">
            <w:pPr>
              <w:spacing w:line="200" w:lineRule="exact"/>
              <w:rPr>
                <w:sz w:val="16"/>
              </w:rPr>
            </w:pPr>
            <w:r>
              <w:rPr>
                <w:sz w:val="16"/>
              </w:rPr>
              <w:t>Finanzplan und Investitionsprogramm 2016 - 2021</w:t>
            </w:r>
          </w:p>
        </w:tc>
      </w:tr>
    </w:tbl>
    <w:p w:rsidR="004B46E9" w:rsidP="00DA0286">
      <w:bookmarkStart w:id="11" w:name="_GoBack"/>
      <w:bookmarkEnd w:id="11"/>
    </w:p>
    <w:p w:rsidR="00081263" w:rsidP="00DA0286"/>
    <w:p w:rsidR="00081263"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47 LightCn">
    <w:altName w:val="Franklin Gothic Medium Cond"/>
    <w:charset w:val="00"/>
    <w:family w:val="auto"/>
    <w:pitch w:val="variable"/>
    <w:sig w:usb0="00000003" w:usb1="00000000" w:usb2="00000000" w:usb3="00000000" w:csb0="00000001"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sidR="0052147C">
      <w:rPr>
        <w:rStyle w:val="PageNumber"/>
        <w:rFonts w:ascii="Frutiger 55 Roman" w:hAnsi="Frutiger 55 Roman"/>
        <w:noProof/>
        <w:sz w:val="16"/>
      </w:rPr>
      <w:t>9</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DA2219">
      <w:fldChar w:fldCharType="begin"/>
    </w:r>
    <w:r>
      <w:instrText xml:space="preserve"> NUMPAGES  \* Arabic  \* MERGEFORMAT </w:instrText>
    </w:r>
    <w:r w:rsidRPr="00DA2219">
      <w:fldChar w:fldCharType="separate"/>
    </w:r>
    <w:r w:rsidRPr="0052147C" w:rsidR="0052147C">
      <w:rPr>
        <w:rFonts w:ascii="Frutiger 55 Roman" w:hAnsi="Frutiger 55 Roman"/>
        <w:noProof/>
        <w:sz w:val="16"/>
        <w:szCs w:val="16"/>
      </w:rPr>
      <w:t>9</w:t>
    </w:r>
    <w:r w:rsidRPr="00DA2219">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52147C">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DA2219">
      <w:fldChar w:fldCharType="begin"/>
    </w:r>
    <w:r>
      <w:instrText xml:space="preserve"> NUMPAGES  \* Arabic  \* MERGEFORMAT </w:instrText>
    </w:r>
    <w:r w:rsidRPr="00DA2219">
      <w:fldChar w:fldCharType="separate"/>
    </w:r>
    <w:r w:rsidRPr="0052147C" w:rsidR="0052147C">
      <w:rPr>
        <w:rFonts w:ascii="Frutiger 55 Roman" w:hAnsi="Frutiger 55 Roman"/>
        <w:noProof/>
        <w:sz w:val="16"/>
        <w:szCs w:val="16"/>
      </w:rPr>
      <w:t>5</w:t>
    </w:r>
    <w:r w:rsidRPr="00DA2219">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3D4112"/>
    <w:multiLevelType w:val="hybridMultilevel"/>
    <w:tmpl w:val="F10CEE6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24D24EF"/>
    <w:multiLevelType w:val="hybridMultilevel"/>
    <w:tmpl w:val="73E46F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84E03EB"/>
    <w:multiLevelType w:val="hybridMultilevel"/>
    <w:tmpl w:val="4EAEC6A0"/>
    <w:lvl w:ilvl="0">
      <w:start w:val="0"/>
      <w:numFmt w:val="bullet"/>
      <w:lvlText w:val="-"/>
      <w:lvlJc w:val="left"/>
      <w:pPr>
        <w:ind w:left="927" w:hanging="360"/>
      </w:pPr>
      <w:rPr>
        <w:rFonts w:ascii="Arial" w:eastAsia="Times New Roman" w:hAnsi="Arial" w:cs="Arial" w:hint="default"/>
      </w:rPr>
    </w:lvl>
    <w:lvl w:ilvl="1" w:tentative="1">
      <w:start w:val="1"/>
      <w:numFmt w:val="bullet"/>
      <w:lvlText w:val="o"/>
      <w:lvlJc w:val="left"/>
      <w:pPr>
        <w:ind w:left="1647" w:hanging="360"/>
      </w:pPr>
      <w:rPr>
        <w:rFonts w:ascii="Courier New" w:hAnsi="Courier New" w:cs="Courier New" w:hint="default"/>
      </w:rPr>
    </w:lvl>
    <w:lvl w:ilvl="2" w:tentative="1">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6">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7">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2FFF12B7"/>
    <w:multiLevelType w:val="hybridMultilevel"/>
    <w:tmpl w:val="369C830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11">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584A5D6F"/>
    <w:multiLevelType w:val="hybridMultilevel"/>
    <w:tmpl w:val="4FA86968"/>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4">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767E197D"/>
    <w:multiLevelType w:val="hybridMultilevel"/>
    <w:tmpl w:val="73E46FF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767E1983"/>
    <w:multiLevelType w:val="hybridMultilevel"/>
    <w:tmpl w:val="E9D41F90"/>
    <w:lvl w:ilvl="0">
      <w:start w:val="1"/>
      <w:numFmt w:val="bullet"/>
      <w:lvlText w:val="-"/>
      <w:lvlJc w:val="left"/>
      <w:pPr>
        <w:ind w:left="360" w:hanging="360"/>
      </w:pPr>
      <w:rPr>
        <w:rFonts w:ascii="Frutiger LT 47 LightCn" w:hAnsi="Frutiger LT 47 LightCn" w:hint="default"/>
        <w:b w:val="0"/>
        <w:i w:val="0"/>
        <w:caps w:val="0"/>
        <w:strike w:val="0"/>
        <w:dstrike w:val="0"/>
        <w:outline w:val="0"/>
        <w:shadow w:val="0"/>
        <w:emboss w:val="0"/>
        <w:imprint w:val="0"/>
        <w:vanish w:val="0"/>
        <w:webHidden w:val="0"/>
        <w:sz w:val="18"/>
        <w:u w:val="none"/>
        <w:effect w:val="none"/>
        <w:vertAlign w:val="baseline"/>
        <w:specVanish w:val="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abstractNumId w:val="14"/>
  </w:num>
  <w:num w:numId="2">
    <w:abstractNumId w:val="1"/>
  </w:num>
  <w:num w:numId="3">
    <w:abstractNumId w:val="1"/>
  </w:num>
  <w:num w:numId="4">
    <w:abstractNumId w:val="0"/>
  </w:num>
  <w:num w:numId="5">
    <w:abstractNumId w:val="0"/>
  </w:num>
  <w:num w:numId="6">
    <w:abstractNumId w:val="11"/>
  </w:num>
  <w:num w:numId="7">
    <w:abstractNumId w:val="11"/>
  </w:num>
  <w:num w:numId="8">
    <w:abstractNumId w:val="11"/>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7"/>
  </w:num>
  <w:num w:numId="12">
    <w:abstractNumId w:val="16"/>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9"/>
  </w:num>
  <w:num w:numId="16">
    <w:abstractNumId w:val="15"/>
  </w:num>
  <w:num w:numId="17">
    <w:abstractNumId w:val="12"/>
  </w:num>
  <w:num w:numId="18">
    <w:abstractNumId w:val="2"/>
  </w:num>
  <w:num w:numId="19">
    <w:abstractNumId w:val="13"/>
  </w:num>
  <w:num w:numId="20">
    <w:abstractNumId w:val="5"/>
  </w:num>
  <w:num w:numId="21">
    <w:abstractNumId w:val="3"/>
  </w:num>
  <w:num w:numId="22">
    <w:abstractNumId w:val="19"/>
  </w:num>
  <w:num w:numId="23">
    <w:abstractNumId w:val="18"/>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6">
    <w:name w:val="Normal_6"/>
    <w:qFormat/>
    <w:rsid w:val="00614411"/>
    <w:pPr>
      <w:spacing w:line="240" w:lineRule="exact"/>
    </w:pPr>
    <w:rPr>
      <w:rFonts w:ascii="Arial" w:hAnsi="Arial"/>
      <w:lang w:eastAsia="de-DE"/>
    </w:rPr>
  </w:style>
  <w:style w:type="table" w:customStyle="1" w:styleId="TableGrid1">
    <w:name w:val="Table Grid_1"/>
    <w:basedOn w:val="TableNormal"/>
    <w:rsid w:val="00614411"/>
    <w:rPr>
      <w:rFonts w:ascii="Arial" w:hAnsi="Arial"/>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lusstext6">
    <w:name w:val="Beschlusstext_6"/>
    <w:basedOn w:val="Normal"/>
    <w:link w:val="BeschlusstextZchn6"/>
    <w:rsid w:val="00614411"/>
    <w:rPr>
      <w:b/>
    </w:rPr>
  </w:style>
  <w:style w:type="character" w:customStyle="1" w:styleId="BeschlusstextZchn6">
    <w:name w:val="Beschlusstext Zchn_6"/>
    <w:link w:val="Beschlusstext6"/>
    <w:rsid w:val="00614411"/>
    <w:rPr>
      <w:rFonts w:ascii="Arial" w:hAnsi="Arial"/>
      <w:b/>
      <w:lang w:eastAsia="de-DE"/>
    </w:rPr>
  </w:style>
  <w:style w:type="paragraph" w:customStyle="1" w:styleId="Normal0">
    <w:name w:val="Normal_0"/>
    <w:qFormat/>
    <w:rsid w:val="00EA2C23"/>
    <w:pPr>
      <w:spacing w:line="240" w:lineRule="exact"/>
    </w:pPr>
    <w:rPr>
      <w:rFonts w:ascii="Arial" w:hAnsi="Arial"/>
      <w:lang w:eastAsia="de-DE"/>
    </w:rPr>
  </w:style>
  <w:style w:type="paragraph" w:customStyle="1" w:styleId="Normal2">
    <w:name w:val="Normal_2"/>
    <w:qFormat/>
    <w:rsid w:val="00EA2C23"/>
    <w:pPr>
      <w:spacing w:line="240" w:lineRule="exact"/>
    </w:pPr>
    <w:rPr>
      <w:rFonts w:ascii="Arial" w:hAnsi="Arial"/>
      <w:lang w:eastAsia="de-DE"/>
    </w:rPr>
  </w:style>
  <w:style w:type="paragraph" w:customStyle="1" w:styleId="ListParagraph1">
    <w:name w:val="List Paragraph_1"/>
    <w:basedOn w:val="Normal2"/>
    <w:uiPriority w:val="34"/>
    <w:qFormat/>
    <w:rsid w:val="00EA2C23"/>
    <w:pPr>
      <w:ind w:left="720"/>
      <w:contextualSpacing/>
    </w:pPr>
  </w:style>
  <w:style w:type="paragraph" w:customStyle="1" w:styleId="Protokollstruktur2">
    <w:name w:val="Protokollstruktur_2"/>
    <w:basedOn w:val="Normal2"/>
    <w:next w:val="Normal2"/>
    <w:link w:val="ProtokollstrukturZchn2"/>
    <w:rsid w:val="00EA2C23"/>
    <w:pPr>
      <w:ind w:left="-340"/>
    </w:pPr>
    <w:rPr>
      <w:sz w:val="16"/>
    </w:rPr>
  </w:style>
  <w:style w:type="character" w:customStyle="1" w:styleId="ProtokollstrukturZchn2">
    <w:name w:val="Protokollstruktur Zchn_2"/>
    <w:link w:val="Protokollstruktur2"/>
    <w:rsid w:val="00EA2C23"/>
    <w:rPr>
      <w:rFonts w:ascii="Arial" w:hAnsi="Arial"/>
      <w:sz w:val="16"/>
      <w:lang w:eastAsia="de-DE"/>
    </w:rPr>
  </w:style>
  <w:style w:type="paragraph" w:customStyle="1" w:styleId="Beschlusstitel2">
    <w:name w:val="Beschlusstitel_2"/>
    <w:basedOn w:val="Normal2"/>
    <w:next w:val="Normal"/>
    <w:rsid w:val="00EA2C23"/>
    <w:pPr>
      <w:tabs>
        <w:tab w:val="left" w:pos="907"/>
      </w:tabs>
      <w:ind w:left="-340"/>
    </w:pPr>
    <w:rPr>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8F2C5-1382-43D1-A144-5FC02747E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9</Pages>
  <Words>4712</Words>
  <Characters>29150</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33795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30</cp:revision>
  <cp:lastPrinted>2014-08-19T07:37:00Z</cp:lastPrinted>
  <dcterms:created xsi:type="dcterms:W3CDTF">2015-12-03T12:21:00Z</dcterms:created>
  <dcterms:modified xsi:type="dcterms:W3CDTF">2016-11-15T09:58:00Z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